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DB2" w:rsidRDefault="00295C5F" w:rsidP="00F50781">
      <w:pPr>
        <w:rPr>
          <w:rFonts w:ascii="Book Antiqua" w:hAnsi="Book Antiqua"/>
          <w:b/>
          <w:noProof/>
          <w:color w:val="0000FF"/>
          <w:sz w:val="28"/>
          <w:szCs w:val="28"/>
          <w:shd w:val="clear" w:color="auto" w:fill="FFFFFF"/>
        </w:rPr>
      </w:pPr>
      <w:r w:rsidRPr="007E3B2C">
        <w:rPr>
          <w:rFonts w:ascii="Book Antiqua" w:hAnsi="Book Antiqua"/>
          <w:b/>
          <w:noProof/>
          <w:color w:val="0000FF"/>
          <w:sz w:val="28"/>
          <w:szCs w:val="28"/>
          <w:shd w:val="clear" w:color="auto" w:fill="FFFFFF"/>
        </w:rPr>
        <w:drawing>
          <wp:inline distT="0" distB="0" distL="0" distR="0">
            <wp:extent cx="6000750" cy="1438275"/>
            <wp:effectExtent l="0" t="0" r="0" b="9525"/>
            <wp:docPr id="1" name="图片 3" descr="C:\Users\WangJL\Desktop\BPG-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WangJL\Desktop\BPG-页眉.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0" cy="1438275"/>
                    </a:xfrm>
                    <a:prstGeom prst="rect">
                      <a:avLst/>
                    </a:prstGeom>
                    <a:noFill/>
                    <a:ln>
                      <a:noFill/>
                    </a:ln>
                  </pic:spPr>
                </pic:pic>
              </a:graphicData>
            </a:graphic>
          </wp:inline>
        </w:drawing>
      </w:r>
    </w:p>
    <w:p w:rsidR="00C846FE" w:rsidRPr="00C846FE" w:rsidRDefault="00C846FE" w:rsidP="00C846FE">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3577BA" w:rsidRPr="000B0D85" w:rsidTr="00455B0F">
        <w:trPr>
          <w:trHeight w:val="720"/>
        </w:trPr>
        <w:tc>
          <w:tcPr>
            <w:tcW w:w="2808" w:type="dxa"/>
            <w:vAlign w:val="center"/>
          </w:tcPr>
          <w:p w:rsidR="003577BA" w:rsidRPr="00CB42A6" w:rsidRDefault="003577BA" w:rsidP="003577BA">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180AED" w:rsidRDefault="00F1425D">
            <w:pPr>
              <w:spacing w:line="360" w:lineRule="auto"/>
              <w:rPr>
                <w:rFonts w:ascii="Book Antiqua" w:hAnsi="Book Antiqua"/>
                <w:color w:val="000000"/>
                <w:sz w:val="24"/>
                <w:szCs w:val="24"/>
              </w:rPr>
            </w:pPr>
            <w:r>
              <w:rPr>
                <w:rFonts w:ascii="Book Antiqua" w:hAnsi="Book Antiqua"/>
                <w:color w:val="000000"/>
                <w:sz w:val="24"/>
                <w:szCs w:val="24"/>
              </w:rPr>
              <w:t xml:space="preserve">Recombinant adenovirus containing hyper-interleukin-6 and hepatocyte growth factor ameliorates acute-on-chronic liver </w:t>
            </w:r>
            <w:r>
              <w:rPr>
                <w:rFonts w:ascii="Book Antiqua" w:hAnsi="Book Antiqua"/>
                <w:color w:val="000000"/>
                <w:sz w:val="24"/>
                <w:szCs w:val="24"/>
              </w:rPr>
              <w:t>failure in rats</w:t>
            </w:r>
          </w:p>
        </w:tc>
      </w:tr>
      <w:tr w:rsidR="003577BA" w:rsidRPr="000B0D85" w:rsidTr="00455B0F">
        <w:trPr>
          <w:trHeight w:val="720"/>
        </w:trPr>
        <w:tc>
          <w:tcPr>
            <w:tcW w:w="2808" w:type="dxa"/>
            <w:vAlign w:val="center"/>
          </w:tcPr>
          <w:p w:rsidR="003577BA" w:rsidRPr="00CB42A6" w:rsidRDefault="003577BA" w:rsidP="003577BA">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180AED" w:rsidRDefault="00F1425D">
            <w:pPr>
              <w:tabs>
                <w:tab w:val="left" w:pos="360"/>
              </w:tabs>
              <w:suppressAutoHyphens/>
              <w:autoSpaceDE w:val="0"/>
              <w:autoSpaceDN w:val="0"/>
              <w:adjustRightInd w:val="0"/>
              <w:spacing w:line="360" w:lineRule="auto"/>
              <w:textAlignment w:val="center"/>
              <w:rPr>
                <w:rFonts w:ascii="Book Antiqua" w:hAnsi="Book Antiqua" w:cs="Book Antiqua"/>
                <w:color w:val="000000"/>
                <w:sz w:val="24"/>
                <w:szCs w:val="24"/>
              </w:rPr>
            </w:pPr>
            <w:r>
              <w:rPr>
                <w:rFonts w:ascii="Book Antiqua" w:hAnsi="Book Antiqua"/>
                <w:color w:val="000000"/>
                <w:sz w:val="24"/>
                <w:szCs w:val="24"/>
              </w:rPr>
              <w:t>Dan-Dan Gao, Jia Fu, Bo Qin, Wen-Xiang Huang, Chun Yang, Bei Jia</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180AED" w:rsidRDefault="00F1425D">
            <w:pPr>
              <w:pStyle w:val="a9"/>
              <w:spacing w:line="360" w:lineRule="auto"/>
              <w:rPr>
                <w:rFonts w:ascii="Book Antiqua" w:hAnsi="Book Antiqua"/>
                <w:sz w:val="24"/>
                <w:szCs w:val="24"/>
                <w:lang w:val="zh-CN"/>
              </w:rPr>
            </w:pPr>
            <w:r>
              <w:rPr>
                <w:rFonts w:ascii="Book Antiqua" w:hAnsi="Book Antiqua"/>
                <w:sz w:val="24"/>
                <w:szCs w:val="24"/>
              </w:rPr>
              <w:t xml:space="preserve">Gao DD, Fu J, Qin B, Huang WX, Yang C, Jia B. Recombinant adenovirus containing hyper-interleukin-6 and hepatocyte growth factor ameliorates </w:t>
            </w:r>
            <w:r>
              <w:rPr>
                <w:rFonts w:ascii="Book Antiqua" w:hAnsi="Book Antiqua"/>
                <w:sz w:val="24"/>
                <w:szCs w:val="24"/>
              </w:rPr>
              <w:t>acute-on-chronic liver failure in rats. World J Gastroenterol 2016; 22(16): 4136-4148</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180AED" w:rsidRDefault="00F1425D">
            <w:pPr>
              <w:pStyle w:val="a8"/>
              <w:spacing w:line="360" w:lineRule="auto"/>
              <w:rPr>
                <w:rFonts w:ascii="Book Antiqua" w:hAnsi="Book Antiqua"/>
                <w:b w:val="0"/>
                <w:bCs w:val="0"/>
                <w:sz w:val="24"/>
                <w:szCs w:val="24"/>
                <w:lang w:val="en-US"/>
              </w:rPr>
            </w:pPr>
            <w:r w:rsidRPr="003B56F5">
              <w:rPr>
                <w:rFonts w:ascii="Book Antiqua" w:hAnsi="Book Antiqua"/>
                <w:b w:val="0"/>
                <w:sz w:val="24"/>
                <w:szCs w:val="24"/>
                <w:lang w:val="en-US"/>
              </w:rPr>
              <w:t>http://www.wjgnet.com/1007-9327/full/v22/i16/4136.htm</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180AED" w:rsidRDefault="00F1425D">
            <w:pPr>
              <w:pStyle w:val="a8"/>
              <w:spacing w:line="360" w:lineRule="auto"/>
              <w:rPr>
                <w:rFonts w:ascii="Book Antiqua" w:hAnsi="Book Antiqua"/>
                <w:b w:val="0"/>
                <w:bCs w:val="0"/>
                <w:sz w:val="24"/>
                <w:szCs w:val="24"/>
                <w:lang w:val="en-US"/>
              </w:rPr>
            </w:pPr>
            <w:r w:rsidRPr="003B56F5">
              <w:rPr>
                <w:rFonts w:ascii="Book Antiqua" w:hAnsi="Book Antiqua"/>
                <w:b w:val="0"/>
                <w:sz w:val="24"/>
                <w:szCs w:val="24"/>
                <w:lang w:val="en-US"/>
              </w:rPr>
              <w:t>http://dx.doi.org/10.3748/wjg.v22.i16.4136</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180AED" w:rsidRDefault="00F1425D">
            <w:pPr>
              <w:pStyle w:val="aa"/>
              <w:spacing w:line="360" w:lineRule="auto"/>
              <w:rPr>
                <w:rFonts w:ascii="Book Antiqua" w:hAnsi="Book Antiqua"/>
                <w:color w:val="000000"/>
                <w:sz w:val="24"/>
                <w:szCs w:val="24"/>
                <w:lang w:val="zh-CN"/>
              </w:rPr>
            </w:pPr>
            <w:r>
              <w:rPr>
                <w:rFonts w:ascii="Book Antiqua" w:hAnsi="Book Antiqua"/>
                <w:color w:val="000000"/>
                <w:sz w:val="24"/>
                <w:szCs w:val="24"/>
              </w:rPr>
              <w:t xml:space="preserve">This article is an open-access article which was </w:t>
            </w:r>
            <w:r>
              <w:rPr>
                <w:rFonts w:ascii="Book Antiqua" w:hAnsi="Book Antiqua"/>
                <w:color w:val="000000"/>
                <w:sz w:val="24"/>
                <w:szCs w:val="24"/>
              </w:rPr>
              <w:t>selected by an in-house editor and fully peer-reviewed by external reviewers. It is distributed in accordance with the Creative Commons Attribution Non Commercial (CC BY-NC 4.0) license, which permits others to distribute, remix, adapt, build upon this wor</w:t>
            </w:r>
            <w:r>
              <w:rPr>
                <w:rFonts w:ascii="Book Antiqua" w:hAnsi="Book Antiqua"/>
                <w:color w:val="000000"/>
                <w:sz w:val="24"/>
                <w:szCs w:val="24"/>
              </w:rPr>
              <w:t>k non-commercially, and license their derivative works on different terms, provided the original work is properly cited and the use is non-commercial. See: http://creativecommons.org/licenses/by-nc/4.0/</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 New Roman"/>
                <w:bCs w:val="0"/>
                <w:spacing w:val="-3"/>
                <w:sz w:val="24"/>
                <w:szCs w:val="24"/>
              </w:rPr>
              <w:t>CORE TIP</w:t>
            </w:r>
          </w:p>
        </w:tc>
        <w:tc>
          <w:tcPr>
            <w:tcW w:w="6750" w:type="dxa"/>
            <w:vAlign w:val="center"/>
          </w:tcPr>
          <w:p w:rsidR="00180AED" w:rsidRDefault="00F1425D">
            <w:pPr>
              <w:pStyle w:val="E-1"/>
              <w:spacing w:line="360" w:lineRule="auto"/>
              <w:rPr>
                <w:rFonts w:ascii="Book Antiqua" w:hAnsi="Book Antiqua"/>
                <w:bCs/>
                <w:sz w:val="24"/>
                <w:szCs w:val="24"/>
              </w:rPr>
            </w:pPr>
            <w:r>
              <w:rPr>
                <w:rFonts w:ascii="Book Antiqua" w:hAnsi="Book Antiqua"/>
                <w:sz w:val="24"/>
                <w:szCs w:val="24"/>
              </w:rPr>
              <w:t>The purport of our study was to analyse the</w:t>
            </w:r>
            <w:r>
              <w:rPr>
                <w:rFonts w:ascii="Book Antiqua" w:hAnsi="Book Antiqua"/>
                <w:sz w:val="24"/>
                <w:szCs w:val="24"/>
              </w:rPr>
              <w:t xml:space="preserve"> protective efficacy of recombinant adenovirus containing hyper-interleukin-6 (Hyper-IL-6, HIL-6) and hepatocyte growth factor (HGF) (Ad-HGF-HIL-6) compared to that of </w:t>
            </w:r>
            <w:r>
              <w:rPr>
                <w:rFonts w:ascii="Book Antiqua" w:hAnsi="Book Antiqua"/>
                <w:sz w:val="24"/>
                <w:szCs w:val="24"/>
              </w:rPr>
              <w:lastRenderedPageBreak/>
              <w:t>recombinant adenovirus HIL-6 or HGF (Ad-HIL-6 or Ad-HGF) in rats with acute-on-chronic l</w:t>
            </w:r>
            <w:r>
              <w:rPr>
                <w:rFonts w:ascii="Book Antiqua" w:hAnsi="Book Antiqua"/>
                <w:sz w:val="24"/>
                <w:szCs w:val="24"/>
              </w:rPr>
              <w:t>iver failure (ACLF). In summary, our results suggest that Ad-HGF-HIL-6 may confer a more powerful protective effect against ACLF than do Ad-HGF or Ad-HIL-6 in rats and can restrain the secretion of diverse inflammatory cytokines and reduce the apoptosis of</w:t>
            </w:r>
            <w:r>
              <w:rPr>
                <w:rFonts w:ascii="Book Antiqua" w:hAnsi="Book Antiqua"/>
                <w:sz w:val="24"/>
                <w:szCs w:val="24"/>
              </w:rPr>
              <w:t xml:space="preserve"> hepatocytes. Ad-HGF-HIL-6 is likely to be a feasible protective therapy for serious liver injury.</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lastRenderedPageBreak/>
              <w:t>KEY WORDS</w:t>
            </w:r>
          </w:p>
        </w:tc>
        <w:tc>
          <w:tcPr>
            <w:tcW w:w="6750" w:type="dxa"/>
            <w:vAlign w:val="center"/>
          </w:tcPr>
          <w:p w:rsidR="00180AED" w:rsidRDefault="00F1425D">
            <w:pPr>
              <w:pStyle w:val="E-1"/>
              <w:spacing w:line="360" w:lineRule="auto"/>
              <w:rPr>
                <w:rFonts w:ascii="Book Antiqua" w:hAnsi="Book Antiqua"/>
                <w:spacing w:val="-4"/>
                <w:sz w:val="24"/>
                <w:szCs w:val="24"/>
              </w:rPr>
            </w:pPr>
            <w:r>
              <w:rPr>
                <w:rFonts w:ascii="Book Antiqua" w:hAnsi="Book Antiqua"/>
                <w:sz w:val="24"/>
                <w:szCs w:val="24"/>
              </w:rPr>
              <w:t>Acute-on-chronic liver failure; Recombinant adenovirus; Hyper-interleukin-6; Hepatocyte growth factor; Inflammatory cytokines</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180AED" w:rsidRDefault="00F1425D">
            <w:pPr>
              <w:pStyle w:val="a8"/>
              <w:spacing w:line="360" w:lineRule="auto"/>
              <w:rPr>
                <w:rFonts w:ascii="Book Antiqua" w:hAnsi="Book Antiqua"/>
                <w:b w:val="0"/>
                <w:sz w:val="24"/>
                <w:szCs w:val="24"/>
                <w:lang w:val="en-US"/>
              </w:rPr>
            </w:pPr>
            <w:r w:rsidRPr="003B56F5">
              <w:rPr>
                <w:rFonts w:ascii="Book Antiqua" w:hAnsi="Book Antiqua"/>
                <w:b w:val="0"/>
                <w:sz w:val="24"/>
                <w:szCs w:val="24"/>
                <w:lang w:val="en-US"/>
              </w:rPr>
              <w:t xml:space="preserve">© The </w:t>
            </w:r>
            <w:r w:rsidRPr="003B56F5">
              <w:rPr>
                <w:rFonts w:ascii="Book Antiqua" w:hAnsi="Book Antiqua"/>
                <w:b w:val="0"/>
                <w:sz w:val="24"/>
                <w:szCs w:val="24"/>
                <w:lang w:val="en-US"/>
              </w:rPr>
              <w:t xml:space="preserve">Author(s) 2016. Published by Baishideng Publishing Group Inc. </w:t>
            </w:r>
            <w:r>
              <w:rPr>
                <w:rFonts w:ascii="Book Antiqua" w:hAnsi="Book Antiqua"/>
                <w:b w:val="0"/>
                <w:sz w:val="24"/>
                <w:szCs w:val="24"/>
              </w:rPr>
              <w:t>All rights reserved.</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180AED" w:rsidRDefault="00F1425D">
            <w:pPr>
              <w:pStyle w:val="a8"/>
              <w:spacing w:line="360" w:lineRule="auto"/>
              <w:rPr>
                <w:rFonts w:ascii="Book Antiqua" w:hAnsi="Book Antiqua"/>
                <w:b w:val="0"/>
                <w:i/>
                <w:sz w:val="24"/>
                <w:szCs w:val="24"/>
                <w:lang w:val="en-US"/>
              </w:rPr>
            </w:pPr>
            <w:r>
              <w:rPr>
                <w:rFonts w:ascii="Book Antiqua" w:hAnsi="Book Antiqua"/>
                <w:b w:val="0"/>
                <w:sz w:val="24"/>
                <w:szCs w:val="24"/>
              </w:rPr>
              <w:t>World Journal of Gastroenterology</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180AED" w:rsidRDefault="00F1425D">
            <w:pPr>
              <w:pStyle w:val="a8"/>
              <w:spacing w:line="360" w:lineRule="auto"/>
              <w:rPr>
                <w:rFonts w:ascii="Book Antiqua" w:hAnsi="Book Antiqua"/>
                <w:b w:val="0"/>
                <w:sz w:val="24"/>
                <w:szCs w:val="24"/>
                <w:lang w:val="en-US"/>
              </w:rPr>
            </w:pPr>
            <w:r>
              <w:rPr>
                <w:rFonts w:ascii="Book Antiqua" w:hAnsi="Book Antiqua"/>
                <w:b w:val="0"/>
                <w:sz w:val="24"/>
                <w:szCs w:val="24"/>
              </w:rPr>
              <w:t>1007-9327 (print) and 2219-2840 (online)</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180AED" w:rsidRDefault="00F1425D">
            <w:pPr>
              <w:spacing w:line="360" w:lineRule="auto"/>
              <w:rPr>
                <w:rFonts w:ascii="Book Antiqua" w:hAnsi="Book Antiqua"/>
                <w:color w:val="000000"/>
                <w:sz w:val="24"/>
                <w:szCs w:val="24"/>
              </w:rPr>
            </w:pPr>
            <w:r>
              <w:rPr>
                <w:rFonts w:ascii="Book Antiqua" w:hAnsi="Book Antiqua"/>
                <w:color w:val="000000"/>
                <w:sz w:val="24"/>
                <w:szCs w:val="24"/>
              </w:rPr>
              <w:t>Baishideng Publishing Group Inc, 8226 Regency Drive, Pleasanton,</w:t>
            </w:r>
            <w:r>
              <w:rPr>
                <w:rFonts w:ascii="Book Antiqua" w:hAnsi="Book Antiqua"/>
                <w:color w:val="000000"/>
                <w:sz w:val="24"/>
                <w:szCs w:val="24"/>
              </w:rPr>
              <w:t xml:space="preserve"> CA 94588, USA</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180AED" w:rsidRDefault="00F1425D">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3B56F5" w:rsidRDefault="003B56F5" w:rsidP="00F50781"/>
    <w:p w:rsidR="003B56F5" w:rsidRDefault="003B56F5">
      <w:pPr>
        <w:widowControl/>
        <w:jc w:val="left"/>
      </w:pPr>
      <w:r>
        <w:br w:type="page"/>
      </w:r>
    </w:p>
    <w:p w:rsidR="003B56F5" w:rsidRDefault="003B56F5" w:rsidP="003B56F5">
      <w:pPr>
        <w:jc w:val="right"/>
      </w:pPr>
      <w:bookmarkStart w:id="0" w:name="_GoBack"/>
      <w:bookmarkEnd w:id="0"/>
      <w:r w:rsidRPr="001244C9">
        <w:lastRenderedPageBreak/>
        <w:t>Basic Study</w:t>
      </w:r>
    </w:p>
    <w:p w:rsidR="003B56F5" w:rsidRPr="003F3CBC" w:rsidRDefault="003B56F5" w:rsidP="003B56F5">
      <w:pPr>
        <w:suppressAutoHyphens/>
        <w:autoSpaceDE w:val="0"/>
        <w:autoSpaceDN w:val="0"/>
        <w:adjustRightInd w:val="0"/>
        <w:spacing w:line="420" w:lineRule="atLeast"/>
        <w:jc w:val="left"/>
        <w:textAlignment w:val="center"/>
        <w:rPr>
          <w:rFonts w:ascii="Tahoma" w:hAnsi="Tahoma" w:cs="Tahoma"/>
          <w:b/>
          <w:bCs/>
          <w:color w:val="000000"/>
          <w:kern w:val="0"/>
          <w:sz w:val="32"/>
          <w:szCs w:val="32"/>
        </w:rPr>
      </w:pPr>
      <w:r w:rsidRPr="003F3CBC">
        <w:rPr>
          <w:rFonts w:ascii="Tahoma" w:hAnsi="Tahoma" w:cs="Tahoma"/>
          <w:b/>
          <w:bCs/>
          <w:color w:val="000000"/>
          <w:kern w:val="0"/>
          <w:sz w:val="32"/>
          <w:szCs w:val="32"/>
        </w:rPr>
        <w:t>Recombinant adenovirus containing hyper-interleukin-6 and hepatocyte growth factor ameliorates acute-on-chronic liver failure in rats</w:t>
      </w:r>
    </w:p>
    <w:p w:rsidR="003B56F5" w:rsidRPr="003F3CBC" w:rsidRDefault="003B56F5" w:rsidP="003B56F5"/>
    <w:p w:rsidR="003B56F5" w:rsidRPr="003F3CBC" w:rsidRDefault="003B56F5" w:rsidP="003B56F5">
      <w:pPr>
        <w:pStyle w:val="ae"/>
        <w:rPr>
          <w:lang w:val="en-US"/>
        </w:rPr>
      </w:pPr>
      <w:r w:rsidRPr="003F3CBC">
        <w:rPr>
          <w:lang w:val="en-US"/>
        </w:rPr>
        <w:t xml:space="preserve">Dan-Dan </w:t>
      </w:r>
      <w:proofErr w:type="gramStart"/>
      <w:r w:rsidRPr="003F3CBC">
        <w:rPr>
          <w:lang w:val="en-US"/>
        </w:rPr>
        <w:t>Gao</w:t>
      </w:r>
      <w:proofErr w:type="gramEnd"/>
      <w:r w:rsidRPr="003F3CBC">
        <w:rPr>
          <w:lang w:val="en-US"/>
        </w:rPr>
        <w:t>, Jia Fu, Bo Qin, Wen-Xiang Huang, Chun Yang, Bei Jia</w:t>
      </w:r>
    </w:p>
    <w:p w:rsidR="003B56F5" w:rsidRPr="003F3CBC" w:rsidRDefault="003B56F5" w:rsidP="003B56F5"/>
    <w:p w:rsidR="003B56F5" w:rsidRDefault="003B56F5" w:rsidP="003B56F5">
      <w:pPr>
        <w:pStyle w:val="af"/>
        <w:rPr>
          <w:lang w:val="en-GB"/>
        </w:rPr>
      </w:pPr>
      <w:r>
        <w:rPr>
          <w:rFonts w:ascii="Tahoma" w:hAnsi="Tahoma" w:cs="Tahoma"/>
          <w:lang w:val="en-GB"/>
        </w:rPr>
        <w:t>Dan-Dan Gao, Jia Fu, Bo Qin, Wen-Xiang Huang, Chun Yang,</w:t>
      </w:r>
      <w:r>
        <w:rPr>
          <w:rFonts w:ascii="Tahoma" w:hAnsi="Tahoma" w:cs="Tahoma"/>
          <w:vertAlign w:val="superscript"/>
          <w:lang w:val="en-GB"/>
        </w:rPr>
        <w:t xml:space="preserve"> </w:t>
      </w:r>
      <w:r>
        <w:rPr>
          <w:rFonts w:ascii="Tahoma" w:hAnsi="Tahoma" w:cs="Tahoma"/>
          <w:lang w:val="en-GB"/>
        </w:rPr>
        <w:t>Bei Jia,</w:t>
      </w:r>
      <w:r>
        <w:rPr>
          <w:lang w:val="en-GB"/>
        </w:rPr>
        <w:t xml:space="preserve"> Chongqing Key Laboratory of Infectious Diseases and Parasitic Diseases, Department of Infectious Diseases, The First Affiliated Hospital of Chongqing Medical University, Chongqing </w:t>
      </w:r>
      <w:r>
        <w:t>400016</w:t>
      </w:r>
      <w:r>
        <w:rPr>
          <w:lang w:val="en-GB"/>
        </w:rPr>
        <w:t>, China</w:t>
      </w:r>
    </w:p>
    <w:p w:rsidR="003B56F5" w:rsidRDefault="003B56F5" w:rsidP="003B56F5">
      <w:pPr>
        <w:pStyle w:val="af"/>
        <w:rPr>
          <w:lang w:val="en-GB"/>
        </w:rPr>
      </w:pPr>
      <w:r w:rsidRPr="003F3CBC">
        <w:rPr>
          <w:rFonts w:ascii="Tahoma" w:hAnsi="Tahoma" w:cs="Tahoma"/>
          <w:spacing w:val="0"/>
        </w:rPr>
        <w:t>Author contributions:</w:t>
      </w:r>
      <w:r>
        <w:rPr>
          <w:lang w:val="en-GB"/>
        </w:rPr>
        <w:t xml:space="preserve"> Jia B, Yang C, Qin B, </w:t>
      </w:r>
      <w:proofErr w:type="gramStart"/>
      <w:r>
        <w:rPr>
          <w:lang w:val="en-GB"/>
        </w:rPr>
        <w:t>Gao</w:t>
      </w:r>
      <w:proofErr w:type="gramEnd"/>
      <w:r>
        <w:rPr>
          <w:lang w:val="en-GB"/>
        </w:rPr>
        <w:t xml:space="preserve"> DD and Huang WX conceived and designed the study; Gao DD performed the experiments and wrote the paper; Fu J provided the mutants; Jia B and Gao DD analysed the data; and Jia B reviewed and edited the manuscript. Yang C and Jia B made equal contributions to this work.</w:t>
      </w:r>
    </w:p>
    <w:p w:rsidR="003B56F5" w:rsidRDefault="003B56F5" w:rsidP="003B56F5">
      <w:pPr>
        <w:pStyle w:val="af"/>
        <w:rPr>
          <w:lang w:val="en-GB"/>
        </w:rPr>
      </w:pPr>
      <w:r w:rsidRPr="003F3CBC">
        <w:rPr>
          <w:rFonts w:ascii="Tahoma" w:hAnsi="Tahoma" w:cs="Tahoma"/>
          <w:spacing w:val="0"/>
        </w:rPr>
        <w:t>Correspondence to:</w:t>
      </w:r>
      <w:r>
        <w:rPr>
          <w:rFonts w:ascii="Tahoma" w:hAnsi="Tahoma" w:cs="Tahoma"/>
        </w:rPr>
        <w:t xml:space="preserve"> Bei Jia, PhD,</w:t>
      </w:r>
      <w:r>
        <w:t xml:space="preserve"> Chongqing Key Laboratory of Infectious Diseases and Parasitic Diseases, Department of Infectious Diseases, The First Affiliated Hospital of Chongqing Medical University, No. 1 Youyi Road, Yu Zhong District, Chongqing 400016, China. </w:t>
      </w:r>
      <w:r>
        <w:rPr>
          <w:lang w:val="en-GB"/>
        </w:rPr>
        <w:t>beijia</w:t>
      </w:r>
      <w:r>
        <w:t>7410</w:t>
      </w:r>
      <w:r>
        <w:rPr>
          <w:lang w:val="en-GB"/>
        </w:rPr>
        <w:t>@</w:t>
      </w:r>
      <w:r>
        <w:t>163</w:t>
      </w:r>
      <w:r>
        <w:rPr>
          <w:lang w:val="en-GB"/>
        </w:rPr>
        <w:t>.com</w:t>
      </w:r>
    </w:p>
    <w:p w:rsidR="003B56F5" w:rsidRPr="003F3CBC" w:rsidRDefault="003B56F5" w:rsidP="003B56F5">
      <w:pPr>
        <w:pStyle w:val="NormalParagraphStyle"/>
        <w:rPr>
          <w:rFonts w:ascii="Times New Roman" w:hAnsi="Times New Roman" w:cs="Times New Roman"/>
          <w:sz w:val="18"/>
          <w:szCs w:val="18"/>
          <w:lang w:val="en-US"/>
        </w:rPr>
      </w:pPr>
      <w:r w:rsidRPr="003F3CBC">
        <w:rPr>
          <w:rFonts w:ascii="Tahoma" w:hAnsi="Tahoma" w:cs="Tahoma"/>
          <w:sz w:val="18"/>
          <w:szCs w:val="18"/>
          <w:lang w:val="en-US"/>
        </w:rPr>
        <w:t>Telephone:</w:t>
      </w:r>
      <w:r w:rsidRPr="003F3CBC">
        <w:rPr>
          <w:rFonts w:ascii="Times New Roman" w:hAnsi="Times New Roman" w:cs="Times New Roman"/>
          <w:sz w:val="18"/>
          <w:szCs w:val="18"/>
          <w:lang w:val="en-US"/>
        </w:rPr>
        <w:t xml:space="preserve"> </w:t>
      </w:r>
      <w:r>
        <w:rPr>
          <w:rFonts w:ascii="Times New Roman" w:hAnsi="Times New Roman" w:cs="Times New Roman"/>
          <w:spacing w:val="-2"/>
          <w:sz w:val="18"/>
          <w:szCs w:val="18"/>
          <w:lang w:val="en-US"/>
        </w:rPr>
        <w:t>+86-23-</w:t>
      </w:r>
      <w:proofErr w:type="gramStart"/>
      <w:r>
        <w:rPr>
          <w:rFonts w:ascii="Times New Roman" w:hAnsi="Times New Roman" w:cs="Times New Roman"/>
          <w:spacing w:val="-2"/>
          <w:sz w:val="18"/>
          <w:szCs w:val="18"/>
          <w:lang w:val="en-US"/>
        </w:rPr>
        <w:t>89012427</w:t>
      </w:r>
      <w:r>
        <w:rPr>
          <w:rFonts w:ascii="Times New Roman" w:hAnsi="Times New Roman" w:cs="Times New Roman" w:hint="eastAsia"/>
          <w:spacing w:val="-2"/>
          <w:sz w:val="18"/>
          <w:szCs w:val="18"/>
          <w:lang w:val="en-US"/>
        </w:rPr>
        <w:t xml:space="preserve">  </w:t>
      </w:r>
      <w:r w:rsidRPr="003F3CBC">
        <w:rPr>
          <w:rFonts w:ascii="Tahoma" w:hAnsi="Tahoma" w:cs="Tahoma"/>
          <w:sz w:val="18"/>
          <w:szCs w:val="18"/>
          <w:lang w:val="en-US"/>
        </w:rPr>
        <w:t>Fax</w:t>
      </w:r>
      <w:proofErr w:type="gramEnd"/>
      <w:r w:rsidRPr="003F3CBC">
        <w:rPr>
          <w:rFonts w:ascii="Tahoma" w:hAnsi="Tahoma" w:cs="Tahoma"/>
          <w:sz w:val="18"/>
          <w:szCs w:val="18"/>
          <w:lang w:val="en-US"/>
        </w:rPr>
        <w:t>:</w:t>
      </w:r>
      <w:r w:rsidRPr="003F3CBC">
        <w:rPr>
          <w:rFonts w:ascii="Times New Roman" w:hAnsi="Times New Roman" w:cs="Times New Roman"/>
          <w:sz w:val="18"/>
          <w:szCs w:val="18"/>
          <w:lang w:val="en-US"/>
        </w:rPr>
        <w:t xml:space="preserve"> </w:t>
      </w:r>
      <w:r>
        <w:rPr>
          <w:rFonts w:ascii="Times New Roman" w:hAnsi="Times New Roman" w:cs="Times New Roman"/>
          <w:spacing w:val="-2"/>
          <w:sz w:val="18"/>
          <w:szCs w:val="18"/>
          <w:lang w:val="en-US"/>
        </w:rPr>
        <w:t>+86-23-89012430</w:t>
      </w:r>
    </w:p>
    <w:p w:rsidR="003B56F5" w:rsidRPr="003F3CBC" w:rsidRDefault="003B56F5" w:rsidP="003B56F5">
      <w:pPr>
        <w:pStyle w:val="NormalParagraphStyle"/>
        <w:rPr>
          <w:rFonts w:ascii="Times New Roman" w:hAnsi="Times New Roman" w:cs="Times New Roman"/>
          <w:sz w:val="18"/>
          <w:szCs w:val="18"/>
          <w:lang w:val="en-US"/>
        </w:rPr>
      </w:pPr>
      <w:r w:rsidRPr="003F3CBC">
        <w:rPr>
          <w:rFonts w:ascii="Tahoma" w:hAnsi="Tahoma" w:cs="Tahoma"/>
          <w:sz w:val="18"/>
          <w:szCs w:val="18"/>
          <w:lang w:val="en-US"/>
        </w:rPr>
        <w:t>Received:</w:t>
      </w:r>
      <w:r w:rsidRPr="003F3CBC">
        <w:rPr>
          <w:rFonts w:ascii="Times New Roman" w:hAnsi="Times New Roman" w:cs="Times New Roman"/>
          <w:sz w:val="18"/>
          <w:szCs w:val="18"/>
          <w:lang w:val="en-US"/>
        </w:rPr>
        <w:t xml:space="preserve"> </w:t>
      </w:r>
      <w:r>
        <w:rPr>
          <w:rFonts w:ascii="Times New Roman" w:hAnsi="Times New Roman" w:cs="Times New Roman"/>
          <w:spacing w:val="-2"/>
          <w:sz w:val="18"/>
          <w:szCs w:val="18"/>
          <w:lang w:val="en-US"/>
        </w:rPr>
        <w:t xml:space="preserve">November 25, </w:t>
      </w:r>
      <w:proofErr w:type="gramStart"/>
      <w:r>
        <w:rPr>
          <w:rFonts w:ascii="Times New Roman" w:hAnsi="Times New Roman" w:cs="Times New Roman"/>
          <w:spacing w:val="-2"/>
          <w:sz w:val="18"/>
          <w:szCs w:val="18"/>
          <w:lang w:val="en-US"/>
        </w:rPr>
        <w:t>2015</w:t>
      </w:r>
      <w:r>
        <w:rPr>
          <w:rFonts w:ascii="Times New Roman" w:hAnsi="Times New Roman" w:cs="Times New Roman" w:hint="eastAsia"/>
          <w:sz w:val="18"/>
          <w:szCs w:val="18"/>
          <w:lang w:val="en-US"/>
        </w:rPr>
        <w:t xml:space="preserve">  </w:t>
      </w:r>
      <w:r w:rsidRPr="003F3CBC">
        <w:rPr>
          <w:rFonts w:ascii="Tahoma" w:hAnsi="Tahoma" w:cs="Tahoma"/>
          <w:sz w:val="18"/>
          <w:szCs w:val="18"/>
          <w:lang w:val="en-US"/>
        </w:rPr>
        <w:t>Revised</w:t>
      </w:r>
      <w:proofErr w:type="gramEnd"/>
      <w:r w:rsidRPr="003F3CBC">
        <w:rPr>
          <w:rFonts w:ascii="Tahoma" w:hAnsi="Tahoma" w:cs="Tahoma"/>
          <w:sz w:val="18"/>
          <w:szCs w:val="18"/>
          <w:lang w:val="en-US"/>
        </w:rPr>
        <w:t>:</w:t>
      </w:r>
      <w:r w:rsidRPr="003F3CBC">
        <w:rPr>
          <w:rFonts w:ascii="Times New Roman" w:hAnsi="Times New Roman" w:cs="Times New Roman"/>
          <w:sz w:val="18"/>
          <w:szCs w:val="18"/>
          <w:lang w:val="en-US"/>
        </w:rPr>
        <w:t xml:space="preserve"> </w:t>
      </w:r>
      <w:r>
        <w:rPr>
          <w:rFonts w:ascii="Times New Roman" w:hAnsi="Times New Roman" w:cs="Times New Roman"/>
          <w:spacing w:val="-2"/>
          <w:sz w:val="18"/>
          <w:szCs w:val="18"/>
          <w:lang w:val="en-US"/>
        </w:rPr>
        <w:t>February 1, 2016</w:t>
      </w:r>
      <w:r>
        <w:rPr>
          <w:rFonts w:ascii="Times New Roman" w:hAnsi="Times New Roman" w:cs="Times New Roman" w:hint="eastAsia"/>
          <w:spacing w:val="-2"/>
          <w:sz w:val="18"/>
          <w:szCs w:val="18"/>
          <w:lang w:val="en-US"/>
        </w:rPr>
        <w:t xml:space="preserve">  </w:t>
      </w:r>
      <w:r w:rsidRPr="003F3CBC">
        <w:rPr>
          <w:rFonts w:ascii="Tahoma" w:hAnsi="Tahoma" w:cs="Tahoma"/>
          <w:sz w:val="18"/>
          <w:szCs w:val="18"/>
          <w:lang w:val="en-US"/>
        </w:rPr>
        <w:t>Accepted:</w:t>
      </w:r>
      <w:r w:rsidRPr="003F3CBC">
        <w:rPr>
          <w:rFonts w:ascii="Times New Roman" w:hAnsi="Times New Roman" w:cs="Times New Roman"/>
          <w:sz w:val="18"/>
          <w:szCs w:val="18"/>
          <w:lang w:val="en-US"/>
        </w:rPr>
        <w:t xml:space="preserve"> </w:t>
      </w:r>
      <w:r>
        <w:rPr>
          <w:rFonts w:ascii="Times New Roman" w:hAnsi="Times New Roman" w:cs="Times New Roman"/>
          <w:spacing w:val="-2"/>
          <w:sz w:val="18"/>
          <w:szCs w:val="18"/>
          <w:lang w:val="en-US"/>
        </w:rPr>
        <w:t>March 1, 2016</w:t>
      </w:r>
    </w:p>
    <w:p w:rsidR="003B56F5" w:rsidRPr="003F3CBC" w:rsidRDefault="003B56F5" w:rsidP="003B56F5">
      <w:pPr>
        <w:pStyle w:val="NormalParagraphStyle"/>
        <w:suppressAutoHyphens/>
        <w:rPr>
          <w:rFonts w:ascii="Times New Roman" w:hAnsi="Times New Roman" w:cs="Times New Roman"/>
          <w:sz w:val="18"/>
          <w:szCs w:val="18"/>
          <w:lang w:val="en-US"/>
        </w:rPr>
      </w:pPr>
      <w:r w:rsidRPr="003F3CBC">
        <w:rPr>
          <w:rFonts w:ascii="Tahoma" w:hAnsi="Tahoma" w:cs="Tahoma"/>
          <w:sz w:val="18"/>
          <w:szCs w:val="18"/>
          <w:lang w:val="en-US"/>
        </w:rPr>
        <w:t xml:space="preserve">Published online: </w:t>
      </w:r>
      <w:r w:rsidRPr="003F3CBC">
        <w:rPr>
          <w:rFonts w:ascii="Times New Roman" w:hAnsi="Times New Roman" w:cs="Times New Roman"/>
          <w:sz w:val="18"/>
          <w:szCs w:val="18"/>
          <w:lang w:val="en-US"/>
        </w:rPr>
        <w:t>April 28, 2016</w:t>
      </w:r>
    </w:p>
    <w:p w:rsidR="003B56F5" w:rsidRPr="003F3CBC" w:rsidRDefault="003B56F5" w:rsidP="003B56F5">
      <w:pPr>
        <w:pStyle w:val="NormalParagraphStyle"/>
        <w:rPr>
          <w:rFonts w:ascii="Century Gothic" w:hAnsi="Century Gothic" w:cs="Century Gothic"/>
          <w:b/>
          <w:bCs/>
          <w:spacing w:val="12"/>
          <w:lang w:val="en-US"/>
        </w:rPr>
      </w:pPr>
    </w:p>
    <w:p w:rsidR="003B56F5" w:rsidRPr="003F3CBC" w:rsidRDefault="003B56F5" w:rsidP="003B56F5">
      <w:pPr>
        <w:pStyle w:val="NormalParagraphStyle"/>
        <w:rPr>
          <w:rFonts w:ascii="Century Gothic" w:hAnsi="Century Gothic" w:cs="Century Gothic"/>
          <w:b/>
          <w:bCs/>
          <w:spacing w:val="12"/>
          <w:lang w:val="en-US"/>
        </w:rPr>
      </w:pPr>
      <w:r w:rsidRPr="003F3CBC">
        <w:rPr>
          <w:rFonts w:ascii="Century Gothic" w:hAnsi="Century Gothic" w:cs="Century Gothic"/>
          <w:b/>
          <w:bCs/>
          <w:spacing w:val="12"/>
          <w:lang w:val="en-US"/>
        </w:rPr>
        <w:t>Abstract</w:t>
      </w:r>
    </w:p>
    <w:p w:rsidR="003B56F5" w:rsidRDefault="003B56F5" w:rsidP="003B56F5">
      <w:pPr>
        <w:pStyle w:val="E-1"/>
        <w:rPr>
          <w:b/>
          <w:bCs/>
          <w:spacing w:val="-4"/>
        </w:rPr>
      </w:pPr>
      <w:r>
        <w:rPr>
          <w:rFonts w:ascii="Times New Roman" w:hAnsi="Times New Roman" w:cs="Times New Roman"/>
          <w:b/>
          <w:bCs/>
          <w:spacing w:val="-4"/>
        </w:rPr>
        <w:t>AIM:</w:t>
      </w:r>
      <w:r>
        <w:rPr>
          <w:b/>
          <w:bCs/>
          <w:spacing w:val="-4"/>
        </w:rPr>
        <w:t xml:space="preserve"> </w:t>
      </w:r>
      <w:r>
        <w:rPr>
          <w:spacing w:val="-4"/>
        </w:rPr>
        <w:t>To investigate the protective efficacy of recom</w:t>
      </w:r>
      <w:r>
        <w:rPr>
          <w:spacing w:val="-4"/>
        </w:rPr>
        <w:softHyphen/>
        <w:t>binant adenovirus containing hyper-interleukin-6 (Hyper-IL-6, HIL-6) and hepatocyte growth factor (HGF) (Ad-HGF-HIL-6) compared to that of recombinant adenovirus containing either HIL-6 or HGF (Ad-HIL-6 or Ad-HGF) in rats with acute-on-chronic liver failure (ACLF).</w:t>
      </w:r>
    </w:p>
    <w:p w:rsidR="003B56F5" w:rsidRDefault="003B56F5" w:rsidP="003B56F5">
      <w:pPr>
        <w:pStyle w:val="E-1"/>
      </w:pPr>
      <w:r>
        <w:rPr>
          <w:rFonts w:ascii="Times New Roman" w:hAnsi="Times New Roman" w:cs="Times New Roman"/>
          <w:b/>
          <w:bCs/>
        </w:rPr>
        <w:t>METHODS:</w:t>
      </w:r>
      <w:r>
        <w:rPr>
          <w:b/>
          <w:bCs/>
        </w:rPr>
        <w:t xml:space="preserve"> </w:t>
      </w:r>
      <w:r>
        <w:t xml:space="preserve">The recombinant adenoviruses containing HIL-6 and/or HGF were constructed. We established an ACLF model, and rats were randomly assigned to control, model, Ad-GFP, Ad-HIL-6, Ad-HGF or Ad-HGF-HIL-6 group. We collected serum and liver tissue samples to test pathological changes, biochemical indexes and molecular biological </w:t>
      </w:r>
      <w:r>
        <w:rPr>
          <w:rStyle w:val="hps"/>
        </w:rPr>
        <w:t>indexes</w:t>
      </w:r>
      <w:r>
        <w:t>.</w:t>
      </w:r>
    </w:p>
    <w:p w:rsidR="003B56F5" w:rsidRDefault="003B56F5" w:rsidP="003B56F5">
      <w:pPr>
        <w:pStyle w:val="E-1"/>
        <w:rPr>
          <w:rStyle w:val="hps"/>
        </w:rPr>
      </w:pPr>
      <w:r>
        <w:rPr>
          <w:rFonts w:ascii="Times New Roman" w:hAnsi="Times New Roman" w:cs="Times New Roman"/>
          <w:b/>
          <w:bCs/>
        </w:rPr>
        <w:t>RESULTS:</w:t>
      </w:r>
      <w:r>
        <w:rPr>
          <w:b/>
          <w:bCs/>
        </w:rPr>
        <w:t xml:space="preserve"> </w:t>
      </w:r>
      <w:r>
        <w:t xml:space="preserve">Attenuated alanine aminotransferase, prothrombin time, high-mobility group box 1 (HMGB1), </w:t>
      </w:r>
      <w:r>
        <w:rPr>
          <w:spacing w:val="-6"/>
        </w:rPr>
        <w:t>endotoxin, tumour necrosis factor (TNF)-</w:t>
      </w:r>
      <w:r>
        <w:rPr>
          <w:rFonts w:ascii="Symbol" w:hAnsi="Symbol" w:cs="Symbol"/>
          <w:spacing w:val="-6"/>
        </w:rPr>
        <w:t></w:t>
      </w:r>
      <w:r>
        <w:rPr>
          <w:spacing w:val="-6"/>
        </w:rPr>
        <w:t xml:space="preserve"> and </w:t>
      </w:r>
      <w:r>
        <w:t>interferon-</w:t>
      </w:r>
      <w:r>
        <w:rPr>
          <w:rFonts w:ascii="Symbol" w:hAnsi="Symbol" w:cs="Symbol"/>
        </w:rPr>
        <w:t></w:t>
      </w:r>
      <w:r>
        <w:t xml:space="preserve"> were observed in the Ad-HGF-, Ad-HIL-6- and Ad-HGF-HIL-6-treated rats with ACLF. Likewise, reduced hepatic damage and apoptotic activity, as well as reduced HMGB1 and Bax proteins, but raised expression of Ki67 and Bcl-2</w:t>
      </w:r>
      <w:r>
        <w:rPr>
          <w:rStyle w:val="hps"/>
        </w:rPr>
        <w:t xml:space="preserve"> proteins</w:t>
      </w:r>
      <w:r>
        <w:t xml:space="preserve"> and </w:t>
      </w:r>
      <w:r>
        <w:rPr>
          <w:rStyle w:val="hps"/>
        </w:rPr>
        <w:t xml:space="preserve">Bcl-2/Bax ratio were also observed in the </w:t>
      </w:r>
      <w:r>
        <w:t>Ad-HGF-, Ad-HIL-6- and Ad-HGF-HIL-6-treated rats with ACLF. More significant changes were observed in the Ad-HGF-HIL-6 treatment group without obvious side effects. Furthermore, caspase-3 at</w:t>
      </w:r>
      <w:r>
        <w:rPr>
          <w:rStyle w:val="hps"/>
        </w:rPr>
        <w:t xml:space="preserve"> the protein level</w:t>
      </w:r>
      <w:r>
        <w:t xml:space="preserve"> decreased in the </w:t>
      </w:r>
      <w:r>
        <w:rPr>
          <w:rStyle w:val="hps"/>
        </w:rPr>
        <w:t>Ad-HIL-6 and</w:t>
      </w:r>
      <w:r>
        <w:t xml:space="preserve"> </w:t>
      </w:r>
      <w:r>
        <w:rPr>
          <w:rStyle w:val="hps"/>
        </w:rPr>
        <w:t>Ad-HGF-HIL-6</w:t>
      </w:r>
      <w:r>
        <w:rPr>
          <w:rStyle w:val="high-light-bg4"/>
        </w:rPr>
        <w:t xml:space="preserve"> </w:t>
      </w:r>
      <w:r>
        <w:t xml:space="preserve">treatment groups, more predominantly in the latter </w:t>
      </w:r>
      <w:r>
        <w:rPr>
          <w:rStyle w:val="hps"/>
        </w:rPr>
        <w:t>group.</w:t>
      </w:r>
    </w:p>
    <w:p w:rsidR="003B56F5" w:rsidRDefault="003B56F5" w:rsidP="003B56F5">
      <w:pPr>
        <w:pStyle w:val="E-1"/>
        <w:rPr>
          <w:rStyle w:val="hps"/>
          <w:lang w:val="en-GB"/>
        </w:rPr>
      </w:pPr>
      <w:r>
        <w:rPr>
          <w:rFonts w:ascii="Times New Roman" w:hAnsi="Times New Roman" w:cs="Times New Roman"/>
          <w:b/>
          <w:bCs/>
        </w:rPr>
        <w:t>CONCLUSION:</w:t>
      </w:r>
      <w:r>
        <w:rPr>
          <w:b/>
          <w:bCs/>
          <w:lang w:val="en-GB"/>
        </w:rPr>
        <w:t xml:space="preserve"> </w:t>
      </w:r>
      <w:r>
        <w:rPr>
          <w:lang w:val="en-GB"/>
        </w:rPr>
        <w:t xml:space="preserve">This study identifies that the </w:t>
      </w:r>
      <w:r>
        <w:t>protective</w:t>
      </w:r>
      <w:r>
        <w:rPr>
          <w:lang w:val="en-GB"/>
        </w:rPr>
        <w:t xml:space="preserve"> efficacy of </w:t>
      </w:r>
      <w:r>
        <w:rPr>
          <w:rStyle w:val="hps"/>
          <w:lang w:val="en-GB"/>
        </w:rPr>
        <w:t>Ad-HGF-HIL-6 is more potent than</w:t>
      </w:r>
      <w:r>
        <w:rPr>
          <w:lang w:val="en-GB"/>
        </w:rPr>
        <w:t xml:space="preserve"> that of </w:t>
      </w:r>
      <w:r>
        <w:rPr>
          <w:rStyle w:val="hps"/>
          <w:lang w:val="en-GB"/>
        </w:rPr>
        <w:t>Ad-HGF</w:t>
      </w:r>
      <w:r>
        <w:rPr>
          <w:rStyle w:val="high-light-bg4"/>
          <w:lang w:val="en-GB"/>
        </w:rPr>
        <w:t xml:space="preserve"> or </w:t>
      </w:r>
      <w:r>
        <w:rPr>
          <w:rStyle w:val="hps"/>
          <w:lang w:val="en-GB"/>
        </w:rPr>
        <w:t xml:space="preserve">Ad-HIL-6 in </w:t>
      </w:r>
      <w:r>
        <w:rPr>
          <w:lang w:val="en-GB"/>
        </w:rPr>
        <w:t xml:space="preserve">ACLF rats, with </w:t>
      </w:r>
      <w:r>
        <w:rPr>
          <w:rStyle w:val="hps"/>
          <w:lang w:val="en-GB"/>
        </w:rPr>
        <w:t>no significant</w:t>
      </w:r>
      <w:r>
        <w:rPr>
          <w:lang w:val="en-GB"/>
        </w:rPr>
        <w:t xml:space="preserve"> </w:t>
      </w:r>
      <w:r>
        <w:rPr>
          <w:rStyle w:val="hps"/>
          <w:lang w:val="en-GB"/>
        </w:rPr>
        <w:t>side effects.</w:t>
      </w:r>
    </w:p>
    <w:p w:rsidR="003B56F5" w:rsidRDefault="003B56F5" w:rsidP="003B56F5">
      <w:pPr>
        <w:pStyle w:val="E-1"/>
        <w:rPr>
          <w:rStyle w:val="hps"/>
          <w:b/>
          <w:bCs/>
          <w:lang w:val="en-GB"/>
        </w:rPr>
      </w:pPr>
    </w:p>
    <w:p w:rsidR="003B56F5" w:rsidRDefault="003B56F5" w:rsidP="003B56F5">
      <w:pPr>
        <w:pStyle w:val="E-1"/>
        <w:rPr>
          <w:lang w:val="en-GB"/>
        </w:rPr>
      </w:pPr>
      <w:r>
        <w:rPr>
          <w:rFonts w:ascii="Times New Roman" w:hAnsi="Times New Roman" w:cs="Times New Roman"/>
          <w:b/>
          <w:bCs/>
        </w:rPr>
        <w:t>Key words:</w:t>
      </w:r>
      <w:r>
        <w:rPr>
          <w:rStyle w:val="hps"/>
          <w:b/>
          <w:bCs/>
          <w:lang w:val="en-GB"/>
        </w:rPr>
        <w:t xml:space="preserve"> </w:t>
      </w:r>
      <w:r>
        <w:rPr>
          <w:lang w:val="en-GB"/>
        </w:rPr>
        <w:t>Acute-on-chronic liver failure; Recombinant</w:t>
      </w:r>
      <w:r>
        <w:rPr>
          <w:rStyle w:val="hps"/>
          <w:lang w:val="en-GB"/>
        </w:rPr>
        <w:t xml:space="preserve"> adenovirus</w:t>
      </w:r>
      <w:r>
        <w:rPr>
          <w:lang w:val="en-GB"/>
        </w:rPr>
        <w:t xml:space="preserve">; Hyper-interleukin-6; Hepatocyte growth factor; </w:t>
      </w:r>
      <w:proofErr w:type="gramStart"/>
      <w:r>
        <w:rPr>
          <w:lang w:val="en-GB"/>
        </w:rPr>
        <w:t>Inflammatory</w:t>
      </w:r>
      <w:proofErr w:type="gramEnd"/>
      <w:r>
        <w:rPr>
          <w:lang w:val="en-GB"/>
        </w:rPr>
        <w:t xml:space="preserve"> cytokines</w:t>
      </w:r>
    </w:p>
    <w:p w:rsidR="003B56F5" w:rsidRDefault="003B56F5" w:rsidP="003B56F5">
      <w:pPr>
        <w:pStyle w:val="E-1"/>
        <w:rPr>
          <w:lang w:val="en-GB"/>
        </w:rPr>
      </w:pPr>
    </w:p>
    <w:p w:rsidR="003B56F5" w:rsidRDefault="003B56F5" w:rsidP="003B56F5">
      <w:pPr>
        <w:pStyle w:val="a9"/>
      </w:pPr>
      <w:r>
        <w:rPr>
          <w:lang w:val="en-GB"/>
        </w:rPr>
        <w:t xml:space="preserve">Gao DD, Fu J, Qin B, Huang WX, Yang C, Jia B. Recombinant adenovirus containing hyper-interleukin-6 and hepatocyte growth </w:t>
      </w:r>
      <w:r>
        <w:rPr>
          <w:lang w:val="en-GB"/>
        </w:rPr>
        <w:lastRenderedPageBreak/>
        <w:t>factor ameliorates acute-on-chronic liver failure in rats</w:t>
      </w:r>
      <w:r>
        <w:rPr>
          <w:rStyle w:val="hps"/>
          <w:lang w:val="en-GB"/>
        </w:rPr>
        <w:t xml:space="preserve">. </w:t>
      </w:r>
      <w:r w:rsidRPr="003F3CBC">
        <w:rPr>
          <w:i/>
          <w:iCs/>
        </w:rPr>
        <w:t>World J Gastroenterol</w:t>
      </w:r>
      <w:r w:rsidRPr="003F3CBC">
        <w:t xml:space="preserve"> 2016; 22(16): 4136-</w:t>
      </w:r>
      <w:proofErr w:type="gramStart"/>
      <w:r w:rsidRPr="003F3CBC">
        <w:t>4148  Available</w:t>
      </w:r>
      <w:proofErr w:type="gramEnd"/>
      <w:r w:rsidRPr="003F3CBC">
        <w:t xml:space="preserve"> from: URL: </w:t>
      </w:r>
      <w:r>
        <w:t>http://www.wjgnet.com/1007-9327/full/v22/i16/</w:t>
      </w:r>
      <w:r w:rsidRPr="003F3CBC">
        <w:t>4136</w:t>
      </w:r>
      <w:r>
        <w:t>.htm</w:t>
      </w:r>
      <w:r w:rsidRPr="003F3CBC">
        <w:t xml:space="preserve">  DOI: http://dx.doi.org/10.3748/wjg.v22.i16.4136</w:t>
      </w:r>
    </w:p>
    <w:p w:rsidR="003B56F5" w:rsidRDefault="003B56F5" w:rsidP="003B56F5">
      <w:pPr>
        <w:pStyle w:val="E-1"/>
        <w:rPr>
          <w:rFonts w:ascii="Times New Roman" w:hAnsi="Times New Roman" w:cs="Times New Roman"/>
          <w:b/>
          <w:bCs/>
        </w:rPr>
      </w:pPr>
    </w:p>
    <w:p w:rsidR="003B56F5" w:rsidRDefault="003B56F5" w:rsidP="003B56F5">
      <w:pPr>
        <w:pStyle w:val="E-1"/>
        <w:rPr>
          <w:lang w:val="en-GB"/>
        </w:rPr>
      </w:pPr>
      <w:r>
        <w:rPr>
          <w:rFonts w:ascii="Times New Roman" w:hAnsi="Times New Roman" w:cs="Times New Roman"/>
          <w:b/>
          <w:bCs/>
        </w:rPr>
        <w:t>Core tip:</w:t>
      </w:r>
      <w:r>
        <w:rPr>
          <w:b/>
          <w:bCs/>
        </w:rPr>
        <w:t xml:space="preserve"> </w:t>
      </w:r>
      <w:r>
        <w:t xml:space="preserve">The purport of our study was to analyse the protective efficacy of recombinant adenovirus containing hyper-interleukin-6 (Hyper-IL-6, HIL-6) and hepatocyte growth factor (HGF) (Ad-HGF-HIL-6) compared to that of recombinant adenovirus HIL-6 or HGF (Ad-HIL-6 or Ad-HGF) in rats with acute-on-chronic liver failure (ACLF). </w:t>
      </w:r>
      <w:r>
        <w:rPr>
          <w:lang w:val="en-GB"/>
        </w:rPr>
        <w:t>In summary, our results suggest that Ad-HGF</w:t>
      </w:r>
      <w:r>
        <w:rPr>
          <w:rStyle w:val="hps"/>
          <w:lang w:val="en-GB"/>
        </w:rPr>
        <w:t>-HIL-6</w:t>
      </w:r>
      <w:r>
        <w:rPr>
          <w:lang w:val="en-GB"/>
        </w:rPr>
        <w:t xml:space="preserve"> may confer a more powerful protective effect against ACLF than</w:t>
      </w:r>
      <w:r>
        <w:rPr>
          <w:rStyle w:val="hps"/>
          <w:lang w:val="en-GB"/>
        </w:rPr>
        <w:t xml:space="preserve"> do </w:t>
      </w:r>
      <w:r>
        <w:rPr>
          <w:lang w:val="en-GB"/>
        </w:rPr>
        <w:t>Ad-HGF or Ad-</w:t>
      </w:r>
      <w:r>
        <w:rPr>
          <w:rStyle w:val="hps"/>
          <w:lang w:val="en-GB"/>
        </w:rPr>
        <w:t>HIL-6</w:t>
      </w:r>
      <w:r>
        <w:rPr>
          <w:lang w:val="en-GB"/>
        </w:rPr>
        <w:t xml:space="preserve"> in rats and can restrain the secretion of diverse inflammatory cytokines and reduce the apoptosis of hepatocytes. Ad-HGF</w:t>
      </w:r>
      <w:r>
        <w:rPr>
          <w:rStyle w:val="hps"/>
          <w:lang w:val="en-GB"/>
        </w:rPr>
        <w:t>-HIL-6</w:t>
      </w:r>
      <w:r>
        <w:rPr>
          <w:lang w:val="en-GB"/>
        </w:rPr>
        <w:t xml:space="preserve"> is likely to be a feasible </w:t>
      </w:r>
      <w:r>
        <w:t>protective</w:t>
      </w:r>
      <w:r>
        <w:rPr>
          <w:lang w:val="en-GB"/>
        </w:rPr>
        <w:t xml:space="preserve"> therapy for serious liver injury.</w:t>
      </w:r>
    </w:p>
    <w:p w:rsidR="003B56F5" w:rsidRDefault="003B56F5" w:rsidP="003B56F5">
      <w:pPr>
        <w:pStyle w:val="a9"/>
        <w:rPr>
          <w:lang w:val="en-GB"/>
        </w:rPr>
      </w:pPr>
    </w:p>
    <w:p w:rsidR="003B56F5" w:rsidRPr="003F3CBC" w:rsidRDefault="003B56F5" w:rsidP="003B56F5">
      <w:pPr>
        <w:pStyle w:val="af0"/>
        <w:rPr>
          <w:u w:val="single"/>
          <w:lang w:val="en-US"/>
        </w:rPr>
      </w:pPr>
      <w:r w:rsidRPr="003F3CBC">
        <w:rPr>
          <w:u w:val="single"/>
          <w:lang w:val="en-US"/>
        </w:rPr>
        <w:t>INTRODUCTION</w:t>
      </w:r>
    </w:p>
    <w:p w:rsidR="003B56F5" w:rsidRDefault="003B56F5" w:rsidP="003B56F5">
      <w:pPr>
        <w:pStyle w:val="af1"/>
        <w:rPr>
          <w:lang w:val="en-GB"/>
        </w:rPr>
      </w:pPr>
      <w:r>
        <w:rPr>
          <w:lang w:val="en-GB"/>
        </w:rPr>
        <w:t>Acute-on-chronic liver failure (</w:t>
      </w:r>
      <w:r>
        <w:t>ACLF)</w:t>
      </w:r>
      <w:r>
        <w:rPr>
          <w:lang w:val="en-GB"/>
        </w:rPr>
        <w:t xml:space="preserve"> </w:t>
      </w:r>
      <w:r>
        <w:t>refers to</w:t>
      </w:r>
      <w:r>
        <w:rPr>
          <w:lang w:val="en-GB"/>
        </w:rPr>
        <w:t xml:space="preserve"> the patients with </w:t>
      </w:r>
      <w:r>
        <w:t>chronic liver diseases</w:t>
      </w:r>
      <w:r>
        <w:rPr>
          <w:lang w:val="en-GB"/>
        </w:rPr>
        <w:t xml:space="preserve"> that have the raised perils of multiple organ failure or death following one or a few precipitating incidents, such as infection</w:t>
      </w:r>
      <w:r>
        <w:t xml:space="preserve"> or bleeding</w:t>
      </w:r>
      <w:r>
        <w:rPr>
          <w:lang w:val="en-GB"/>
        </w:rPr>
        <w:t>. It still lacks an effective treatment</w:t>
      </w:r>
      <w:r>
        <w:t xml:space="preserve"> </w:t>
      </w:r>
      <w:r>
        <w:rPr>
          <w:lang w:val="en-GB"/>
        </w:rPr>
        <w:t xml:space="preserve">so far. Viral vectors have been engineered for gene therapy against various types of infectious </w:t>
      </w:r>
      <w:proofErr w:type="gramStart"/>
      <w:r>
        <w:rPr>
          <w:lang w:val="en-GB"/>
        </w:rPr>
        <w:t>diseases</w:t>
      </w:r>
      <w:r>
        <w:rPr>
          <w:vertAlign w:val="superscript"/>
          <w:lang w:val="en-GB"/>
        </w:rPr>
        <w:t>[</w:t>
      </w:r>
      <w:proofErr w:type="gramEnd"/>
      <w:r>
        <w:rPr>
          <w:vertAlign w:val="superscript"/>
          <w:lang w:val="en-GB"/>
        </w:rPr>
        <w:t>1,2]</w:t>
      </w:r>
      <w:r>
        <w:rPr>
          <w:lang w:val="en-GB"/>
        </w:rPr>
        <w:t xml:space="preserve">. The adenovirus vector has become the ideal vehicle for liver diseases due to its </w:t>
      </w:r>
      <w:proofErr w:type="gramStart"/>
      <w:r>
        <w:rPr>
          <w:lang w:val="en-GB"/>
        </w:rPr>
        <w:t>hepatotropism</w:t>
      </w:r>
      <w:r>
        <w:rPr>
          <w:vertAlign w:val="superscript"/>
          <w:lang w:val="en-GB"/>
        </w:rPr>
        <w:t>[</w:t>
      </w:r>
      <w:proofErr w:type="gramEnd"/>
      <w:r>
        <w:rPr>
          <w:vertAlign w:val="superscript"/>
          <w:lang w:val="en-GB"/>
        </w:rPr>
        <w:t>3]</w:t>
      </w:r>
      <w:r>
        <w:rPr>
          <w:lang w:val="en-GB"/>
        </w:rPr>
        <w:t>.</w:t>
      </w:r>
    </w:p>
    <w:p w:rsidR="003B56F5" w:rsidRDefault="003B56F5" w:rsidP="003B56F5">
      <w:pPr>
        <w:pStyle w:val="1"/>
        <w:rPr>
          <w:rStyle w:val="hps"/>
          <w:lang w:val="en-GB"/>
        </w:rPr>
      </w:pPr>
      <w:r>
        <w:rPr>
          <w:lang w:val="en-GB"/>
        </w:rPr>
        <w:t>Previous studies have reported that IL-6 plays a</w:t>
      </w:r>
      <w:r>
        <w:t xml:space="preserve"> </w:t>
      </w:r>
      <w:r>
        <w:rPr>
          <w:lang w:val="en-GB"/>
        </w:rPr>
        <w:t xml:space="preserve">critical and unique role during the process of early-stage hepatic regeneration </w:t>
      </w:r>
      <w:proofErr w:type="gramStart"/>
      <w:r>
        <w:rPr>
          <w:lang w:val="en-GB"/>
        </w:rPr>
        <w:t>response</w:t>
      </w:r>
      <w:r>
        <w:rPr>
          <w:vertAlign w:val="superscript"/>
          <w:lang w:val="en-GB"/>
        </w:rPr>
        <w:t>[</w:t>
      </w:r>
      <w:proofErr w:type="gramEnd"/>
      <w:r>
        <w:rPr>
          <w:vertAlign w:val="superscript"/>
          <w:lang w:val="en-GB"/>
        </w:rPr>
        <w:t>4]</w:t>
      </w:r>
      <w:r>
        <w:rPr>
          <w:lang w:val="en-GB"/>
        </w:rPr>
        <w:t xml:space="preserve">. </w:t>
      </w:r>
      <w:r>
        <w:t>Hyper-interleukin-6 (Hyper-IL-6, HIL-6)</w:t>
      </w:r>
      <w:r>
        <w:rPr>
          <w:lang w:val="en-GB"/>
        </w:rPr>
        <w:t xml:space="preserve"> is an artificial protein involving IL-6 connected with a variant of </w:t>
      </w:r>
      <w:r>
        <w:t>glycoprotein</w:t>
      </w:r>
      <w:r>
        <w:rPr>
          <w:lang w:val="en-GB"/>
        </w:rPr>
        <w:t xml:space="preserve"> 80 (</w:t>
      </w:r>
      <w:r>
        <w:t xml:space="preserve">soluble interleukin 6 receptor, </w:t>
      </w:r>
      <w:r>
        <w:rPr>
          <w:lang w:val="en-GB"/>
        </w:rPr>
        <w:t>sIL-6R) by an artificial short linker. HIL-6 is a steady protein expressing biological activity dozens of times or even one thousand times stronger than that of IL-6/sIL-6R complex</w:t>
      </w:r>
      <w:r>
        <w:rPr>
          <w:i/>
          <w:iCs/>
          <w:lang w:val="en-GB"/>
        </w:rPr>
        <w:t xml:space="preserve"> in vitro</w:t>
      </w:r>
      <w:r>
        <w:rPr>
          <w:lang w:val="en-GB"/>
        </w:rPr>
        <w:t xml:space="preserve"> or </w:t>
      </w:r>
      <w:r>
        <w:rPr>
          <w:i/>
          <w:iCs/>
          <w:lang w:val="en-GB"/>
        </w:rPr>
        <w:t>in</w:t>
      </w:r>
      <w:r>
        <w:rPr>
          <w:lang w:val="en-GB"/>
        </w:rPr>
        <w:t xml:space="preserve"> </w:t>
      </w:r>
      <w:proofErr w:type="gramStart"/>
      <w:r>
        <w:rPr>
          <w:i/>
          <w:iCs/>
          <w:lang w:val="en-GB"/>
        </w:rPr>
        <w:t>vivo</w:t>
      </w:r>
      <w:r>
        <w:rPr>
          <w:vertAlign w:val="superscript"/>
          <w:lang w:val="en-GB"/>
        </w:rPr>
        <w:t>[</w:t>
      </w:r>
      <w:proofErr w:type="gramEnd"/>
      <w:r>
        <w:rPr>
          <w:vertAlign w:val="superscript"/>
          <w:lang w:val="en-GB"/>
        </w:rPr>
        <w:t>5]</w:t>
      </w:r>
      <w:r>
        <w:rPr>
          <w:lang w:val="en-GB"/>
        </w:rPr>
        <w:t>.</w:t>
      </w:r>
      <w:r>
        <w:rPr>
          <w:vertAlign w:val="superscript"/>
          <w:lang w:val="en-GB"/>
        </w:rPr>
        <w:t xml:space="preserve"> </w:t>
      </w:r>
      <w:r>
        <w:rPr>
          <w:lang w:val="en-GB"/>
        </w:rPr>
        <w:t xml:space="preserve">HGF initiates liver regeneration after liver excision or chemical </w:t>
      </w:r>
      <w:proofErr w:type="gramStart"/>
      <w:r>
        <w:rPr>
          <w:lang w:val="en-GB"/>
        </w:rPr>
        <w:t>injuries</w:t>
      </w:r>
      <w:r>
        <w:rPr>
          <w:vertAlign w:val="superscript"/>
          <w:lang w:val="en-GB"/>
        </w:rPr>
        <w:t>[</w:t>
      </w:r>
      <w:proofErr w:type="gramEnd"/>
      <w:r>
        <w:rPr>
          <w:vertAlign w:val="superscript"/>
          <w:lang w:val="en-GB"/>
        </w:rPr>
        <w:t>6-8]</w:t>
      </w:r>
      <w:r>
        <w:rPr>
          <w:lang w:val="en-GB"/>
        </w:rPr>
        <w:t>. The coadministration of IL-6 and HGF most effectively raised both the weight of unoccluded lobes and the DNA synthesis of hepatocytes in animals that underwent portal branch ligation (PBL) of the median branches and left lateral</w:t>
      </w:r>
      <w:r>
        <w:rPr>
          <w:vertAlign w:val="superscript"/>
          <w:lang w:val="en-GB"/>
        </w:rPr>
        <w:t>[9]</w:t>
      </w:r>
      <w:r>
        <w:rPr>
          <w:lang w:val="en-GB"/>
        </w:rPr>
        <w:t xml:space="preserve">, suggesting a possible synergistic effect of these two factors. Our study assessed the protective effect of </w:t>
      </w:r>
      <w:r>
        <w:rPr>
          <w:rStyle w:val="hps"/>
          <w:lang w:val="en-GB"/>
        </w:rPr>
        <w:t>recombinant adenovirus containing HIL-6 and HGF compared to that of recombinant adenovirus containing either HIL-6 or HGF in an ACLF rat model.</w:t>
      </w:r>
    </w:p>
    <w:p w:rsidR="003B56F5" w:rsidRPr="003F3CBC" w:rsidRDefault="003B56F5" w:rsidP="003B56F5">
      <w:pPr>
        <w:pStyle w:val="af0"/>
        <w:rPr>
          <w:rStyle w:val="hps"/>
          <w:lang w:val="en-US"/>
        </w:rPr>
      </w:pPr>
    </w:p>
    <w:p w:rsidR="003B56F5" w:rsidRPr="003F3CBC" w:rsidRDefault="003B56F5" w:rsidP="003B56F5">
      <w:pPr>
        <w:pStyle w:val="af0"/>
        <w:rPr>
          <w:w w:val="90"/>
          <w:u w:val="single"/>
          <w:lang w:val="en-US"/>
        </w:rPr>
      </w:pPr>
      <w:r w:rsidRPr="003F3CBC">
        <w:rPr>
          <w:u w:val="single"/>
          <w:lang w:val="en-US"/>
        </w:rPr>
        <w:t>MATERIALS AND METHODS</w:t>
      </w:r>
    </w:p>
    <w:p w:rsidR="003B56F5" w:rsidRPr="003F3CBC" w:rsidRDefault="003B56F5" w:rsidP="003B56F5">
      <w:pPr>
        <w:pStyle w:val="af2"/>
        <w:rPr>
          <w:lang w:val="en-US"/>
        </w:rPr>
      </w:pPr>
      <w:r w:rsidRPr="003F3CBC">
        <w:rPr>
          <w:lang w:val="en-US"/>
        </w:rPr>
        <w:t>HEK293</w:t>
      </w:r>
      <w:r w:rsidRPr="003F3CBC">
        <w:rPr>
          <w:rFonts w:ascii="ArialNarrow-Bold" w:hAnsi="ArialNarrow-Bold" w:cs="ArialNarrow-Bold"/>
          <w:i w:val="0"/>
          <w:iCs w:val="0"/>
          <w:lang w:val="en-US"/>
        </w:rPr>
        <w:t xml:space="preserve"> </w:t>
      </w:r>
      <w:r w:rsidRPr="003F3CBC">
        <w:rPr>
          <w:lang w:val="en-US"/>
        </w:rPr>
        <w:t>cell culture</w:t>
      </w:r>
    </w:p>
    <w:p w:rsidR="003B56F5" w:rsidRDefault="003B56F5" w:rsidP="003B56F5">
      <w:pPr>
        <w:pStyle w:val="af1"/>
        <w:rPr>
          <w:lang w:val="en-GB"/>
        </w:rPr>
      </w:pPr>
      <w:r>
        <w:rPr>
          <w:lang w:val="en-GB"/>
        </w:rPr>
        <w:t>HEK (</w:t>
      </w:r>
      <w:r>
        <w:t>Human Embryonic Kidney</w:t>
      </w:r>
      <w:r>
        <w:rPr>
          <w:lang w:val="en-GB"/>
        </w:rPr>
        <w:t>) 293 is a cell line derived from human embryonic kidney cells grown in tissue culture. This particular line was initiated by the transformation and culturing of normal HEK cells with sheared adenovirus 5 DNA. HEK293 cells are used to produce viruses for biomedical research purposes. We culture the cell line in Dulbecco’s modified Eagle’s medium (Hyclone, Logan, UT, United States) supple</w:t>
      </w:r>
      <w:r>
        <w:rPr>
          <w:lang w:val="en-GB"/>
        </w:rPr>
        <w:softHyphen/>
        <w:t>mented with 10% foetal calf serum (Hyclone, Logan, UT, United States). Being cultured at 37</w:t>
      </w:r>
      <w:r>
        <w:rPr>
          <w:rFonts w:ascii="MS Mincho" w:eastAsia="MS Mincho" w:hAnsi="MS Mincho" w:cs="MS Mincho" w:hint="eastAsia"/>
          <w:sz w:val="19"/>
          <w:szCs w:val="19"/>
          <w:lang w:val="en-GB"/>
        </w:rPr>
        <w:t> </w:t>
      </w:r>
      <w:r>
        <w:rPr>
          <w:rFonts w:ascii="宋体" w:cs="宋体" w:hint="eastAsia"/>
          <w:sz w:val="19"/>
          <w:szCs w:val="19"/>
          <w:lang w:val="en-GB"/>
        </w:rPr>
        <w:t>℃</w:t>
      </w:r>
      <w:r>
        <w:rPr>
          <w:lang w:val="en-GB"/>
        </w:rPr>
        <w:t xml:space="preserve"> in 5% CO</w:t>
      </w:r>
      <w:r>
        <w:rPr>
          <w:vertAlign w:val="subscript"/>
          <w:lang w:val="en-GB"/>
        </w:rPr>
        <w:t>2</w:t>
      </w:r>
      <w:r>
        <w:rPr>
          <w:lang w:val="en-GB"/>
        </w:rPr>
        <w:t xml:space="preserve"> </w:t>
      </w:r>
      <w:r>
        <w:t>provided a favorable growth environment for</w:t>
      </w:r>
      <w:r>
        <w:rPr>
          <w:lang w:val="en-GB"/>
        </w:rPr>
        <w:t xml:space="preserve"> HEK293 cells. Medium was renewed 2-3 times a week, and cell counting was kept between 1 × 10</w:t>
      </w:r>
      <w:r>
        <w:rPr>
          <w:vertAlign w:val="superscript"/>
          <w:lang w:val="en-GB"/>
        </w:rPr>
        <w:t>5</w:t>
      </w:r>
      <w:r>
        <w:rPr>
          <w:lang w:val="en-GB"/>
        </w:rPr>
        <w:t xml:space="preserve"> and 3 × 10</w:t>
      </w:r>
      <w:r>
        <w:rPr>
          <w:vertAlign w:val="superscript"/>
          <w:lang w:val="en-GB"/>
        </w:rPr>
        <w:t>5</w:t>
      </w:r>
      <w:r>
        <w:rPr>
          <w:lang w:val="en-GB"/>
        </w:rPr>
        <w:t xml:space="preserve"> cells per millilitre.</w:t>
      </w:r>
    </w:p>
    <w:p w:rsidR="003B56F5" w:rsidRPr="003F3CBC" w:rsidRDefault="003B56F5" w:rsidP="003B56F5">
      <w:pPr>
        <w:pStyle w:val="af2"/>
        <w:rPr>
          <w:lang w:val="en-US"/>
        </w:rPr>
      </w:pPr>
    </w:p>
    <w:p w:rsidR="003B56F5" w:rsidRPr="003F3CBC" w:rsidRDefault="003B56F5" w:rsidP="003B56F5">
      <w:pPr>
        <w:pStyle w:val="af2"/>
        <w:rPr>
          <w:lang w:val="en-US"/>
        </w:rPr>
      </w:pPr>
      <w:r w:rsidRPr="003F3CBC">
        <w:rPr>
          <w:lang w:val="en-US"/>
        </w:rPr>
        <w:t>Adenovirus vector and genes</w:t>
      </w:r>
    </w:p>
    <w:p w:rsidR="003B56F5" w:rsidRDefault="003B56F5" w:rsidP="003B56F5">
      <w:pPr>
        <w:pStyle w:val="af1"/>
        <w:rPr>
          <w:lang w:val="en-GB"/>
        </w:rPr>
      </w:pPr>
      <w:r>
        <w:rPr>
          <w:lang w:val="en-GB"/>
        </w:rPr>
        <w:t>Adenovirus vector GV314 (pDC315-3FLAG-sv40-EGFP) was used in this study. The vector and the primers for amplifying the</w:t>
      </w:r>
      <w:r>
        <w:rPr>
          <w:rStyle w:val="hps"/>
          <w:lang w:val="en-GB"/>
        </w:rPr>
        <w:t xml:space="preserve"> Hyper-IL-6, HGF or</w:t>
      </w:r>
      <w:r>
        <w:rPr>
          <w:lang w:val="en-GB"/>
        </w:rPr>
        <w:t xml:space="preserve"> HGF-IRES-Hyper-IL-6 ORF were purchased from Genechem Incorporation, Shanghai, China. </w:t>
      </w:r>
      <w:proofErr w:type="gramStart"/>
      <w:r>
        <w:rPr>
          <w:lang w:val="en-GB"/>
        </w:rPr>
        <w:t>pDC315-3FLAG-sv40-HGF-EGFP</w:t>
      </w:r>
      <w:proofErr w:type="gramEnd"/>
      <w:r>
        <w:rPr>
          <w:lang w:val="en-GB"/>
        </w:rPr>
        <w:t xml:space="preserve"> (Ad-HGF), pDC315-3FLAG-sv40-Hyper-IL-6-EGFP (Ad-HIL-6) </w:t>
      </w:r>
      <w:r>
        <w:rPr>
          <w:lang w:val="en-GB"/>
        </w:rPr>
        <w:lastRenderedPageBreak/>
        <w:t>and pDC315-3FLAG-sv40-HGF-IRES-Hyper-IL-6-EGFP (Ad-HGF-HIL-6) were constructed as previously described</w:t>
      </w:r>
      <w:r>
        <w:rPr>
          <w:vertAlign w:val="superscript"/>
          <w:lang w:val="en-GB"/>
        </w:rPr>
        <w:t>[10]</w:t>
      </w:r>
      <w:r>
        <w:rPr>
          <w:lang w:val="en-GB"/>
        </w:rPr>
        <w:t>. An ‘‘empty’’ vector pDC315-3FLAG-sv40-EGFP (</w:t>
      </w:r>
      <w:r>
        <w:t>Ad-GFP</w:t>
      </w:r>
      <w:r>
        <w:rPr>
          <w:lang w:val="en-GB"/>
        </w:rPr>
        <w:t xml:space="preserve">) was used as a negative control. The </w:t>
      </w:r>
      <w:r>
        <w:rPr>
          <w:rStyle w:val="hps"/>
          <w:lang w:val="en-GB"/>
        </w:rPr>
        <w:t>recombinant adenoviruses</w:t>
      </w:r>
      <w:r>
        <w:rPr>
          <w:lang w:val="en-GB"/>
        </w:rPr>
        <w:t xml:space="preserve"> were greatly propagated</w:t>
      </w:r>
      <w:r>
        <w:t xml:space="preserve"> </w:t>
      </w:r>
      <w:r>
        <w:rPr>
          <w:lang w:val="en-GB"/>
        </w:rPr>
        <w:t xml:space="preserve">with HEK293 cells for </w:t>
      </w:r>
      <w:r>
        <w:t>enhancing</w:t>
      </w:r>
      <w:r>
        <w:rPr>
          <w:lang w:val="en-GB"/>
        </w:rPr>
        <w:t xml:space="preserve"> titre. Viruses for animal experimentation were purified by caesium chloride gradients as previously </w:t>
      </w:r>
      <w:proofErr w:type="gramStart"/>
      <w:r>
        <w:rPr>
          <w:lang w:val="en-GB"/>
        </w:rPr>
        <w:t>described</w:t>
      </w:r>
      <w:r>
        <w:rPr>
          <w:vertAlign w:val="superscript"/>
          <w:lang w:val="en-GB"/>
        </w:rPr>
        <w:t>[</w:t>
      </w:r>
      <w:proofErr w:type="gramEnd"/>
      <w:r>
        <w:rPr>
          <w:vertAlign w:val="superscript"/>
          <w:lang w:val="en-GB"/>
        </w:rPr>
        <w:t>11]</w:t>
      </w:r>
      <w:r>
        <w:rPr>
          <w:lang w:val="en-GB"/>
        </w:rPr>
        <w:t>.</w:t>
      </w:r>
    </w:p>
    <w:p w:rsidR="003B56F5" w:rsidRPr="003F3CBC" w:rsidRDefault="003B56F5" w:rsidP="003B56F5">
      <w:pPr>
        <w:pStyle w:val="af2"/>
        <w:rPr>
          <w:lang w:val="en-US"/>
        </w:rPr>
      </w:pPr>
    </w:p>
    <w:p w:rsidR="003B56F5" w:rsidRPr="003F3CBC" w:rsidRDefault="003B56F5" w:rsidP="003B56F5">
      <w:pPr>
        <w:pStyle w:val="af2"/>
        <w:rPr>
          <w:lang w:val="en-US"/>
        </w:rPr>
      </w:pPr>
      <w:r w:rsidRPr="003F3CBC">
        <w:rPr>
          <w:lang w:val="en-US"/>
        </w:rPr>
        <w:t>Animals</w:t>
      </w:r>
    </w:p>
    <w:p w:rsidR="003B56F5" w:rsidRDefault="003B56F5" w:rsidP="003B56F5">
      <w:pPr>
        <w:pStyle w:val="af1"/>
      </w:pPr>
      <w:r>
        <w:rPr>
          <w:lang w:val="en-GB"/>
        </w:rPr>
        <w:t xml:space="preserve">Female Sprague-Dawley rats weighing 150-170 g were purchased from the Experimental Animal Centre of </w:t>
      </w:r>
      <w:r>
        <w:rPr>
          <w:rStyle w:val="hps"/>
          <w:lang w:val="en-GB"/>
        </w:rPr>
        <w:t>Chongqing Medical</w:t>
      </w:r>
      <w:r>
        <w:rPr>
          <w:lang w:val="en-GB"/>
        </w:rPr>
        <w:t xml:space="preserve"> University</w:t>
      </w:r>
      <w:r>
        <w:rPr>
          <w:i/>
          <w:iCs/>
          <w:lang w:val="en-GB"/>
        </w:rPr>
        <w:t xml:space="preserve"> </w:t>
      </w:r>
      <w:r>
        <w:rPr>
          <w:lang w:val="en-GB"/>
        </w:rPr>
        <w:t>(</w:t>
      </w:r>
      <w:r>
        <w:rPr>
          <w:rStyle w:val="hps"/>
          <w:lang w:val="en-GB"/>
        </w:rPr>
        <w:t xml:space="preserve">Chongqing, </w:t>
      </w:r>
      <w:r>
        <w:rPr>
          <w:lang w:val="en-GB"/>
        </w:rPr>
        <w:t xml:space="preserve">China). Housing conditions were as detailed </w:t>
      </w:r>
      <w:proofErr w:type="gramStart"/>
      <w:r>
        <w:rPr>
          <w:lang w:val="en-GB"/>
        </w:rPr>
        <w:t>previously</w:t>
      </w:r>
      <w:r>
        <w:rPr>
          <w:vertAlign w:val="superscript"/>
          <w:lang w:val="en-GB"/>
        </w:rPr>
        <w:t>[</w:t>
      </w:r>
      <w:proofErr w:type="gramEnd"/>
      <w:r>
        <w:rPr>
          <w:vertAlign w:val="superscript"/>
          <w:lang w:val="en-GB"/>
        </w:rPr>
        <w:t>12]</w:t>
      </w:r>
      <w:r>
        <w:rPr>
          <w:lang w:val="en-GB"/>
        </w:rPr>
        <w:t xml:space="preserve">. </w:t>
      </w:r>
      <w:r>
        <w:t xml:space="preserve">All </w:t>
      </w:r>
      <w:r>
        <w:rPr>
          <w:lang w:val="en-GB"/>
        </w:rPr>
        <w:t>rats</w:t>
      </w:r>
      <w:r>
        <w:t xml:space="preserve"> were given humanitarian care</w:t>
      </w:r>
      <w:r>
        <w:rPr>
          <w:rStyle w:val="94FE"/>
        </w:rPr>
        <w:t xml:space="preserve"> </w:t>
      </w:r>
      <w:r>
        <w:rPr>
          <w:rStyle w:val="5F3A8C03"/>
          <w:i w:val="0"/>
          <w:iCs w:val="0"/>
        </w:rPr>
        <w:t>in</w:t>
      </w:r>
      <w:r>
        <w:rPr>
          <w:rStyle w:val="apple-converted-space"/>
        </w:rPr>
        <w:t xml:space="preserve"> </w:t>
      </w:r>
      <w:r>
        <w:t>conformity to the international guidelines.</w:t>
      </w:r>
    </w:p>
    <w:p w:rsidR="003B56F5" w:rsidRPr="003F3CBC" w:rsidRDefault="003B56F5" w:rsidP="003B56F5">
      <w:pPr>
        <w:pStyle w:val="af2"/>
        <w:rPr>
          <w:lang w:val="en-US"/>
        </w:rPr>
      </w:pPr>
    </w:p>
    <w:p w:rsidR="003B56F5" w:rsidRDefault="003B56F5" w:rsidP="003B56F5">
      <w:pPr>
        <w:pStyle w:val="af2"/>
        <w:rPr>
          <w:lang w:val="en-GB"/>
        </w:rPr>
      </w:pPr>
      <w:r>
        <w:rPr>
          <w:lang w:val="en-GB"/>
        </w:rPr>
        <w:t>Induction of ACLF in rats</w:t>
      </w:r>
    </w:p>
    <w:p w:rsidR="003B56F5" w:rsidRDefault="003B56F5" w:rsidP="003B56F5">
      <w:pPr>
        <w:pStyle w:val="af1"/>
        <w:rPr>
          <w:lang w:val="en-GB"/>
        </w:rPr>
      </w:pPr>
      <w:r>
        <w:rPr>
          <w:lang w:val="en-GB"/>
        </w:rPr>
        <w:t xml:space="preserve">An ACLF rat model was </w:t>
      </w:r>
      <w:r>
        <w:t>performed</w:t>
      </w:r>
      <w:r>
        <w:rPr>
          <w:lang w:val="en-GB"/>
        </w:rPr>
        <w:t xml:space="preserve"> as formerly </w:t>
      </w:r>
      <w:proofErr w:type="gramStart"/>
      <w:r>
        <w:rPr>
          <w:lang w:val="en-GB"/>
        </w:rPr>
        <w:t>depicted</w:t>
      </w:r>
      <w:r>
        <w:rPr>
          <w:vertAlign w:val="superscript"/>
          <w:lang w:val="en-GB"/>
        </w:rPr>
        <w:t>[</w:t>
      </w:r>
      <w:proofErr w:type="gramEnd"/>
      <w:r>
        <w:rPr>
          <w:vertAlign w:val="superscript"/>
          <w:lang w:val="en-GB"/>
        </w:rPr>
        <w:t>13]</w:t>
      </w:r>
      <w:r>
        <w:rPr>
          <w:lang w:val="en-GB"/>
        </w:rPr>
        <w:t>. Briefly, human serum albumin (HAS; Octapharma m.b.H, Austria) was compounded with physiological saline in the proportion of 8 g/L and then emulsified with incomplete Freund’s adjuvant of an equal amount. The rats received 0.5 mL of the prepared solution by multipoint subcutaneous injections four times</w:t>
      </w:r>
      <w:r>
        <w:t xml:space="preserve"> </w:t>
      </w:r>
      <w:r>
        <w:rPr>
          <w:lang w:val="en-GB"/>
        </w:rPr>
        <w:t xml:space="preserve">in total (The first two times had a 14-d interval, and a 10-d intervals between the latter two). After that, the rats were given 4 mg HSA by </w:t>
      </w:r>
      <w:r>
        <w:t>tail intravenous injection</w:t>
      </w:r>
      <w:r>
        <w:rPr>
          <w:lang w:val="en-GB"/>
        </w:rPr>
        <w:t xml:space="preserve"> twice in one week for a total of 6 wk. Finally, we induced ACLF in rats by intraperitoneal injection of D-galactosamine (D-GalN; 400 mg/kg) with lipopolysaccharide (LPS; </w:t>
      </w:r>
      <w:proofErr w:type="gramStart"/>
      <w:r>
        <w:rPr>
          <w:lang w:val="en-GB"/>
        </w:rPr>
        <w:t xml:space="preserve">100 </w:t>
      </w:r>
      <w:r>
        <w:rPr>
          <w:rStyle w:val="hps"/>
          <w:rFonts w:ascii="Symbol" w:hAnsi="Symbol" w:cs="Symbol"/>
          <w:lang w:val="en-GB"/>
        </w:rPr>
        <w:t></w:t>
      </w:r>
      <w:r>
        <w:rPr>
          <w:lang w:val="en-GB"/>
        </w:rPr>
        <w:t>g/kg</w:t>
      </w:r>
      <w:proofErr w:type="gramEnd"/>
      <w:r>
        <w:rPr>
          <w:lang w:val="en-GB"/>
        </w:rPr>
        <w:t xml:space="preserve">) (Sigma-Aldrich </w:t>
      </w:r>
      <w:r>
        <w:t>Co.</w:t>
      </w:r>
      <w:r>
        <w:rPr>
          <w:lang w:val="en-GB"/>
        </w:rPr>
        <w:t>, United States).</w:t>
      </w:r>
    </w:p>
    <w:p w:rsidR="003B56F5" w:rsidRPr="003F3CBC" w:rsidRDefault="003B56F5" w:rsidP="003B56F5">
      <w:pPr>
        <w:pStyle w:val="af2"/>
        <w:rPr>
          <w:lang w:val="en-US"/>
        </w:rPr>
      </w:pPr>
    </w:p>
    <w:p w:rsidR="003B56F5" w:rsidRPr="003F3CBC" w:rsidRDefault="003B56F5" w:rsidP="003B56F5">
      <w:pPr>
        <w:pStyle w:val="af2"/>
        <w:rPr>
          <w:lang w:val="en-US"/>
        </w:rPr>
      </w:pPr>
      <w:r w:rsidRPr="003F3CBC">
        <w:rPr>
          <w:lang w:val="en-US"/>
        </w:rPr>
        <w:t>Experimental design</w:t>
      </w:r>
    </w:p>
    <w:p w:rsidR="003B56F5" w:rsidRDefault="003B56F5" w:rsidP="003B56F5">
      <w:pPr>
        <w:pStyle w:val="af1"/>
        <w:rPr>
          <w:rStyle w:val="hps"/>
          <w:lang w:val="en-GB"/>
        </w:rPr>
      </w:pPr>
      <w:r>
        <w:rPr>
          <w:lang w:val="en-GB"/>
        </w:rPr>
        <w:t xml:space="preserve">All the rats were </w:t>
      </w:r>
      <w:r>
        <w:t>divided into</w:t>
      </w:r>
      <w:r>
        <w:rPr>
          <w:lang w:val="en-GB"/>
        </w:rPr>
        <w:t xml:space="preserve"> a control group (normal rats, </w:t>
      </w:r>
      <w:r>
        <w:rPr>
          <w:i/>
          <w:iCs/>
          <w:lang w:val="en-GB"/>
        </w:rPr>
        <w:t xml:space="preserve">n </w:t>
      </w:r>
      <w:r>
        <w:rPr>
          <w:lang w:val="en-GB"/>
        </w:rPr>
        <w:t>= 16), a model group (ACLF model rats,</w:t>
      </w:r>
      <w:r>
        <w:rPr>
          <w:i/>
          <w:iCs/>
          <w:lang w:val="en-GB"/>
        </w:rPr>
        <w:t xml:space="preserve"> n</w:t>
      </w:r>
      <w:r>
        <w:rPr>
          <w:lang w:val="en-GB"/>
        </w:rPr>
        <w:t xml:space="preserve"> = 16), an </w:t>
      </w:r>
      <w:r>
        <w:t>Ad-GFP</w:t>
      </w:r>
      <w:r>
        <w:rPr>
          <w:rStyle w:val="high-light-bg4"/>
          <w:lang w:val="en-GB"/>
        </w:rPr>
        <w:t xml:space="preserve"> </w:t>
      </w:r>
      <w:r>
        <w:rPr>
          <w:rStyle w:val="hps"/>
          <w:lang w:val="en-GB"/>
        </w:rPr>
        <w:t>group (</w:t>
      </w:r>
      <w:r>
        <w:t>Ad-GFP treated</w:t>
      </w:r>
      <w:r>
        <w:rPr>
          <w:lang w:val="en-GB"/>
        </w:rPr>
        <w:t xml:space="preserve"> ACLF rats</w:t>
      </w:r>
      <w:r>
        <w:t>,</w:t>
      </w:r>
      <w:r>
        <w:rPr>
          <w:rStyle w:val="hps"/>
          <w:lang w:val="en-GB"/>
        </w:rPr>
        <w:t xml:space="preserve"> </w:t>
      </w:r>
      <w:r>
        <w:rPr>
          <w:rStyle w:val="hps"/>
          <w:i/>
          <w:iCs/>
          <w:lang w:val="en-GB"/>
        </w:rPr>
        <w:t>n</w:t>
      </w:r>
      <w:r>
        <w:rPr>
          <w:rStyle w:val="hps"/>
          <w:lang w:val="en-GB"/>
        </w:rPr>
        <w:t xml:space="preserve"> = 42), an Ad-HIL-6 group (Ad-HIL-6</w:t>
      </w:r>
      <w:r>
        <w:t xml:space="preserve"> treated</w:t>
      </w:r>
      <w:r>
        <w:rPr>
          <w:lang w:val="en-GB"/>
        </w:rPr>
        <w:t xml:space="preserve"> ACLF rats</w:t>
      </w:r>
      <w:r>
        <w:t xml:space="preserve">, </w:t>
      </w:r>
      <w:r>
        <w:rPr>
          <w:rStyle w:val="hps"/>
          <w:i/>
          <w:iCs/>
          <w:lang w:val="en-GB"/>
        </w:rPr>
        <w:t>n</w:t>
      </w:r>
      <w:r>
        <w:rPr>
          <w:rStyle w:val="hps"/>
          <w:lang w:val="en-GB"/>
        </w:rPr>
        <w:t xml:space="preserve"> = 42), an Ad-HGF</w:t>
      </w:r>
      <w:r>
        <w:rPr>
          <w:rStyle w:val="high-light-bg4"/>
          <w:lang w:val="en-GB"/>
        </w:rPr>
        <w:t xml:space="preserve"> </w:t>
      </w:r>
      <w:r>
        <w:rPr>
          <w:rStyle w:val="hps"/>
          <w:lang w:val="en-GB"/>
        </w:rPr>
        <w:t>group (Ad-HGF</w:t>
      </w:r>
      <w:r>
        <w:t xml:space="preserve"> treated</w:t>
      </w:r>
      <w:r>
        <w:rPr>
          <w:lang w:val="en-GB"/>
        </w:rPr>
        <w:t xml:space="preserve"> ACLF rats</w:t>
      </w:r>
      <w:r>
        <w:t xml:space="preserve">, </w:t>
      </w:r>
      <w:r>
        <w:rPr>
          <w:rStyle w:val="hps"/>
          <w:i/>
          <w:iCs/>
          <w:lang w:val="en-GB"/>
        </w:rPr>
        <w:t>n</w:t>
      </w:r>
      <w:r>
        <w:rPr>
          <w:rStyle w:val="hps"/>
          <w:lang w:val="en-GB"/>
        </w:rPr>
        <w:t xml:space="preserve"> = 42), and an Ad-HGF-HIL-6 group (Ad-HGF-HIL-6</w:t>
      </w:r>
      <w:r>
        <w:t xml:space="preserve"> treated</w:t>
      </w:r>
      <w:r>
        <w:rPr>
          <w:lang w:val="en-GB"/>
        </w:rPr>
        <w:t xml:space="preserve"> ACLF rats</w:t>
      </w:r>
      <w:r>
        <w:t xml:space="preserve">, </w:t>
      </w:r>
      <w:r>
        <w:rPr>
          <w:rStyle w:val="hps"/>
          <w:i/>
          <w:iCs/>
          <w:lang w:val="en-GB"/>
        </w:rPr>
        <w:t>n</w:t>
      </w:r>
      <w:r>
        <w:rPr>
          <w:rStyle w:val="hps"/>
          <w:lang w:val="en-GB"/>
        </w:rPr>
        <w:t xml:space="preserve"> = 42).</w:t>
      </w:r>
      <w:r>
        <w:rPr>
          <w:lang w:val="en-GB"/>
        </w:rPr>
        <w:t xml:space="preserve"> </w:t>
      </w:r>
      <w:r>
        <w:rPr>
          <w:rStyle w:val="hps"/>
          <w:lang w:val="en-GB"/>
        </w:rPr>
        <w:t>A</w:t>
      </w:r>
      <w:r>
        <w:rPr>
          <w:rStyle w:val="high-light-bg4"/>
          <w:lang w:val="en-GB"/>
        </w:rPr>
        <w:t>denoviruses</w:t>
      </w:r>
      <w:r>
        <w:rPr>
          <w:lang w:val="en-GB"/>
        </w:rPr>
        <w:t xml:space="preserve"> were administered</w:t>
      </w:r>
      <w:r>
        <w:t xml:space="preserve"> </w:t>
      </w:r>
      <w:r>
        <w:rPr>
          <w:lang w:val="en-GB"/>
        </w:rPr>
        <w:t xml:space="preserve">by caudal vein injection </w:t>
      </w:r>
      <w:r>
        <w:rPr>
          <w:rStyle w:val="hps"/>
          <w:lang w:val="en-GB"/>
        </w:rPr>
        <w:t>at a dose of</w:t>
      </w:r>
      <w:r>
        <w:rPr>
          <w:rStyle w:val="hps"/>
          <w:b/>
          <w:bCs/>
          <w:lang w:val="en-GB"/>
        </w:rPr>
        <w:t xml:space="preserve"> </w:t>
      </w:r>
      <w:r>
        <w:rPr>
          <w:rStyle w:val="hps"/>
          <w:lang w:val="en-GB"/>
        </w:rPr>
        <w:t xml:space="preserve">1 </w:t>
      </w:r>
      <w:r>
        <w:rPr>
          <w:lang w:val="en-GB"/>
        </w:rPr>
        <w:t xml:space="preserve">× </w:t>
      </w:r>
      <w:r>
        <w:rPr>
          <w:rStyle w:val="hps"/>
          <w:lang w:val="en-GB"/>
        </w:rPr>
        <w:t>10</w:t>
      </w:r>
      <w:r>
        <w:rPr>
          <w:rStyle w:val="hps"/>
          <w:vertAlign w:val="superscript"/>
          <w:lang w:val="en-GB"/>
        </w:rPr>
        <w:t>10</w:t>
      </w:r>
      <w:r>
        <w:rPr>
          <w:rStyle w:val="hps"/>
          <w:lang w:val="en-GB"/>
        </w:rPr>
        <w:t xml:space="preserve"> viral particles in 100</w:t>
      </w:r>
      <w:r>
        <w:rPr>
          <w:lang w:val="en-GB"/>
        </w:rPr>
        <w:t xml:space="preserve"> </w:t>
      </w:r>
      <w:r>
        <w:rPr>
          <w:rStyle w:val="hps"/>
          <w:rFonts w:ascii="Symbol" w:hAnsi="Symbol" w:cs="Symbol"/>
          <w:lang w:val="en-GB"/>
        </w:rPr>
        <w:t></w:t>
      </w:r>
      <w:r>
        <w:rPr>
          <w:rStyle w:val="hps"/>
          <w:caps/>
          <w:lang w:val="en-GB"/>
        </w:rPr>
        <w:t>l</w:t>
      </w:r>
      <w:r>
        <w:rPr>
          <w:lang w:val="en-GB"/>
        </w:rPr>
        <w:t xml:space="preserve"> (diluted with physiological saline</w:t>
      </w:r>
      <w:r>
        <w:rPr>
          <w:rStyle w:val="hps"/>
          <w:lang w:val="en-GB"/>
        </w:rPr>
        <w:t>) 3 h after</w:t>
      </w:r>
      <w:r>
        <w:rPr>
          <w:lang w:val="en-GB"/>
        </w:rPr>
        <w:t xml:space="preserve"> the ACLF model had been induced. Meanwhile, the rats of the control and model groups received physiological saline by</w:t>
      </w:r>
      <w:r>
        <w:rPr>
          <w:rStyle w:val="apple-converted-space"/>
        </w:rPr>
        <w:t xml:space="preserve"> </w:t>
      </w:r>
      <w:r>
        <w:t>tail intravenous injection</w:t>
      </w:r>
      <w:r>
        <w:rPr>
          <w:lang w:val="en-GB"/>
        </w:rPr>
        <w:t xml:space="preserve">. </w:t>
      </w:r>
      <w:r>
        <w:rPr>
          <w:rStyle w:val="hps"/>
          <w:lang w:val="en-GB"/>
        </w:rPr>
        <w:t xml:space="preserve">The time of administration of </w:t>
      </w:r>
      <w:r>
        <w:rPr>
          <w:rStyle w:val="high-light-bg4"/>
          <w:lang w:val="en-GB"/>
        </w:rPr>
        <w:t>adenovirus</w:t>
      </w:r>
      <w:r>
        <w:rPr>
          <w:rStyle w:val="hps"/>
          <w:lang w:val="en-GB"/>
        </w:rPr>
        <w:t xml:space="preserve"> was </w:t>
      </w:r>
      <w:r>
        <w:t>marked</w:t>
      </w:r>
      <w:r>
        <w:rPr>
          <w:rStyle w:val="hps"/>
          <w:lang w:val="en-GB"/>
        </w:rPr>
        <w:t xml:space="preserve"> as baseline (0 time point). Rats of all</w:t>
      </w:r>
      <w:r>
        <w:rPr>
          <w:lang w:val="en-GB"/>
        </w:rPr>
        <w:t xml:space="preserve"> of the </w:t>
      </w:r>
      <w:r>
        <w:rPr>
          <w:rStyle w:val="hps"/>
          <w:lang w:val="en-GB"/>
        </w:rPr>
        <w:t xml:space="preserve">groups were </w:t>
      </w:r>
      <w:r>
        <w:rPr>
          <w:lang w:val="en-GB"/>
        </w:rPr>
        <w:t>sacrificed</w:t>
      </w:r>
      <w:r>
        <w:rPr>
          <w:rStyle w:val="hps"/>
          <w:lang w:val="en-GB"/>
        </w:rPr>
        <w:t xml:space="preserve"> </w:t>
      </w:r>
      <w:r>
        <w:t>randomly</w:t>
      </w:r>
      <w:r>
        <w:rPr>
          <w:rStyle w:val="hps"/>
          <w:lang w:val="en-GB"/>
        </w:rPr>
        <w:t xml:space="preserve"> for hepatic tissue and blood collection after</w:t>
      </w:r>
      <w:r>
        <w:rPr>
          <w:rStyle w:val="high-light-bg4"/>
          <w:lang w:val="en-GB"/>
        </w:rPr>
        <w:t xml:space="preserve"> adenovirus or </w:t>
      </w:r>
      <w:r>
        <w:rPr>
          <w:lang w:val="en-GB"/>
        </w:rPr>
        <w:t>physiological saline</w:t>
      </w:r>
      <w:r>
        <w:rPr>
          <w:rStyle w:val="hps"/>
          <w:lang w:val="en-GB"/>
        </w:rPr>
        <w:t xml:space="preserve"> had been</w:t>
      </w:r>
      <w:r>
        <w:rPr>
          <w:lang w:val="en-GB"/>
        </w:rPr>
        <w:t xml:space="preserve"> </w:t>
      </w:r>
      <w:r>
        <w:rPr>
          <w:rStyle w:val="hps"/>
          <w:lang w:val="en-GB"/>
        </w:rPr>
        <w:t>given for 24 h and 48 h.</w:t>
      </w:r>
    </w:p>
    <w:p w:rsidR="003B56F5" w:rsidRDefault="003B56F5" w:rsidP="003B56F5">
      <w:pPr>
        <w:pStyle w:val="af2"/>
        <w:rPr>
          <w:rStyle w:val="hps"/>
          <w:lang w:val="en-GB"/>
        </w:rPr>
      </w:pPr>
    </w:p>
    <w:p w:rsidR="003B56F5" w:rsidRDefault="003B56F5" w:rsidP="003B56F5">
      <w:pPr>
        <w:pStyle w:val="af2"/>
        <w:rPr>
          <w:lang w:val="en-GB"/>
        </w:rPr>
      </w:pPr>
      <w:r>
        <w:rPr>
          <w:lang w:val="en-GB"/>
        </w:rPr>
        <w:t xml:space="preserve">Determinations of serum and </w:t>
      </w:r>
      <w:r w:rsidRPr="003F3CBC">
        <w:rPr>
          <w:lang w:val="en-US"/>
        </w:rPr>
        <w:t>plasma</w:t>
      </w:r>
      <w:r>
        <w:rPr>
          <w:lang w:val="en-GB"/>
        </w:rPr>
        <w:t xml:space="preserve"> samples</w:t>
      </w:r>
    </w:p>
    <w:p w:rsidR="003B56F5" w:rsidRDefault="003B56F5" w:rsidP="003B56F5">
      <w:pPr>
        <w:pStyle w:val="af1"/>
        <w:rPr>
          <w:lang w:val="en-GB"/>
        </w:rPr>
      </w:pPr>
      <w:r>
        <w:rPr>
          <w:lang w:val="en-GB"/>
        </w:rPr>
        <w:t>An Automatic Hitachi Analyzer (Hitachi Inc., Japan) was utilized to test serum alanine aminotransferase (ALT). We also chose to avail of</w:t>
      </w:r>
      <w:r>
        <w:rPr>
          <w:b/>
          <w:bCs/>
          <w:i/>
          <w:iCs/>
        </w:rPr>
        <w:t xml:space="preserve"> </w:t>
      </w:r>
      <w:r>
        <w:t>plasma</w:t>
      </w:r>
      <w:r>
        <w:rPr>
          <w:lang w:val="en-GB"/>
        </w:rPr>
        <w:t xml:space="preserve"> prothrombin time (PT) to determine liver function. Serum endotoxin was tested with a commercial kit (Houshiji, Xiamen, China) in accordance with the instructions of the kit. ELISA kits (HMGB1 ELISA kit was purchased from Westang Co., China, </w:t>
      </w:r>
      <w:r>
        <w:t>tumour necrosis factor (TNF)</w:t>
      </w:r>
      <w:r>
        <w:rPr>
          <w:lang w:val="en-GB"/>
        </w:rPr>
        <w:t>-</w:t>
      </w:r>
      <w:r>
        <w:rPr>
          <w:rFonts w:ascii="Symbol" w:hAnsi="Symbol" w:cs="Symbol"/>
          <w:lang w:val="en-GB"/>
        </w:rPr>
        <w:t></w:t>
      </w:r>
      <w:r>
        <w:rPr>
          <w:lang w:val="en-GB"/>
        </w:rPr>
        <w:t xml:space="preserve"> and </w:t>
      </w:r>
      <w:r>
        <w:t>interferon (IFN)</w:t>
      </w:r>
      <w:r>
        <w:rPr>
          <w:lang w:val="en-GB"/>
        </w:rPr>
        <w:t>-</w:t>
      </w:r>
      <w:r>
        <w:rPr>
          <w:rFonts w:ascii="Symbol" w:hAnsi="Symbol" w:cs="Symbol"/>
          <w:lang w:val="en-GB"/>
        </w:rPr>
        <w:t></w:t>
      </w:r>
      <w:r>
        <w:rPr>
          <w:lang w:val="en-GB"/>
        </w:rPr>
        <w:t xml:space="preserve"> ELISA kits were purchased from EBioscience Co., United Kingdom, respectively) were employed to measure serum levels of HMGB1, TNF-</w:t>
      </w:r>
      <w:r>
        <w:rPr>
          <w:rFonts w:ascii="Symbol" w:hAnsi="Symbol" w:cs="Symbol"/>
          <w:lang w:val="en-GB"/>
        </w:rPr>
        <w:t></w:t>
      </w:r>
      <w:r>
        <w:rPr>
          <w:lang w:val="en-GB"/>
        </w:rPr>
        <w:t xml:space="preserve"> and IFN-</w:t>
      </w:r>
      <w:r>
        <w:rPr>
          <w:rFonts w:ascii="Symbol" w:hAnsi="Symbol" w:cs="Symbol"/>
          <w:lang w:val="en-GB"/>
        </w:rPr>
        <w:t></w:t>
      </w:r>
      <w:r>
        <w:rPr>
          <w:lang w:val="en-GB"/>
        </w:rPr>
        <w:t xml:space="preserve"> on the basis of the manufacturer’s</w:t>
      </w:r>
      <w:r>
        <w:t xml:space="preserve"> </w:t>
      </w:r>
      <w:r>
        <w:rPr>
          <w:lang w:val="en-GB"/>
        </w:rPr>
        <w:t>instructions.</w:t>
      </w:r>
    </w:p>
    <w:p w:rsidR="003B56F5" w:rsidRDefault="003B56F5" w:rsidP="003B56F5">
      <w:pPr>
        <w:pStyle w:val="af2"/>
        <w:rPr>
          <w:lang w:val="en-GB"/>
        </w:rPr>
      </w:pPr>
    </w:p>
    <w:p w:rsidR="003B56F5" w:rsidRPr="003F3CBC" w:rsidRDefault="003B56F5" w:rsidP="003B56F5">
      <w:pPr>
        <w:pStyle w:val="af2"/>
        <w:rPr>
          <w:lang w:val="en-US"/>
        </w:rPr>
      </w:pPr>
      <w:r w:rsidRPr="003F3CBC">
        <w:rPr>
          <w:lang w:val="en-US"/>
        </w:rPr>
        <w:t>Histopathology</w:t>
      </w:r>
      <w:r w:rsidRPr="003F3CBC">
        <w:rPr>
          <w:rFonts w:ascii="ArialNarrow-Italic" w:hAnsi="ArialNarrow-Italic" w:cs="ArialNarrow-Italic"/>
          <w:b w:val="0"/>
          <w:bCs w:val="0"/>
          <w:lang w:val="en-US"/>
        </w:rPr>
        <w:t xml:space="preserve"> </w:t>
      </w:r>
      <w:r w:rsidRPr="003F3CBC">
        <w:rPr>
          <w:lang w:val="en-US"/>
        </w:rPr>
        <w:t>and immunohistochemistry</w:t>
      </w:r>
    </w:p>
    <w:p w:rsidR="003B56F5" w:rsidRDefault="003B56F5" w:rsidP="003B56F5">
      <w:pPr>
        <w:pStyle w:val="af1"/>
        <w:rPr>
          <w:lang w:val="en-GB"/>
        </w:rPr>
      </w:pPr>
      <w:r>
        <w:rPr>
          <w:lang w:val="en-GB"/>
        </w:rPr>
        <w:t>We used light microscopy to assess the histopath</w:t>
      </w:r>
      <w:r>
        <w:rPr>
          <w:lang w:val="en-GB"/>
        </w:rPr>
        <w:softHyphen/>
        <w:t xml:space="preserve">ological changes of the liver. Parts of the right lobe of liver </w:t>
      </w:r>
      <w:r>
        <w:rPr>
          <w:lang w:val="en-GB"/>
        </w:rPr>
        <w:lastRenderedPageBreak/>
        <w:t xml:space="preserve">specimens were treated with 10% neutral formalin. Paraffin-embedded specimens were cut into 5 </w:t>
      </w:r>
      <w:r>
        <w:rPr>
          <w:rStyle w:val="hps"/>
          <w:rFonts w:ascii="Symbol" w:hAnsi="Symbol" w:cs="Symbol"/>
          <w:lang w:val="en-GB"/>
        </w:rPr>
        <w:t></w:t>
      </w:r>
      <w:r>
        <w:rPr>
          <w:lang w:val="en-GB"/>
        </w:rPr>
        <w:t>m sections and stained with haematoxylin and eosin (HE). The extent of injury was determined by the criteria</w:t>
      </w:r>
      <w:r>
        <w:t xml:space="preserve"> </w:t>
      </w:r>
      <w:r>
        <w:rPr>
          <w:lang w:val="en-GB"/>
        </w:rPr>
        <w:t>as the</w:t>
      </w:r>
      <w:r>
        <w:t xml:space="preserve"> </w:t>
      </w:r>
      <w:proofErr w:type="gramStart"/>
      <w:r>
        <w:rPr>
          <w:lang w:val="en-GB"/>
        </w:rPr>
        <w:t>literature</w:t>
      </w:r>
      <w:r>
        <w:rPr>
          <w:vertAlign w:val="superscript"/>
          <w:lang w:val="en-GB"/>
        </w:rPr>
        <w:t>[</w:t>
      </w:r>
      <w:proofErr w:type="gramEnd"/>
      <w:r>
        <w:rPr>
          <w:vertAlign w:val="superscript"/>
          <w:lang w:val="en-GB"/>
        </w:rPr>
        <w:t>14]</w:t>
      </w:r>
      <w:r>
        <w:t xml:space="preserve"> </w:t>
      </w:r>
      <w:r>
        <w:rPr>
          <w:lang w:val="en-GB"/>
        </w:rPr>
        <w:t>described.</w:t>
      </w:r>
    </w:p>
    <w:p w:rsidR="003B56F5" w:rsidRDefault="003B56F5" w:rsidP="003B56F5">
      <w:pPr>
        <w:pStyle w:val="1"/>
      </w:pPr>
      <w:r>
        <w:t xml:space="preserve">Ki67-related antigen is mainly localized in the nucleus by immunohistochemistry. The proliferation of </w:t>
      </w:r>
      <w:r>
        <w:rPr>
          <w:rStyle w:val="hps"/>
        </w:rPr>
        <w:t xml:space="preserve">hepatocytes </w:t>
      </w:r>
      <w:r>
        <w:t>was evaluated by Ki67-staining. After deparaffinised, sections were incubated in a prediluted monoclonal anti-Ki67 antibody (Roche Ventana) on an automatized medical system (BenchmarkXT, Ventana) utilizing a diaminobenzidin detection kit (Ventana/VIEW 3</w:t>
      </w:r>
      <w:proofErr w:type="gramStart"/>
      <w:r>
        <w:t>,30</w:t>
      </w:r>
      <w:proofErr w:type="gramEnd"/>
      <w:r>
        <w:t>) based on the manufacturer’s instructions.</w:t>
      </w:r>
    </w:p>
    <w:p w:rsidR="003B56F5" w:rsidRPr="003F3CBC" w:rsidRDefault="003B56F5" w:rsidP="003B56F5">
      <w:pPr>
        <w:pStyle w:val="af2"/>
        <w:rPr>
          <w:lang w:val="en-US"/>
        </w:rPr>
      </w:pPr>
    </w:p>
    <w:p w:rsidR="003B56F5" w:rsidRPr="003F3CBC" w:rsidRDefault="003B56F5" w:rsidP="003B56F5">
      <w:pPr>
        <w:pStyle w:val="af2"/>
        <w:rPr>
          <w:lang w:val="en-US"/>
        </w:rPr>
      </w:pPr>
      <w:r w:rsidRPr="003F3CBC">
        <w:rPr>
          <w:lang w:val="en-US"/>
        </w:rPr>
        <w:t>Determinations of hepatocyte apoptosis by TUNEL assay</w:t>
      </w:r>
    </w:p>
    <w:p w:rsidR="003B56F5" w:rsidRDefault="003B56F5" w:rsidP="003B56F5">
      <w:pPr>
        <w:pStyle w:val="af1"/>
        <w:rPr>
          <w:lang w:val="en-GB"/>
        </w:rPr>
      </w:pPr>
      <w:r>
        <w:rPr>
          <w:spacing w:val="-9"/>
          <w:lang w:val="en-GB"/>
        </w:rPr>
        <w:t xml:space="preserve">A detection kit (In Situ Cell Death Kit; Roche Diagnostics GmbH, Mannheim, Germany) was employed for accurate </w:t>
      </w:r>
      <w:r>
        <w:rPr>
          <w:spacing w:val="-9"/>
        </w:rPr>
        <w:t>evaluation</w:t>
      </w:r>
      <w:r>
        <w:rPr>
          <w:spacing w:val="-9"/>
          <w:lang w:val="en-GB"/>
        </w:rPr>
        <w:t xml:space="preserve"> of the typical biochemical and morphological characteristics of </w:t>
      </w:r>
      <w:r>
        <w:rPr>
          <w:lang w:val="en-GB"/>
        </w:rPr>
        <w:t>apoptosis. We used proteinase K to treat paraffin-embedded liver sections, and so, hydrogen peroxide hampered the endogenous peroxidase activity. The sections were incubated in a terminal TdT/nucleotide compound at 37</w:t>
      </w:r>
      <w:r>
        <w:rPr>
          <w:rFonts w:ascii="MS Mincho" w:eastAsia="MS Mincho" w:hAnsi="MS Mincho" w:cs="MS Mincho" w:hint="eastAsia"/>
          <w:sz w:val="19"/>
          <w:szCs w:val="19"/>
          <w:lang w:val="en-GB"/>
        </w:rPr>
        <w:t> </w:t>
      </w:r>
      <w:r>
        <w:rPr>
          <w:rFonts w:ascii="宋体" w:cs="宋体" w:hint="eastAsia"/>
          <w:sz w:val="19"/>
          <w:szCs w:val="19"/>
          <w:lang w:val="en-GB"/>
        </w:rPr>
        <w:t>℃</w:t>
      </w:r>
      <w:r>
        <w:t xml:space="preserve"> </w:t>
      </w:r>
      <w:r>
        <w:rPr>
          <w:lang w:val="en-GB"/>
        </w:rPr>
        <w:t>for 1 h. Following that, the slides were washed in phosphate-buffered saline.</w:t>
      </w:r>
      <w:r>
        <w:t xml:space="preserve"> </w:t>
      </w:r>
      <w:r>
        <w:rPr>
          <w:lang w:val="en-GB"/>
        </w:rPr>
        <w:t>Nuclear labeling was performed with horseradish peroxidase and diaminobenzidine. We performed counterstaining using hematoxylin. The apoptotic cells were observed and photographed under an optical microscope (Positive cells were dyed brown in nuclei.). Apoptosis was determined in eight liver samples of each group by counting 1000 cells from five sections of each sample. The percentage of positive cells was used to present</w:t>
      </w:r>
      <w:r>
        <w:t xml:space="preserve"> </w:t>
      </w:r>
      <w:r>
        <w:rPr>
          <w:lang w:val="en-GB"/>
        </w:rPr>
        <w:t>apoptosis rates (%).</w:t>
      </w:r>
    </w:p>
    <w:p w:rsidR="003B56F5" w:rsidRDefault="003B56F5" w:rsidP="003B56F5">
      <w:pPr>
        <w:pStyle w:val="af2"/>
        <w:rPr>
          <w:lang w:val="en-GB"/>
        </w:rPr>
      </w:pPr>
    </w:p>
    <w:p w:rsidR="003B56F5" w:rsidRDefault="003B56F5" w:rsidP="003B56F5">
      <w:pPr>
        <w:pStyle w:val="af2"/>
        <w:rPr>
          <w:lang w:val="en-GB"/>
        </w:rPr>
      </w:pPr>
      <w:r>
        <w:rPr>
          <w:lang w:val="en-GB"/>
        </w:rPr>
        <w:t xml:space="preserve">Determinations of HMGB1, Bcl-2, Bax and caspase-3 proteins by </w:t>
      </w:r>
      <w:r w:rsidRPr="003F3CBC">
        <w:rPr>
          <w:lang w:val="en-US"/>
        </w:rPr>
        <w:t>Western blot</w:t>
      </w:r>
      <w:r>
        <w:rPr>
          <w:lang w:val="en-GB"/>
        </w:rPr>
        <w:t xml:space="preserve"> </w:t>
      </w:r>
    </w:p>
    <w:p w:rsidR="003B56F5" w:rsidRDefault="003B56F5" w:rsidP="003B56F5">
      <w:pPr>
        <w:pStyle w:val="af1"/>
        <w:rPr>
          <w:b/>
          <w:bCs/>
          <w:lang w:val="en-GB"/>
        </w:rPr>
      </w:pPr>
      <w:r>
        <w:rPr>
          <w:spacing w:val="-11"/>
          <w:lang w:val="en-GB"/>
        </w:rPr>
        <w:t>Briefly, proteins extracted from liver samples were subjected to 10% SDS-</w:t>
      </w:r>
      <w:r>
        <w:rPr>
          <w:spacing w:val="-11"/>
        </w:rPr>
        <w:t>PAGE</w:t>
      </w:r>
      <w:r>
        <w:rPr>
          <w:lang w:val="en-GB"/>
        </w:rPr>
        <w:t>, and transferred to PVDF membranes for 2 h. Western blots were then performed in accordance with a method pre</w:t>
      </w:r>
      <w:r>
        <w:rPr>
          <w:lang w:val="en-GB"/>
        </w:rPr>
        <w:softHyphen/>
        <w:t>viously described</w:t>
      </w:r>
      <w:r>
        <w:rPr>
          <w:vertAlign w:val="superscript"/>
          <w:lang w:val="en-GB"/>
        </w:rPr>
        <w:t>[15]</w:t>
      </w:r>
      <w:r>
        <w:rPr>
          <w:lang w:val="en-GB"/>
        </w:rPr>
        <w:t>. Glyceraldehyde-3-phosphate dehydrogenase (GAPDH; Santa Cruz Co., United States) was used as a control. Anti-HMGB1 antibody was purchased from Abcam Co., United Kingdom; Anti-caspase-3, -Bcl-2 and -Bax antibodies were purchased from CST Co., United States. Finally, an Odyssey infrared imaging system (LI-COR Co.) was used to detect the signals.</w:t>
      </w:r>
    </w:p>
    <w:p w:rsidR="003B56F5" w:rsidRPr="003F3CBC" w:rsidRDefault="003B56F5" w:rsidP="003B56F5">
      <w:pPr>
        <w:pStyle w:val="af2"/>
        <w:rPr>
          <w:rFonts w:ascii="ArialNarrow-Bold" w:hAnsi="ArialNarrow-Bold" w:cs="ArialNarrow-Bold"/>
          <w:i w:val="0"/>
          <w:iCs w:val="0"/>
          <w:lang w:val="en-US"/>
        </w:rPr>
      </w:pPr>
    </w:p>
    <w:p w:rsidR="003B56F5" w:rsidRPr="003F3CBC" w:rsidRDefault="003B56F5" w:rsidP="003B56F5">
      <w:pPr>
        <w:pStyle w:val="af2"/>
        <w:rPr>
          <w:rFonts w:ascii="ArialNarrow-Italic" w:hAnsi="ArialNarrow-Italic" w:cs="ArialNarrow-Italic"/>
          <w:b w:val="0"/>
          <w:bCs w:val="0"/>
          <w:lang w:val="en-US"/>
        </w:rPr>
      </w:pPr>
      <w:r w:rsidRPr="003F3CBC">
        <w:rPr>
          <w:lang w:val="en-US"/>
        </w:rPr>
        <w:t>Real-time quantitative PCR for detection of Hyper-IL-6 and HGF</w:t>
      </w:r>
    </w:p>
    <w:p w:rsidR="003B56F5" w:rsidRDefault="003B56F5" w:rsidP="003B56F5">
      <w:pPr>
        <w:pStyle w:val="af1"/>
        <w:rPr>
          <w:lang w:val="en-GB"/>
        </w:rPr>
      </w:pPr>
      <w:r>
        <w:rPr>
          <w:lang w:val="en-GB"/>
        </w:rPr>
        <w:t xml:space="preserve">Trizol reagent (Invitrogen Co., United States) was used to </w:t>
      </w:r>
      <w:r>
        <w:t>extract</w:t>
      </w:r>
      <w:r>
        <w:rPr>
          <w:lang w:val="en-GB"/>
        </w:rPr>
        <w:t xml:space="preserve"> total RNA from liver samples in accordance with the manufacturer’s recommendations. Total RNA was reverse-transcribed employing a reagent kit (PrimeScript RT; TaKaRa Co. Ltd., Dalian, China) in accordance with standard instructions. The expression of the target genes in the liver was</w:t>
      </w:r>
      <w:r>
        <w:rPr>
          <w:b/>
          <w:bCs/>
          <w:lang w:val="en-GB"/>
        </w:rPr>
        <w:t xml:space="preserve"> </w:t>
      </w:r>
      <w:r>
        <w:rPr>
          <w:lang w:val="en-GB"/>
        </w:rPr>
        <w:t xml:space="preserve">detected with </w:t>
      </w:r>
      <w:r>
        <w:rPr>
          <w:spacing w:val="-11"/>
          <w:lang w:val="en-GB"/>
        </w:rPr>
        <w:t xml:space="preserve">SYBR Premix Ex TaqTM (Takara, Otsu, Japan), and a Real-Time PCR system (ABI PRISM 7500; </w:t>
      </w:r>
      <w:r>
        <w:rPr>
          <w:lang w:val="en-GB"/>
        </w:rPr>
        <w:t xml:space="preserve">Applied Biosystems, </w:t>
      </w:r>
      <w:r>
        <w:rPr>
          <w:spacing w:val="-9"/>
          <w:lang w:val="en-GB"/>
        </w:rPr>
        <w:t xml:space="preserve">United States) was employed to perform the </w:t>
      </w:r>
      <w:r>
        <w:rPr>
          <w:lang w:val="en-GB"/>
        </w:rPr>
        <w:t>procedure. Designing specific primers for</w:t>
      </w:r>
      <w:r>
        <w:rPr>
          <w:b/>
          <w:bCs/>
          <w:lang w:val="en-GB"/>
        </w:rPr>
        <w:t xml:space="preserve"> </w:t>
      </w:r>
      <w:r>
        <w:rPr>
          <w:lang w:val="en-GB"/>
        </w:rPr>
        <w:t xml:space="preserve">HIL-6, HGF and </w:t>
      </w:r>
      <w:r>
        <w:rPr>
          <w:rFonts w:ascii="Symbol" w:hAnsi="Symbol" w:cs="Symbol"/>
          <w:lang w:val="en-GB"/>
        </w:rPr>
        <w:t></w:t>
      </w:r>
      <w:r>
        <w:rPr>
          <w:lang w:val="en-GB"/>
        </w:rPr>
        <w:t xml:space="preserve">-actin </w:t>
      </w:r>
      <w:r>
        <w:t>originated from</w:t>
      </w:r>
      <w:r>
        <w:rPr>
          <w:lang w:val="en-GB"/>
        </w:rPr>
        <w:t xml:space="preserve"> known human sequences (Table 1) was performed using Oligo 7.0 Software. The PCR procedure for HIL-6, HGF and </w:t>
      </w:r>
      <w:r>
        <w:rPr>
          <w:rFonts w:ascii="Symbol" w:hAnsi="Symbol" w:cs="Symbol"/>
          <w:lang w:val="en-GB"/>
        </w:rPr>
        <w:t></w:t>
      </w:r>
      <w:r>
        <w:rPr>
          <w:lang w:val="en-GB"/>
        </w:rPr>
        <w:t>-actin was composed of 95</w:t>
      </w:r>
      <w:r>
        <w:rPr>
          <w:rFonts w:ascii="MS Mincho" w:eastAsia="MS Mincho" w:hAnsi="MS Mincho" w:cs="MS Mincho" w:hint="eastAsia"/>
          <w:sz w:val="19"/>
          <w:szCs w:val="19"/>
          <w:lang w:val="en-GB"/>
        </w:rPr>
        <w:t> </w:t>
      </w:r>
      <w:r>
        <w:rPr>
          <w:rFonts w:ascii="宋体" w:cs="宋体" w:hint="eastAsia"/>
          <w:sz w:val="19"/>
          <w:szCs w:val="19"/>
          <w:lang w:val="en-GB"/>
        </w:rPr>
        <w:t>℃</w:t>
      </w:r>
      <w:r>
        <w:rPr>
          <w:lang w:val="en-GB"/>
        </w:rPr>
        <w:t xml:space="preserve"> for 10 min,</w:t>
      </w:r>
      <w:r>
        <w:t xml:space="preserve"> </w:t>
      </w:r>
      <w:r>
        <w:rPr>
          <w:lang w:val="en-GB"/>
        </w:rPr>
        <w:t>40 cycles of 94</w:t>
      </w:r>
      <w:r>
        <w:rPr>
          <w:rFonts w:ascii="MS Mincho" w:eastAsia="MS Mincho" w:hAnsi="MS Mincho" w:cs="MS Mincho" w:hint="eastAsia"/>
          <w:sz w:val="19"/>
          <w:szCs w:val="19"/>
          <w:lang w:val="en-GB"/>
        </w:rPr>
        <w:t> </w:t>
      </w:r>
      <w:r>
        <w:rPr>
          <w:rFonts w:ascii="宋体" w:cs="宋体" w:hint="eastAsia"/>
          <w:sz w:val="19"/>
          <w:szCs w:val="19"/>
          <w:lang w:val="en-GB"/>
        </w:rPr>
        <w:t>℃</w:t>
      </w:r>
      <w:r>
        <w:rPr>
          <w:lang w:val="en-GB"/>
        </w:rPr>
        <w:t xml:space="preserve"> for 5 s, 55</w:t>
      </w:r>
      <w:r>
        <w:rPr>
          <w:rFonts w:ascii="MS Mincho" w:eastAsia="MS Mincho" w:hAnsi="MS Mincho" w:cs="MS Mincho" w:hint="eastAsia"/>
          <w:sz w:val="19"/>
          <w:szCs w:val="19"/>
          <w:lang w:val="en-GB"/>
        </w:rPr>
        <w:t> </w:t>
      </w:r>
      <w:r>
        <w:rPr>
          <w:rFonts w:ascii="宋体" w:cs="宋体" w:hint="eastAsia"/>
          <w:sz w:val="19"/>
          <w:szCs w:val="19"/>
          <w:lang w:val="en-GB"/>
        </w:rPr>
        <w:t>℃</w:t>
      </w:r>
      <w:r>
        <w:rPr>
          <w:lang w:val="en-GB"/>
        </w:rPr>
        <w:t xml:space="preserve"> for 30 s and 72</w:t>
      </w:r>
      <w:r>
        <w:rPr>
          <w:rFonts w:ascii="MS Mincho" w:eastAsia="MS Mincho" w:hAnsi="MS Mincho" w:cs="MS Mincho" w:hint="eastAsia"/>
          <w:sz w:val="19"/>
          <w:szCs w:val="19"/>
          <w:lang w:val="en-GB"/>
        </w:rPr>
        <w:t> </w:t>
      </w:r>
      <w:r>
        <w:rPr>
          <w:rFonts w:ascii="宋体" w:cs="宋体" w:hint="eastAsia"/>
          <w:sz w:val="19"/>
          <w:szCs w:val="19"/>
          <w:lang w:val="en-GB"/>
        </w:rPr>
        <w:t>℃</w:t>
      </w:r>
      <w:r>
        <w:rPr>
          <w:lang w:val="en-GB"/>
        </w:rPr>
        <w:t xml:space="preserve"> for 30 s, and then 94</w:t>
      </w:r>
      <w:r>
        <w:rPr>
          <w:rFonts w:ascii="MS Mincho" w:eastAsia="MS Mincho" w:hAnsi="MS Mincho" w:cs="MS Mincho" w:hint="eastAsia"/>
          <w:sz w:val="19"/>
          <w:szCs w:val="19"/>
          <w:lang w:val="en-GB"/>
        </w:rPr>
        <w:t> </w:t>
      </w:r>
      <w:r>
        <w:rPr>
          <w:rFonts w:ascii="宋体" w:cs="宋体" w:hint="eastAsia"/>
          <w:sz w:val="19"/>
          <w:szCs w:val="19"/>
          <w:lang w:val="en-GB"/>
        </w:rPr>
        <w:t>℃</w:t>
      </w:r>
      <w:r>
        <w:rPr>
          <w:lang w:val="en-GB"/>
        </w:rPr>
        <w:t xml:space="preserve"> for 15 s. The data were collected automatically using the LightCycler (Roche, Switzerland), and then the value of the threshold cycle (Ct) was analysed on the basis of the 2</w:t>
      </w:r>
      <w:r>
        <w:rPr>
          <w:vertAlign w:val="superscript"/>
          <w:lang w:val="en-GB"/>
        </w:rPr>
        <w:t>-ΔΔCt</w:t>
      </w:r>
      <w:r>
        <w:rPr>
          <w:lang w:val="en-GB"/>
        </w:rPr>
        <w:t xml:space="preserve"> </w:t>
      </w:r>
      <w:proofErr w:type="gramStart"/>
      <w:r>
        <w:rPr>
          <w:lang w:val="en-GB"/>
        </w:rPr>
        <w:t>method</w:t>
      </w:r>
      <w:r>
        <w:rPr>
          <w:vertAlign w:val="superscript"/>
          <w:lang w:val="en-GB"/>
        </w:rPr>
        <w:t>[</w:t>
      </w:r>
      <w:proofErr w:type="gramEnd"/>
      <w:r>
        <w:rPr>
          <w:vertAlign w:val="superscript"/>
          <w:lang w:val="en-GB"/>
        </w:rPr>
        <w:t>16]</w:t>
      </w:r>
      <w:r>
        <w:rPr>
          <w:lang w:val="en-GB"/>
        </w:rPr>
        <w:t>.</w:t>
      </w:r>
    </w:p>
    <w:p w:rsidR="003B56F5" w:rsidRPr="003F3CBC" w:rsidRDefault="003B56F5" w:rsidP="003B56F5">
      <w:pPr>
        <w:pStyle w:val="af2"/>
        <w:rPr>
          <w:lang w:val="en-US"/>
        </w:rPr>
      </w:pPr>
    </w:p>
    <w:p w:rsidR="003B56F5" w:rsidRPr="003F3CBC" w:rsidRDefault="003B56F5" w:rsidP="003B56F5">
      <w:pPr>
        <w:pStyle w:val="af2"/>
        <w:rPr>
          <w:lang w:val="en-US"/>
        </w:rPr>
      </w:pPr>
      <w:r w:rsidRPr="003F3CBC">
        <w:rPr>
          <w:lang w:val="en-US"/>
        </w:rPr>
        <w:t>Statistical analysis</w:t>
      </w:r>
    </w:p>
    <w:p w:rsidR="003B56F5" w:rsidRDefault="003B56F5" w:rsidP="003B56F5">
      <w:pPr>
        <w:pStyle w:val="af1"/>
        <w:rPr>
          <w:spacing w:val="-9"/>
          <w:lang w:val="en-GB"/>
        </w:rPr>
      </w:pPr>
      <w:r>
        <w:rPr>
          <w:spacing w:val="-18"/>
          <w:lang w:val="en-GB"/>
        </w:rPr>
        <w:lastRenderedPageBreak/>
        <w:t xml:space="preserve">The Kruskal-Wallis test was used to analyse </w:t>
      </w:r>
      <w:r>
        <w:rPr>
          <w:spacing w:val="-9"/>
          <w:lang w:val="en-GB"/>
        </w:rPr>
        <w:t xml:space="preserve">histopathological score, Ki67 proliferation index and apoptosis rates (%) in our study. Two-way analysis of variance followed by Tukey’s </w:t>
      </w:r>
      <w:r>
        <w:rPr>
          <w:spacing w:val="-9"/>
        </w:rPr>
        <w:t>Honestly Signiﬁcant Difference</w:t>
      </w:r>
      <w:r>
        <w:rPr>
          <w:spacing w:val="-9"/>
          <w:lang w:val="en-GB"/>
        </w:rPr>
        <w:t xml:space="preserve"> (HSD) test for independent samples was adopted to evaluate the other parameters in this study. We used SPSS 19.0 to perform statistical analysis, and regarded a</w:t>
      </w:r>
      <w:r>
        <w:rPr>
          <w:i/>
          <w:iCs/>
          <w:spacing w:val="-9"/>
          <w:lang w:val="en-GB"/>
        </w:rPr>
        <w:t xml:space="preserve"> P</w:t>
      </w:r>
      <w:r>
        <w:rPr>
          <w:spacing w:val="-9"/>
          <w:lang w:val="en-GB"/>
        </w:rPr>
        <w:t>-</w:t>
      </w:r>
      <w:r>
        <w:rPr>
          <w:spacing w:val="-9"/>
        </w:rPr>
        <w:t xml:space="preserve">value </w:t>
      </w:r>
      <w:r>
        <w:rPr>
          <w:spacing w:val="-9"/>
          <w:lang w:val="en-GB"/>
        </w:rPr>
        <w:t>&lt; 0.05 as having statistical significance.</w:t>
      </w:r>
    </w:p>
    <w:p w:rsidR="003B56F5" w:rsidRPr="003F3CBC" w:rsidRDefault="003B56F5" w:rsidP="003B56F5">
      <w:pPr>
        <w:pStyle w:val="af0"/>
        <w:rPr>
          <w:lang w:val="en-US"/>
        </w:rPr>
      </w:pPr>
    </w:p>
    <w:p w:rsidR="003B56F5" w:rsidRPr="003F3CBC" w:rsidRDefault="003B56F5" w:rsidP="003B56F5">
      <w:pPr>
        <w:pStyle w:val="af0"/>
        <w:rPr>
          <w:u w:val="single"/>
          <w:lang w:val="en-US"/>
        </w:rPr>
      </w:pPr>
      <w:r w:rsidRPr="003F3CBC">
        <w:rPr>
          <w:u w:val="single"/>
          <w:lang w:val="en-US"/>
        </w:rPr>
        <w:t>RESULTS</w:t>
      </w:r>
    </w:p>
    <w:p w:rsidR="003B56F5" w:rsidRDefault="003B56F5" w:rsidP="003B56F5">
      <w:pPr>
        <w:pStyle w:val="af2"/>
        <w:rPr>
          <w:lang w:val="en-GB"/>
        </w:rPr>
      </w:pPr>
      <w:r>
        <w:rPr>
          <w:lang w:val="en-GB"/>
        </w:rPr>
        <w:t xml:space="preserve">Effect of </w:t>
      </w:r>
      <w:r>
        <w:rPr>
          <w:rStyle w:val="hps"/>
          <w:lang w:val="en-GB"/>
        </w:rPr>
        <w:t>recombinant adenovirus containing Hyper-IL-6</w:t>
      </w:r>
      <w:r>
        <w:rPr>
          <w:lang w:val="en-GB"/>
        </w:rPr>
        <w:t xml:space="preserve"> </w:t>
      </w:r>
      <w:r>
        <w:rPr>
          <w:rStyle w:val="hps"/>
          <w:lang w:val="en-GB"/>
        </w:rPr>
        <w:t>and</w:t>
      </w:r>
      <w:r>
        <w:rPr>
          <w:lang w:val="en-GB"/>
        </w:rPr>
        <w:t xml:space="preserve"> </w:t>
      </w:r>
      <w:r>
        <w:rPr>
          <w:rStyle w:val="hps"/>
          <w:lang w:val="en-GB"/>
        </w:rPr>
        <w:t xml:space="preserve">HGF </w:t>
      </w:r>
      <w:r>
        <w:rPr>
          <w:lang w:val="en-GB"/>
        </w:rPr>
        <w:t xml:space="preserve">on </w:t>
      </w:r>
      <w:r w:rsidRPr="003F3CBC">
        <w:rPr>
          <w:lang w:val="en-US"/>
        </w:rPr>
        <w:t xml:space="preserve">plasma PT, </w:t>
      </w:r>
      <w:r>
        <w:rPr>
          <w:lang w:val="en-GB"/>
        </w:rPr>
        <w:t>serum ALT, HMGB1, endotoxin, TNF-</w:t>
      </w:r>
      <w:r>
        <w:rPr>
          <w:rFonts w:ascii="Symbol Bold Italic" w:hAnsi="Symbol Bold Italic" w:cs="Symbol Bold Italic"/>
          <w:lang w:val="en-GB"/>
        </w:rPr>
        <w:t></w:t>
      </w:r>
      <w:r>
        <w:rPr>
          <w:rFonts w:ascii="ArialNarrow-Italic" w:hAnsi="ArialNarrow-Italic" w:cs="ArialNarrow-Italic"/>
          <w:b w:val="0"/>
          <w:bCs w:val="0"/>
          <w:lang w:val="en-GB"/>
        </w:rPr>
        <w:t xml:space="preserve"> </w:t>
      </w:r>
      <w:r>
        <w:rPr>
          <w:lang w:val="en-GB"/>
        </w:rPr>
        <w:t>and IFN-</w:t>
      </w:r>
      <w:r>
        <w:rPr>
          <w:rFonts w:ascii="Symbol Bold Italic" w:hAnsi="Symbol Bold Italic" w:cs="Symbol Bold Italic"/>
          <w:lang w:val="en-GB"/>
        </w:rPr>
        <w:t></w:t>
      </w:r>
    </w:p>
    <w:p w:rsidR="003B56F5" w:rsidRDefault="003B56F5" w:rsidP="003B56F5">
      <w:pPr>
        <w:pStyle w:val="af1"/>
        <w:rPr>
          <w:lang w:val="en-GB"/>
        </w:rPr>
      </w:pPr>
      <w:r>
        <w:t>As shown in Figure 1,</w:t>
      </w:r>
      <w:r>
        <w:rPr>
          <w:b/>
          <w:bCs/>
        </w:rPr>
        <w:t xml:space="preserve"> </w:t>
      </w:r>
      <w:r>
        <w:t>plasma PT,</w:t>
      </w:r>
      <w:r>
        <w:rPr>
          <w:b/>
          <w:bCs/>
        </w:rPr>
        <w:t xml:space="preserve"> </w:t>
      </w:r>
      <w:r>
        <w:rPr>
          <w:lang w:val="en-GB"/>
        </w:rPr>
        <w:t>serum ALT, HMGB1, endotoxin, TNF-</w:t>
      </w:r>
      <w:r>
        <w:rPr>
          <w:rFonts w:ascii="Symbol" w:hAnsi="Symbol" w:cs="Symbol"/>
          <w:lang w:val="en-GB"/>
        </w:rPr>
        <w:t></w:t>
      </w:r>
      <w:r>
        <w:rPr>
          <w:lang w:val="en-GB"/>
        </w:rPr>
        <w:t xml:space="preserve"> and IFN-</w:t>
      </w:r>
      <w:r>
        <w:rPr>
          <w:rFonts w:ascii="Symbol" w:hAnsi="Symbol" w:cs="Symbol"/>
          <w:lang w:val="en-GB"/>
        </w:rPr>
        <w:t></w:t>
      </w:r>
      <w:r>
        <w:rPr>
          <w:lang w:val="en-GB"/>
        </w:rPr>
        <w:t xml:space="preserve"> of the control group were 10.34 ± 0.69 s, 48.88 ± 7.29 IU/L, 454.15 ± 18.45 pg/m</w:t>
      </w:r>
      <w:r>
        <w:rPr>
          <w:caps/>
          <w:lang w:val="en-GB"/>
        </w:rPr>
        <w:t>L</w:t>
      </w:r>
      <w:r>
        <w:rPr>
          <w:lang w:val="en-GB"/>
        </w:rPr>
        <w:t>, 0.013 ± 0.001 EU/m</w:t>
      </w:r>
      <w:r>
        <w:rPr>
          <w:caps/>
          <w:lang w:val="en-GB"/>
        </w:rPr>
        <w:t>L</w:t>
      </w:r>
      <w:r>
        <w:rPr>
          <w:lang w:val="en-GB"/>
        </w:rPr>
        <w:t>, 59.85 ± 14.45 pg/m</w:t>
      </w:r>
      <w:r>
        <w:rPr>
          <w:caps/>
          <w:lang w:val="en-GB"/>
        </w:rPr>
        <w:t>L</w:t>
      </w:r>
      <w:r>
        <w:rPr>
          <w:lang w:val="en-GB"/>
        </w:rPr>
        <w:t xml:space="preserve"> and 46.21 ± 6.18 pg/m</w:t>
      </w:r>
      <w:r>
        <w:rPr>
          <w:caps/>
          <w:lang w:val="en-GB"/>
        </w:rPr>
        <w:t>L</w:t>
      </w:r>
      <w:r>
        <w:rPr>
          <w:lang w:val="en-GB"/>
        </w:rPr>
        <w:t xml:space="preserve"> at 24 h, and 9.69 ± 1.10 s, 51.77 ± 9.56 IU/L, 465.76 ± 46.84 pg/m</w:t>
      </w:r>
      <w:r>
        <w:rPr>
          <w:caps/>
          <w:lang w:val="en-GB"/>
        </w:rPr>
        <w:t>L</w:t>
      </w:r>
      <w:r>
        <w:rPr>
          <w:lang w:val="en-GB"/>
        </w:rPr>
        <w:t>, 0.013 ± 0.001 EU/m</w:t>
      </w:r>
      <w:r>
        <w:rPr>
          <w:caps/>
          <w:lang w:val="en-GB"/>
        </w:rPr>
        <w:t>L</w:t>
      </w:r>
      <w:r>
        <w:rPr>
          <w:lang w:val="en-GB"/>
        </w:rPr>
        <w:t>, 59.84 ± 6.94 pg/m</w:t>
      </w:r>
      <w:r>
        <w:rPr>
          <w:caps/>
          <w:lang w:val="en-GB"/>
        </w:rPr>
        <w:t>L</w:t>
      </w:r>
      <w:r>
        <w:rPr>
          <w:lang w:val="en-GB"/>
        </w:rPr>
        <w:t xml:space="preserve"> and 58.20 ± 15.04 pg/m</w:t>
      </w:r>
      <w:r>
        <w:rPr>
          <w:caps/>
          <w:lang w:val="en-GB"/>
        </w:rPr>
        <w:t>L</w:t>
      </w:r>
      <w:r>
        <w:rPr>
          <w:lang w:val="en-GB"/>
        </w:rPr>
        <w:t xml:space="preserve"> at 48 h, respectively. </w:t>
      </w:r>
      <w:r>
        <w:t xml:space="preserve">Plasma PT, </w:t>
      </w:r>
      <w:r>
        <w:rPr>
          <w:lang w:val="en-GB"/>
        </w:rPr>
        <w:t>serum ALT, HMGB1, endotoxin, TNF-</w:t>
      </w:r>
      <w:r>
        <w:rPr>
          <w:rFonts w:ascii="Symbol" w:hAnsi="Symbol" w:cs="Symbol"/>
          <w:lang w:val="en-GB"/>
        </w:rPr>
        <w:t></w:t>
      </w:r>
      <w:r>
        <w:rPr>
          <w:lang w:val="en-GB"/>
        </w:rPr>
        <w:t xml:space="preserve"> and IFN-</w:t>
      </w:r>
      <w:r>
        <w:rPr>
          <w:rFonts w:ascii="Symbol" w:hAnsi="Symbol" w:cs="Symbol"/>
          <w:lang w:val="en-GB"/>
        </w:rPr>
        <w:t></w:t>
      </w:r>
      <w:r>
        <w:rPr>
          <w:lang w:val="en-GB"/>
        </w:rPr>
        <w:t xml:space="preserve"> increased significantly in the model group at 24 h and 48 h (24 h: 34.71 ± 2.79 s, 1206.13 ± 154.29 IU/L, 1115.02 ± 33.58 pg/m</w:t>
      </w:r>
      <w:r>
        <w:rPr>
          <w:caps/>
          <w:lang w:val="en-GB"/>
        </w:rPr>
        <w:t>L</w:t>
      </w:r>
      <w:r>
        <w:rPr>
          <w:lang w:val="en-GB"/>
        </w:rPr>
        <w:t>, 0.049 ± 0.002 EU/m</w:t>
      </w:r>
      <w:r>
        <w:rPr>
          <w:caps/>
          <w:lang w:val="en-GB"/>
        </w:rPr>
        <w:t>L</w:t>
      </w:r>
      <w:r>
        <w:rPr>
          <w:lang w:val="en-GB"/>
        </w:rPr>
        <w:t>, 257.84 ± 29.85 pg/m</w:t>
      </w:r>
      <w:r>
        <w:rPr>
          <w:caps/>
          <w:lang w:val="en-GB"/>
        </w:rPr>
        <w:t>L</w:t>
      </w:r>
      <w:r>
        <w:rPr>
          <w:lang w:val="en-GB"/>
        </w:rPr>
        <w:t xml:space="preserve"> and 172.17 ± 16.12 pg/m</w:t>
      </w:r>
      <w:r>
        <w:rPr>
          <w:caps/>
          <w:lang w:val="en-GB"/>
        </w:rPr>
        <w:t>L</w:t>
      </w:r>
      <w:r>
        <w:rPr>
          <w:lang w:val="en-GB"/>
        </w:rPr>
        <w:t>, respectively,</w:t>
      </w:r>
      <w:r>
        <w:rPr>
          <w:i/>
          <w:iCs/>
          <w:lang w:val="en-GB"/>
        </w:rPr>
        <w:t xml:space="preserve"> </w:t>
      </w:r>
      <w:r>
        <w:rPr>
          <w:i/>
          <w:iCs/>
          <w:caps/>
          <w:lang w:val="en-GB"/>
        </w:rPr>
        <w:t>p &lt;</w:t>
      </w:r>
      <w:r>
        <w:rPr>
          <w:lang w:val="en-GB"/>
        </w:rPr>
        <w:t xml:space="preserve"> 0.01; 48 h: 42.76 ± 4.77 s, 2889.34 ± 305.46 IU/L, 1817.57 ± 121.50 pg/m</w:t>
      </w:r>
      <w:r>
        <w:rPr>
          <w:caps/>
          <w:lang w:val="en-GB"/>
        </w:rPr>
        <w:t>L</w:t>
      </w:r>
      <w:r>
        <w:rPr>
          <w:lang w:val="en-GB"/>
        </w:rPr>
        <w:t>, 0.061 ± 0.002 EU/m</w:t>
      </w:r>
      <w:r>
        <w:rPr>
          <w:caps/>
          <w:lang w:val="en-GB"/>
        </w:rPr>
        <w:t>L</w:t>
      </w:r>
      <w:r>
        <w:rPr>
          <w:lang w:val="en-GB"/>
        </w:rPr>
        <w:t>, 356.86 ± 14.34 pg/m</w:t>
      </w:r>
      <w:r>
        <w:rPr>
          <w:caps/>
          <w:lang w:val="en-GB"/>
        </w:rPr>
        <w:t>L</w:t>
      </w:r>
      <w:r>
        <w:rPr>
          <w:lang w:val="en-GB"/>
        </w:rPr>
        <w:t xml:space="preserve"> and 268.79 ± 8.34 pg/m</w:t>
      </w:r>
      <w:r>
        <w:rPr>
          <w:caps/>
          <w:lang w:val="en-GB"/>
        </w:rPr>
        <w:t>L</w:t>
      </w:r>
      <w:r>
        <w:rPr>
          <w:lang w:val="en-GB"/>
        </w:rPr>
        <w:t>, respectively,</w:t>
      </w:r>
      <w:r>
        <w:rPr>
          <w:i/>
          <w:iCs/>
          <w:lang w:val="en-GB"/>
        </w:rPr>
        <w:t xml:space="preserve"> </w:t>
      </w:r>
      <w:r>
        <w:rPr>
          <w:i/>
          <w:iCs/>
          <w:caps/>
          <w:lang w:val="en-GB"/>
        </w:rPr>
        <w:t>p &lt;</w:t>
      </w:r>
      <w:r>
        <w:rPr>
          <w:lang w:val="en-GB"/>
        </w:rPr>
        <w:t xml:space="preserve"> 0.01) compared to the control group, however, the model group and the Ad-GFP group (Ad-GFP group at 24 h: 31.89 ± 3.88 s, 1255.25 ± 156.52 IU/L, 1121.35 ± 35.94 pg/m</w:t>
      </w:r>
      <w:r>
        <w:rPr>
          <w:caps/>
          <w:lang w:val="en-GB"/>
        </w:rPr>
        <w:t>L</w:t>
      </w:r>
      <w:r>
        <w:rPr>
          <w:lang w:val="en-GB"/>
        </w:rPr>
        <w:t>, 0.048 ± 0.003 EU/m</w:t>
      </w:r>
      <w:r>
        <w:rPr>
          <w:caps/>
          <w:lang w:val="en-GB"/>
        </w:rPr>
        <w:t>L</w:t>
      </w:r>
      <w:r>
        <w:rPr>
          <w:lang w:val="en-GB"/>
        </w:rPr>
        <w:t>, 260.07 ± 50.23 pg/m</w:t>
      </w:r>
      <w:r>
        <w:rPr>
          <w:caps/>
          <w:lang w:val="en-GB"/>
        </w:rPr>
        <w:t>L</w:t>
      </w:r>
      <w:r>
        <w:rPr>
          <w:lang w:val="en-GB"/>
        </w:rPr>
        <w:t xml:space="preserve"> and 174.70 ± 15.99 pg/m</w:t>
      </w:r>
      <w:r>
        <w:rPr>
          <w:caps/>
          <w:lang w:val="en-GB"/>
        </w:rPr>
        <w:t>L</w:t>
      </w:r>
      <w:r>
        <w:rPr>
          <w:lang w:val="en-GB"/>
        </w:rPr>
        <w:t>, respectively; 48 h: 40.87 ± 5.13 s, 3034.15 ± 156.52 IU/L, 1810.71 ± 138.75 pg/m</w:t>
      </w:r>
      <w:r>
        <w:rPr>
          <w:caps/>
          <w:lang w:val="en-GB"/>
        </w:rPr>
        <w:t>L</w:t>
      </w:r>
      <w:r>
        <w:rPr>
          <w:lang w:val="en-GB"/>
        </w:rPr>
        <w:t>, 0.051 ± 0.001 EU/m</w:t>
      </w:r>
      <w:r>
        <w:rPr>
          <w:caps/>
          <w:lang w:val="en-GB"/>
        </w:rPr>
        <w:t>L</w:t>
      </w:r>
      <w:r>
        <w:rPr>
          <w:lang w:val="en-GB"/>
        </w:rPr>
        <w:t>, 357.81 ± 14.17 pg/m</w:t>
      </w:r>
      <w:r>
        <w:rPr>
          <w:caps/>
          <w:lang w:val="en-GB"/>
        </w:rPr>
        <w:t>L</w:t>
      </w:r>
      <w:r>
        <w:rPr>
          <w:lang w:val="en-GB"/>
        </w:rPr>
        <w:t xml:space="preserve"> and 267.53 ± 10.68 pg/m</w:t>
      </w:r>
      <w:r>
        <w:rPr>
          <w:caps/>
          <w:lang w:val="en-GB"/>
        </w:rPr>
        <w:t>L</w:t>
      </w:r>
      <w:r>
        <w:rPr>
          <w:lang w:val="en-GB"/>
        </w:rPr>
        <w:t>, respectively) showed no statistical discrepancy at the two time points (</w:t>
      </w:r>
      <w:r>
        <w:rPr>
          <w:i/>
          <w:iCs/>
          <w:caps/>
          <w:lang w:val="en-GB"/>
        </w:rPr>
        <w:t>p &gt;</w:t>
      </w:r>
      <w:r>
        <w:rPr>
          <w:lang w:val="en-GB"/>
        </w:rPr>
        <w:t xml:space="preserve"> 0.05).</w:t>
      </w:r>
    </w:p>
    <w:p w:rsidR="003B56F5" w:rsidRDefault="003B56F5" w:rsidP="003B56F5">
      <w:pPr>
        <w:pStyle w:val="1"/>
        <w:rPr>
          <w:lang w:val="en-GB"/>
        </w:rPr>
      </w:pPr>
      <w:r>
        <w:rPr>
          <w:lang w:val="en-GB"/>
        </w:rPr>
        <w:t xml:space="preserve">Compared to the Ad-GFP group, </w:t>
      </w:r>
      <w:r>
        <w:t>plasma PT,</w:t>
      </w:r>
      <w:r>
        <w:rPr>
          <w:b/>
          <w:bCs/>
        </w:rPr>
        <w:t xml:space="preserve"> </w:t>
      </w:r>
      <w:r>
        <w:rPr>
          <w:lang w:val="en-GB"/>
        </w:rPr>
        <w:t>serum ALT, HMGB1, endotoxin and IFN-</w:t>
      </w:r>
      <w:r>
        <w:rPr>
          <w:rFonts w:ascii="Symbol" w:hAnsi="Symbol" w:cs="Symbol"/>
          <w:lang w:val="en-GB"/>
        </w:rPr>
        <w:t></w:t>
      </w:r>
      <w:r>
        <w:rPr>
          <w:lang w:val="en-GB"/>
        </w:rPr>
        <w:t xml:space="preserve"> were markedly lower in</w:t>
      </w:r>
      <w:r>
        <w:rPr>
          <w:rStyle w:val="hps"/>
          <w:lang w:val="en-GB"/>
        </w:rPr>
        <w:t xml:space="preserve"> the Ad-HGF group (</w:t>
      </w:r>
      <w:r>
        <w:rPr>
          <w:lang w:val="en-GB"/>
        </w:rPr>
        <w:t>24 h: 25.95 ± 2.16 s, 285.00 ± 29.05 IU/L, 973.14 ± 46.55 pg/m</w:t>
      </w:r>
      <w:r>
        <w:rPr>
          <w:caps/>
          <w:lang w:val="en-GB"/>
        </w:rPr>
        <w:t>L</w:t>
      </w:r>
      <w:r>
        <w:rPr>
          <w:lang w:val="en-GB"/>
        </w:rPr>
        <w:t>, 0.039 ± 0.001 EU/m</w:t>
      </w:r>
      <w:r>
        <w:rPr>
          <w:caps/>
          <w:lang w:val="en-GB"/>
        </w:rPr>
        <w:t>L</w:t>
      </w:r>
      <w:r>
        <w:rPr>
          <w:lang w:val="en-GB"/>
        </w:rPr>
        <w:t>, 133.02 ± 15.13 pg/m</w:t>
      </w:r>
      <w:r>
        <w:rPr>
          <w:caps/>
          <w:lang w:val="en-GB"/>
        </w:rPr>
        <w:t>L</w:t>
      </w:r>
      <w:r>
        <w:rPr>
          <w:lang w:val="en-GB"/>
        </w:rPr>
        <w:t>, respectively,</w:t>
      </w:r>
      <w:r>
        <w:rPr>
          <w:i/>
          <w:iCs/>
          <w:lang w:val="en-GB"/>
        </w:rPr>
        <w:t xml:space="preserve"> </w:t>
      </w:r>
      <w:r>
        <w:rPr>
          <w:i/>
          <w:iCs/>
          <w:caps/>
          <w:lang w:val="en-GB"/>
        </w:rPr>
        <w:t>p &lt;</w:t>
      </w:r>
      <w:r>
        <w:rPr>
          <w:lang w:val="en-GB"/>
        </w:rPr>
        <w:t xml:space="preserve"> 0.01; 48 h: 31.98 ± 5.79 s, 1342.87 ± 325.09 IU/L, 1233.17 ± 24.63 pg/m</w:t>
      </w:r>
      <w:r>
        <w:rPr>
          <w:caps/>
          <w:lang w:val="en-GB"/>
        </w:rPr>
        <w:t>L</w:t>
      </w:r>
      <w:r>
        <w:rPr>
          <w:lang w:val="en-GB"/>
        </w:rPr>
        <w:t>, 0.046 ± 0.003 EU/m</w:t>
      </w:r>
      <w:r>
        <w:rPr>
          <w:caps/>
          <w:lang w:val="en-GB"/>
        </w:rPr>
        <w:t>L</w:t>
      </w:r>
      <w:r>
        <w:rPr>
          <w:lang w:val="en-GB"/>
        </w:rPr>
        <w:t>, 193.64 ± 9.16 pg/m</w:t>
      </w:r>
      <w:r>
        <w:rPr>
          <w:caps/>
          <w:lang w:val="en-GB"/>
        </w:rPr>
        <w:t>L</w:t>
      </w:r>
      <w:r>
        <w:rPr>
          <w:lang w:val="en-GB"/>
        </w:rPr>
        <w:t>, respectively,</w:t>
      </w:r>
      <w:r>
        <w:rPr>
          <w:i/>
          <w:iCs/>
          <w:lang w:val="en-GB"/>
        </w:rPr>
        <w:t xml:space="preserve"> </w:t>
      </w:r>
      <w:r>
        <w:rPr>
          <w:i/>
          <w:iCs/>
          <w:caps/>
          <w:lang w:val="en-GB"/>
        </w:rPr>
        <w:t>p &lt;</w:t>
      </w:r>
      <w:r>
        <w:rPr>
          <w:lang w:val="en-GB"/>
        </w:rPr>
        <w:t xml:space="preserve"> 0.01</w:t>
      </w:r>
      <w:r>
        <w:rPr>
          <w:rStyle w:val="hps"/>
          <w:lang w:val="en-GB"/>
        </w:rPr>
        <w:t xml:space="preserve">), </w:t>
      </w:r>
      <w:r>
        <w:rPr>
          <w:lang w:val="en-GB"/>
        </w:rPr>
        <w:t>Ad-</w:t>
      </w:r>
      <w:r>
        <w:rPr>
          <w:rStyle w:val="hps"/>
          <w:lang w:val="en-GB"/>
        </w:rPr>
        <w:t>HIL-6</w:t>
      </w:r>
      <w:r>
        <w:rPr>
          <w:lang w:val="en-GB"/>
        </w:rPr>
        <w:t xml:space="preserve"> group (24 h: 26.98 ± 2.22 s, 310.75 ± 24.38 IU/L, </w:t>
      </w:r>
      <w:r>
        <w:rPr>
          <w:rStyle w:val="hps"/>
          <w:lang w:val="en-GB"/>
        </w:rPr>
        <w:t>1026.41</w:t>
      </w:r>
      <w:r>
        <w:rPr>
          <w:lang w:val="en-GB"/>
        </w:rPr>
        <w:t xml:space="preserve"> ± 49.25 pg/m</w:t>
      </w:r>
      <w:r>
        <w:rPr>
          <w:caps/>
          <w:lang w:val="en-GB"/>
        </w:rPr>
        <w:t>L</w:t>
      </w:r>
      <w:r>
        <w:rPr>
          <w:lang w:val="en-GB"/>
        </w:rPr>
        <w:t>, 0.043 ± 0.002 EU/m</w:t>
      </w:r>
      <w:r>
        <w:rPr>
          <w:caps/>
          <w:lang w:val="en-GB"/>
        </w:rPr>
        <w:t>L</w:t>
      </w:r>
      <w:r>
        <w:rPr>
          <w:lang w:val="en-GB"/>
        </w:rPr>
        <w:t>, 150.07 ± 20.60 pg/m</w:t>
      </w:r>
      <w:r>
        <w:rPr>
          <w:caps/>
          <w:lang w:val="en-GB"/>
        </w:rPr>
        <w:t>L</w:t>
      </w:r>
      <w:r>
        <w:rPr>
          <w:lang w:val="en-GB"/>
        </w:rPr>
        <w:t>, respectively,</w:t>
      </w:r>
      <w:r>
        <w:rPr>
          <w:i/>
          <w:iCs/>
          <w:lang w:val="en-GB"/>
        </w:rPr>
        <w:t xml:space="preserve"> </w:t>
      </w:r>
      <w:r>
        <w:rPr>
          <w:i/>
          <w:iCs/>
          <w:caps/>
          <w:lang w:val="en-GB"/>
        </w:rPr>
        <w:t>p &lt;</w:t>
      </w:r>
      <w:r>
        <w:rPr>
          <w:lang w:val="en-GB"/>
        </w:rPr>
        <w:t xml:space="preserve"> 0.01; 48 h: 30.66 ± 4.87 s, 1127.54 ± 217.88 IU/L, </w:t>
      </w:r>
      <w:r>
        <w:rPr>
          <w:rStyle w:val="hps"/>
          <w:lang w:val="en-GB"/>
        </w:rPr>
        <w:t>1303.32</w:t>
      </w:r>
      <w:r>
        <w:rPr>
          <w:lang w:val="en-GB"/>
        </w:rPr>
        <w:t xml:space="preserve"> ± 107.31 pg/m</w:t>
      </w:r>
      <w:r>
        <w:rPr>
          <w:caps/>
          <w:lang w:val="en-GB"/>
        </w:rPr>
        <w:t>L</w:t>
      </w:r>
      <w:r>
        <w:rPr>
          <w:lang w:val="en-GB"/>
        </w:rPr>
        <w:t>, 0.051 ± 0.002 EU/m</w:t>
      </w:r>
      <w:r>
        <w:rPr>
          <w:caps/>
          <w:lang w:val="en-GB"/>
        </w:rPr>
        <w:t>L</w:t>
      </w:r>
      <w:r>
        <w:rPr>
          <w:lang w:val="en-GB"/>
        </w:rPr>
        <w:t>, 205.64 ± 9.18 pg/m</w:t>
      </w:r>
      <w:r>
        <w:rPr>
          <w:caps/>
          <w:lang w:val="en-GB"/>
        </w:rPr>
        <w:t>L</w:t>
      </w:r>
      <w:r>
        <w:rPr>
          <w:lang w:val="en-GB"/>
        </w:rPr>
        <w:t>, respectively,</w:t>
      </w:r>
      <w:r>
        <w:rPr>
          <w:i/>
          <w:iCs/>
          <w:lang w:val="en-GB"/>
        </w:rPr>
        <w:t xml:space="preserve"> </w:t>
      </w:r>
      <w:r>
        <w:rPr>
          <w:i/>
          <w:iCs/>
          <w:caps/>
          <w:lang w:val="en-GB"/>
        </w:rPr>
        <w:t>p &lt;</w:t>
      </w:r>
      <w:r>
        <w:rPr>
          <w:lang w:val="en-GB"/>
        </w:rPr>
        <w:t xml:space="preserve"> 0.01) </w:t>
      </w:r>
      <w:r>
        <w:rPr>
          <w:rStyle w:val="hps"/>
          <w:lang w:val="en-GB"/>
        </w:rPr>
        <w:t>and</w:t>
      </w:r>
      <w:r>
        <w:rPr>
          <w:lang w:val="en-GB"/>
        </w:rPr>
        <w:t xml:space="preserve"> Ad-</w:t>
      </w:r>
      <w:r>
        <w:rPr>
          <w:rStyle w:val="hps"/>
          <w:lang w:val="en-GB"/>
        </w:rPr>
        <w:t>HGF</w:t>
      </w:r>
      <w:r>
        <w:rPr>
          <w:lang w:val="en-GB"/>
        </w:rPr>
        <w:t>-</w:t>
      </w:r>
      <w:r>
        <w:rPr>
          <w:rStyle w:val="hps"/>
          <w:lang w:val="en-GB"/>
        </w:rPr>
        <w:t>HIL-6</w:t>
      </w:r>
      <w:r>
        <w:rPr>
          <w:lang w:val="en-GB"/>
        </w:rPr>
        <w:t xml:space="preserve"> group (24 h: 19.88 ± 4.72 s, 227.38 ± 32.78 IU/L, 925.67 ± 32.95 pg/mL, 0.036 ± 0.002 EU/mL and 111.87 ± 11.24 pg/m</w:t>
      </w:r>
      <w:r>
        <w:rPr>
          <w:caps/>
          <w:lang w:val="en-GB"/>
        </w:rPr>
        <w:t>L</w:t>
      </w:r>
      <w:r>
        <w:rPr>
          <w:lang w:val="en-GB"/>
        </w:rPr>
        <w:t xml:space="preserve">, respectively, </w:t>
      </w:r>
      <w:r>
        <w:rPr>
          <w:i/>
          <w:iCs/>
          <w:caps/>
          <w:lang w:val="en-GB"/>
        </w:rPr>
        <w:t>p &lt;</w:t>
      </w:r>
      <w:r>
        <w:rPr>
          <w:lang w:val="en-GB"/>
        </w:rPr>
        <w:t xml:space="preserve"> 0.01; 48 h: 23.77 ± 5.31 s, 578.87 ± 87.47 IU/L, 1093.40 ± 35.86 pg/m</w:t>
      </w:r>
      <w:r>
        <w:rPr>
          <w:caps/>
          <w:lang w:val="en-GB"/>
        </w:rPr>
        <w:t>L</w:t>
      </w:r>
      <w:r>
        <w:rPr>
          <w:lang w:val="en-GB"/>
        </w:rPr>
        <w:t>, 0.041 ± 0.001 EU/m</w:t>
      </w:r>
      <w:r>
        <w:rPr>
          <w:caps/>
          <w:lang w:val="en-GB"/>
        </w:rPr>
        <w:t>L</w:t>
      </w:r>
      <w:r>
        <w:rPr>
          <w:lang w:val="en-GB"/>
        </w:rPr>
        <w:t xml:space="preserve"> and 163.97 ± 12.89 pg/m</w:t>
      </w:r>
      <w:r>
        <w:rPr>
          <w:caps/>
          <w:lang w:val="en-GB"/>
        </w:rPr>
        <w:t>L</w:t>
      </w:r>
      <w:r>
        <w:rPr>
          <w:lang w:val="en-GB"/>
        </w:rPr>
        <w:t xml:space="preserve">, respectively, </w:t>
      </w:r>
      <w:r>
        <w:rPr>
          <w:i/>
          <w:iCs/>
          <w:caps/>
          <w:lang w:val="en-GB"/>
        </w:rPr>
        <w:t>p &lt;</w:t>
      </w:r>
      <w:r>
        <w:rPr>
          <w:lang w:val="en-GB"/>
        </w:rPr>
        <w:t xml:space="preserve"> 0.01) at 24 h and 48 h, and the changes were more predominant in the latter </w:t>
      </w:r>
      <w:r>
        <w:rPr>
          <w:rStyle w:val="hps"/>
          <w:lang w:val="en-GB"/>
        </w:rPr>
        <w:t>group at two time points (</w:t>
      </w:r>
      <w:r>
        <w:rPr>
          <w:i/>
          <w:iCs/>
          <w:caps/>
          <w:lang w:val="en-GB"/>
        </w:rPr>
        <w:t>p &lt;</w:t>
      </w:r>
      <w:r>
        <w:rPr>
          <w:lang w:val="en-GB"/>
        </w:rPr>
        <w:t xml:space="preserve"> 0.05</w:t>
      </w:r>
      <w:r>
        <w:rPr>
          <w:rStyle w:val="hps"/>
          <w:lang w:val="en-GB"/>
        </w:rPr>
        <w:t xml:space="preserve">). </w:t>
      </w:r>
      <w:r>
        <w:rPr>
          <w:lang w:val="en-GB"/>
        </w:rPr>
        <w:t>Serum TNF-</w:t>
      </w:r>
      <w:r>
        <w:rPr>
          <w:rFonts w:ascii="Symbol" w:hAnsi="Symbol" w:cs="Symbol"/>
          <w:lang w:val="en-GB"/>
        </w:rPr>
        <w:t></w:t>
      </w:r>
      <w:r>
        <w:rPr>
          <w:lang w:val="en-GB"/>
        </w:rPr>
        <w:t xml:space="preserve"> also decreased in ACLF rats with the administration of Ad-</w:t>
      </w:r>
      <w:r>
        <w:rPr>
          <w:rStyle w:val="hps"/>
          <w:lang w:val="en-GB"/>
        </w:rPr>
        <w:t>HGF</w:t>
      </w:r>
      <w:r>
        <w:rPr>
          <w:lang w:val="en-GB"/>
        </w:rPr>
        <w:t>-</w:t>
      </w:r>
      <w:r>
        <w:rPr>
          <w:rStyle w:val="hps"/>
          <w:lang w:val="en-GB"/>
        </w:rPr>
        <w:t xml:space="preserve">HIL-6 (24 h: </w:t>
      </w:r>
      <w:r>
        <w:rPr>
          <w:lang w:val="en-GB"/>
        </w:rPr>
        <w:t>166.43 ± 22.20 pg/m</w:t>
      </w:r>
      <w:r>
        <w:rPr>
          <w:caps/>
          <w:lang w:val="en-GB"/>
        </w:rPr>
        <w:t>L</w:t>
      </w:r>
      <w:r>
        <w:rPr>
          <w:lang w:val="en-GB"/>
        </w:rPr>
        <w:t>; 48 h: 279.68 ± 30.31 pg/m</w:t>
      </w:r>
      <w:r>
        <w:rPr>
          <w:caps/>
          <w:lang w:val="en-GB"/>
        </w:rPr>
        <w:t>L</w:t>
      </w:r>
      <w:r>
        <w:rPr>
          <w:rStyle w:val="hps"/>
          <w:caps/>
          <w:lang w:val="en-GB"/>
        </w:rPr>
        <w:t>),</w:t>
      </w:r>
      <w:r>
        <w:rPr>
          <w:lang w:val="en-GB"/>
        </w:rPr>
        <w:t xml:space="preserve"> </w:t>
      </w:r>
      <w:r>
        <w:rPr>
          <w:rStyle w:val="hps"/>
          <w:lang w:val="en-GB"/>
        </w:rPr>
        <w:t xml:space="preserve">Ad-HGF (24 h: </w:t>
      </w:r>
      <w:r>
        <w:rPr>
          <w:lang w:val="en-GB"/>
        </w:rPr>
        <w:t>191.11 ± 28.30 pg/m</w:t>
      </w:r>
      <w:r>
        <w:rPr>
          <w:caps/>
          <w:lang w:val="en-GB"/>
        </w:rPr>
        <w:t>L</w:t>
      </w:r>
      <w:r>
        <w:rPr>
          <w:lang w:val="en-GB"/>
        </w:rPr>
        <w:t>; 48 h:</w:t>
      </w:r>
      <w:r>
        <w:t xml:space="preserve"> </w:t>
      </w:r>
      <w:r>
        <w:rPr>
          <w:lang w:val="en-GB"/>
        </w:rPr>
        <w:t>302.13 ± 12.69 pg/m</w:t>
      </w:r>
      <w:r>
        <w:rPr>
          <w:caps/>
          <w:lang w:val="en-GB"/>
        </w:rPr>
        <w:t>L</w:t>
      </w:r>
      <w:r>
        <w:rPr>
          <w:rStyle w:val="hps"/>
          <w:caps/>
          <w:lang w:val="en-GB"/>
        </w:rPr>
        <w:t xml:space="preserve">) or </w:t>
      </w:r>
      <w:r>
        <w:rPr>
          <w:lang w:val="en-GB"/>
        </w:rPr>
        <w:t>Ad-</w:t>
      </w:r>
      <w:r>
        <w:rPr>
          <w:rStyle w:val="hps"/>
          <w:lang w:val="en-GB"/>
        </w:rPr>
        <w:t xml:space="preserve">HIL-6 (24 h: </w:t>
      </w:r>
      <w:r>
        <w:rPr>
          <w:lang w:val="en-GB"/>
        </w:rPr>
        <w:t>203.76 ± 13.73 pg/m</w:t>
      </w:r>
      <w:r>
        <w:rPr>
          <w:caps/>
          <w:lang w:val="en-GB"/>
        </w:rPr>
        <w:t>L</w:t>
      </w:r>
      <w:r>
        <w:rPr>
          <w:lang w:val="en-GB"/>
        </w:rPr>
        <w:t>; 48 h: 313.52 ± 27.39 pg/m</w:t>
      </w:r>
      <w:r>
        <w:rPr>
          <w:caps/>
          <w:lang w:val="en-GB"/>
        </w:rPr>
        <w:t>L</w:t>
      </w:r>
      <w:r>
        <w:rPr>
          <w:rStyle w:val="hps"/>
          <w:caps/>
          <w:lang w:val="en-GB"/>
        </w:rPr>
        <w:t xml:space="preserve">) </w:t>
      </w:r>
      <w:r>
        <w:rPr>
          <w:lang w:val="en-GB"/>
        </w:rPr>
        <w:t xml:space="preserve">compared to </w:t>
      </w:r>
      <w:r>
        <w:rPr>
          <w:rStyle w:val="hps"/>
          <w:lang w:val="en-GB"/>
        </w:rPr>
        <w:t>rats</w:t>
      </w:r>
      <w:r>
        <w:rPr>
          <w:lang w:val="en-GB"/>
        </w:rPr>
        <w:t xml:space="preserve"> in the Ad-GFP</w:t>
      </w:r>
      <w:r>
        <w:rPr>
          <w:rStyle w:val="hps"/>
          <w:lang w:val="en-GB"/>
        </w:rPr>
        <w:t xml:space="preserve"> group (24 h: 257.84 </w:t>
      </w:r>
      <w:r>
        <w:rPr>
          <w:lang w:val="en-GB"/>
        </w:rPr>
        <w:t>±</w:t>
      </w:r>
      <w:r>
        <w:rPr>
          <w:rStyle w:val="hps"/>
          <w:lang w:val="en-GB"/>
        </w:rPr>
        <w:t xml:space="preserve"> 29.85</w:t>
      </w:r>
      <w:r>
        <w:rPr>
          <w:lang w:val="en-GB"/>
        </w:rPr>
        <w:t xml:space="preserve"> pg/m</w:t>
      </w:r>
      <w:r>
        <w:rPr>
          <w:caps/>
          <w:lang w:val="en-GB"/>
        </w:rPr>
        <w:t>L</w:t>
      </w:r>
      <w:r>
        <w:rPr>
          <w:lang w:val="en-GB"/>
        </w:rPr>
        <w:t>, 48 h: 357.81 ± 14.17 pg/m</w:t>
      </w:r>
      <w:r>
        <w:rPr>
          <w:caps/>
          <w:lang w:val="en-GB"/>
        </w:rPr>
        <w:t>L</w:t>
      </w:r>
      <w:r>
        <w:rPr>
          <w:lang w:val="en-GB"/>
        </w:rPr>
        <w:t>;</w:t>
      </w:r>
      <w:r>
        <w:rPr>
          <w:i/>
          <w:iCs/>
          <w:lang w:val="en-GB"/>
        </w:rPr>
        <w:t xml:space="preserve"> </w:t>
      </w:r>
      <w:r>
        <w:rPr>
          <w:i/>
          <w:iCs/>
          <w:caps/>
          <w:lang w:val="en-GB"/>
        </w:rPr>
        <w:t>p &lt;</w:t>
      </w:r>
      <w:r>
        <w:rPr>
          <w:lang w:val="en-GB"/>
        </w:rPr>
        <w:t xml:space="preserve"> 0.01</w:t>
      </w:r>
      <w:r>
        <w:rPr>
          <w:rStyle w:val="hps"/>
          <w:lang w:val="en-GB"/>
        </w:rPr>
        <w:t>)</w:t>
      </w:r>
      <w:r>
        <w:rPr>
          <w:lang w:val="en-GB"/>
        </w:rPr>
        <w:t xml:space="preserve"> at 24 h and 48 h</w:t>
      </w:r>
      <w:r>
        <w:rPr>
          <w:rStyle w:val="hps"/>
          <w:lang w:val="en-GB"/>
        </w:rPr>
        <w:t>. A greater effect in reducing</w:t>
      </w:r>
      <w:r>
        <w:rPr>
          <w:lang w:val="en-GB"/>
        </w:rPr>
        <w:t xml:space="preserve"> serum levels of TNF-</w:t>
      </w:r>
      <w:r>
        <w:rPr>
          <w:rFonts w:ascii="Symbol" w:hAnsi="Symbol" w:cs="Symbol"/>
          <w:lang w:val="en-GB"/>
        </w:rPr>
        <w:t></w:t>
      </w:r>
      <w:r>
        <w:rPr>
          <w:lang w:val="en-GB"/>
        </w:rPr>
        <w:t xml:space="preserve"> of ACLF rats was observed from the administration of Ad-</w:t>
      </w:r>
      <w:r>
        <w:rPr>
          <w:rStyle w:val="hps"/>
          <w:lang w:val="en-GB"/>
        </w:rPr>
        <w:t>HGF</w:t>
      </w:r>
      <w:r>
        <w:rPr>
          <w:lang w:val="en-GB"/>
        </w:rPr>
        <w:t>-</w:t>
      </w:r>
      <w:r>
        <w:rPr>
          <w:rStyle w:val="hps"/>
          <w:lang w:val="en-GB"/>
        </w:rPr>
        <w:t xml:space="preserve">HIL-6 compared </w:t>
      </w:r>
      <w:r>
        <w:rPr>
          <w:lang w:val="en-GB"/>
        </w:rPr>
        <w:t>to Ad-</w:t>
      </w:r>
      <w:r>
        <w:rPr>
          <w:rStyle w:val="hps"/>
          <w:lang w:val="en-GB"/>
        </w:rPr>
        <w:t>HIL-6 (</w:t>
      </w:r>
      <w:r>
        <w:rPr>
          <w:i/>
          <w:iCs/>
          <w:caps/>
          <w:lang w:val="en-GB"/>
        </w:rPr>
        <w:t>p &lt;</w:t>
      </w:r>
      <w:r>
        <w:rPr>
          <w:lang w:val="en-GB"/>
        </w:rPr>
        <w:t xml:space="preserve"> 0.05</w:t>
      </w:r>
      <w:r>
        <w:rPr>
          <w:rStyle w:val="hps"/>
          <w:lang w:val="en-GB"/>
        </w:rPr>
        <w:t xml:space="preserve">), but </w:t>
      </w:r>
      <w:r>
        <w:rPr>
          <w:lang w:val="en-GB"/>
        </w:rPr>
        <w:t>serum TNF-</w:t>
      </w:r>
      <w:r>
        <w:rPr>
          <w:rFonts w:ascii="Symbol" w:hAnsi="Symbol" w:cs="Symbol"/>
          <w:lang w:val="en-GB"/>
        </w:rPr>
        <w:t></w:t>
      </w:r>
      <w:r>
        <w:rPr>
          <w:lang w:val="en-GB"/>
        </w:rPr>
        <w:t xml:space="preserve"> between the Ad-</w:t>
      </w:r>
      <w:r>
        <w:rPr>
          <w:rStyle w:val="hps"/>
          <w:lang w:val="en-GB"/>
        </w:rPr>
        <w:t>HGF</w:t>
      </w:r>
      <w:r>
        <w:rPr>
          <w:lang w:val="en-GB"/>
        </w:rPr>
        <w:t>-</w:t>
      </w:r>
      <w:r>
        <w:rPr>
          <w:rStyle w:val="hps"/>
          <w:lang w:val="en-GB"/>
        </w:rPr>
        <w:t>HIL-6</w:t>
      </w:r>
      <w:r>
        <w:rPr>
          <w:lang w:val="en-GB"/>
        </w:rPr>
        <w:t xml:space="preserve"> group and </w:t>
      </w:r>
      <w:r>
        <w:rPr>
          <w:rStyle w:val="hps"/>
          <w:lang w:val="en-GB"/>
        </w:rPr>
        <w:t xml:space="preserve">Ad-HGF group or between the model group (24 h: 260.07 </w:t>
      </w:r>
      <w:r>
        <w:rPr>
          <w:lang w:val="en-GB"/>
        </w:rPr>
        <w:t xml:space="preserve">± </w:t>
      </w:r>
      <w:r>
        <w:rPr>
          <w:rStyle w:val="hps"/>
          <w:lang w:val="en-GB"/>
        </w:rPr>
        <w:t>50.23</w:t>
      </w:r>
      <w:r>
        <w:rPr>
          <w:lang w:val="en-GB"/>
        </w:rPr>
        <w:t xml:space="preserve"> pg/m</w:t>
      </w:r>
      <w:r>
        <w:rPr>
          <w:caps/>
          <w:lang w:val="en-GB"/>
        </w:rPr>
        <w:t>L</w:t>
      </w:r>
      <w:r>
        <w:rPr>
          <w:lang w:val="en-GB"/>
        </w:rPr>
        <w:t>, 48 h: 356.86 ± 14.34 pg/m</w:t>
      </w:r>
      <w:r>
        <w:rPr>
          <w:caps/>
          <w:lang w:val="en-GB"/>
        </w:rPr>
        <w:t>L</w:t>
      </w:r>
      <w:r>
        <w:rPr>
          <w:lang w:val="en-GB"/>
        </w:rPr>
        <w:t>)</w:t>
      </w:r>
      <w:r>
        <w:rPr>
          <w:rStyle w:val="hps"/>
          <w:lang w:val="en-GB"/>
        </w:rPr>
        <w:t xml:space="preserve"> and </w:t>
      </w:r>
      <w:r>
        <w:rPr>
          <w:lang w:val="en-GB"/>
        </w:rPr>
        <w:t>Ad-GFP group</w:t>
      </w:r>
      <w:r>
        <w:rPr>
          <w:rStyle w:val="hps"/>
          <w:lang w:val="en-GB"/>
        </w:rPr>
        <w:t xml:space="preserve"> had no significant differences (</w:t>
      </w:r>
      <w:r>
        <w:rPr>
          <w:i/>
          <w:iCs/>
          <w:caps/>
          <w:lang w:val="en-GB"/>
        </w:rPr>
        <w:t>p &gt;</w:t>
      </w:r>
      <w:r>
        <w:rPr>
          <w:lang w:val="en-GB"/>
        </w:rPr>
        <w:t xml:space="preserve"> 0.05</w:t>
      </w:r>
      <w:r>
        <w:rPr>
          <w:rStyle w:val="hps"/>
          <w:lang w:val="en-GB"/>
        </w:rPr>
        <w:t>).</w:t>
      </w:r>
    </w:p>
    <w:p w:rsidR="003B56F5" w:rsidRPr="003F3CBC" w:rsidRDefault="003B56F5" w:rsidP="003B56F5">
      <w:pPr>
        <w:pStyle w:val="af2"/>
        <w:rPr>
          <w:lang w:val="en-US"/>
        </w:rPr>
      </w:pPr>
      <w:r w:rsidRPr="003F3CBC">
        <w:rPr>
          <w:lang w:val="en-US"/>
        </w:rPr>
        <w:lastRenderedPageBreak/>
        <w:t xml:space="preserve"> </w:t>
      </w:r>
    </w:p>
    <w:p w:rsidR="003B56F5" w:rsidRPr="003F3CBC" w:rsidRDefault="003B56F5" w:rsidP="003B56F5">
      <w:pPr>
        <w:pStyle w:val="af2"/>
        <w:rPr>
          <w:lang w:val="en-US"/>
        </w:rPr>
      </w:pPr>
      <w:r w:rsidRPr="003F3CBC">
        <w:rPr>
          <w:lang w:val="en-US"/>
        </w:rPr>
        <w:t xml:space="preserve">Effect of </w:t>
      </w:r>
      <w:r w:rsidRPr="003F3CBC">
        <w:rPr>
          <w:rStyle w:val="hps"/>
          <w:lang w:val="en-US"/>
        </w:rPr>
        <w:t>recombinant adenovirus</w:t>
      </w:r>
      <w:r w:rsidRPr="003F3CBC">
        <w:rPr>
          <w:lang w:val="en-US"/>
        </w:rPr>
        <w:t xml:space="preserve"> containing Hyper-IL-6 and HGF on liver histopathology and Ki67 expression</w:t>
      </w:r>
    </w:p>
    <w:p w:rsidR="003B56F5" w:rsidRDefault="003B56F5" w:rsidP="003B56F5">
      <w:pPr>
        <w:pStyle w:val="af1"/>
        <w:rPr>
          <w:lang w:val="en-GB"/>
        </w:rPr>
      </w:pPr>
      <w:r>
        <w:rPr>
          <w:lang w:val="en-GB"/>
        </w:rPr>
        <w:t xml:space="preserve">HE staining revealed neither the necrosis nor the degeneration of hepatic lobule in the liver samples of the control group (Figure 2). However, widespread necrosis was </w:t>
      </w:r>
      <w:r>
        <w:rPr>
          <w:spacing w:val="7"/>
        </w:rPr>
        <w:t>detecte</w:t>
      </w:r>
      <w:r>
        <w:rPr>
          <w:lang w:val="en-GB"/>
        </w:rPr>
        <w:t xml:space="preserve">d in the model and Ad-GFP groups, whereas histology of samples was significantly </w:t>
      </w:r>
      <w:r>
        <w:rPr>
          <w:spacing w:val="-9"/>
          <w:lang w:val="en-GB"/>
        </w:rPr>
        <w:t xml:space="preserve">ameliorated in rats of all of the </w:t>
      </w:r>
      <w:r>
        <w:rPr>
          <w:rStyle w:val="hps"/>
          <w:spacing w:val="-9"/>
          <w:lang w:val="en-GB"/>
        </w:rPr>
        <w:t xml:space="preserve">recombinant </w:t>
      </w:r>
      <w:r>
        <w:rPr>
          <w:rStyle w:val="hps"/>
          <w:lang w:val="en-GB"/>
        </w:rPr>
        <w:t xml:space="preserve">adenovirus </w:t>
      </w:r>
      <w:r>
        <w:rPr>
          <w:spacing w:val="-13"/>
          <w:lang w:val="en-GB"/>
        </w:rPr>
        <w:t>(not including Ad-GFP) treatment groups,</w:t>
      </w:r>
      <w:r>
        <w:rPr>
          <w:rStyle w:val="9875"/>
          <w:spacing w:val="-13"/>
          <w:lang w:val="en-GB"/>
        </w:rPr>
        <w:t xml:space="preserve"> </w:t>
      </w:r>
      <w:r>
        <w:rPr>
          <w:spacing w:val="-13"/>
          <w:lang w:val="en-GB"/>
        </w:rPr>
        <w:t xml:space="preserve">which displayed an </w:t>
      </w:r>
      <w:proofErr w:type="gramStart"/>
      <w:r>
        <w:rPr>
          <w:spacing w:val="-13"/>
          <w:lang w:val="en-GB"/>
        </w:rPr>
        <w:t>obvious</w:t>
      </w:r>
      <w:proofErr w:type="gramEnd"/>
      <w:r>
        <w:rPr>
          <w:spacing w:val="-13"/>
          <w:lang w:val="en-GB"/>
        </w:rPr>
        <w:t xml:space="preserve"> diminish of inflammatory cell </w:t>
      </w:r>
      <w:r>
        <w:rPr>
          <w:lang w:val="en-GB"/>
        </w:rPr>
        <w:t xml:space="preserve">infiltration, amelioration of </w:t>
      </w:r>
      <w:r>
        <w:t>liver cell</w:t>
      </w:r>
      <w:r>
        <w:rPr>
          <w:lang w:val="en-GB"/>
        </w:rPr>
        <w:t xml:space="preserve"> swelling, and less pyrenolysis.</w:t>
      </w:r>
      <w:r>
        <w:rPr>
          <w:rStyle w:val="hps"/>
          <w:lang w:val="en-GB"/>
        </w:rPr>
        <w:t xml:space="preserve"> These changes</w:t>
      </w:r>
      <w:r>
        <w:rPr>
          <w:rStyle w:val="shorttext"/>
          <w:lang w:val="en-GB"/>
        </w:rPr>
        <w:t xml:space="preserve"> </w:t>
      </w:r>
      <w:r>
        <w:rPr>
          <w:rStyle w:val="hps"/>
          <w:lang w:val="en-GB"/>
        </w:rPr>
        <w:t>were more obvious</w:t>
      </w:r>
      <w:r>
        <w:rPr>
          <w:rStyle w:val="shorttext"/>
          <w:lang w:val="en-GB"/>
        </w:rPr>
        <w:t xml:space="preserve"> </w:t>
      </w:r>
      <w:r>
        <w:rPr>
          <w:rStyle w:val="hps"/>
          <w:lang w:val="en-GB"/>
        </w:rPr>
        <w:t>in</w:t>
      </w:r>
      <w:r>
        <w:rPr>
          <w:rStyle w:val="shorttext"/>
          <w:lang w:val="en-GB"/>
        </w:rPr>
        <w:t xml:space="preserve"> </w:t>
      </w:r>
      <w:r>
        <w:rPr>
          <w:rStyle w:val="hps"/>
          <w:lang w:val="en-GB"/>
        </w:rPr>
        <w:t>the</w:t>
      </w:r>
      <w:r>
        <w:rPr>
          <w:rStyle w:val="shorttext"/>
          <w:lang w:val="en-GB"/>
        </w:rPr>
        <w:t xml:space="preserve"> </w:t>
      </w:r>
      <w:r>
        <w:rPr>
          <w:lang w:val="en-GB"/>
        </w:rPr>
        <w:t>Ad-HGF-HIL-6</w:t>
      </w:r>
      <w:r>
        <w:rPr>
          <w:rStyle w:val="hps"/>
          <w:lang w:val="en-GB"/>
        </w:rPr>
        <w:t xml:space="preserve"> group</w:t>
      </w:r>
      <w:r>
        <w:rPr>
          <w:lang w:val="en-GB"/>
        </w:rPr>
        <w:t>. The histopathological score comparison is presented in Figure 2.</w:t>
      </w:r>
    </w:p>
    <w:p w:rsidR="003B56F5" w:rsidRDefault="003B56F5" w:rsidP="003B56F5">
      <w:pPr>
        <w:pStyle w:val="1"/>
      </w:pPr>
      <w:r>
        <w:t>We stained the nuclear Ki67 of hepatocytes (Figure 3). As shown in Figure 3, the expression of Ki67 was higher in the Ad-</w:t>
      </w:r>
      <w:r>
        <w:rPr>
          <w:rStyle w:val="hps"/>
        </w:rPr>
        <w:t>HGF group</w:t>
      </w:r>
      <w:r>
        <w:t xml:space="preserve"> (</w:t>
      </w:r>
      <w:r>
        <w:rPr>
          <w:rStyle w:val="hps"/>
        </w:rPr>
        <w:t xml:space="preserve">24 h: </w:t>
      </w:r>
      <w:r>
        <w:t>6.27%; 48 h: 5.29%)</w:t>
      </w:r>
      <w:r>
        <w:rPr>
          <w:rStyle w:val="hps"/>
        </w:rPr>
        <w:t>,</w:t>
      </w:r>
      <w:r>
        <w:t xml:space="preserve"> Ad-</w:t>
      </w:r>
      <w:r>
        <w:rPr>
          <w:rStyle w:val="hps"/>
        </w:rPr>
        <w:t xml:space="preserve">HIL-6 group </w:t>
      </w:r>
      <w:r>
        <w:t>(</w:t>
      </w:r>
      <w:r>
        <w:rPr>
          <w:rStyle w:val="hps"/>
        </w:rPr>
        <w:t xml:space="preserve">24 h: </w:t>
      </w:r>
      <w:r>
        <w:t>5.94%; 48 h: 4.90%) and Ad-</w:t>
      </w:r>
      <w:r>
        <w:rPr>
          <w:rStyle w:val="hps"/>
        </w:rPr>
        <w:t>HGF</w:t>
      </w:r>
      <w:r>
        <w:t>-</w:t>
      </w:r>
      <w:r>
        <w:rPr>
          <w:rStyle w:val="hps"/>
        </w:rPr>
        <w:t xml:space="preserve">HIL-6 group </w:t>
      </w:r>
      <w:r>
        <w:t>(</w:t>
      </w:r>
      <w:r>
        <w:rPr>
          <w:rStyle w:val="hps"/>
        </w:rPr>
        <w:t xml:space="preserve">24 h: </w:t>
      </w:r>
      <w:r>
        <w:t>11.95%; 48 h: 9.10%) compared to the Ad-GFP group (</w:t>
      </w:r>
      <w:r>
        <w:rPr>
          <w:rStyle w:val="hps"/>
        </w:rPr>
        <w:t xml:space="preserve">24 h: </w:t>
      </w:r>
      <w:r>
        <w:t xml:space="preserve">0.17% ; 48 h: 0.11%; </w:t>
      </w:r>
      <w:r>
        <w:rPr>
          <w:i/>
          <w:iCs/>
          <w:caps/>
        </w:rPr>
        <w:t>p &lt;</w:t>
      </w:r>
      <w:r>
        <w:t xml:space="preserve"> 0.01) at 24 h and 48 h, and the expression of Ki67 was more predominant in the Ad-</w:t>
      </w:r>
      <w:r>
        <w:rPr>
          <w:rStyle w:val="hps"/>
        </w:rPr>
        <w:t>HGF</w:t>
      </w:r>
      <w:r>
        <w:t>-</w:t>
      </w:r>
      <w:r>
        <w:rPr>
          <w:rStyle w:val="hps"/>
        </w:rPr>
        <w:t>HIL-6</w:t>
      </w:r>
      <w:r>
        <w:t xml:space="preserve"> </w:t>
      </w:r>
      <w:r>
        <w:rPr>
          <w:rStyle w:val="hps"/>
        </w:rPr>
        <w:t>group at both two time points (</w:t>
      </w:r>
      <w:r>
        <w:rPr>
          <w:i/>
          <w:iCs/>
          <w:caps/>
        </w:rPr>
        <w:t>p &lt;</w:t>
      </w:r>
      <w:r>
        <w:t xml:space="preserve"> 0.05</w:t>
      </w:r>
      <w:r>
        <w:rPr>
          <w:rStyle w:val="hps"/>
        </w:rPr>
        <w:t>)</w:t>
      </w:r>
      <w:r>
        <w:t>. However, the expression of Ki67 in the model group (</w:t>
      </w:r>
      <w:r>
        <w:rPr>
          <w:rStyle w:val="hps"/>
        </w:rPr>
        <w:t xml:space="preserve">24 h: </w:t>
      </w:r>
      <w:r>
        <w:t xml:space="preserve">0.13%; 48 h: 0.09%) had no statistical significance compared to the Ad-GFP group </w:t>
      </w:r>
      <w:r>
        <w:rPr>
          <w:rStyle w:val="hps"/>
        </w:rPr>
        <w:t>at the two time points</w:t>
      </w:r>
      <w:r>
        <w:t xml:space="preserve"> (</w:t>
      </w:r>
      <w:r>
        <w:rPr>
          <w:i/>
          <w:iCs/>
          <w:caps/>
        </w:rPr>
        <w:t>p &gt;</w:t>
      </w:r>
      <w:r>
        <w:t xml:space="preserve"> 0.05).</w:t>
      </w:r>
    </w:p>
    <w:p w:rsidR="003B56F5" w:rsidRPr="003F3CBC" w:rsidRDefault="003B56F5" w:rsidP="003B56F5">
      <w:pPr>
        <w:pStyle w:val="af2"/>
        <w:rPr>
          <w:lang w:val="en-US"/>
        </w:rPr>
      </w:pPr>
    </w:p>
    <w:p w:rsidR="003B56F5" w:rsidRPr="003F3CBC" w:rsidRDefault="003B56F5" w:rsidP="003B56F5">
      <w:pPr>
        <w:pStyle w:val="af2"/>
        <w:rPr>
          <w:rFonts w:ascii="ArialNarrow-Italic" w:hAnsi="ArialNarrow-Italic" w:cs="ArialNarrow-Italic"/>
          <w:b w:val="0"/>
          <w:bCs w:val="0"/>
          <w:lang w:val="en-US"/>
        </w:rPr>
      </w:pPr>
      <w:r w:rsidRPr="003F3CBC">
        <w:rPr>
          <w:lang w:val="en-US"/>
        </w:rPr>
        <w:t xml:space="preserve">Effect of </w:t>
      </w:r>
      <w:r w:rsidRPr="003F3CBC">
        <w:rPr>
          <w:rStyle w:val="hps"/>
          <w:lang w:val="en-US"/>
        </w:rPr>
        <w:t>recombinant adenovirus</w:t>
      </w:r>
      <w:r w:rsidRPr="003F3CBC">
        <w:rPr>
          <w:lang w:val="en-US"/>
        </w:rPr>
        <w:t xml:space="preserve"> containing Hyper-IL-6 and HGF on hepatic apoptosis</w:t>
      </w:r>
    </w:p>
    <w:p w:rsidR="003B56F5" w:rsidRDefault="003B56F5" w:rsidP="003B56F5">
      <w:pPr>
        <w:pStyle w:val="af1"/>
      </w:pPr>
      <w:r>
        <w:t xml:space="preserve">As shown in Figure 4, TUNEL assay displayed that apoptotic cells had irregular and condensed </w:t>
      </w:r>
      <w:proofErr w:type="gramStart"/>
      <w:r>
        <w:t>nuclei,</w:t>
      </w:r>
      <w:proofErr w:type="gramEnd"/>
      <w:r>
        <w:t xml:space="preserve"> and the nuclei was brown-stained. Apoptosis could scarcely ever be detected in the liver tissue slices of the control group, while apoptosis increased in the model and</w:t>
      </w:r>
      <w:r>
        <w:rPr>
          <w:rStyle w:val="hps"/>
        </w:rPr>
        <w:t xml:space="preserve"> </w:t>
      </w:r>
      <w:r>
        <w:t xml:space="preserve">Ad-GFP groups. </w:t>
      </w:r>
      <w:r>
        <w:rPr>
          <w:rStyle w:val="hps"/>
        </w:rPr>
        <w:t xml:space="preserve">Recombinant adenovirus (except </w:t>
      </w:r>
      <w:r>
        <w:t>Ad-GFP</w:t>
      </w:r>
      <w:r>
        <w:rPr>
          <w:rStyle w:val="hps"/>
        </w:rPr>
        <w:t>)</w:t>
      </w:r>
      <w:r>
        <w:t xml:space="preserve"> administration dramatically reduced apoptotic rates compared to Ad-GFP. </w:t>
      </w:r>
    </w:p>
    <w:p w:rsidR="003B56F5" w:rsidRDefault="003B56F5" w:rsidP="003B56F5">
      <w:pPr>
        <w:pStyle w:val="1"/>
        <w:rPr>
          <w:lang w:val="en-GB"/>
        </w:rPr>
      </w:pPr>
      <w:r>
        <w:rPr>
          <w:spacing w:val="-11"/>
          <w:lang w:val="en-GB"/>
        </w:rPr>
        <w:t xml:space="preserve">The percentage of apoptotic hepatocytes significantly increased in the model group (24 h: </w:t>
      </w:r>
      <w:r>
        <w:rPr>
          <w:lang w:val="en-GB"/>
        </w:rPr>
        <w:t>16.8%; 48 h:</w:t>
      </w:r>
      <w:r>
        <w:t xml:space="preserve"> </w:t>
      </w:r>
      <w:r>
        <w:rPr>
          <w:lang w:val="en-GB"/>
        </w:rPr>
        <w:t>20.87%) compared to the control group (24 h: 0.14%, 48 h:</w:t>
      </w:r>
      <w:r>
        <w:t xml:space="preserve"> </w:t>
      </w:r>
      <w:r>
        <w:rPr>
          <w:lang w:val="en-GB"/>
        </w:rPr>
        <w:t xml:space="preserve">0.18%; </w:t>
      </w:r>
      <w:r>
        <w:rPr>
          <w:i/>
          <w:iCs/>
          <w:caps/>
          <w:lang w:val="en-GB"/>
        </w:rPr>
        <w:t>p &lt;</w:t>
      </w:r>
      <w:r>
        <w:rPr>
          <w:lang w:val="en-GB"/>
        </w:rPr>
        <w:t xml:space="preserve"> 0.01). In contrast, the apoptotic index</w:t>
      </w:r>
      <w:r>
        <w:rPr>
          <w:rStyle w:val="hps"/>
          <w:lang w:val="en-GB"/>
        </w:rPr>
        <w:t xml:space="preserve"> </w:t>
      </w:r>
      <w:r>
        <w:rPr>
          <w:lang w:val="en-GB"/>
        </w:rPr>
        <w:t>markedly decreased (</w:t>
      </w:r>
      <w:r>
        <w:rPr>
          <w:i/>
          <w:iCs/>
          <w:caps/>
          <w:lang w:val="en-GB"/>
        </w:rPr>
        <w:t>p &lt;</w:t>
      </w:r>
      <w:r>
        <w:rPr>
          <w:lang w:val="en-GB"/>
        </w:rPr>
        <w:t xml:space="preserve"> 0.01) in the Ad-</w:t>
      </w:r>
      <w:r>
        <w:rPr>
          <w:rStyle w:val="hps"/>
          <w:lang w:val="en-GB"/>
        </w:rPr>
        <w:t xml:space="preserve">HGF-HIL-6 </w:t>
      </w:r>
      <w:r>
        <w:rPr>
          <w:lang w:val="en-GB"/>
        </w:rPr>
        <w:t>(24 h: 2.18%; 48 h:</w:t>
      </w:r>
      <w:r>
        <w:t xml:space="preserve"> </w:t>
      </w:r>
      <w:r>
        <w:rPr>
          <w:lang w:val="en-GB"/>
        </w:rPr>
        <w:t>3.46%)</w:t>
      </w:r>
      <w:r>
        <w:rPr>
          <w:rStyle w:val="hps"/>
          <w:lang w:val="en-GB"/>
        </w:rPr>
        <w:t xml:space="preserve">, </w:t>
      </w:r>
      <w:r>
        <w:rPr>
          <w:lang w:val="en-GB"/>
        </w:rPr>
        <w:t>Ad-</w:t>
      </w:r>
      <w:r>
        <w:rPr>
          <w:rStyle w:val="hps"/>
          <w:lang w:val="en-GB"/>
        </w:rPr>
        <w:t xml:space="preserve">HIL-6 </w:t>
      </w:r>
      <w:r>
        <w:rPr>
          <w:lang w:val="en-GB"/>
        </w:rPr>
        <w:t>(24 h: 6.88%; 48 h:</w:t>
      </w:r>
      <w:r>
        <w:t xml:space="preserve"> </w:t>
      </w:r>
      <w:r>
        <w:rPr>
          <w:lang w:val="en-GB"/>
        </w:rPr>
        <w:t xml:space="preserve">7.98%) </w:t>
      </w:r>
      <w:r>
        <w:rPr>
          <w:rStyle w:val="hps"/>
          <w:lang w:val="en-GB"/>
        </w:rPr>
        <w:t xml:space="preserve">and Ad-HGF </w:t>
      </w:r>
      <w:r>
        <w:rPr>
          <w:lang w:val="en-GB"/>
        </w:rPr>
        <w:t>(24 h: 7.60%; 48 h:</w:t>
      </w:r>
      <w:r>
        <w:t xml:space="preserve"> </w:t>
      </w:r>
      <w:r>
        <w:rPr>
          <w:lang w:val="en-GB"/>
        </w:rPr>
        <w:t>8.35%)</w:t>
      </w:r>
      <w:r>
        <w:rPr>
          <w:rStyle w:val="hps"/>
          <w:lang w:val="en-GB"/>
        </w:rPr>
        <w:t xml:space="preserve"> groups</w:t>
      </w:r>
      <w:r>
        <w:rPr>
          <w:lang w:val="en-GB"/>
        </w:rPr>
        <w:t xml:space="preserve"> compared to the Ad-GFP group (24 h: 15.97%, 48 h:</w:t>
      </w:r>
      <w:r>
        <w:t xml:space="preserve"> </w:t>
      </w:r>
      <w:r>
        <w:rPr>
          <w:lang w:val="en-GB"/>
        </w:rPr>
        <w:t xml:space="preserve">21.13%; </w:t>
      </w:r>
      <w:r>
        <w:rPr>
          <w:i/>
          <w:iCs/>
          <w:caps/>
          <w:lang w:val="en-GB"/>
        </w:rPr>
        <w:t>p &lt;</w:t>
      </w:r>
      <w:r>
        <w:rPr>
          <w:lang w:val="en-GB"/>
        </w:rPr>
        <w:t xml:space="preserve"> 0.01). The lowest apoptotic rates were observed in the Ad-</w:t>
      </w:r>
      <w:r>
        <w:rPr>
          <w:rStyle w:val="hps"/>
          <w:lang w:val="en-GB"/>
        </w:rPr>
        <w:t>HGF</w:t>
      </w:r>
      <w:r>
        <w:rPr>
          <w:lang w:val="en-GB"/>
        </w:rPr>
        <w:t>-</w:t>
      </w:r>
      <w:r>
        <w:rPr>
          <w:rStyle w:val="hps"/>
          <w:lang w:val="en-GB"/>
        </w:rPr>
        <w:t>HIL-6 group (</w:t>
      </w:r>
      <w:r>
        <w:rPr>
          <w:i/>
          <w:iCs/>
          <w:caps/>
          <w:lang w:val="en-GB"/>
        </w:rPr>
        <w:t>p &lt;</w:t>
      </w:r>
      <w:r>
        <w:rPr>
          <w:lang w:val="en-GB"/>
        </w:rPr>
        <w:t xml:space="preserve"> 0.05)</w:t>
      </w:r>
      <w:r>
        <w:rPr>
          <w:rStyle w:val="hps"/>
          <w:lang w:val="en-GB"/>
        </w:rPr>
        <w:t>.</w:t>
      </w:r>
      <w:r>
        <w:rPr>
          <w:lang w:val="en-GB"/>
        </w:rPr>
        <w:t xml:space="preserve"> At the detected time points, there were no statistically significances (</w:t>
      </w:r>
      <w:r>
        <w:rPr>
          <w:i/>
          <w:iCs/>
          <w:caps/>
          <w:lang w:val="en-GB"/>
        </w:rPr>
        <w:t>p &gt;</w:t>
      </w:r>
      <w:r>
        <w:rPr>
          <w:lang w:val="en-GB"/>
        </w:rPr>
        <w:t xml:space="preserve"> 0.05) in the apoptotic index between the model and Ad-GFP groups.</w:t>
      </w:r>
    </w:p>
    <w:p w:rsidR="003B56F5" w:rsidRDefault="003B56F5" w:rsidP="003B56F5">
      <w:pPr>
        <w:pStyle w:val="1"/>
        <w:rPr>
          <w:lang w:val="en-GB"/>
        </w:rPr>
      </w:pPr>
      <w:r>
        <w:rPr>
          <w:lang w:val="en-GB"/>
        </w:rPr>
        <w:t xml:space="preserve">As shown </w:t>
      </w:r>
      <w:r>
        <w:rPr>
          <w:rStyle w:val="hps"/>
          <w:lang w:val="en-GB"/>
        </w:rPr>
        <w:t xml:space="preserve">in </w:t>
      </w:r>
      <w:r>
        <w:rPr>
          <w:lang w:val="en-GB"/>
        </w:rPr>
        <w:t>Figure</w:t>
      </w:r>
      <w:r>
        <w:rPr>
          <w:rStyle w:val="hps"/>
          <w:lang w:val="en-GB"/>
        </w:rPr>
        <w:t xml:space="preserve"> 5A and B and </w:t>
      </w:r>
      <w:r>
        <w:rPr>
          <w:lang w:val="en-GB"/>
        </w:rPr>
        <w:t>Figure</w:t>
      </w:r>
      <w:r>
        <w:rPr>
          <w:rStyle w:val="hps"/>
          <w:lang w:val="en-GB"/>
        </w:rPr>
        <w:t xml:space="preserve"> 6A-D, Bax and caspase-3 proteins in the </w:t>
      </w:r>
      <w:r>
        <w:rPr>
          <w:lang w:val="en-GB"/>
        </w:rPr>
        <w:t>model group</w:t>
      </w:r>
      <w:r>
        <w:rPr>
          <w:rStyle w:val="hps"/>
          <w:lang w:val="en-GB"/>
        </w:rPr>
        <w:t xml:space="preserve"> (1.23 </w:t>
      </w:r>
      <w:r>
        <w:rPr>
          <w:lang w:val="en-GB"/>
        </w:rPr>
        <w:t>±</w:t>
      </w:r>
      <w:r>
        <w:rPr>
          <w:rStyle w:val="hps"/>
          <w:lang w:val="en-GB"/>
        </w:rPr>
        <w:t xml:space="preserve"> 0.23; 0.67 </w:t>
      </w:r>
      <w:r>
        <w:rPr>
          <w:lang w:val="en-GB"/>
        </w:rPr>
        <w:t>±</w:t>
      </w:r>
      <w:r>
        <w:rPr>
          <w:rStyle w:val="hps"/>
          <w:lang w:val="en-GB"/>
        </w:rPr>
        <w:t xml:space="preserve"> 0.19)</w:t>
      </w:r>
      <w:r>
        <w:rPr>
          <w:lang w:val="en-GB"/>
        </w:rPr>
        <w:t xml:space="preserve"> </w:t>
      </w:r>
      <w:r>
        <w:rPr>
          <w:rStyle w:val="hps"/>
          <w:lang w:val="en-GB"/>
        </w:rPr>
        <w:t xml:space="preserve">were dramatically enhanced compared to the control group (0.97 </w:t>
      </w:r>
      <w:r>
        <w:rPr>
          <w:lang w:val="en-GB"/>
        </w:rPr>
        <w:t>±</w:t>
      </w:r>
      <w:r>
        <w:rPr>
          <w:rStyle w:val="hps"/>
          <w:lang w:val="en-GB"/>
        </w:rPr>
        <w:t xml:space="preserve"> 0.20, 0.15 </w:t>
      </w:r>
      <w:r>
        <w:rPr>
          <w:lang w:val="en-GB"/>
        </w:rPr>
        <w:t>±</w:t>
      </w:r>
      <w:r>
        <w:rPr>
          <w:rStyle w:val="hps"/>
          <w:lang w:val="en-GB"/>
        </w:rPr>
        <w:t xml:space="preserve"> 0.14; </w:t>
      </w:r>
      <w:r>
        <w:rPr>
          <w:i/>
          <w:iCs/>
          <w:caps/>
          <w:lang w:val="en-GB"/>
        </w:rPr>
        <w:t>p &lt;</w:t>
      </w:r>
      <w:r>
        <w:rPr>
          <w:lang w:val="en-GB"/>
        </w:rPr>
        <w:t xml:space="preserve"> 0.01), however, there was no statistically significance between the model group and Ad-GFP</w:t>
      </w:r>
      <w:r>
        <w:rPr>
          <w:rStyle w:val="shorttext"/>
          <w:lang w:val="en-GB"/>
        </w:rPr>
        <w:t xml:space="preserve"> </w:t>
      </w:r>
      <w:r>
        <w:rPr>
          <w:rStyle w:val="hps"/>
          <w:lang w:val="en-GB"/>
        </w:rPr>
        <w:t xml:space="preserve">group (1.21 </w:t>
      </w:r>
      <w:r>
        <w:rPr>
          <w:lang w:val="en-GB"/>
        </w:rPr>
        <w:t>±</w:t>
      </w:r>
      <w:r>
        <w:rPr>
          <w:rStyle w:val="hps"/>
          <w:lang w:val="en-GB"/>
        </w:rPr>
        <w:t xml:space="preserve"> 0.20; 0.68 </w:t>
      </w:r>
      <w:r>
        <w:rPr>
          <w:lang w:val="en-GB"/>
        </w:rPr>
        <w:t>±</w:t>
      </w:r>
      <w:r>
        <w:rPr>
          <w:rStyle w:val="hps"/>
          <w:lang w:val="en-GB"/>
        </w:rPr>
        <w:t xml:space="preserve"> 0.31, </w:t>
      </w:r>
      <w:r>
        <w:rPr>
          <w:i/>
          <w:iCs/>
          <w:caps/>
          <w:lang w:val="en-GB"/>
        </w:rPr>
        <w:t>p &gt;</w:t>
      </w:r>
      <w:r>
        <w:rPr>
          <w:lang w:val="en-GB"/>
        </w:rPr>
        <w:t xml:space="preserve"> </w:t>
      </w:r>
      <w:r>
        <w:rPr>
          <w:rStyle w:val="hps"/>
          <w:lang w:val="en-GB"/>
        </w:rPr>
        <w:t xml:space="preserve">0.05). The Ad-HIL-6 (1.18 </w:t>
      </w:r>
      <w:r>
        <w:rPr>
          <w:lang w:val="en-GB"/>
        </w:rPr>
        <w:t>±</w:t>
      </w:r>
      <w:r>
        <w:rPr>
          <w:rStyle w:val="hps"/>
          <w:lang w:val="en-GB"/>
        </w:rPr>
        <w:t xml:space="preserve"> 0.21; 0.40 </w:t>
      </w:r>
      <w:r>
        <w:rPr>
          <w:lang w:val="en-GB"/>
        </w:rPr>
        <w:t>±</w:t>
      </w:r>
      <w:r>
        <w:rPr>
          <w:rStyle w:val="hps"/>
          <w:lang w:val="en-GB"/>
        </w:rPr>
        <w:t xml:space="preserve"> 0.21) and</w:t>
      </w:r>
      <w:r>
        <w:rPr>
          <w:lang w:val="en-GB"/>
        </w:rPr>
        <w:t xml:space="preserve"> Ad-</w:t>
      </w:r>
      <w:r>
        <w:rPr>
          <w:rStyle w:val="hps"/>
          <w:lang w:val="en-GB"/>
        </w:rPr>
        <w:t xml:space="preserve">HGF-HIL-6 (1.01 </w:t>
      </w:r>
      <w:r>
        <w:rPr>
          <w:lang w:val="en-GB"/>
        </w:rPr>
        <w:t>±</w:t>
      </w:r>
      <w:r>
        <w:rPr>
          <w:rStyle w:val="hps"/>
          <w:lang w:val="en-GB"/>
        </w:rPr>
        <w:t xml:space="preserve"> 0.12; 0.25 </w:t>
      </w:r>
      <w:r>
        <w:rPr>
          <w:lang w:val="en-GB"/>
        </w:rPr>
        <w:t>±</w:t>
      </w:r>
      <w:r>
        <w:rPr>
          <w:rStyle w:val="hps"/>
          <w:lang w:val="en-GB"/>
        </w:rPr>
        <w:t xml:space="preserve"> 0.14) treatments evidently decreased the levels of Bax and caspase-3 proteins compared to </w:t>
      </w:r>
      <w:r>
        <w:rPr>
          <w:lang w:val="en-GB"/>
        </w:rPr>
        <w:t>Ad-GFP</w:t>
      </w:r>
      <w:r>
        <w:rPr>
          <w:rStyle w:val="hps"/>
          <w:lang w:val="en-GB"/>
        </w:rPr>
        <w:t xml:space="preserve"> (</w:t>
      </w:r>
      <w:r>
        <w:rPr>
          <w:i/>
          <w:iCs/>
          <w:caps/>
          <w:lang w:val="en-GB"/>
        </w:rPr>
        <w:t>p &lt;</w:t>
      </w:r>
      <w:r>
        <w:rPr>
          <w:lang w:val="en-GB"/>
        </w:rPr>
        <w:t xml:space="preserve"> 0.05), and the effect of Ad-</w:t>
      </w:r>
      <w:r>
        <w:rPr>
          <w:rStyle w:val="hps"/>
          <w:lang w:val="en-GB"/>
        </w:rPr>
        <w:t>HGF-HIL-6 treatment was more obvious (</w:t>
      </w:r>
      <w:r>
        <w:rPr>
          <w:i/>
          <w:iCs/>
          <w:caps/>
          <w:lang w:val="en-GB"/>
        </w:rPr>
        <w:t>p &lt;</w:t>
      </w:r>
      <w:r>
        <w:rPr>
          <w:lang w:val="en-GB"/>
        </w:rPr>
        <w:t xml:space="preserve"> 0.05</w:t>
      </w:r>
      <w:r>
        <w:rPr>
          <w:rStyle w:val="hps"/>
          <w:lang w:val="en-GB"/>
        </w:rPr>
        <w:t>).</w:t>
      </w:r>
      <w:r>
        <w:rPr>
          <w:lang w:val="en-GB"/>
        </w:rPr>
        <w:t xml:space="preserve"> </w:t>
      </w:r>
      <w:r>
        <w:rPr>
          <w:rStyle w:val="hps"/>
          <w:lang w:val="en-GB"/>
        </w:rPr>
        <w:t>The levels of Bax protein</w:t>
      </w:r>
      <w:r>
        <w:rPr>
          <w:lang w:val="en-GB"/>
        </w:rPr>
        <w:t xml:space="preserve"> in the Ad-</w:t>
      </w:r>
      <w:r>
        <w:rPr>
          <w:rStyle w:val="hps"/>
          <w:lang w:val="en-GB"/>
        </w:rPr>
        <w:t xml:space="preserve">HGF group were lower than those of the </w:t>
      </w:r>
      <w:r>
        <w:rPr>
          <w:lang w:val="en-GB"/>
        </w:rPr>
        <w:t>Ad-GFP</w:t>
      </w:r>
      <w:r>
        <w:rPr>
          <w:rStyle w:val="hps"/>
          <w:lang w:val="en-GB"/>
        </w:rPr>
        <w:t xml:space="preserve"> group (1.12 </w:t>
      </w:r>
      <w:r>
        <w:rPr>
          <w:lang w:val="en-GB"/>
        </w:rPr>
        <w:t>±</w:t>
      </w:r>
      <w:r>
        <w:rPr>
          <w:rStyle w:val="hps"/>
          <w:lang w:val="en-GB"/>
        </w:rPr>
        <w:t xml:space="preserve"> 0.27, </w:t>
      </w:r>
      <w:r>
        <w:rPr>
          <w:i/>
          <w:iCs/>
          <w:caps/>
          <w:lang w:val="en-GB"/>
        </w:rPr>
        <w:t>p &lt;</w:t>
      </w:r>
      <w:r>
        <w:rPr>
          <w:lang w:val="en-GB"/>
        </w:rPr>
        <w:t xml:space="preserve"> 0.01)</w:t>
      </w:r>
      <w:r>
        <w:rPr>
          <w:rStyle w:val="hps"/>
          <w:lang w:val="en-GB"/>
        </w:rPr>
        <w:t xml:space="preserve"> but </w:t>
      </w:r>
      <w:r>
        <w:rPr>
          <w:lang w:val="en-GB"/>
        </w:rPr>
        <w:t>significantly</w:t>
      </w:r>
      <w:r>
        <w:rPr>
          <w:rStyle w:val="hps"/>
          <w:lang w:val="en-GB"/>
        </w:rPr>
        <w:t xml:space="preserve"> higher than those of the </w:t>
      </w:r>
      <w:r>
        <w:rPr>
          <w:lang w:val="en-GB"/>
        </w:rPr>
        <w:t>Ad-</w:t>
      </w:r>
      <w:r>
        <w:rPr>
          <w:rStyle w:val="hps"/>
          <w:lang w:val="en-GB"/>
        </w:rPr>
        <w:t>HGF</w:t>
      </w:r>
      <w:r>
        <w:rPr>
          <w:lang w:val="en-GB"/>
        </w:rPr>
        <w:t>-</w:t>
      </w:r>
      <w:r>
        <w:rPr>
          <w:rStyle w:val="hps"/>
          <w:lang w:val="en-GB"/>
        </w:rPr>
        <w:t>HIL-6 group (</w:t>
      </w:r>
      <w:r>
        <w:rPr>
          <w:i/>
          <w:iCs/>
          <w:caps/>
          <w:lang w:val="en-GB"/>
        </w:rPr>
        <w:t>p &lt;</w:t>
      </w:r>
      <w:r>
        <w:rPr>
          <w:lang w:val="en-GB"/>
        </w:rPr>
        <w:t xml:space="preserve"> 0.05</w:t>
      </w:r>
      <w:r>
        <w:rPr>
          <w:rStyle w:val="hps"/>
          <w:lang w:val="en-GB"/>
        </w:rPr>
        <w:t>). However,</w:t>
      </w:r>
      <w:r>
        <w:rPr>
          <w:lang w:val="en-GB"/>
        </w:rPr>
        <w:t xml:space="preserve"> Ad-</w:t>
      </w:r>
      <w:r>
        <w:rPr>
          <w:rStyle w:val="hps"/>
          <w:lang w:val="en-GB"/>
        </w:rPr>
        <w:t>HGF treatment</w:t>
      </w:r>
      <w:r>
        <w:rPr>
          <w:lang w:val="en-GB"/>
        </w:rPr>
        <w:t xml:space="preserve"> failed to </w:t>
      </w:r>
      <w:r>
        <w:rPr>
          <w:rStyle w:val="hps"/>
          <w:lang w:val="en-GB"/>
        </w:rPr>
        <w:t>decrease</w:t>
      </w:r>
      <w:r>
        <w:rPr>
          <w:lang w:val="en-GB"/>
        </w:rPr>
        <w:t xml:space="preserve"> the expression of</w:t>
      </w:r>
      <w:r>
        <w:rPr>
          <w:rStyle w:val="hps"/>
          <w:lang w:val="en-GB"/>
        </w:rPr>
        <w:t xml:space="preserve"> caspase-3 protein</w:t>
      </w:r>
      <w:r>
        <w:rPr>
          <w:lang w:val="en-GB"/>
        </w:rPr>
        <w:t xml:space="preserve"> levels</w:t>
      </w:r>
      <w:r>
        <w:rPr>
          <w:rStyle w:val="hps"/>
          <w:lang w:val="en-GB"/>
        </w:rPr>
        <w:t xml:space="preserve"> (0.59 </w:t>
      </w:r>
      <w:r>
        <w:rPr>
          <w:lang w:val="en-GB"/>
        </w:rPr>
        <w:t>±</w:t>
      </w:r>
      <w:r>
        <w:rPr>
          <w:rStyle w:val="hps"/>
          <w:lang w:val="en-GB"/>
        </w:rPr>
        <w:t xml:space="preserve"> 0.22</w:t>
      </w:r>
      <w:r>
        <w:rPr>
          <w:lang w:val="en-GB"/>
        </w:rPr>
        <w:t>)</w:t>
      </w:r>
      <w:r>
        <w:rPr>
          <w:rStyle w:val="hps"/>
          <w:lang w:val="en-GB"/>
        </w:rPr>
        <w:t xml:space="preserve"> compared to </w:t>
      </w:r>
      <w:r>
        <w:rPr>
          <w:lang w:val="en-GB"/>
        </w:rPr>
        <w:t>Ad-GFP</w:t>
      </w:r>
      <w:r>
        <w:rPr>
          <w:rStyle w:val="hps"/>
          <w:lang w:val="en-GB"/>
        </w:rPr>
        <w:t xml:space="preserve"> (</w:t>
      </w:r>
      <w:r>
        <w:rPr>
          <w:i/>
          <w:iCs/>
          <w:caps/>
          <w:lang w:val="en-GB"/>
        </w:rPr>
        <w:t>p &gt;</w:t>
      </w:r>
      <w:r>
        <w:rPr>
          <w:lang w:val="en-GB"/>
        </w:rPr>
        <w:t xml:space="preserve"> 0.05</w:t>
      </w:r>
      <w:r>
        <w:rPr>
          <w:rStyle w:val="hps"/>
          <w:lang w:val="en-GB"/>
        </w:rPr>
        <w:t xml:space="preserve">). Bcl-2 protein of the </w:t>
      </w:r>
      <w:r>
        <w:rPr>
          <w:lang w:val="en-GB"/>
        </w:rPr>
        <w:t xml:space="preserve">model group (0.24 ± 0.03) </w:t>
      </w:r>
      <w:r>
        <w:rPr>
          <w:rStyle w:val="hps"/>
          <w:lang w:val="en-GB"/>
        </w:rPr>
        <w:t xml:space="preserve">was remarkably lower than that of the control group (1.85 </w:t>
      </w:r>
      <w:r>
        <w:rPr>
          <w:lang w:val="en-GB"/>
        </w:rPr>
        <w:t xml:space="preserve">± 0.40, </w:t>
      </w:r>
      <w:r>
        <w:rPr>
          <w:i/>
          <w:iCs/>
          <w:caps/>
          <w:lang w:val="en-GB"/>
        </w:rPr>
        <w:t>p &lt;</w:t>
      </w:r>
      <w:r>
        <w:rPr>
          <w:lang w:val="en-GB"/>
        </w:rPr>
        <w:t xml:space="preserve"> 0.01).</w:t>
      </w:r>
      <w:r>
        <w:rPr>
          <w:rStyle w:val="hps"/>
          <w:lang w:val="en-GB"/>
        </w:rPr>
        <w:t xml:space="preserve"> The </w:t>
      </w:r>
      <w:r>
        <w:rPr>
          <w:lang w:val="en-GB"/>
        </w:rPr>
        <w:t>Ad-</w:t>
      </w:r>
      <w:r>
        <w:rPr>
          <w:rStyle w:val="hps"/>
          <w:lang w:val="en-GB"/>
        </w:rPr>
        <w:t xml:space="preserve">HIL-6 (0.54 </w:t>
      </w:r>
      <w:r>
        <w:rPr>
          <w:lang w:val="en-GB"/>
        </w:rPr>
        <w:t>± 0.19</w:t>
      </w:r>
      <w:r>
        <w:rPr>
          <w:rStyle w:val="hps"/>
          <w:lang w:val="en-GB"/>
        </w:rPr>
        <w:t xml:space="preserve">), Ad-HGF (0.81 </w:t>
      </w:r>
      <w:r>
        <w:rPr>
          <w:lang w:val="en-GB"/>
        </w:rPr>
        <w:t>± 0.20</w:t>
      </w:r>
      <w:r>
        <w:rPr>
          <w:rStyle w:val="hps"/>
          <w:lang w:val="en-GB"/>
        </w:rPr>
        <w:t>) and</w:t>
      </w:r>
      <w:r>
        <w:rPr>
          <w:lang w:val="en-GB"/>
        </w:rPr>
        <w:t xml:space="preserve"> Ad-</w:t>
      </w:r>
      <w:r>
        <w:rPr>
          <w:rStyle w:val="hps"/>
          <w:lang w:val="en-GB"/>
        </w:rPr>
        <w:t>HIL-6</w:t>
      </w:r>
      <w:r>
        <w:rPr>
          <w:lang w:val="en-GB"/>
        </w:rPr>
        <w:t>-</w:t>
      </w:r>
      <w:r>
        <w:rPr>
          <w:rStyle w:val="hps"/>
          <w:lang w:val="en-GB"/>
        </w:rPr>
        <w:t xml:space="preserve">HGF (0.93 </w:t>
      </w:r>
      <w:r>
        <w:rPr>
          <w:lang w:val="en-GB"/>
        </w:rPr>
        <w:t>± 0.41</w:t>
      </w:r>
      <w:r>
        <w:rPr>
          <w:rStyle w:val="hps"/>
          <w:lang w:val="en-GB"/>
        </w:rPr>
        <w:t xml:space="preserve">) treatments dramatically enhanced Bcl-2 protein expression compared to </w:t>
      </w:r>
      <w:r>
        <w:rPr>
          <w:lang w:val="en-GB"/>
        </w:rPr>
        <w:t>Ad-GFP</w:t>
      </w:r>
      <w:r>
        <w:rPr>
          <w:rStyle w:val="hps"/>
          <w:lang w:val="en-GB"/>
        </w:rPr>
        <w:t xml:space="preserve"> (</w:t>
      </w:r>
      <w:r>
        <w:rPr>
          <w:i/>
          <w:iCs/>
          <w:caps/>
          <w:lang w:val="en-GB"/>
        </w:rPr>
        <w:t>p &lt;</w:t>
      </w:r>
      <w:r>
        <w:rPr>
          <w:lang w:val="en-GB"/>
        </w:rPr>
        <w:t xml:space="preserve"> 0.01), and the effect of Ad-</w:t>
      </w:r>
      <w:r>
        <w:rPr>
          <w:rStyle w:val="hps"/>
          <w:lang w:val="en-GB"/>
        </w:rPr>
        <w:t>HGF-HIL-6 was more obvious (</w:t>
      </w:r>
      <w:r>
        <w:rPr>
          <w:i/>
          <w:iCs/>
          <w:caps/>
          <w:lang w:val="en-GB"/>
        </w:rPr>
        <w:t>p &lt;</w:t>
      </w:r>
      <w:r>
        <w:rPr>
          <w:lang w:val="en-GB"/>
        </w:rPr>
        <w:t xml:space="preserve"> 0.05</w:t>
      </w:r>
      <w:r>
        <w:rPr>
          <w:rStyle w:val="hps"/>
          <w:lang w:val="en-GB"/>
        </w:rPr>
        <w:t xml:space="preserve">). The trends of </w:t>
      </w:r>
      <w:r>
        <w:rPr>
          <w:rStyle w:val="hps"/>
          <w:lang w:val="en-GB"/>
        </w:rPr>
        <w:lastRenderedPageBreak/>
        <w:t xml:space="preserve">Bcl-2/Bax (protein levels; ratio) in each group were consistent with those of Bcl-2. </w:t>
      </w:r>
      <w:r>
        <w:rPr>
          <w:lang w:val="en-GB"/>
        </w:rPr>
        <w:t>In addition,</w:t>
      </w:r>
      <w:r>
        <w:rPr>
          <w:rStyle w:val="hps"/>
          <w:lang w:val="en-GB"/>
        </w:rPr>
        <w:t xml:space="preserve"> Bcl-2 protein and Bcl-2/Bax </w:t>
      </w:r>
      <w:r>
        <w:rPr>
          <w:lang w:val="en-GB"/>
        </w:rPr>
        <w:t xml:space="preserve">displayed no statistical discrepancy between the model and Ad-GFP </w:t>
      </w:r>
      <w:r>
        <w:rPr>
          <w:rStyle w:val="hps"/>
          <w:lang w:val="en-GB"/>
        </w:rPr>
        <w:t>groups</w:t>
      </w:r>
      <w:r>
        <w:rPr>
          <w:lang w:val="en-GB"/>
        </w:rPr>
        <w:t xml:space="preserve"> (</w:t>
      </w:r>
      <w:r>
        <w:rPr>
          <w:i/>
          <w:iCs/>
          <w:caps/>
          <w:lang w:val="en-GB"/>
        </w:rPr>
        <w:t>p &gt;</w:t>
      </w:r>
      <w:r>
        <w:rPr>
          <w:lang w:val="en-GB"/>
        </w:rPr>
        <w:t xml:space="preserve"> 0.05).</w:t>
      </w:r>
    </w:p>
    <w:p w:rsidR="003B56F5" w:rsidRPr="003F3CBC" w:rsidRDefault="003B56F5" w:rsidP="003B56F5">
      <w:pPr>
        <w:pStyle w:val="af2"/>
        <w:rPr>
          <w:rStyle w:val="hps"/>
          <w:lang w:val="en-US"/>
        </w:rPr>
      </w:pPr>
    </w:p>
    <w:p w:rsidR="003B56F5" w:rsidRPr="003F3CBC" w:rsidRDefault="003B56F5" w:rsidP="003B56F5">
      <w:pPr>
        <w:pStyle w:val="af2"/>
        <w:rPr>
          <w:rStyle w:val="hps"/>
          <w:lang w:val="en-US"/>
        </w:rPr>
      </w:pPr>
      <w:r w:rsidRPr="003F3CBC">
        <w:rPr>
          <w:rStyle w:val="hps"/>
          <w:lang w:val="en-US"/>
        </w:rPr>
        <w:t>Hyper-IL-6 and HGF gene expression</w:t>
      </w:r>
    </w:p>
    <w:p w:rsidR="003B56F5" w:rsidRDefault="003B56F5" w:rsidP="003B56F5">
      <w:pPr>
        <w:pStyle w:val="af1"/>
      </w:pPr>
      <w:r>
        <w:t xml:space="preserve">As shown in Figure 7, real-time quantitative PCR revealed that the expression of </w:t>
      </w:r>
      <w:r>
        <w:rPr>
          <w:rStyle w:val="hps"/>
        </w:rPr>
        <w:t xml:space="preserve">HIL-6 or HGF </w:t>
      </w:r>
      <w:r>
        <w:t>mRNA in the liver samples in the Ad-</w:t>
      </w:r>
      <w:r>
        <w:rPr>
          <w:rStyle w:val="hps"/>
        </w:rPr>
        <w:t xml:space="preserve">HIL-6 or Ad-HGF </w:t>
      </w:r>
      <w:r>
        <w:t>group</w:t>
      </w:r>
      <w:r>
        <w:rPr>
          <w:rStyle w:val="hps"/>
        </w:rPr>
        <w:t xml:space="preserve"> </w:t>
      </w:r>
      <w:r>
        <w:t xml:space="preserve">had </w:t>
      </w:r>
      <w:r>
        <w:rPr>
          <w:rStyle w:val="hps"/>
        </w:rPr>
        <w:t>no</w:t>
      </w:r>
      <w:r>
        <w:rPr>
          <w:rStyle w:val="shorttext"/>
        </w:rPr>
        <w:t xml:space="preserve"> </w:t>
      </w:r>
      <w:r>
        <w:rPr>
          <w:rStyle w:val="hps"/>
        </w:rPr>
        <w:t>significant difference compared to the</w:t>
      </w:r>
      <w:r>
        <w:rPr>
          <w:rStyle w:val="shorttext"/>
        </w:rPr>
        <w:t xml:space="preserve"> </w:t>
      </w:r>
      <w:r>
        <w:t>Ad-</w:t>
      </w:r>
      <w:r>
        <w:rPr>
          <w:rStyle w:val="hps"/>
        </w:rPr>
        <w:t>HGF</w:t>
      </w:r>
      <w:r>
        <w:t>-</w:t>
      </w:r>
      <w:r>
        <w:rPr>
          <w:rStyle w:val="hps"/>
        </w:rPr>
        <w:t>HIL-6</w:t>
      </w:r>
      <w:r>
        <w:t xml:space="preserve"> </w:t>
      </w:r>
      <w:r>
        <w:rPr>
          <w:rStyle w:val="hps"/>
        </w:rPr>
        <w:t xml:space="preserve">group </w:t>
      </w:r>
      <w:r>
        <w:t>(</w:t>
      </w:r>
      <w:r>
        <w:rPr>
          <w:rStyle w:val="hps"/>
        </w:rPr>
        <w:t>HIL-6:</w:t>
      </w:r>
      <w:r>
        <w:t xml:space="preserve"> 4.27 ± 3.69 </w:t>
      </w:r>
      <w:r>
        <w:rPr>
          <w:i/>
          <w:iCs/>
        </w:rPr>
        <w:t>vs</w:t>
      </w:r>
      <w:r>
        <w:t xml:space="preserve"> 4.92 ± 1.34,</w:t>
      </w:r>
      <w:r>
        <w:rPr>
          <w:rStyle w:val="hps"/>
        </w:rPr>
        <w:t xml:space="preserve"> HGF:</w:t>
      </w:r>
      <w:r>
        <w:t xml:space="preserve"> 1.68 ± 5.13 </w:t>
      </w:r>
      <w:r>
        <w:rPr>
          <w:i/>
          <w:iCs/>
        </w:rPr>
        <w:t>vs</w:t>
      </w:r>
      <w:r>
        <w:t xml:space="preserve"> 2.56 ± 7.79; </w:t>
      </w:r>
      <w:r>
        <w:rPr>
          <w:i/>
          <w:iCs/>
          <w:caps/>
        </w:rPr>
        <w:t>p &gt;</w:t>
      </w:r>
      <w:r>
        <w:t xml:space="preserve"> 0.05)</w:t>
      </w:r>
      <w:r>
        <w:rPr>
          <w:rStyle w:val="hps"/>
        </w:rPr>
        <w:t xml:space="preserve"> and had a very small intersection of false-positive </w:t>
      </w:r>
      <w:r>
        <w:t>expression in the control (</w:t>
      </w:r>
      <w:r>
        <w:rPr>
          <w:rStyle w:val="hps"/>
        </w:rPr>
        <w:t>HIL-6: 1.02</w:t>
      </w:r>
      <w:r>
        <w:t xml:space="preserve"> ± 0.27, </w:t>
      </w:r>
      <w:r>
        <w:rPr>
          <w:rStyle w:val="hps"/>
        </w:rPr>
        <w:t>HGF: 1.01</w:t>
      </w:r>
      <w:r>
        <w:t xml:space="preserve"> ± 0.21;</w:t>
      </w:r>
      <w:r>
        <w:rPr>
          <w:i/>
          <w:iCs/>
        </w:rPr>
        <w:t xml:space="preserve"> </w:t>
      </w:r>
      <w:r>
        <w:rPr>
          <w:i/>
          <w:iCs/>
          <w:caps/>
        </w:rPr>
        <w:t>p &lt;</w:t>
      </w:r>
      <w:r>
        <w:t xml:space="preserve"> 0.01), model (</w:t>
      </w:r>
      <w:r>
        <w:rPr>
          <w:rStyle w:val="hps"/>
        </w:rPr>
        <w:t>HIL-6: 0.64</w:t>
      </w:r>
      <w:r>
        <w:t xml:space="preserve"> ± 0.28, </w:t>
      </w:r>
      <w:r>
        <w:rPr>
          <w:rStyle w:val="hps"/>
        </w:rPr>
        <w:t>HGF: 0.57</w:t>
      </w:r>
      <w:r>
        <w:t xml:space="preserve"> ± 0.04; </w:t>
      </w:r>
      <w:r>
        <w:rPr>
          <w:i/>
          <w:iCs/>
          <w:caps/>
        </w:rPr>
        <w:t>p &lt;</w:t>
      </w:r>
      <w:r>
        <w:t xml:space="preserve"> 0.01), Ad-GFP (</w:t>
      </w:r>
      <w:r>
        <w:rPr>
          <w:rStyle w:val="hps"/>
        </w:rPr>
        <w:t>HIL-6:</w:t>
      </w:r>
      <w:r>
        <w:t xml:space="preserve"> 1.08 ± 0.15, </w:t>
      </w:r>
      <w:r>
        <w:rPr>
          <w:rStyle w:val="hps"/>
        </w:rPr>
        <w:t>HGF:</w:t>
      </w:r>
      <w:r>
        <w:t xml:space="preserve"> 0.64 ± 0.16; </w:t>
      </w:r>
      <w:r>
        <w:rPr>
          <w:i/>
          <w:iCs/>
          <w:caps/>
        </w:rPr>
        <w:t>p &lt;</w:t>
      </w:r>
      <w:r>
        <w:t xml:space="preserve"> 0.01),</w:t>
      </w:r>
      <w:r>
        <w:rPr>
          <w:rStyle w:val="hps"/>
        </w:rPr>
        <w:t xml:space="preserve"> HIL-6</w:t>
      </w:r>
      <w:r>
        <w:t xml:space="preserve"> (</w:t>
      </w:r>
      <w:r>
        <w:rPr>
          <w:rStyle w:val="hps"/>
        </w:rPr>
        <w:t>HGF:</w:t>
      </w:r>
      <w:r>
        <w:t xml:space="preserve"> 0.63 ± 0.25; </w:t>
      </w:r>
      <w:r>
        <w:rPr>
          <w:i/>
          <w:iCs/>
          <w:caps/>
        </w:rPr>
        <w:t>p &lt;</w:t>
      </w:r>
      <w:r>
        <w:t xml:space="preserve"> 0.01)</w:t>
      </w:r>
      <w:r>
        <w:rPr>
          <w:rStyle w:val="hps"/>
        </w:rPr>
        <w:t xml:space="preserve"> and HGF</w:t>
      </w:r>
      <w:r>
        <w:t xml:space="preserve"> (</w:t>
      </w:r>
      <w:r>
        <w:rPr>
          <w:rStyle w:val="hps"/>
        </w:rPr>
        <w:t>HIL-6:</w:t>
      </w:r>
      <w:r>
        <w:t xml:space="preserve"> 0.49 ± 0.01; </w:t>
      </w:r>
      <w:r>
        <w:rPr>
          <w:i/>
          <w:iCs/>
          <w:caps/>
        </w:rPr>
        <w:t>p &lt;</w:t>
      </w:r>
      <w:r>
        <w:t xml:space="preserve"> 0.01) groups. </w:t>
      </w:r>
    </w:p>
    <w:p w:rsidR="003B56F5" w:rsidRPr="003F3CBC" w:rsidRDefault="003B56F5" w:rsidP="003B56F5">
      <w:pPr>
        <w:pStyle w:val="af2"/>
        <w:rPr>
          <w:lang w:val="en-US"/>
        </w:rPr>
      </w:pPr>
    </w:p>
    <w:p w:rsidR="003B56F5" w:rsidRPr="003F3CBC" w:rsidRDefault="003B56F5" w:rsidP="003B56F5">
      <w:pPr>
        <w:pStyle w:val="af2"/>
        <w:rPr>
          <w:lang w:val="en-US"/>
        </w:rPr>
      </w:pPr>
      <w:r w:rsidRPr="003F3CBC">
        <w:rPr>
          <w:lang w:val="en-US"/>
        </w:rPr>
        <w:t xml:space="preserve">Effect of </w:t>
      </w:r>
      <w:r w:rsidRPr="003F3CBC">
        <w:rPr>
          <w:rStyle w:val="hps"/>
          <w:lang w:val="en-US"/>
        </w:rPr>
        <w:t xml:space="preserve">recombinant adenovirus </w:t>
      </w:r>
      <w:r w:rsidRPr="003F3CBC">
        <w:rPr>
          <w:lang w:val="en-US"/>
        </w:rPr>
        <w:t>containing</w:t>
      </w:r>
      <w:r w:rsidRPr="003F3CBC">
        <w:rPr>
          <w:rStyle w:val="hps"/>
          <w:lang w:val="en-US"/>
        </w:rPr>
        <w:t xml:space="preserve"> Hyper-IL-6</w:t>
      </w:r>
      <w:r w:rsidRPr="003F3CBC">
        <w:rPr>
          <w:lang w:val="en-US"/>
        </w:rPr>
        <w:t xml:space="preserve"> </w:t>
      </w:r>
      <w:r w:rsidRPr="003F3CBC">
        <w:rPr>
          <w:rStyle w:val="hps"/>
          <w:lang w:val="en-US"/>
        </w:rPr>
        <w:t>and</w:t>
      </w:r>
      <w:r w:rsidRPr="003F3CBC">
        <w:rPr>
          <w:lang w:val="en-US"/>
        </w:rPr>
        <w:t xml:space="preserve"> </w:t>
      </w:r>
      <w:r w:rsidRPr="003F3CBC">
        <w:rPr>
          <w:rStyle w:val="hps"/>
          <w:lang w:val="en-US"/>
        </w:rPr>
        <w:t>HGF</w:t>
      </w:r>
      <w:r w:rsidRPr="003F3CBC">
        <w:rPr>
          <w:lang w:val="en-US"/>
        </w:rPr>
        <w:t xml:space="preserve"> on HMGB1 protein expression </w:t>
      </w:r>
    </w:p>
    <w:p w:rsidR="003B56F5" w:rsidRDefault="003B56F5" w:rsidP="003B56F5">
      <w:pPr>
        <w:pStyle w:val="af1"/>
        <w:rPr>
          <w:rStyle w:val="hps"/>
          <w:lang w:val="en-GB"/>
        </w:rPr>
      </w:pPr>
      <w:r>
        <w:rPr>
          <w:lang w:val="en-GB"/>
        </w:rPr>
        <w:t>As shown in Figure 5C and Figure 6E, the Western blot assay exhibited that the HMGB1 protein</w:t>
      </w:r>
      <w:r>
        <w:t xml:space="preserve"> </w:t>
      </w:r>
      <w:r>
        <w:rPr>
          <w:lang w:val="en-GB"/>
        </w:rPr>
        <w:t xml:space="preserve">expression in liver samples was dramatically enhanced in the model group (1.12 ± 0.00) compared to the control group (0.41 ± 0.01, </w:t>
      </w:r>
      <w:r>
        <w:rPr>
          <w:i/>
          <w:iCs/>
          <w:caps/>
          <w:lang w:val="en-GB"/>
        </w:rPr>
        <w:t>p &lt;</w:t>
      </w:r>
      <w:r>
        <w:rPr>
          <w:lang w:val="en-GB"/>
        </w:rPr>
        <w:t xml:space="preserve"> 0.01); however, it was remarkably reduced in the Ad-HGF (1.02 ± 0.02), Ad-</w:t>
      </w:r>
      <w:r>
        <w:rPr>
          <w:rStyle w:val="hps"/>
          <w:lang w:val="en-GB"/>
        </w:rPr>
        <w:t xml:space="preserve">HIL-6 </w:t>
      </w:r>
      <w:r>
        <w:rPr>
          <w:lang w:val="en-GB"/>
        </w:rPr>
        <w:t xml:space="preserve">(0.80 ± 0.01) </w:t>
      </w:r>
      <w:r>
        <w:rPr>
          <w:rStyle w:val="hps"/>
          <w:lang w:val="en-GB"/>
        </w:rPr>
        <w:t>and</w:t>
      </w:r>
      <w:r>
        <w:rPr>
          <w:lang w:val="en-GB"/>
        </w:rPr>
        <w:t xml:space="preserve"> Ad-HGF</w:t>
      </w:r>
      <w:r>
        <w:rPr>
          <w:rStyle w:val="hps"/>
          <w:lang w:val="en-GB"/>
        </w:rPr>
        <w:t xml:space="preserve">-HIL-6 </w:t>
      </w:r>
      <w:r>
        <w:rPr>
          <w:lang w:val="en-GB"/>
        </w:rPr>
        <w:t>(0.59 ± 0.02) groups compared to the Ad-GFP group (</w:t>
      </w:r>
      <w:r>
        <w:rPr>
          <w:i/>
          <w:iCs/>
          <w:caps/>
          <w:lang w:val="en-GB"/>
        </w:rPr>
        <w:t>p &lt;</w:t>
      </w:r>
      <w:r>
        <w:rPr>
          <w:lang w:val="en-GB"/>
        </w:rPr>
        <w:t xml:space="preserve"> 0.01), and the change was</w:t>
      </w:r>
      <w:r>
        <w:rPr>
          <w:rStyle w:val="8BBF95EE8FC7"/>
          <w:lang w:val="en-GB"/>
        </w:rPr>
        <w:t xml:space="preserve"> </w:t>
      </w:r>
      <w:r>
        <w:rPr>
          <w:rStyle w:val="hps"/>
          <w:lang w:val="en-GB"/>
        </w:rPr>
        <w:t xml:space="preserve">more </w:t>
      </w:r>
      <w:r>
        <w:rPr>
          <w:lang w:val="en-GB"/>
        </w:rPr>
        <w:t>considerable</w:t>
      </w:r>
      <w:r>
        <w:rPr>
          <w:rStyle w:val="hps"/>
          <w:lang w:val="en-GB"/>
        </w:rPr>
        <w:t xml:space="preserve"> in</w:t>
      </w:r>
      <w:r>
        <w:rPr>
          <w:rStyle w:val="shorttext"/>
          <w:lang w:val="en-GB"/>
        </w:rPr>
        <w:t xml:space="preserve"> the </w:t>
      </w:r>
      <w:r>
        <w:rPr>
          <w:lang w:val="en-GB"/>
        </w:rPr>
        <w:t>Ad-</w:t>
      </w:r>
      <w:r>
        <w:rPr>
          <w:rStyle w:val="hps"/>
          <w:lang w:val="en-GB"/>
        </w:rPr>
        <w:t>HGF</w:t>
      </w:r>
      <w:r>
        <w:rPr>
          <w:lang w:val="en-GB"/>
        </w:rPr>
        <w:t>-</w:t>
      </w:r>
      <w:r>
        <w:rPr>
          <w:rStyle w:val="hps"/>
          <w:lang w:val="en-GB"/>
        </w:rPr>
        <w:t xml:space="preserve">HIL-6 </w:t>
      </w:r>
      <w:r>
        <w:rPr>
          <w:lang w:val="en-GB"/>
        </w:rPr>
        <w:t>group</w:t>
      </w:r>
      <w:r>
        <w:rPr>
          <w:rStyle w:val="shorttext"/>
          <w:lang w:val="en-GB"/>
        </w:rPr>
        <w:t xml:space="preserve"> </w:t>
      </w:r>
      <w:r>
        <w:rPr>
          <w:lang w:val="en-GB"/>
        </w:rPr>
        <w:t>(</w:t>
      </w:r>
      <w:r>
        <w:rPr>
          <w:i/>
          <w:iCs/>
          <w:caps/>
          <w:lang w:val="en-GB"/>
        </w:rPr>
        <w:t>p &lt;</w:t>
      </w:r>
      <w:r>
        <w:rPr>
          <w:lang w:val="en-GB"/>
        </w:rPr>
        <w:t xml:space="preserve"> 0.01)</w:t>
      </w:r>
      <w:r>
        <w:rPr>
          <w:rStyle w:val="hps"/>
          <w:lang w:val="en-GB"/>
        </w:rPr>
        <w:t>.</w:t>
      </w:r>
      <w:r>
        <w:rPr>
          <w:lang w:val="en-GB"/>
        </w:rPr>
        <w:t xml:space="preserve"> Meanwhile, the HMGB1 protein expression had no statistical significance between the model and Ad-GFP groups (1.12 ± 0.06, </w:t>
      </w:r>
      <w:r>
        <w:rPr>
          <w:i/>
          <w:iCs/>
          <w:caps/>
          <w:lang w:val="en-GB"/>
        </w:rPr>
        <w:t>p &gt;</w:t>
      </w:r>
      <w:r>
        <w:rPr>
          <w:lang w:val="en-GB"/>
        </w:rPr>
        <w:t xml:space="preserve"> 0.05).</w:t>
      </w:r>
    </w:p>
    <w:p w:rsidR="003B56F5" w:rsidRPr="003F3CBC" w:rsidRDefault="003B56F5" w:rsidP="003B56F5">
      <w:pPr>
        <w:pStyle w:val="af0"/>
        <w:rPr>
          <w:lang w:val="en-US"/>
        </w:rPr>
      </w:pPr>
    </w:p>
    <w:p w:rsidR="003B56F5" w:rsidRPr="003F3CBC" w:rsidRDefault="003B56F5" w:rsidP="003B56F5">
      <w:pPr>
        <w:pStyle w:val="af0"/>
        <w:rPr>
          <w:u w:val="single"/>
          <w:lang w:val="en-US"/>
        </w:rPr>
      </w:pPr>
      <w:r w:rsidRPr="003F3CBC">
        <w:rPr>
          <w:u w:val="single"/>
          <w:lang w:val="en-US"/>
        </w:rPr>
        <w:t>DISCUSSION</w:t>
      </w:r>
    </w:p>
    <w:p w:rsidR="003B56F5" w:rsidRDefault="003B56F5" w:rsidP="003B56F5">
      <w:pPr>
        <w:pStyle w:val="af1"/>
        <w:rPr>
          <w:rStyle w:val="hps"/>
        </w:rPr>
      </w:pPr>
      <w:r>
        <w:t xml:space="preserve">Various strategies have been attempted </w:t>
      </w:r>
      <w:r>
        <w:rPr>
          <w:i/>
          <w:iCs/>
        </w:rPr>
        <w:t>in vivo</w:t>
      </w:r>
      <w:r>
        <w:t xml:space="preserve"> to search for effective ways to treat </w:t>
      </w:r>
      <w:proofErr w:type="gramStart"/>
      <w:r>
        <w:t>ACLF</w:t>
      </w:r>
      <w:r>
        <w:rPr>
          <w:vertAlign w:val="superscript"/>
        </w:rPr>
        <w:t>[</w:t>
      </w:r>
      <w:proofErr w:type="gramEnd"/>
      <w:r>
        <w:rPr>
          <w:vertAlign w:val="superscript"/>
        </w:rPr>
        <w:t>17-21]</w:t>
      </w:r>
      <w:r>
        <w:t>. In our study, an ACLF rat model was used to perform a comparative study on the efficacy of Ad-HGF, Ad-</w:t>
      </w:r>
      <w:r>
        <w:rPr>
          <w:rStyle w:val="hps"/>
        </w:rPr>
        <w:t>HIL-6</w:t>
      </w:r>
      <w:r>
        <w:t xml:space="preserve"> </w:t>
      </w:r>
      <w:r>
        <w:rPr>
          <w:rStyle w:val="hps"/>
        </w:rPr>
        <w:t>or</w:t>
      </w:r>
      <w:r>
        <w:t xml:space="preserve"> Ad-HGF</w:t>
      </w:r>
      <w:r>
        <w:rPr>
          <w:rStyle w:val="hps"/>
        </w:rPr>
        <w:t xml:space="preserve">-HIL-6 </w:t>
      </w:r>
      <w:r>
        <w:t>in ACLF</w:t>
      </w:r>
      <w:r>
        <w:rPr>
          <w:rStyle w:val="hps"/>
        </w:rPr>
        <w:t>.</w:t>
      </w:r>
      <w:r>
        <w:t xml:space="preserve"> We demonstrated that Ad-HGF</w:t>
      </w:r>
      <w:r>
        <w:rPr>
          <w:rStyle w:val="hps"/>
        </w:rPr>
        <w:t>-HIL-6</w:t>
      </w:r>
      <w:r>
        <w:t xml:space="preserve"> significantly improved pathological damage compared to Ad-HGF and Ad-</w:t>
      </w:r>
      <w:r>
        <w:rPr>
          <w:rStyle w:val="hps"/>
        </w:rPr>
        <w:t>HIL-6</w:t>
      </w:r>
      <w:r>
        <w:t xml:space="preserve"> in ACLF rats. Meanwhile, greater effects in correcting coagulation and liver function were observed in ACLF rats with Ad-HGF</w:t>
      </w:r>
      <w:r>
        <w:rPr>
          <w:rStyle w:val="hps"/>
        </w:rPr>
        <w:t>-HIL-6 treatment</w:t>
      </w:r>
      <w:r>
        <w:t>. Ki67 is an important index for evaluating the regeneration of hepatocytes. At the 24 h and 48 h detection points of our study, Ad-HGF</w:t>
      </w:r>
      <w:r>
        <w:rPr>
          <w:rStyle w:val="hps"/>
        </w:rPr>
        <w:t xml:space="preserve">-HIL-6 </w:t>
      </w:r>
      <w:r>
        <w:t>treatment significantly enhanced the frequency of Ki67</w:t>
      </w:r>
      <w:r>
        <w:rPr>
          <w:vertAlign w:val="superscript"/>
        </w:rPr>
        <w:t>+</w:t>
      </w:r>
      <w:r>
        <w:t xml:space="preserve"> hepatocytes compared to Ad-HGF or Ad-</w:t>
      </w:r>
      <w:r>
        <w:rPr>
          <w:rStyle w:val="hps"/>
        </w:rPr>
        <w:t>HIL-6</w:t>
      </w:r>
      <w:r>
        <w:t>, indicating a better ability to promote hepatocyte regeneration.</w:t>
      </w:r>
    </w:p>
    <w:p w:rsidR="003B56F5" w:rsidRDefault="003B56F5" w:rsidP="003B56F5">
      <w:pPr>
        <w:pStyle w:val="1"/>
        <w:rPr>
          <w:spacing w:val="-9"/>
          <w:lang w:val="en-GB"/>
        </w:rPr>
      </w:pPr>
      <w:r>
        <w:rPr>
          <w:spacing w:val="-9"/>
          <w:lang w:val="en-GB"/>
        </w:rPr>
        <w:t xml:space="preserve">The apoptosis of hepatocytes plays a significant part in the development of multifarious liver </w:t>
      </w:r>
      <w:proofErr w:type="gramStart"/>
      <w:r>
        <w:rPr>
          <w:spacing w:val="-9"/>
          <w:lang w:val="en-GB"/>
        </w:rPr>
        <w:t>diseases</w:t>
      </w:r>
      <w:r>
        <w:rPr>
          <w:spacing w:val="-9"/>
          <w:vertAlign w:val="superscript"/>
          <w:lang w:val="en-GB"/>
        </w:rPr>
        <w:t>[</w:t>
      </w:r>
      <w:proofErr w:type="gramEnd"/>
      <w:r>
        <w:rPr>
          <w:spacing w:val="-9"/>
          <w:vertAlign w:val="superscript"/>
          <w:lang w:val="en-GB"/>
        </w:rPr>
        <w:t>22,23]</w:t>
      </w:r>
      <w:r>
        <w:rPr>
          <w:spacing w:val="-9"/>
          <w:lang w:val="en-GB"/>
        </w:rPr>
        <w:t xml:space="preserve">. </w:t>
      </w:r>
      <w:r>
        <w:rPr>
          <w:spacing w:val="-14"/>
          <w:lang w:val="en-GB"/>
        </w:rPr>
        <w:t xml:space="preserve">By reducing the hepatocyte injury that proceeds </w:t>
      </w:r>
      <w:r>
        <w:rPr>
          <w:spacing w:val="-9"/>
          <w:lang w:val="en-GB"/>
        </w:rPr>
        <w:t>apopto</w:t>
      </w:r>
      <w:r>
        <w:rPr>
          <w:spacing w:val="-9"/>
          <w:lang w:val="en-GB"/>
        </w:rPr>
        <w:softHyphen/>
        <w:t xml:space="preserve">sis, HGF may prevent or diminish the initiation of the apoptotic </w:t>
      </w:r>
      <w:proofErr w:type="gramStart"/>
      <w:r>
        <w:rPr>
          <w:spacing w:val="-9"/>
          <w:lang w:val="en-GB"/>
        </w:rPr>
        <w:t>cascade</w:t>
      </w:r>
      <w:r>
        <w:rPr>
          <w:spacing w:val="-9"/>
          <w:vertAlign w:val="superscript"/>
          <w:lang w:val="en-GB"/>
        </w:rPr>
        <w:t>[</w:t>
      </w:r>
      <w:proofErr w:type="gramEnd"/>
      <w:r>
        <w:rPr>
          <w:spacing w:val="-9"/>
          <w:vertAlign w:val="superscript"/>
          <w:lang w:val="en-GB"/>
        </w:rPr>
        <w:t>24]</w:t>
      </w:r>
      <w:r>
        <w:rPr>
          <w:spacing w:val="-9"/>
          <w:lang w:val="en-GB"/>
        </w:rPr>
        <w:t>. In our study, we also detected that Ad-HGF</w:t>
      </w:r>
      <w:r>
        <w:rPr>
          <w:rStyle w:val="hps"/>
          <w:spacing w:val="-9"/>
          <w:lang w:val="en-GB"/>
        </w:rPr>
        <w:t>-HIL-6</w:t>
      </w:r>
      <w:r>
        <w:rPr>
          <w:spacing w:val="-9"/>
          <w:lang w:val="en-GB"/>
        </w:rPr>
        <w:t xml:space="preserve"> remarkably </w:t>
      </w:r>
      <w:r>
        <w:rPr>
          <w:spacing w:val="-9"/>
        </w:rPr>
        <w:t>enhance</w:t>
      </w:r>
      <w:r>
        <w:rPr>
          <w:spacing w:val="-9"/>
          <w:lang w:val="en-GB"/>
        </w:rPr>
        <w:t>d Bcl-2 (anti-apoptotic) protein expression and apparently reduced Bax (pro-apoptotic) protein expression in hepatocytes of ACLF rats compared to Ad-HGF or Ad-</w:t>
      </w:r>
      <w:r>
        <w:rPr>
          <w:rStyle w:val="hps"/>
          <w:spacing w:val="-9"/>
          <w:lang w:val="en-GB"/>
        </w:rPr>
        <w:t>HIL-6</w:t>
      </w:r>
      <w:r>
        <w:rPr>
          <w:spacing w:val="-9"/>
          <w:lang w:val="en-GB"/>
        </w:rPr>
        <w:t>. Although both</w:t>
      </w:r>
      <w:r>
        <w:rPr>
          <w:rStyle w:val="hps"/>
          <w:spacing w:val="-9"/>
          <w:lang w:val="en-GB"/>
        </w:rPr>
        <w:t xml:space="preserve"> </w:t>
      </w:r>
      <w:r>
        <w:rPr>
          <w:spacing w:val="-9"/>
          <w:lang w:val="en-GB"/>
        </w:rPr>
        <w:t>Ad-HGF</w:t>
      </w:r>
      <w:r>
        <w:rPr>
          <w:rStyle w:val="hps"/>
          <w:spacing w:val="-9"/>
          <w:lang w:val="en-GB"/>
        </w:rPr>
        <w:t xml:space="preserve">-HIL-6 and </w:t>
      </w:r>
      <w:r>
        <w:rPr>
          <w:spacing w:val="-9"/>
          <w:lang w:val="en-GB"/>
        </w:rPr>
        <w:t>Ad-</w:t>
      </w:r>
      <w:r>
        <w:rPr>
          <w:rStyle w:val="hps"/>
          <w:spacing w:val="-9"/>
          <w:lang w:val="en-GB"/>
        </w:rPr>
        <w:t>HIL-6 could</w:t>
      </w:r>
      <w:r>
        <w:rPr>
          <w:spacing w:val="-9"/>
          <w:lang w:val="en-GB"/>
        </w:rPr>
        <w:t xml:space="preserve"> conspicuously decrease the activities of caspase-3</w:t>
      </w:r>
      <w:r>
        <w:rPr>
          <w:rStyle w:val="hps"/>
          <w:spacing w:val="-9"/>
          <w:lang w:val="en-GB"/>
        </w:rPr>
        <w:t>, the former had a more significant effect.</w:t>
      </w:r>
      <w:r>
        <w:rPr>
          <w:spacing w:val="-9"/>
          <w:lang w:val="en-GB"/>
        </w:rPr>
        <w:t xml:space="preserve"> In addition, apoptotic characteristics were viewed by the TUNEL assay of liver tissues. These results displayed that Ad-HGF</w:t>
      </w:r>
      <w:r>
        <w:rPr>
          <w:rStyle w:val="hps"/>
          <w:spacing w:val="-9"/>
          <w:lang w:val="en-GB"/>
        </w:rPr>
        <w:t>-HIL-6</w:t>
      </w:r>
      <w:r>
        <w:rPr>
          <w:spacing w:val="-9"/>
          <w:lang w:val="en-GB"/>
        </w:rPr>
        <w:t xml:space="preserve"> could protect the liver of rats against ACLF more effectively by reducing apoptosis. </w:t>
      </w:r>
    </w:p>
    <w:p w:rsidR="003B56F5" w:rsidRDefault="003B56F5" w:rsidP="003B56F5">
      <w:pPr>
        <w:pStyle w:val="1"/>
        <w:rPr>
          <w:lang w:val="en-GB"/>
        </w:rPr>
      </w:pPr>
      <w:r>
        <w:rPr>
          <w:lang w:val="en-GB"/>
        </w:rPr>
        <w:t xml:space="preserve">HMGB1 positively reacts upon various inflammatory </w:t>
      </w:r>
      <w:proofErr w:type="gramStart"/>
      <w:r>
        <w:rPr>
          <w:lang w:val="en-GB"/>
        </w:rPr>
        <w:t>diseases</w:t>
      </w:r>
      <w:r>
        <w:rPr>
          <w:vertAlign w:val="superscript"/>
          <w:lang w:val="en-GB"/>
        </w:rPr>
        <w:t>[</w:t>
      </w:r>
      <w:proofErr w:type="gramEnd"/>
      <w:r>
        <w:rPr>
          <w:vertAlign w:val="superscript"/>
          <w:lang w:val="en-GB"/>
        </w:rPr>
        <w:t>20,25-27]</w:t>
      </w:r>
      <w:r>
        <w:rPr>
          <w:lang w:val="en-GB"/>
        </w:rPr>
        <w:t xml:space="preserve">. A protective effect against ACLF is detected by blockading HMGB1 at 24 h since the ACLF model was </w:t>
      </w:r>
      <w:proofErr w:type="gramStart"/>
      <w:r>
        <w:t>established</w:t>
      </w:r>
      <w:r>
        <w:rPr>
          <w:vertAlign w:val="superscript"/>
          <w:lang w:val="en-GB"/>
        </w:rPr>
        <w:t>[</w:t>
      </w:r>
      <w:proofErr w:type="gramEnd"/>
      <w:r>
        <w:rPr>
          <w:vertAlign w:val="superscript"/>
          <w:lang w:val="en-GB"/>
        </w:rPr>
        <w:t>21]</w:t>
      </w:r>
      <w:r>
        <w:rPr>
          <w:lang w:val="en-GB"/>
        </w:rPr>
        <w:t xml:space="preserve">. A previous study proved that the high level of HMGB1 plays a considerable </w:t>
      </w:r>
      <w:r>
        <w:t>part</w:t>
      </w:r>
      <w:r>
        <w:rPr>
          <w:lang w:val="en-GB"/>
        </w:rPr>
        <w:t xml:space="preserve"> in the pathogenic mechanism of liver </w:t>
      </w:r>
      <w:proofErr w:type="gramStart"/>
      <w:r>
        <w:rPr>
          <w:lang w:val="en-GB"/>
        </w:rPr>
        <w:t>failure</w:t>
      </w:r>
      <w:r>
        <w:rPr>
          <w:vertAlign w:val="superscript"/>
          <w:lang w:val="en-GB"/>
        </w:rPr>
        <w:t>[</w:t>
      </w:r>
      <w:proofErr w:type="gramEnd"/>
      <w:r>
        <w:rPr>
          <w:vertAlign w:val="superscript"/>
          <w:lang w:val="en-GB"/>
        </w:rPr>
        <w:t>28]</w:t>
      </w:r>
      <w:r>
        <w:rPr>
          <w:lang w:val="en-GB"/>
        </w:rPr>
        <w:t>.</w:t>
      </w:r>
      <w:r>
        <w:rPr>
          <w:vertAlign w:val="superscript"/>
          <w:lang w:val="en-GB"/>
        </w:rPr>
        <w:t xml:space="preserve"> </w:t>
      </w:r>
      <w:r>
        <w:rPr>
          <w:lang w:val="en-GB"/>
        </w:rPr>
        <w:t xml:space="preserve">Our study </w:t>
      </w:r>
      <w:r>
        <w:rPr>
          <w:lang w:val="en-GB"/>
        </w:rPr>
        <w:lastRenderedPageBreak/>
        <w:t>found that Ad-HGF</w:t>
      </w:r>
      <w:r>
        <w:rPr>
          <w:rStyle w:val="hps"/>
          <w:lang w:val="en-GB"/>
        </w:rPr>
        <w:t>-HIL-6</w:t>
      </w:r>
      <w:r>
        <w:rPr>
          <w:lang w:val="en-GB"/>
        </w:rPr>
        <w:t xml:space="preserve"> could significantly decrease the serum and tissue HMGB1 concentrations in ACLF compared to Ad-HGF or Ad-</w:t>
      </w:r>
      <w:r>
        <w:rPr>
          <w:rStyle w:val="hps"/>
          <w:lang w:val="en-GB"/>
        </w:rPr>
        <w:t>HIL-6</w:t>
      </w:r>
      <w:r>
        <w:rPr>
          <w:lang w:val="en-GB"/>
        </w:rPr>
        <w:t>, suggesting reduced inflammatory response and necrotic hepatocytes.</w:t>
      </w:r>
      <w:r>
        <w:rPr>
          <w:rStyle w:val="hps"/>
          <w:lang w:val="en-GB"/>
        </w:rPr>
        <w:t xml:space="preserve"> </w:t>
      </w:r>
      <w:r>
        <w:rPr>
          <w:lang w:val="en-GB"/>
        </w:rPr>
        <w:t>These results further indicate that the mechanism of Ad-HGF</w:t>
      </w:r>
      <w:r>
        <w:rPr>
          <w:rStyle w:val="hps"/>
          <w:lang w:val="en-GB"/>
        </w:rPr>
        <w:t>-HIL-6</w:t>
      </w:r>
      <w:r>
        <w:rPr>
          <w:lang w:val="en-GB"/>
        </w:rPr>
        <w:t xml:space="preserve"> in protecting against ACLF is likely to be related to HMGB1 signalling, which is worthy of future research.</w:t>
      </w:r>
    </w:p>
    <w:p w:rsidR="003B56F5" w:rsidRDefault="003B56F5" w:rsidP="003B56F5">
      <w:pPr>
        <w:pStyle w:val="1"/>
        <w:rPr>
          <w:lang w:val="en-GB"/>
        </w:rPr>
      </w:pPr>
      <w:r>
        <w:rPr>
          <w:spacing w:val="-11"/>
          <w:lang w:val="en-GB"/>
        </w:rPr>
        <w:t xml:space="preserve">In the </w:t>
      </w:r>
      <w:r>
        <w:rPr>
          <w:spacing w:val="-11"/>
        </w:rPr>
        <w:t>progress of</w:t>
      </w:r>
      <w:r>
        <w:rPr>
          <w:spacing w:val="-11"/>
          <w:lang w:val="en-GB"/>
        </w:rPr>
        <w:t xml:space="preserve"> ACLF, </w:t>
      </w:r>
      <w:r>
        <w:rPr>
          <w:spacing w:val="-11"/>
        </w:rPr>
        <w:t xml:space="preserve">systemic </w:t>
      </w:r>
      <w:r>
        <w:t xml:space="preserve">inflammatory </w:t>
      </w:r>
      <w:r>
        <w:rPr>
          <w:spacing w:val="-11"/>
        </w:rPr>
        <w:t>response</w:t>
      </w:r>
      <w:r>
        <w:rPr>
          <w:spacing w:val="-11"/>
          <w:lang w:val="en-GB"/>
        </w:rPr>
        <w:t xml:space="preserve"> is tightly related to its </w:t>
      </w:r>
      <w:proofErr w:type="gramStart"/>
      <w:r>
        <w:rPr>
          <w:spacing w:val="-11"/>
          <w:lang w:val="en-GB"/>
        </w:rPr>
        <w:t>prognosis</w:t>
      </w:r>
      <w:r>
        <w:rPr>
          <w:spacing w:val="-11"/>
          <w:vertAlign w:val="superscript"/>
          <w:lang w:val="en-GB"/>
        </w:rPr>
        <w:t>[</w:t>
      </w:r>
      <w:proofErr w:type="gramEnd"/>
      <w:r>
        <w:rPr>
          <w:spacing w:val="-11"/>
          <w:vertAlign w:val="superscript"/>
          <w:lang w:val="en-GB"/>
        </w:rPr>
        <w:t>29]</w:t>
      </w:r>
      <w:r>
        <w:rPr>
          <w:spacing w:val="-11"/>
          <w:lang w:val="en-GB"/>
        </w:rPr>
        <w:t xml:space="preserve">. Anti-TNF treatment </w:t>
      </w:r>
      <w:r>
        <w:rPr>
          <w:spacing w:val="-11"/>
        </w:rPr>
        <w:t>protects against</w:t>
      </w:r>
      <w:r>
        <w:rPr>
          <w:spacing w:val="-11"/>
          <w:lang w:val="en-GB"/>
        </w:rPr>
        <w:t xml:space="preserve"> </w:t>
      </w:r>
      <w:r>
        <w:rPr>
          <w:spacing w:val="-11"/>
        </w:rPr>
        <w:t>experimental</w:t>
      </w:r>
      <w:r>
        <w:rPr>
          <w:rStyle w:val="apple-converted-space"/>
          <w:spacing w:val="-11"/>
        </w:rPr>
        <w:t xml:space="preserve"> </w:t>
      </w:r>
      <w:r>
        <w:rPr>
          <w:spacing w:val="-11"/>
        </w:rPr>
        <w:t>hepatic</w:t>
      </w:r>
      <w:r>
        <w:rPr>
          <w:rStyle w:val="apple-converted-space"/>
          <w:spacing w:val="-11"/>
        </w:rPr>
        <w:t xml:space="preserve"> </w:t>
      </w:r>
      <w:r>
        <w:rPr>
          <w:spacing w:val="-11"/>
        </w:rPr>
        <w:t>damage</w:t>
      </w:r>
      <w:r>
        <w:rPr>
          <w:spacing w:val="-11"/>
          <w:lang w:val="en-GB"/>
        </w:rPr>
        <w:t xml:space="preserve"> due to </w:t>
      </w:r>
      <w:r>
        <w:rPr>
          <w:spacing w:val="-11"/>
        </w:rPr>
        <w:t xml:space="preserve">bacteria </w:t>
      </w:r>
      <w:proofErr w:type="gramStart"/>
      <w:r>
        <w:t>endotoxin</w:t>
      </w:r>
      <w:r>
        <w:rPr>
          <w:vertAlign w:val="superscript"/>
          <w:lang w:val="en-GB"/>
        </w:rPr>
        <w:t>[</w:t>
      </w:r>
      <w:proofErr w:type="gramEnd"/>
      <w:r>
        <w:rPr>
          <w:vertAlign w:val="superscript"/>
          <w:lang w:val="en-GB"/>
        </w:rPr>
        <w:t>30]</w:t>
      </w:r>
      <w:r>
        <w:rPr>
          <w:lang w:val="en-GB"/>
        </w:rPr>
        <w:t>, demonstrating that TNF-</w:t>
      </w:r>
      <w:r>
        <w:rPr>
          <w:rFonts w:ascii="Symbol" w:hAnsi="Symbol" w:cs="Symbol"/>
          <w:lang w:val="en-GB"/>
        </w:rPr>
        <w:t></w:t>
      </w:r>
      <w:r>
        <w:rPr>
          <w:lang w:val="en-GB"/>
        </w:rPr>
        <w:t xml:space="preserve"> plays a pivotal part in the </w:t>
      </w:r>
      <w:r>
        <w:t>development</w:t>
      </w:r>
      <w:r>
        <w:rPr>
          <w:lang w:val="en-GB"/>
        </w:rPr>
        <w:t xml:space="preserve"> of liver failure. In the current research, serum TNF-</w:t>
      </w:r>
      <w:r>
        <w:rPr>
          <w:rFonts w:ascii="Symbol" w:hAnsi="Symbol" w:cs="Symbol"/>
          <w:lang w:val="en-GB"/>
        </w:rPr>
        <w:t></w:t>
      </w:r>
      <w:r>
        <w:rPr>
          <w:lang w:val="en-GB"/>
        </w:rPr>
        <w:t xml:space="preserve"> in the Ad-HGF, Ad-</w:t>
      </w:r>
      <w:r>
        <w:rPr>
          <w:rStyle w:val="hps"/>
          <w:lang w:val="en-GB"/>
        </w:rPr>
        <w:t xml:space="preserve">HIL-6 </w:t>
      </w:r>
      <w:r>
        <w:rPr>
          <w:lang w:val="en-GB"/>
        </w:rPr>
        <w:t>and Ad-HGF</w:t>
      </w:r>
      <w:r>
        <w:rPr>
          <w:rStyle w:val="hps"/>
          <w:lang w:val="en-GB"/>
        </w:rPr>
        <w:t>-HIL-6</w:t>
      </w:r>
      <w:r>
        <w:rPr>
          <w:lang w:val="en-GB"/>
        </w:rPr>
        <w:t xml:space="preserve"> groups significantly decreased compared with the Ad-GFP group; however, there was no statistical discrepancy between the Ad-HGF</w:t>
      </w:r>
      <w:r>
        <w:rPr>
          <w:rStyle w:val="hps"/>
          <w:lang w:val="en-GB"/>
        </w:rPr>
        <w:t>-HIL-6</w:t>
      </w:r>
      <w:r>
        <w:rPr>
          <w:lang w:val="en-GB"/>
        </w:rPr>
        <w:t xml:space="preserve"> and Ad-HGF treatments</w:t>
      </w:r>
      <w:r>
        <w:rPr>
          <w:rStyle w:val="hps"/>
          <w:lang w:val="en-GB"/>
        </w:rPr>
        <w:t xml:space="preserve"> </w:t>
      </w:r>
      <w:r>
        <w:rPr>
          <w:lang w:val="en-GB"/>
        </w:rPr>
        <w:t>at 24 h and 48 h, but these levels were lower than those of the Ad-</w:t>
      </w:r>
      <w:r>
        <w:rPr>
          <w:rStyle w:val="hps"/>
          <w:lang w:val="en-GB"/>
        </w:rPr>
        <w:t xml:space="preserve">HIL-6 </w:t>
      </w:r>
      <w:r>
        <w:rPr>
          <w:lang w:val="en-GB"/>
        </w:rPr>
        <w:t>treatment. TNF-</w:t>
      </w:r>
      <w:r>
        <w:rPr>
          <w:rFonts w:ascii="Symbol" w:hAnsi="Symbol" w:cs="Symbol"/>
          <w:lang w:val="en-GB"/>
        </w:rPr>
        <w:t></w:t>
      </w:r>
      <w:r>
        <w:rPr>
          <w:lang w:val="en-GB"/>
        </w:rPr>
        <w:t xml:space="preserve"> can mediate apoptosis by interacting with TNF-R1, giving rise to the activation of caspase </w:t>
      </w:r>
      <w:proofErr w:type="gramStart"/>
      <w:r>
        <w:rPr>
          <w:lang w:val="en-GB"/>
        </w:rPr>
        <w:t>cascades</w:t>
      </w:r>
      <w:r>
        <w:rPr>
          <w:vertAlign w:val="superscript"/>
          <w:lang w:val="en-GB"/>
        </w:rPr>
        <w:t>[</w:t>
      </w:r>
      <w:proofErr w:type="gramEnd"/>
      <w:r>
        <w:rPr>
          <w:vertAlign w:val="superscript"/>
          <w:lang w:val="en-GB"/>
        </w:rPr>
        <w:t>21]</w:t>
      </w:r>
      <w:r>
        <w:rPr>
          <w:lang w:val="en-GB"/>
        </w:rPr>
        <w:t>, as confirmed by the similar alteration trend between TNF-</w:t>
      </w:r>
      <w:r>
        <w:rPr>
          <w:rFonts w:ascii="Symbol" w:hAnsi="Symbol" w:cs="Symbol"/>
          <w:lang w:val="en-GB"/>
        </w:rPr>
        <w:t></w:t>
      </w:r>
      <w:r>
        <w:rPr>
          <w:lang w:val="en-GB"/>
        </w:rPr>
        <w:t xml:space="preserve"> and the apoptotic indicator caspase-3 in this experiment. Similarly, Ad-HGF</w:t>
      </w:r>
      <w:r>
        <w:rPr>
          <w:rStyle w:val="hps"/>
          <w:lang w:val="en-GB"/>
        </w:rPr>
        <w:t xml:space="preserve">-HIL-6 </w:t>
      </w:r>
      <w:r>
        <w:rPr>
          <w:lang w:val="en-GB"/>
        </w:rPr>
        <w:t>inhibited the release of IFN-</w:t>
      </w:r>
      <w:r>
        <w:rPr>
          <w:rFonts w:ascii="Symbol" w:hAnsi="Symbol" w:cs="Symbol"/>
          <w:lang w:val="en-GB"/>
        </w:rPr>
        <w:t></w:t>
      </w:r>
      <w:r>
        <w:rPr>
          <w:lang w:val="en-GB"/>
        </w:rPr>
        <w:t xml:space="preserve"> and endotoxin more effectively than did Ad-HGF or Ad-</w:t>
      </w:r>
      <w:r>
        <w:rPr>
          <w:rStyle w:val="hps"/>
          <w:lang w:val="en-GB"/>
        </w:rPr>
        <w:t>HIL-6</w:t>
      </w:r>
      <w:r>
        <w:rPr>
          <w:lang w:val="en-GB"/>
        </w:rPr>
        <w:t>, also suggesting the alleviation of the liver inflammatory response.</w:t>
      </w:r>
    </w:p>
    <w:p w:rsidR="003B56F5" w:rsidRDefault="003B56F5" w:rsidP="003B56F5">
      <w:pPr>
        <w:pStyle w:val="1"/>
        <w:rPr>
          <w:rStyle w:val="hps"/>
          <w:lang w:val="en-GB"/>
        </w:rPr>
      </w:pPr>
      <w:r>
        <w:rPr>
          <w:lang w:val="en-GB"/>
        </w:rPr>
        <w:t xml:space="preserve">Our study confirmed the functional synergistic effect of </w:t>
      </w:r>
      <w:r>
        <w:rPr>
          <w:rStyle w:val="hps"/>
          <w:lang w:val="en-GB"/>
        </w:rPr>
        <w:t>H</w:t>
      </w:r>
      <w:r>
        <w:rPr>
          <w:lang w:val="en-GB"/>
        </w:rPr>
        <w:t xml:space="preserve">IL-6 and HGF by combining them into an adenovirus vector. Real-time PCR results suggest that the constructions of </w:t>
      </w:r>
      <w:r>
        <w:rPr>
          <w:rStyle w:val="hps"/>
          <w:lang w:val="en-GB"/>
        </w:rPr>
        <w:t>recombinant adenovirus</w:t>
      </w:r>
      <w:r>
        <w:rPr>
          <w:lang w:val="en-GB"/>
        </w:rPr>
        <w:t xml:space="preserve"> were successful, as the expression of the two genes in the liver tissues of ACLF rats was excellent and did not produce mutual interference. Moreover, the enhancement of treatment did not increase immuno</w:t>
      </w:r>
      <w:r>
        <w:rPr>
          <w:lang w:val="en-GB"/>
        </w:rPr>
        <w:softHyphen/>
        <w:t xml:space="preserve">genicity or toxicity. </w:t>
      </w:r>
    </w:p>
    <w:p w:rsidR="003B56F5" w:rsidRDefault="003B56F5" w:rsidP="003B56F5">
      <w:pPr>
        <w:pStyle w:val="1"/>
        <w:rPr>
          <w:lang w:val="en-GB"/>
        </w:rPr>
      </w:pPr>
      <w:r>
        <w:rPr>
          <w:lang w:val="en-GB"/>
        </w:rPr>
        <w:t>In summary, our results suggest that Ad-HGF</w:t>
      </w:r>
      <w:r>
        <w:rPr>
          <w:rStyle w:val="hps"/>
          <w:lang w:val="en-GB"/>
        </w:rPr>
        <w:t>-HIL-6</w:t>
      </w:r>
      <w:r>
        <w:rPr>
          <w:lang w:val="en-GB"/>
        </w:rPr>
        <w:t xml:space="preserve"> may confer a more powerful protective effect against ACLF than</w:t>
      </w:r>
      <w:r>
        <w:rPr>
          <w:rStyle w:val="hps"/>
          <w:lang w:val="en-GB"/>
        </w:rPr>
        <w:t xml:space="preserve"> do </w:t>
      </w:r>
      <w:r>
        <w:rPr>
          <w:lang w:val="en-GB"/>
        </w:rPr>
        <w:t>Ad-HGF or Ad-</w:t>
      </w:r>
      <w:r>
        <w:rPr>
          <w:rStyle w:val="hps"/>
          <w:lang w:val="en-GB"/>
        </w:rPr>
        <w:t>HIL-6</w:t>
      </w:r>
      <w:r>
        <w:rPr>
          <w:lang w:val="en-GB"/>
        </w:rPr>
        <w:t xml:space="preserve"> in rats and can restrain the release of various inflammatory cytokines, reduce the apoptosis of hepatocytes, and </w:t>
      </w:r>
      <w:r>
        <w:t>protect rats</w:t>
      </w:r>
      <w:r>
        <w:rPr>
          <w:lang w:val="en-GB"/>
        </w:rPr>
        <w:t xml:space="preserve"> against experimental ACLF even 48 h since ACLF model was </w:t>
      </w:r>
      <w:r>
        <w:t>established</w:t>
      </w:r>
      <w:r>
        <w:rPr>
          <w:lang w:val="en-GB"/>
        </w:rPr>
        <w:t>, although the</w:t>
      </w:r>
      <w:r>
        <w:t xml:space="preserve"> </w:t>
      </w:r>
      <w:r>
        <w:rPr>
          <w:lang w:val="en-GB"/>
        </w:rPr>
        <w:t>precise molecular events and cell signalling pathways warrant further studies. Our findings indicate that Ad-HGF</w:t>
      </w:r>
      <w:r>
        <w:rPr>
          <w:rStyle w:val="hps"/>
          <w:lang w:val="en-GB"/>
        </w:rPr>
        <w:t>-HIL-6</w:t>
      </w:r>
      <w:r>
        <w:rPr>
          <w:lang w:val="en-GB"/>
        </w:rPr>
        <w:t xml:space="preserve"> is likely to be a feasible and neoteric protective agent for severe liver injury.</w:t>
      </w:r>
    </w:p>
    <w:p w:rsidR="003B56F5" w:rsidRPr="003F3CBC" w:rsidRDefault="003B56F5" w:rsidP="003B56F5">
      <w:pPr>
        <w:pStyle w:val="af0"/>
        <w:rPr>
          <w:lang w:val="en-US"/>
        </w:rPr>
      </w:pPr>
    </w:p>
    <w:p w:rsidR="003B56F5" w:rsidRPr="003F3CBC" w:rsidRDefault="003B56F5" w:rsidP="003B56F5">
      <w:pPr>
        <w:pStyle w:val="af0"/>
        <w:rPr>
          <w:u w:val="single"/>
          <w:lang w:val="en-US"/>
        </w:rPr>
      </w:pPr>
      <w:r w:rsidRPr="003F3CBC">
        <w:rPr>
          <w:u w:val="single"/>
          <w:lang w:val="en-US"/>
        </w:rPr>
        <w:t>COMMENTS</w:t>
      </w:r>
    </w:p>
    <w:p w:rsidR="003B56F5" w:rsidRPr="003F3CBC" w:rsidRDefault="003B56F5" w:rsidP="003B56F5">
      <w:pPr>
        <w:pStyle w:val="af2"/>
        <w:rPr>
          <w:lang w:val="en-US"/>
        </w:rPr>
      </w:pPr>
      <w:r w:rsidRPr="003F3CBC">
        <w:rPr>
          <w:lang w:val="en-US"/>
        </w:rPr>
        <w:t>Background</w:t>
      </w:r>
    </w:p>
    <w:p w:rsidR="003B56F5" w:rsidRDefault="003B56F5" w:rsidP="003B56F5">
      <w:pPr>
        <w:pStyle w:val="8BF4"/>
        <w:rPr>
          <w:lang w:val="en-GB"/>
        </w:rPr>
      </w:pPr>
      <w:r>
        <w:t xml:space="preserve">Acute-on-chronic liver failure (ACLF) is a life-threatening medical emergency, which is usually associated with a precipitating event and results in high mortality. Therefore, it is urgent to develop new therapeutic reagents for ACLF. Gene therapy by delivering a target gene to the patients </w:t>
      </w:r>
      <w:r>
        <w:rPr>
          <w:rFonts w:ascii="ArialNarrow-Italic" w:hAnsi="ArialNarrow-Italic" w:cs="ArialNarrow-Italic"/>
          <w:i/>
          <w:iCs/>
        </w:rPr>
        <w:t>via</w:t>
      </w:r>
      <w:r>
        <w:t xml:space="preserve"> viral and non-viral vectors appears to be a promising approach for the treatment of ACLF. </w:t>
      </w:r>
      <w:r>
        <w:rPr>
          <w:lang w:val="en-GB"/>
        </w:rPr>
        <w:t>Previous</w:t>
      </w:r>
      <w:r>
        <w:t xml:space="preserve"> studies have shown that hyper-interleukin-6 (HIL-6), comprising interleukin-6 (IL-6) and the soluble IL-6 receptor, can reduce the necrosis of remnant liver cells during the process of liver failure, and hepatocyte growth factor (HGF) can stimulate the DNA synthesis of hepatocytes, </w:t>
      </w:r>
      <w:r>
        <w:rPr>
          <w:lang w:val="en-GB"/>
        </w:rPr>
        <w:t xml:space="preserve">suggesting a possible </w:t>
      </w:r>
      <w:r>
        <w:t>protective</w:t>
      </w:r>
      <w:r>
        <w:rPr>
          <w:lang w:val="en-GB"/>
        </w:rPr>
        <w:t xml:space="preserve"> effect of these two factors on</w:t>
      </w:r>
      <w:r>
        <w:t xml:space="preserve"> liver injury</w:t>
      </w:r>
      <w:r>
        <w:rPr>
          <w:lang w:val="en-GB"/>
        </w:rPr>
        <w:t>.</w:t>
      </w:r>
    </w:p>
    <w:p w:rsidR="003B56F5" w:rsidRDefault="003B56F5" w:rsidP="003B56F5">
      <w:pPr>
        <w:pStyle w:val="8BF4"/>
        <w:rPr>
          <w:lang w:val="en-GB"/>
        </w:rPr>
      </w:pPr>
    </w:p>
    <w:p w:rsidR="003B56F5" w:rsidRPr="003F3CBC" w:rsidRDefault="003B56F5" w:rsidP="003B56F5">
      <w:pPr>
        <w:pStyle w:val="af2"/>
        <w:rPr>
          <w:lang w:val="en-US"/>
        </w:rPr>
      </w:pPr>
      <w:r w:rsidRPr="003F3CBC">
        <w:rPr>
          <w:lang w:val="en-US"/>
        </w:rPr>
        <w:t>Research frontiers</w:t>
      </w:r>
    </w:p>
    <w:p w:rsidR="003B56F5" w:rsidRDefault="003B56F5" w:rsidP="003B56F5">
      <w:pPr>
        <w:pStyle w:val="8BF4"/>
        <w:rPr>
          <w:rStyle w:val="hps"/>
          <w:lang w:val="en-GB"/>
        </w:rPr>
      </w:pPr>
      <w:r>
        <w:rPr>
          <w:lang w:val="en-GB"/>
        </w:rPr>
        <w:t xml:space="preserve">IL-6 is the crucial transcriptional factor during the process of early-stage hepatic regeneration response. Hyper-IL-6 is an artificial fusion cytokine comprising IL-6 linked by an artificial linker with a soluble variant of gp80 (sIL-6R). HIL-6 is a stable protein displaying biological activity </w:t>
      </w:r>
      <w:r>
        <w:rPr>
          <w:rFonts w:ascii="ArialNarrow-Italic" w:hAnsi="ArialNarrow-Italic" w:cs="ArialNarrow-Italic"/>
          <w:i/>
          <w:iCs/>
          <w:lang w:val="en-GB"/>
        </w:rPr>
        <w:t>in vitro</w:t>
      </w:r>
      <w:r>
        <w:rPr>
          <w:lang w:val="en-GB"/>
        </w:rPr>
        <w:t xml:space="preserve"> or </w:t>
      </w:r>
      <w:r>
        <w:rPr>
          <w:rFonts w:ascii="ArialNarrow-Italic" w:hAnsi="ArialNarrow-Italic" w:cs="ArialNarrow-Italic"/>
          <w:i/>
          <w:iCs/>
          <w:lang w:val="en-GB"/>
        </w:rPr>
        <w:t>in</w:t>
      </w:r>
      <w:r>
        <w:rPr>
          <w:lang w:val="en-GB"/>
        </w:rPr>
        <w:t xml:space="preserve"> </w:t>
      </w:r>
      <w:r>
        <w:rPr>
          <w:rFonts w:ascii="ArialNarrow-Italic" w:hAnsi="ArialNarrow-Italic" w:cs="ArialNarrow-Italic"/>
          <w:i/>
          <w:iCs/>
          <w:lang w:val="en-GB"/>
        </w:rPr>
        <w:t>vivo</w:t>
      </w:r>
      <w:r>
        <w:rPr>
          <w:lang w:val="en-GB"/>
        </w:rPr>
        <w:t xml:space="preserve"> 10-1000-fold higher than that of IL-6/sIL-6R soluble complex.</w:t>
      </w:r>
      <w:r>
        <w:rPr>
          <w:vertAlign w:val="superscript"/>
          <w:lang w:val="en-GB"/>
        </w:rPr>
        <w:t xml:space="preserve"> </w:t>
      </w:r>
      <w:r>
        <w:rPr>
          <w:lang w:val="en-GB"/>
        </w:rPr>
        <w:t xml:space="preserve">HGF initiates liver regeneration after liver excision or chemical injuries. The coadministration of IL-6 and HGF most effectively increased both the wet weight of the unoccluded lobes and the hepatocellular DNA synthesis of the animals that underwent PBL of the left lateral and median branches, suggesting a possible synergistic effect of these two factors. In the current study, the authors evaluated the protective efficacy of </w:t>
      </w:r>
      <w:r>
        <w:rPr>
          <w:rStyle w:val="hps"/>
          <w:lang w:val="en-GB"/>
        </w:rPr>
        <w:t>recombinant adenovirus containing HIL-6 and HGF</w:t>
      </w:r>
      <w:r>
        <w:t xml:space="preserve"> (Ad-HGF-HIL-6)</w:t>
      </w:r>
      <w:r>
        <w:rPr>
          <w:rStyle w:val="hps"/>
          <w:lang w:val="en-GB"/>
        </w:rPr>
        <w:t xml:space="preserve"> compared to that of recombinant adenovirus HIL-6 (</w:t>
      </w:r>
      <w:r>
        <w:t>Ad-HIL-6</w:t>
      </w:r>
      <w:r>
        <w:rPr>
          <w:rStyle w:val="hps"/>
          <w:lang w:val="en-GB"/>
        </w:rPr>
        <w:t>) or HGF (</w:t>
      </w:r>
      <w:r>
        <w:t>Ad-HGF</w:t>
      </w:r>
      <w:r>
        <w:rPr>
          <w:rStyle w:val="hps"/>
          <w:lang w:val="en-GB"/>
        </w:rPr>
        <w:t xml:space="preserve">) in an ACLF rat model. </w:t>
      </w:r>
    </w:p>
    <w:p w:rsidR="003B56F5" w:rsidRDefault="003B56F5" w:rsidP="003B56F5">
      <w:pPr>
        <w:pStyle w:val="8BF4"/>
        <w:rPr>
          <w:rStyle w:val="hps"/>
          <w:lang w:val="en-GB"/>
        </w:rPr>
      </w:pPr>
    </w:p>
    <w:p w:rsidR="003B56F5" w:rsidRPr="003F3CBC" w:rsidRDefault="003B56F5" w:rsidP="003B56F5">
      <w:pPr>
        <w:pStyle w:val="af2"/>
        <w:rPr>
          <w:lang w:val="en-US"/>
        </w:rPr>
      </w:pPr>
      <w:r w:rsidRPr="003F3CBC">
        <w:rPr>
          <w:lang w:val="en-US"/>
        </w:rPr>
        <w:t>Innovations and breakthroughs</w:t>
      </w:r>
    </w:p>
    <w:p w:rsidR="003B56F5" w:rsidRDefault="003B56F5" w:rsidP="003B56F5">
      <w:pPr>
        <w:pStyle w:val="8BF4"/>
        <w:rPr>
          <w:rStyle w:val="hps"/>
          <w:lang w:val="en-GB"/>
        </w:rPr>
      </w:pPr>
      <w:r>
        <w:t xml:space="preserve">ACLF is a condition with acute liver function decompensation secondary to chronic liver diseases. Infectious etiologies constitute the majority of acute insults in the East. In this study, </w:t>
      </w:r>
      <w:r>
        <w:rPr>
          <w:lang w:val="en-GB"/>
        </w:rPr>
        <w:t>the authors</w:t>
      </w:r>
      <w:r>
        <w:t xml:space="preserve"> established a rat model of ACLF by immune system-induced liver cirrhosis induced with HSA, and later with D-galactosamine and lipopolysaccharide. Since this practical animal model can well simulate the pathophysiological processes of ACLF, the experimental results of treatment with Ad-HGF-HIL-6 are more persuasive. On the other hand, </w:t>
      </w:r>
      <w:r>
        <w:rPr>
          <w:lang w:val="en-GB"/>
        </w:rPr>
        <w:t>they</w:t>
      </w:r>
      <w:r>
        <w:t xml:space="preserve"> sought to deliver two genes by a recombinant adenovirus vector into rats simultaneously but avoiding</w:t>
      </w:r>
      <w:r>
        <w:rPr>
          <w:rStyle w:val="hps"/>
          <w:lang w:val="en-GB"/>
        </w:rPr>
        <w:t xml:space="preserve"> significant</w:t>
      </w:r>
      <w:r>
        <w:rPr>
          <w:lang w:val="en-GB"/>
        </w:rPr>
        <w:t xml:space="preserve"> </w:t>
      </w:r>
      <w:r>
        <w:rPr>
          <w:rStyle w:val="hps"/>
          <w:lang w:val="en-GB"/>
        </w:rPr>
        <w:t xml:space="preserve">side effects. These findings demonstrated that </w:t>
      </w:r>
      <w:r>
        <w:rPr>
          <w:lang w:val="en-GB"/>
        </w:rPr>
        <w:t xml:space="preserve">the protective efficacy of </w:t>
      </w:r>
      <w:r>
        <w:rPr>
          <w:rStyle w:val="hps"/>
          <w:lang w:val="en-GB"/>
        </w:rPr>
        <w:t>Ad-HGF-HIL-6 is more potent than</w:t>
      </w:r>
      <w:r>
        <w:rPr>
          <w:lang w:val="en-GB"/>
        </w:rPr>
        <w:t xml:space="preserve"> that of </w:t>
      </w:r>
      <w:r>
        <w:rPr>
          <w:rStyle w:val="hps"/>
          <w:lang w:val="en-GB"/>
        </w:rPr>
        <w:t>Ad-HGF</w:t>
      </w:r>
      <w:r>
        <w:rPr>
          <w:rStyle w:val="high-light-bg4"/>
          <w:lang w:val="en-GB"/>
        </w:rPr>
        <w:t xml:space="preserve"> or </w:t>
      </w:r>
      <w:r>
        <w:rPr>
          <w:rStyle w:val="hps"/>
          <w:lang w:val="en-GB"/>
        </w:rPr>
        <w:t xml:space="preserve">Ad-HIL-6 in </w:t>
      </w:r>
      <w:r>
        <w:rPr>
          <w:lang w:val="en-GB"/>
        </w:rPr>
        <w:t xml:space="preserve">ACLF rats, with </w:t>
      </w:r>
      <w:r>
        <w:rPr>
          <w:rStyle w:val="hps"/>
          <w:lang w:val="en-GB"/>
        </w:rPr>
        <w:t>no significant</w:t>
      </w:r>
      <w:r>
        <w:rPr>
          <w:lang w:val="en-GB"/>
        </w:rPr>
        <w:t xml:space="preserve"> </w:t>
      </w:r>
      <w:r>
        <w:rPr>
          <w:rStyle w:val="hps"/>
          <w:lang w:val="en-GB"/>
        </w:rPr>
        <w:t>side effects.</w:t>
      </w:r>
    </w:p>
    <w:p w:rsidR="003B56F5" w:rsidRDefault="003B56F5" w:rsidP="003B56F5">
      <w:pPr>
        <w:pStyle w:val="8BF4"/>
        <w:rPr>
          <w:rFonts w:ascii="ArialNarrow-BoldItalic" w:hAnsi="ArialNarrow-BoldItalic" w:cs="ArialNarrow-BoldItalic"/>
          <w:b/>
          <w:bCs/>
          <w:i/>
          <w:iCs/>
        </w:rPr>
      </w:pPr>
    </w:p>
    <w:p w:rsidR="003B56F5" w:rsidRPr="003F3CBC" w:rsidRDefault="003B56F5" w:rsidP="003B56F5">
      <w:pPr>
        <w:pStyle w:val="af2"/>
        <w:rPr>
          <w:lang w:val="en-US"/>
        </w:rPr>
      </w:pPr>
      <w:r w:rsidRPr="003F3CBC">
        <w:rPr>
          <w:lang w:val="en-US"/>
        </w:rPr>
        <w:t>Applications</w:t>
      </w:r>
    </w:p>
    <w:p w:rsidR="003B56F5" w:rsidRDefault="003B56F5" w:rsidP="003B56F5">
      <w:pPr>
        <w:pStyle w:val="8BF4"/>
        <w:rPr>
          <w:lang w:val="en-GB"/>
        </w:rPr>
      </w:pPr>
      <w:r>
        <w:rPr>
          <w:rStyle w:val="hps"/>
          <w:lang w:val="en-GB"/>
        </w:rPr>
        <w:t>These</w:t>
      </w:r>
      <w:r>
        <w:rPr>
          <w:lang w:val="en-GB"/>
        </w:rPr>
        <w:t xml:space="preserve"> findings indicate that Ad-HGF</w:t>
      </w:r>
      <w:r>
        <w:rPr>
          <w:rStyle w:val="hps"/>
          <w:lang w:val="en-GB"/>
        </w:rPr>
        <w:t>-HIL-6</w:t>
      </w:r>
      <w:r>
        <w:rPr>
          <w:lang w:val="en-GB"/>
        </w:rPr>
        <w:t xml:space="preserve"> is likely to be a potential and novel protective agent for severe liver inflammatory injury.</w:t>
      </w:r>
    </w:p>
    <w:p w:rsidR="003B56F5" w:rsidRDefault="003B56F5" w:rsidP="003B56F5">
      <w:pPr>
        <w:pStyle w:val="8BF4"/>
        <w:rPr>
          <w:rFonts w:ascii="ArialNarrow-BoldItalic" w:hAnsi="ArialNarrow-BoldItalic" w:cs="ArialNarrow-BoldItalic"/>
          <w:b/>
          <w:bCs/>
          <w:i/>
          <w:iCs/>
        </w:rPr>
      </w:pPr>
    </w:p>
    <w:p w:rsidR="003B56F5" w:rsidRPr="003F3CBC" w:rsidRDefault="003B56F5" w:rsidP="003B56F5">
      <w:pPr>
        <w:pStyle w:val="af2"/>
        <w:rPr>
          <w:lang w:val="en-US"/>
        </w:rPr>
      </w:pPr>
      <w:r w:rsidRPr="003F3CBC">
        <w:rPr>
          <w:lang w:val="en-US"/>
        </w:rPr>
        <w:t>Terminology</w:t>
      </w:r>
    </w:p>
    <w:p w:rsidR="003B56F5" w:rsidRDefault="003B56F5" w:rsidP="003B56F5">
      <w:pPr>
        <w:pStyle w:val="8BF4"/>
        <w:rPr>
          <w:rStyle w:val="hps"/>
          <w:lang w:val="en-GB"/>
        </w:rPr>
      </w:pPr>
      <w:r>
        <w:rPr>
          <w:lang w:val="en-GB"/>
        </w:rPr>
        <w:t>ACLF refers to an acute deterioration of known or unknown chronic liver disease.</w:t>
      </w:r>
      <w:r>
        <w:t xml:space="preserve"> </w:t>
      </w:r>
      <w:r>
        <w:rPr>
          <w:lang w:val="en-GB"/>
        </w:rPr>
        <w:t xml:space="preserve">It is primarily caused by bleeding and infections, which could </w:t>
      </w:r>
      <w:r>
        <w:t>result in</w:t>
      </w:r>
      <w:r>
        <w:rPr>
          <w:lang w:val="en-GB"/>
        </w:rPr>
        <w:t xml:space="preserve"> a series of pathophysiological process, including systemic hemodynamic changes, systemic inflammatory response syndrome, hepatorenal syndrome, and hepatic encephalopathy. IL-6 is a pleiotropic cytokine mediating acute-phase responses, cell regeneration, and transition from innate to acquired immunity. In the classical pathway, IL-6 binds to a membrane bound IL-6R and the complex associates with gp130, for intracellular signalling. </w:t>
      </w:r>
      <w:proofErr w:type="gramStart"/>
      <w:r>
        <w:rPr>
          <w:lang w:val="en-GB"/>
        </w:rPr>
        <w:t>Interactions of the IL-6/sIL-6R complex with gp130 provides</w:t>
      </w:r>
      <w:proofErr w:type="gramEnd"/>
      <w:r>
        <w:rPr>
          <w:lang w:val="en-GB"/>
        </w:rPr>
        <w:t xml:space="preserve"> IL-6 sensitivity to many cell types that do not express IL-6R, </w:t>
      </w:r>
      <w:r>
        <w:rPr>
          <w:rStyle w:val="hps"/>
          <w:lang w:val="en-GB"/>
        </w:rPr>
        <w:t xml:space="preserve">thereby expanding biological effects. HIL-6 is a chimera of recombinant human </w:t>
      </w:r>
      <w:r>
        <w:rPr>
          <w:lang w:val="en-GB"/>
        </w:rPr>
        <w:t>IL-6 bound to IL-6R</w:t>
      </w:r>
      <w:r>
        <w:rPr>
          <w:rFonts w:ascii="Symbol" w:hAnsi="Symbol" w:cs="Symbol"/>
          <w:lang w:val="en-GB"/>
        </w:rPr>
        <w:t></w:t>
      </w:r>
      <w:r>
        <w:rPr>
          <w:lang w:val="en-GB"/>
        </w:rPr>
        <w:t xml:space="preserve"> by a short peptide chain. Compared to IL-6/IL-6R</w:t>
      </w:r>
      <w:r>
        <w:rPr>
          <w:rFonts w:ascii="Symbol" w:hAnsi="Symbol" w:cs="Symbol"/>
          <w:lang w:val="en-GB"/>
        </w:rPr>
        <w:t></w:t>
      </w:r>
      <w:r>
        <w:rPr>
          <w:lang w:val="en-GB"/>
        </w:rPr>
        <w:t xml:space="preserve">, HIL-6 has a 10-1000-fold higher receptor binding affinity while the half-life is similar to IL-6. </w:t>
      </w:r>
      <w:r>
        <w:rPr>
          <w:rStyle w:val="hps"/>
          <w:lang w:val="en-GB"/>
        </w:rPr>
        <w:t xml:space="preserve">HIL-6 has enhanced and longer activation of mitogen-activated protein kinase pathways. </w:t>
      </w:r>
      <w:r>
        <w:rPr>
          <w:lang w:val="en-GB"/>
        </w:rPr>
        <w:t xml:space="preserve">HGF initiates liver regeneration after liver excision or chemical injuries. The coadministration of IL-6 and HGF most effectively increased both the wet weight of the unoccluded lobes and the hepatocellular DNA synthesis of the animals that underwent portal branch ligation of the left lateral and median branches, suggesting a possible synergistic effect of these two factors. In the current study, we evaluated the therapeutic efficacy of </w:t>
      </w:r>
      <w:r>
        <w:rPr>
          <w:rStyle w:val="hps"/>
          <w:lang w:val="en-GB"/>
        </w:rPr>
        <w:t>recombinant adenovirus containing HIL-6 and HGF compared to that of recombinant adenovirus HIL-6 or HGF in an ACLF rat model.</w:t>
      </w:r>
    </w:p>
    <w:p w:rsidR="003B56F5" w:rsidRDefault="003B56F5" w:rsidP="003B56F5">
      <w:pPr>
        <w:pStyle w:val="8BF4"/>
        <w:rPr>
          <w:rStyle w:val="hps"/>
          <w:lang w:val="en-GB"/>
        </w:rPr>
      </w:pPr>
    </w:p>
    <w:p w:rsidR="003B56F5" w:rsidRPr="003F3CBC" w:rsidRDefault="003B56F5" w:rsidP="003B56F5">
      <w:pPr>
        <w:pStyle w:val="af2"/>
        <w:rPr>
          <w:lang w:val="en-US"/>
        </w:rPr>
      </w:pPr>
      <w:r w:rsidRPr="003F3CBC">
        <w:rPr>
          <w:lang w:val="en-US"/>
        </w:rPr>
        <w:t>Peer-review</w:t>
      </w:r>
    </w:p>
    <w:p w:rsidR="003B56F5" w:rsidRDefault="003B56F5" w:rsidP="003B56F5">
      <w:pPr>
        <w:pStyle w:val="8BF4"/>
        <w:rPr>
          <w:lang w:val="en-GB"/>
        </w:rPr>
      </w:pPr>
      <w:r>
        <w:rPr>
          <w:lang w:val="en-GB"/>
        </w:rPr>
        <w:t xml:space="preserve">This is a very well designed </w:t>
      </w:r>
      <w:r>
        <w:rPr>
          <w:rStyle w:val="so-ask-best"/>
        </w:rPr>
        <w:t>research</w:t>
      </w:r>
      <w:r>
        <w:rPr>
          <w:lang w:val="en-GB"/>
        </w:rPr>
        <w:t xml:space="preserve"> and the literature relating to the </w:t>
      </w:r>
      <w:r>
        <w:t>principle</w:t>
      </w:r>
      <w:r>
        <w:rPr>
          <w:lang w:val="en-GB"/>
        </w:rPr>
        <w:t xml:space="preserve"> for using this </w:t>
      </w:r>
      <w:r>
        <w:rPr>
          <w:rStyle w:val="hps"/>
          <w:lang w:val="en-GB"/>
        </w:rPr>
        <w:t>recombinant adenovirus</w:t>
      </w:r>
      <w:r>
        <w:rPr>
          <w:lang w:val="en-GB"/>
        </w:rPr>
        <w:t xml:space="preserve"> in the ACLF model in rats to explicate its potential effects has been </w:t>
      </w:r>
      <w:r>
        <w:t>exhaustively</w:t>
      </w:r>
      <w:r>
        <w:rPr>
          <w:lang w:val="en-GB"/>
        </w:rPr>
        <w:t xml:space="preserve"> explored.</w:t>
      </w:r>
      <w:r>
        <w:t xml:space="preserve"> </w:t>
      </w:r>
      <w:r>
        <w:rPr>
          <w:lang w:val="en-GB"/>
        </w:rPr>
        <w:t>The study is well presented in terms of its aims and purposes.</w:t>
      </w:r>
      <w:r>
        <w:t xml:space="preserve"> </w:t>
      </w:r>
      <w:r>
        <w:rPr>
          <w:lang w:val="en-GB"/>
        </w:rPr>
        <w:t xml:space="preserve">There are </w:t>
      </w:r>
      <w:r>
        <w:t>confident</w:t>
      </w:r>
      <w:r>
        <w:rPr>
          <w:lang w:val="en-GB"/>
        </w:rPr>
        <w:t xml:space="preserve"> data to </w:t>
      </w:r>
      <w:r>
        <w:t>indicate</w:t>
      </w:r>
      <w:r>
        <w:rPr>
          <w:lang w:val="en-GB"/>
        </w:rPr>
        <w:t xml:space="preserve"> that </w:t>
      </w:r>
      <w:r>
        <w:rPr>
          <w:rStyle w:val="hps"/>
          <w:lang w:val="en-GB"/>
        </w:rPr>
        <w:t>Ad-HGF-HIL-6</w:t>
      </w:r>
      <w:r>
        <w:rPr>
          <w:lang w:val="en-GB"/>
        </w:rPr>
        <w:t xml:space="preserve"> may be explored as a potential therapeutic agent for severe liver inflammatory injury.</w:t>
      </w:r>
    </w:p>
    <w:p w:rsidR="003B56F5" w:rsidRPr="003F3CBC" w:rsidRDefault="003B56F5" w:rsidP="003B56F5">
      <w:pPr>
        <w:pStyle w:val="af0"/>
        <w:rPr>
          <w:lang w:val="en-US"/>
        </w:rPr>
      </w:pPr>
    </w:p>
    <w:p w:rsidR="003B56F5" w:rsidRPr="003F3CBC" w:rsidRDefault="003B56F5" w:rsidP="003B56F5">
      <w:pPr>
        <w:pStyle w:val="af0"/>
        <w:rPr>
          <w:lang w:val="en-US"/>
        </w:rPr>
      </w:pPr>
      <w:r w:rsidRPr="003F3CBC">
        <w:rPr>
          <w:lang w:val="en-US"/>
        </w:rPr>
        <w:t>REFERENCES</w:t>
      </w:r>
    </w:p>
    <w:p w:rsidR="003B56F5" w:rsidRDefault="003B56F5" w:rsidP="003B56F5">
      <w:pPr>
        <w:pStyle w:val="-1"/>
      </w:pPr>
      <w:r>
        <w:t>1</w:t>
      </w:r>
      <w:r>
        <w:tab/>
      </w:r>
      <w:r>
        <w:rPr>
          <w:b/>
          <w:bCs/>
        </w:rPr>
        <w:t>Limbach KJ</w:t>
      </w:r>
      <w:r>
        <w:t xml:space="preserve">, Richie TL. Viral vectors in malaria vaccine development. </w:t>
      </w:r>
      <w:r>
        <w:rPr>
          <w:i/>
          <w:iCs/>
        </w:rPr>
        <w:t>Parasite Immunol</w:t>
      </w:r>
      <w:r>
        <w:t xml:space="preserve"> 2009; </w:t>
      </w:r>
      <w:r>
        <w:rPr>
          <w:b/>
          <w:bCs/>
        </w:rPr>
        <w:t>31</w:t>
      </w:r>
      <w:r>
        <w:t>: 501-519 [PMID: 19691555 DOI: 10.1111/j.1365-3024.2009.01141.x]</w:t>
      </w:r>
    </w:p>
    <w:p w:rsidR="003B56F5" w:rsidRDefault="003B56F5" w:rsidP="003B56F5">
      <w:pPr>
        <w:pStyle w:val="-1"/>
      </w:pPr>
      <w:r>
        <w:t>2</w:t>
      </w:r>
      <w:r>
        <w:tab/>
      </w:r>
      <w:r>
        <w:rPr>
          <w:b/>
          <w:bCs/>
        </w:rPr>
        <w:t>Robert-Guroff M</w:t>
      </w:r>
      <w:r>
        <w:t xml:space="preserve">. Replicating and non-replicating viral vectors for vaccine development. </w:t>
      </w:r>
      <w:r>
        <w:rPr>
          <w:i/>
          <w:iCs/>
        </w:rPr>
        <w:t>Curr Opin Biotechnol</w:t>
      </w:r>
      <w:r>
        <w:t xml:space="preserve"> 2007; </w:t>
      </w:r>
      <w:r>
        <w:rPr>
          <w:b/>
          <w:bCs/>
        </w:rPr>
        <w:t>18</w:t>
      </w:r>
      <w:r>
        <w:t>: 546-556 [PMID: 18063357 DOI: 10.1016/j.copbio.2007.10.010]</w:t>
      </w:r>
    </w:p>
    <w:p w:rsidR="003B56F5" w:rsidRDefault="003B56F5" w:rsidP="003B56F5">
      <w:pPr>
        <w:pStyle w:val="-1"/>
      </w:pPr>
      <w:r>
        <w:t>3</w:t>
      </w:r>
      <w:r>
        <w:tab/>
      </w:r>
      <w:r>
        <w:rPr>
          <w:b/>
          <w:bCs/>
        </w:rPr>
        <w:t>Kato H</w:t>
      </w:r>
      <w:r>
        <w:t xml:space="preserve">, Shimomura T, Murai R, Gonda K, Ishii K, Yoshida Y, Kanbe T, Hashiguchi K, Sakabe T, Takubo K, Okano J, Tsuchiya H, Hoshikawa Y, Kurimasa A, Shiota G. Regulation of hepatic oval cell proliferation by adenoviral mediated hepatocyte growth factor gene transfer and signal transduction inhibitors. </w:t>
      </w:r>
      <w:r>
        <w:rPr>
          <w:i/>
          <w:iCs/>
        </w:rPr>
        <w:t>Hepatogastroenterology</w:t>
      </w:r>
      <w:r>
        <w:t xml:space="preserve"> 2007; </w:t>
      </w:r>
      <w:r>
        <w:rPr>
          <w:b/>
          <w:bCs/>
        </w:rPr>
        <w:t>54</w:t>
      </w:r>
      <w:r>
        <w:t>: 821-825 [PMID: 17591071]</w:t>
      </w:r>
    </w:p>
    <w:p w:rsidR="003B56F5" w:rsidRDefault="003B56F5" w:rsidP="003B56F5">
      <w:pPr>
        <w:pStyle w:val="-1"/>
      </w:pPr>
      <w:r>
        <w:t>4</w:t>
      </w:r>
      <w:r>
        <w:tab/>
      </w:r>
      <w:r>
        <w:rPr>
          <w:b/>
          <w:bCs/>
        </w:rPr>
        <w:t>Fausto N</w:t>
      </w:r>
      <w:r>
        <w:t xml:space="preserve">, Campbell JS, Riehle KJ. </w:t>
      </w:r>
      <w:proofErr w:type="gramStart"/>
      <w:r>
        <w:t>Liver regeneration.</w:t>
      </w:r>
      <w:proofErr w:type="gramEnd"/>
      <w:r>
        <w:t xml:space="preserve"> </w:t>
      </w:r>
      <w:r>
        <w:rPr>
          <w:i/>
          <w:iCs/>
        </w:rPr>
        <w:t>Hepatology</w:t>
      </w:r>
      <w:r>
        <w:t xml:space="preserve"> 2006; </w:t>
      </w:r>
      <w:r>
        <w:rPr>
          <w:b/>
          <w:bCs/>
        </w:rPr>
        <w:t>43</w:t>
      </w:r>
      <w:r>
        <w:t>: S45-S53 [PMID: 16447274 DOI: 10.1002/hep.20969]</w:t>
      </w:r>
    </w:p>
    <w:p w:rsidR="003B56F5" w:rsidRDefault="003B56F5" w:rsidP="003B56F5">
      <w:pPr>
        <w:pStyle w:val="-1"/>
      </w:pPr>
      <w:r>
        <w:t>5</w:t>
      </w:r>
      <w:r>
        <w:tab/>
      </w:r>
      <w:r>
        <w:rPr>
          <w:b/>
          <w:bCs/>
        </w:rPr>
        <w:t>Peters M</w:t>
      </w:r>
      <w:r>
        <w:t xml:space="preserve">, Blinn G, Solem F, Fischer M, Meyer zum Büschenfelde KH, Rose-John S. </w:t>
      </w:r>
      <w:proofErr w:type="gramStart"/>
      <w:r>
        <w:t>In vivo and in vitro activities of the gp130-stimulating designer cytokine Hyper-IL-6.</w:t>
      </w:r>
      <w:proofErr w:type="gramEnd"/>
      <w:r>
        <w:t xml:space="preserve"> </w:t>
      </w:r>
      <w:r>
        <w:rPr>
          <w:i/>
          <w:iCs/>
        </w:rPr>
        <w:t>J Immunol</w:t>
      </w:r>
      <w:r>
        <w:t xml:space="preserve"> 1998; </w:t>
      </w:r>
      <w:r>
        <w:rPr>
          <w:b/>
          <w:bCs/>
        </w:rPr>
        <w:t>161</w:t>
      </w:r>
      <w:r>
        <w:t>: 3575-3581 [PMID: 9759879]</w:t>
      </w:r>
    </w:p>
    <w:p w:rsidR="003B56F5" w:rsidRDefault="003B56F5" w:rsidP="003B56F5">
      <w:pPr>
        <w:pStyle w:val="-1"/>
      </w:pPr>
      <w:r>
        <w:t>6</w:t>
      </w:r>
      <w:r>
        <w:tab/>
      </w:r>
      <w:r>
        <w:rPr>
          <w:b/>
          <w:bCs/>
        </w:rPr>
        <w:t>Makino H</w:t>
      </w:r>
      <w:r>
        <w:t xml:space="preserve">, Shimizu H, Ito H, Kimura F, Ambiru S, Togawa A, Ohtsuka M, Yoshidome H, Kato A, Yoshitomi H, Sawada S, Miyazaki M. Changes in growth factor and cytokine expression in biliary obstructed rat liver and their relationship with delayed liver regeneration after partial hepatectomy. </w:t>
      </w:r>
      <w:r>
        <w:rPr>
          <w:i/>
          <w:iCs/>
        </w:rPr>
        <w:t>World J Gastroenterol</w:t>
      </w:r>
      <w:r>
        <w:t xml:space="preserve"> 2006; </w:t>
      </w:r>
      <w:r>
        <w:rPr>
          <w:b/>
          <w:bCs/>
        </w:rPr>
        <w:t>12</w:t>
      </w:r>
      <w:r>
        <w:t>: 2053-2059 [PMID: 16610056 DOI: 10.3748/wjg.v12.i13.2053]</w:t>
      </w:r>
    </w:p>
    <w:p w:rsidR="003B56F5" w:rsidRDefault="003B56F5" w:rsidP="003B56F5">
      <w:pPr>
        <w:pStyle w:val="-1"/>
      </w:pPr>
      <w:r>
        <w:t>7</w:t>
      </w:r>
      <w:r>
        <w:tab/>
      </w:r>
      <w:r>
        <w:rPr>
          <w:b/>
          <w:bCs/>
        </w:rPr>
        <w:t>Hamada T</w:t>
      </w:r>
      <w:r>
        <w:t xml:space="preserve">, Eguchi S, Takatsuki M, Yamanouchi K, Sugiyama N, Kawashita Y, Okudaira S, Tajima Y, Ishii T, Kanematsu T. Low-dose recombinant human hepatocyte growth factor enhances effect of hepatocyte transplantation in rats treated with retrorsine. </w:t>
      </w:r>
      <w:r>
        <w:rPr>
          <w:i/>
          <w:iCs/>
        </w:rPr>
        <w:lastRenderedPageBreak/>
        <w:t>Hepatogastroenterology</w:t>
      </w:r>
      <w:r>
        <w:t xml:space="preserve"> 2009; </w:t>
      </w:r>
      <w:r>
        <w:rPr>
          <w:b/>
          <w:bCs/>
        </w:rPr>
        <w:t>56</w:t>
      </w:r>
      <w:r>
        <w:t>: 1466-1470 [PMID: 19950811]</w:t>
      </w:r>
    </w:p>
    <w:p w:rsidR="003B56F5" w:rsidRDefault="003B56F5" w:rsidP="003B56F5">
      <w:pPr>
        <w:pStyle w:val="-1"/>
      </w:pPr>
      <w:r>
        <w:t>8</w:t>
      </w:r>
      <w:r>
        <w:tab/>
      </w:r>
      <w:r>
        <w:rPr>
          <w:b/>
          <w:bCs/>
        </w:rPr>
        <w:t>Franco-Gou R</w:t>
      </w:r>
      <w:r>
        <w:t xml:space="preserve">, Roselló-Catafau J, Casillas-Ramirez A, Massip-Salcedo M, Rimola A, Calvo N, Bartrons R, Peralta C. How ischaemic preconditioning protects small liver grafts. </w:t>
      </w:r>
      <w:r>
        <w:rPr>
          <w:i/>
          <w:iCs/>
        </w:rPr>
        <w:t>J Pathol</w:t>
      </w:r>
      <w:r>
        <w:t xml:space="preserve"> 2006; </w:t>
      </w:r>
      <w:r>
        <w:rPr>
          <w:b/>
          <w:bCs/>
        </w:rPr>
        <w:t>208</w:t>
      </w:r>
      <w:r>
        <w:t>: 62-73 [PMID: 16261637 DOI: 10.1002/path.1859]</w:t>
      </w:r>
    </w:p>
    <w:p w:rsidR="003B56F5" w:rsidRDefault="003B56F5" w:rsidP="003B56F5">
      <w:pPr>
        <w:pStyle w:val="-1"/>
      </w:pPr>
      <w:r>
        <w:t>9</w:t>
      </w:r>
      <w:r>
        <w:tab/>
      </w:r>
      <w:r>
        <w:rPr>
          <w:b/>
          <w:bCs/>
        </w:rPr>
        <w:t>Kaido T</w:t>
      </w:r>
      <w:r>
        <w:t xml:space="preserve">, Oe H, Imamura M. Interleukin-6 augments hepatocyte growth factor-induced liver regeneration; involvement of STAT3 activation. </w:t>
      </w:r>
      <w:r>
        <w:rPr>
          <w:i/>
          <w:iCs/>
        </w:rPr>
        <w:t>Hepatogastroenterology</w:t>
      </w:r>
      <w:r>
        <w:t xml:space="preserve"> 2004; </w:t>
      </w:r>
      <w:r>
        <w:rPr>
          <w:b/>
          <w:bCs/>
        </w:rPr>
        <w:t>51</w:t>
      </w:r>
      <w:r>
        <w:t>: 1667-1670 [PMID: 15532800]</w:t>
      </w:r>
    </w:p>
    <w:p w:rsidR="003B56F5" w:rsidRDefault="003B56F5" w:rsidP="003B56F5">
      <w:pPr>
        <w:pStyle w:val="-1"/>
      </w:pPr>
      <w:r>
        <w:t>10</w:t>
      </w:r>
      <w:r>
        <w:tab/>
      </w:r>
      <w:r>
        <w:rPr>
          <w:b/>
          <w:bCs/>
        </w:rPr>
        <w:t>Bramson JL</w:t>
      </w:r>
      <w:r>
        <w:t xml:space="preserve">, Hitt M, Addison CL, Muller WJ, Gauldie J, Graham FL. Direct intratumoral injection of an adenovirus expressing interleukin-12 induces regression and long-lasting immunity that is associated with highly localized expression of interleukin-12. </w:t>
      </w:r>
      <w:r>
        <w:rPr>
          <w:i/>
          <w:iCs/>
        </w:rPr>
        <w:t>Hum Gene Ther</w:t>
      </w:r>
      <w:r>
        <w:t xml:space="preserve"> 1996; </w:t>
      </w:r>
      <w:r>
        <w:rPr>
          <w:b/>
          <w:bCs/>
        </w:rPr>
        <w:t>7</w:t>
      </w:r>
      <w:r>
        <w:t>: 1995-2002 [PMID: 8930660 DOI: 10.1089/hum.1996.7.16-1995]</w:t>
      </w:r>
    </w:p>
    <w:p w:rsidR="003B56F5" w:rsidRDefault="003B56F5" w:rsidP="003B56F5">
      <w:pPr>
        <w:pStyle w:val="-1"/>
      </w:pPr>
      <w:r>
        <w:t>11</w:t>
      </w:r>
      <w:r>
        <w:tab/>
      </w:r>
      <w:r>
        <w:rPr>
          <w:b/>
          <w:bCs/>
        </w:rPr>
        <w:t>Hitt MM</w:t>
      </w:r>
      <w:r>
        <w:t xml:space="preserve">, Addison CL, Graham FL. Human adenovirus vectors for gene transfer into mammalian cells. </w:t>
      </w:r>
      <w:r>
        <w:rPr>
          <w:i/>
          <w:iCs/>
        </w:rPr>
        <w:t>Adv Pharmacol</w:t>
      </w:r>
      <w:r>
        <w:t xml:space="preserve"> 1997; </w:t>
      </w:r>
      <w:r>
        <w:rPr>
          <w:b/>
          <w:bCs/>
        </w:rPr>
        <w:t>40</w:t>
      </w:r>
      <w:r>
        <w:t>: 137-206 [PMID: 9217926]</w:t>
      </w:r>
    </w:p>
    <w:p w:rsidR="003B56F5" w:rsidRDefault="003B56F5" w:rsidP="003B56F5">
      <w:pPr>
        <w:pStyle w:val="-1"/>
      </w:pPr>
      <w:r>
        <w:t>12</w:t>
      </w:r>
      <w:r>
        <w:tab/>
      </w:r>
      <w:r>
        <w:rPr>
          <w:b/>
          <w:bCs/>
        </w:rPr>
        <w:t>Balasubramaniyan V</w:t>
      </w:r>
      <w:r>
        <w:t xml:space="preserve">, Wright G, Sharma V, Davies NA, Sharifi Y, Habtesion A, Mookerjee RP, Jalan R. Ammonia reduction with ornithine phenylacetate restores brain eNOS activity via the DDAH-ADMA pathway in bile duct-ligated cirrhotic rats. </w:t>
      </w:r>
      <w:r>
        <w:rPr>
          <w:i/>
          <w:iCs/>
        </w:rPr>
        <w:t>Am J Physiol Gastrointest Liver Physiol</w:t>
      </w:r>
      <w:r>
        <w:t xml:space="preserve"> 2012; </w:t>
      </w:r>
      <w:r>
        <w:rPr>
          <w:b/>
          <w:bCs/>
        </w:rPr>
        <w:t>302</w:t>
      </w:r>
      <w:r>
        <w:t>: G145-G152 [PMID: 21903766 DOI: 10.1152/ajpgi.00097.2011]</w:t>
      </w:r>
    </w:p>
    <w:p w:rsidR="003B56F5" w:rsidRDefault="003B56F5" w:rsidP="003B56F5">
      <w:pPr>
        <w:pStyle w:val="-1"/>
      </w:pPr>
      <w:r>
        <w:t>13</w:t>
      </w:r>
      <w:r>
        <w:tab/>
      </w:r>
      <w:r>
        <w:rPr>
          <w:b/>
          <w:bCs/>
        </w:rPr>
        <w:t>Liu XH</w:t>
      </w:r>
      <w:r>
        <w:t xml:space="preserve">, Chen Y, Wang TL, Lu J, Zhang LJ, Song CZ, Zhang J, Duan ZP. [Establishment of a D-galactosamine/lipopolysaccharide induced acute-on-chronic liver failure model in rats]. </w:t>
      </w:r>
      <w:r>
        <w:rPr>
          <w:i/>
          <w:iCs/>
        </w:rPr>
        <w:t>Zhonghua Gan Zang Bing Za Zhi</w:t>
      </w:r>
      <w:r>
        <w:t xml:space="preserve"> 2007; </w:t>
      </w:r>
      <w:r>
        <w:rPr>
          <w:b/>
          <w:bCs/>
        </w:rPr>
        <w:t>15</w:t>
      </w:r>
      <w:r>
        <w:t>: 771-775 [PMID: 17963606]</w:t>
      </w:r>
    </w:p>
    <w:p w:rsidR="003B56F5" w:rsidRDefault="003B56F5" w:rsidP="003B56F5">
      <w:pPr>
        <w:pStyle w:val="-1"/>
      </w:pPr>
      <w:r>
        <w:t>14</w:t>
      </w:r>
      <w:r>
        <w:tab/>
      </w:r>
      <w:r>
        <w:rPr>
          <w:b/>
          <w:bCs/>
        </w:rPr>
        <w:t>Ni HM</w:t>
      </w:r>
      <w:r>
        <w:t xml:space="preserve">, Chen X, Ding WX, Schuchmann M, Yin XM. </w:t>
      </w:r>
      <w:proofErr w:type="gramStart"/>
      <w:r>
        <w:t>Differential roles of JNK in ConA/GalN and ConA-induced liver injury in mice.</w:t>
      </w:r>
      <w:proofErr w:type="gramEnd"/>
      <w:r>
        <w:t xml:space="preserve"> </w:t>
      </w:r>
      <w:r>
        <w:rPr>
          <w:i/>
          <w:iCs/>
        </w:rPr>
        <w:t>Am J Pathol</w:t>
      </w:r>
      <w:r>
        <w:t xml:space="preserve"> 2008; </w:t>
      </w:r>
      <w:r>
        <w:rPr>
          <w:b/>
          <w:bCs/>
        </w:rPr>
        <w:t>173</w:t>
      </w:r>
      <w:r>
        <w:t>: 962-972 [PMID: 18772342 DOI: 10.2353/ajpath.2008.080358]</w:t>
      </w:r>
    </w:p>
    <w:p w:rsidR="003B56F5" w:rsidRDefault="003B56F5" w:rsidP="003B56F5">
      <w:pPr>
        <w:pStyle w:val="-1"/>
      </w:pPr>
      <w:r>
        <w:t>15</w:t>
      </w:r>
      <w:r>
        <w:tab/>
      </w:r>
      <w:r>
        <w:rPr>
          <w:b/>
          <w:bCs/>
        </w:rPr>
        <w:t>Takahashi K</w:t>
      </w:r>
      <w:r>
        <w:t xml:space="preserve">, Imaeda H, Fujimoto T, Ban H, Bamba S, Tsujikawa T, Sasaki M, Fujiyama Y, Andoh A. Regulation of eotaxin-3/CC chemokine ligand 26 expression by T helper type 2 cytokines in human colonic myofibroblasts. </w:t>
      </w:r>
      <w:r>
        <w:rPr>
          <w:i/>
          <w:iCs/>
        </w:rPr>
        <w:t>Clin Exp Immunol</w:t>
      </w:r>
      <w:r>
        <w:t xml:space="preserve"> 2013; </w:t>
      </w:r>
      <w:r>
        <w:rPr>
          <w:b/>
          <w:bCs/>
        </w:rPr>
        <w:t>173</w:t>
      </w:r>
      <w:r>
        <w:t>: 323-331 [PMID: 23607908 DOI: 10.1111/cei.12117]</w:t>
      </w:r>
    </w:p>
    <w:p w:rsidR="003B56F5" w:rsidRDefault="003B56F5" w:rsidP="003B56F5">
      <w:pPr>
        <w:pStyle w:val="-1"/>
      </w:pPr>
      <w:r>
        <w:t>16</w:t>
      </w:r>
      <w:r>
        <w:tab/>
      </w:r>
      <w:r>
        <w:rPr>
          <w:b/>
          <w:bCs/>
        </w:rPr>
        <w:t>Livak KJ</w:t>
      </w:r>
      <w:r>
        <w:t xml:space="preserve">, Schmittgen TD. Analysis of relative gene expression data using real-time quantitative PCR and the 2(-Delta Delta </w:t>
      </w:r>
      <w:proofErr w:type="gramStart"/>
      <w:r>
        <w:t>C(</w:t>
      </w:r>
      <w:proofErr w:type="gramEnd"/>
      <w:r>
        <w:t xml:space="preserve">T)) Method. </w:t>
      </w:r>
      <w:r>
        <w:rPr>
          <w:i/>
          <w:iCs/>
        </w:rPr>
        <w:t>Methods</w:t>
      </w:r>
      <w:r>
        <w:t xml:space="preserve"> 2001; </w:t>
      </w:r>
      <w:r>
        <w:rPr>
          <w:b/>
          <w:bCs/>
        </w:rPr>
        <w:t>25</w:t>
      </w:r>
      <w:r>
        <w:t>: 402-408 [PMID: 11846609 DOI: 10.1006/meth.2001.1262]</w:t>
      </w:r>
    </w:p>
    <w:p w:rsidR="003B56F5" w:rsidRDefault="003B56F5" w:rsidP="003B56F5">
      <w:pPr>
        <w:pStyle w:val="-1"/>
      </w:pPr>
      <w:r>
        <w:t>17</w:t>
      </w:r>
      <w:r>
        <w:tab/>
      </w:r>
      <w:r>
        <w:rPr>
          <w:b/>
          <w:bCs/>
        </w:rPr>
        <w:t>Hu C</w:t>
      </w:r>
      <w:r>
        <w:t xml:space="preserve">, Shen S, Zhang A, Ren B, Lin F. </w:t>
      </w:r>
      <w:proofErr w:type="gramStart"/>
      <w:r>
        <w:t>The liver protective effect of methylprednisolone on a new experimental acute-on-chronic liver failure model in rats.</w:t>
      </w:r>
      <w:proofErr w:type="gramEnd"/>
      <w:r>
        <w:t xml:space="preserve"> </w:t>
      </w:r>
      <w:r>
        <w:rPr>
          <w:i/>
          <w:iCs/>
        </w:rPr>
        <w:t>Dig Liver Dis</w:t>
      </w:r>
      <w:r>
        <w:t xml:space="preserve"> 2014; </w:t>
      </w:r>
      <w:r>
        <w:rPr>
          <w:b/>
          <w:bCs/>
        </w:rPr>
        <w:t>46</w:t>
      </w:r>
      <w:r>
        <w:t>: 928-935 [PMID: 25022338 DOI: 10.1016/j.dld.2014.06.008]</w:t>
      </w:r>
    </w:p>
    <w:p w:rsidR="003B56F5" w:rsidRDefault="003B56F5" w:rsidP="003B56F5">
      <w:pPr>
        <w:pStyle w:val="-1"/>
      </w:pPr>
      <w:r>
        <w:t>18</w:t>
      </w:r>
      <w:r>
        <w:tab/>
      </w:r>
      <w:r>
        <w:rPr>
          <w:b/>
          <w:bCs/>
        </w:rPr>
        <w:t>Xu Y</w:t>
      </w:r>
      <w:r>
        <w:t xml:space="preserve">, Wang H, Bao S, Tabassam F, Cai W, Xiang X, Zhao G, Wu H, Gao T, Li H, Xie Q. Amelioration of liver injury by continuously targeted intervention against TNFRp55 in rats with acute-on-chronic liver failure. </w:t>
      </w:r>
      <w:r>
        <w:rPr>
          <w:i/>
          <w:iCs/>
        </w:rPr>
        <w:t>PLoS One</w:t>
      </w:r>
      <w:r>
        <w:t xml:space="preserve"> 2013; </w:t>
      </w:r>
      <w:r>
        <w:rPr>
          <w:b/>
          <w:bCs/>
        </w:rPr>
        <w:t>8</w:t>
      </w:r>
      <w:r>
        <w:t>: e68757 [PMID: 23874752 DOI: 10.1371/journal.pone.0068757]</w:t>
      </w:r>
    </w:p>
    <w:p w:rsidR="003B56F5" w:rsidRDefault="003B56F5" w:rsidP="003B56F5">
      <w:pPr>
        <w:pStyle w:val="-1"/>
      </w:pPr>
      <w:r>
        <w:t>19</w:t>
      </w:r>
      <w:r>
        <w:tab/>
      </w:r>
      <w:r>
        <w:rPr>
          <w:b/>
          <w:bCs/>
        </w:rPr>
        <w:t>Yang F</w:t>
      </w:r>
      <w:r>
        <w:t xml:space="preserve">, Li X, Wang LK, Wang LW, Han XQ, Zhang H, Gong ZJ. Inhibitions of NF-κB and TNF-α result in differential effects in rats with acute on chronic liver failure induced by d-Gal and LPS. </w:t>
      </w:r>
      <w:r>
        <w:rPr>
          <w:i/>
          <w:iCs/>
        </w:rPr>
        <w:t>Inflammation</w:t>
      </w:r>
      <w:r>
        <w:t xml:space="preserve"> 2014; </w:t>
      </w:r>
      <w:r>
        <w:rPr>
          <w:b/>
          <w:bCs/>
        </w:rPr>
        <w:t>37</w:t>
      </w:r>
      <w:r>
        <w:t>: 848-857 [PMID: 24385241 DOI: 10.1007/s10753-013-9805-x]</w:t>
      </w:r>
    </w:p>
    <w:p w:rsidR="003B56F5" w:rsidRDefault="003B56F5" w:rsidP="003B56F5">
      <w:pPr>
        <w:pStyle w:val="-1"/>
      </w:pPr>
      <w:r>
        <w:t>20</w:t>
      </w:r>
      <w:r>
        <w:tab/>
      </w:r>
      <w:r>
        <w:rPr>
          <w:b/>
          <w:bCs/>
        </w:rPr>
        <w:t>Wang LW</w:t>
      </w:r>
      <w:r>
        <w:t xml:space="preserve">, Wang LK, Chen H, Fan C, Li X, He CM, Gong ZJ. Ethyl pyruvate protects against experimental acute-on-chronic liver failure in rats. </w:t>
      </w:r>
      <w:r>
        <w:rPr>
          <w:i/>
          <w:iCs/>
        </w:rPr>
        <w:t>World J Gastroenterol</w:t>
      </w:r>
      <w:r>
        <w:t xml:space="preserve"> 2012; </w:t>
      </w:r>
      <w:r>
        <w:rPr>
          <w:b/>
          <w:bCs/>
        </w:rPr>
        <w:t>18</w:t>
      </w:r>
      <w:r>
        <w:t>: 5709-5718 [PMID: 23155311 DOI: 10.3748/wjg.v18.i40.5709]</w:t>
      </w:r>
    </w:p>
    <w:p w:rsidR="003B56F5" w:rsidRDefault="003B56F5" w:rsidP="003B56F5">
      <w:pPr>
        <w:pStyle w:val="-1"/>
      </w:pPr>
      <w:r>
        <w:t>21</w:t>
      </w:r>
      <w:r>
        <w:tab/>
      </w:r>
      <w:r>
        <w:rPr>
          <w:b/>
          <w:bCs/>
        </w:rPr>
        <w:t>Li X</w:t>
      </w:r>
      <w:r>
        <w:t xml:space="preserve">, Wang LK, Wang LW, Han XQ, Yang F, Gong ZJ. Blockade of high-mobility group box-1 ameliorates acute on chronic liver failure in rats. </w:t>
      </w:r>
      <w:r>
        <w:rPr>
          <w:i/>
          <w:iCs/>
        </w:rPr>
        <w:t>Inflamm Res</w:t>
      </w:r>
      <w:r>
        <w:t xml:space="preserve"> 2013; </w:t>
      </w:r>
      <w:r>
        <w:rPr>
          <w:b/>
          <w:bCs/>
        </w:rPr>
        <w:t>62</w:t>
      </w:r>
      <w:r>
        <w:t>: 703-709 [PMID: 23591781 DOI: 10.1007/s00011-013-0624-1]</w:t>
      </w:r>
    </w:p>
    <w:p w:rsidR="003B56F5" w:rsidRDefault="003B56F5" w:rsidP="003B56F5">
      <w:pPr>
        <w:pStyle w:val="-1"/>
      </w:pPr>
      <w:r>
        <w:t>22</w:t>
      </w:r>
      <w:r>
        <w:tab/>
      </w:r>
      <w:r>
        <w:rPr>
          <w:b/>
          <w:bCs/>
        </w:rPr>
        <w:t>Tsamandas AC</w:t>
      </w:r>
      <w:r>
        <w:t xml:space="preserve">, Thomopoulos K, Zolota V, Kourelis T, Karatzas T, Ravazoula P, Tepetes K, Petsas T, Karavias D, Karatza C, Bonikos DS, Gogos C. Potential role of bcl-2 and bax mRNA and protein expression in chronic hepatitis type B and C: a clinicopathologic study. </w:t>
      </w:r>
      <w:r>
        <w:rPr>
          <w:i/>
          <w:iCs/>
        </w:rPr>
        <w:t>Mod Pathol</w:t>
      </w:r>
      <w:r>
        <w:t xml:space="preserve"> 2003; </w:t>
      </w:r>
      <w:r>
        <w:rPr>
          <w:b/>
          <w:bCs/>
        </w:rPr>
        <w:t>16</w:t>
      </w:r>
      <w:r>
        <w:t>: 1273-1288 [PMID: 14681329 DOI: 10.1097/01.MP.0000097367.56816.5E]</w:t>
      </w:r>
    </w:p>
    <w:p w:rsidR="003B56F5" w:rsidRDefault="003B56F5" w:rsidP="003B56F5">
      <w:pPr>
        <w:pStyle w:val="-1"/>
      </w:pPr>
      <w:r>
        <w:t>23</w:t>
      </w:r>
      <w:r>
        <w:tab/>
      </w:r>
      <w:r>
        <w:rPr>
          <w:b/>
          <w:bCs/>
        </w:rPr>
        <w:t>Zhang M</w:t>
      </w:r>
      <w:r>
        <w:t xml:space="preserve">, He W, Liu F, Zou P, Xiao J, Zhong ZD, Hu ZB. </w:t>
      </w:r>
      <w:proofErr w:type="gramStart"/>
      <w:r>
        <w:t>Inhibition of mouse hepatocyte apoptosis via anti-Fas ribozyme.</w:t>
      </w:r>
      <w:proofErr w:type="gramEnd"/>
      <w:r>
        <w:t xml:space="preserve"> </w:t>
      </w:r>
      <w:r>
        <w:rPr>
          <w:i/>
          <w:iCs/>
        </w:rPr>
        <w:t>World J Gastroenterol</w:t>
      </w:r>
      <w:r>
        <w:t xml:space="preserve"> 2004; </w:t>
      </w:r>
      <w:r>
        <w:rPr>
          <w:b/>
          <w:bCs/>
        </w:rPr>
        <w:t>10</w:t>
      </w:r>
      <w:r>
        <w:t>: 2567-2570 [PMID: 15300908 DOI: 10.3748/wjg.v10.i17.2567]</w:t>
      </w:r>
    </w:p>
    <w:p w:rsidR="003B56F5" w:rsidRDefault="003B56F5" w:rsidP="003B56F5">
      <w:pPr>
        <w:pStyle w:val="-1"/>
      </w:pPr>
      <w:r>
        <w:t>24</w:t>
      </w:r>
      <w:r>
        <w:tab/>
      </w:r>
      <w:r>
        <w:rPr>
          <w:b/>
          <w:bCs/>
        </w:rPr>
        <w:t>Thatch KA</w:t>
      </w:r>
      <w:r>
        <w:t xml:space="preserve">, Schwartz MZ, Yoo EY, Mendelson KG, Duke DS. Modulation of the inflammatory response and apoptosis using epidermal growth factor and hepatocyte growth factor in a liver injury model: a potential approach to the management and treatment of cholestatic liver disease. </w:t>
      </w:r>
      <w:r>
        <w:rPr>
          <w:i/>
          <w:iCs/>
        </w:rPr>
        <w:t>J Pediatr Surg</w:t>
      </w:r>
      <w:r>
        <w:t xml:space="preserve"> 2008; </w:t>
      </w:r>
      <w:r>
        <w:rPr>
          <w:b/>
          <w:bCs/>
        </w:rPr>
        <w:t>43</w:t>
      </w:r>
      <w:r>
        <w:t>: 2169-2173 [PMID: 19040928 DOI: 10.1016/j.jpedsurg.2008.08.045]</w:t>
      </w:r>
    </w:p>
    <w:p w:rsidR="003B56F5" w:rsidRDefault="003B56F5" w:rsidP="003B56F5">
      <w:pPr>
        <w:pStyle w:val="-1"/>
      </w:pPr>
      <w:r>
        <w:t>25</w:t>
      </w:r>
      <w:r>
        <w:tab/>
      </w:r>
      <w:r>
        <w:rPr>
          <w:b/>
          <w:bCs/>
        </w:rPr>
        <w:t>Tsung A</w:t>
      </w:r>
      <w:r>
        <w:t xml:space="preserve">, Sahai R, Tanaka H, Nakao A, Fink MP, Lotze MT, Yang H, Li J, Tracey KJ, Geller DA, Billiar TR. The nuclear factor HMGB1 mediates hepatic injury after murine liver ischemia-reperfusion. </w:t>
      </w:r>
      <w:r>
        <w:rPr>
          <w:i/>
          <w:iCs/>
        </w:rPr>
        <w:t>J Exp Med</w:t>
      </w:r>
      <w:r>
        <w:t xml:space="preserve"> 2005; </w:t>
      </w:r>
      <w:r>
        <w:rPr>
          <w:b/>
          <w:bCs/>
        </w:rPr>
        <w:t>201</w:t>
      </w:r>
      <w:r>
        <w:t>: 1135-1143 [PMID: 15795240 DOI: 10.1084/jem.20042614]</w:t>
      </w:r>
    </w:p>
    <w:p w:rsidR="003B56F5" w:rsidRDefault="003B56F5" w:rsidP="003B56F5">
      <w:pPr>
        <w:pStyle w:val="-1"/>
      </w:pPr>
      <w:r>
        <w:t>26</w:t>
      </w:r>
      <w:r>
        <w:tab/>
      </w:r>
      <w:r>
        <w:rPr>
          <w:b/>
          <w:bCs/>
        </w:rPr>
        <w:t>Suda K</w:t>
      </w:r>
      <w:r>
        <w:t xml:space="preserve">, Kitagawa Y, Ozawa S, Saikawa Y, Ueda M, Ebina M, Yamada S, Hashimoto S, Fukata S, Abraham E, Maruyama I, Kitajima M, Ishizaka A. Anti-high-mobility group box chromosomal protein 1 antibodies improve survival of rats with sepsis. </w:t>
      </w:r>
      <w:r>
        <w:rPr>
          <w:i/>
          <w:iCs/>
        </w:rPr>
        <w:t>World J Surg</w:t>
      </w:r>
      <w:r>
        <w:t xml:space="preserve"> 2006; </w:t>
      </w:r>
      <w:r>
        <w:rPr>
          <w:b/>
          <w:bCs/>
        </w:rPr>
        <w:t>30</w:t>
      </w:r>
      <w:r>
        <w:t>: 1755-</w:t>
      </w:r>
      <w:r>
        <w:lastRenderedPageBreak/>
        <w:t>1762 [PMID: 16850155 DOI: 10.1007/s00268-005-0369-2]</w:t>
      </w:r>
    </w:p>
    <w:p w:rsidR="003B56F5" w:rsidRDefault="003B56F5" w:rsidP="003B56F5">
      <w:pPr>
        <w:pStyle w:val="-1"/>
      </w:pPr>
      <w:r>
        <w:t>27</w:t>
      </w:r>
      <w:r>
        <w:tab/>
      </w:r>
      <w:r>
        <w:rPr>
          <w:b/>
          <w:bCs/>
        </w:rPr>
        <w:t>Yang R</w:t>
      </w:r>
      <w:r>
        <w:t xml:space="preserve">, Miki K, Oksala N, Nakao A, Lindgren L, Killeen ME, Mennander A, Fink MP, Tenhunen J. Bile high-mobility group box 1 contributes to gut barrier dysfunction in experimental endotoxemia. </w:t>
      </w:r>
      <w:r>
        <w:rPr>
          <w:i/>
          <w:iCs/>
        </w:rPr>
        <w:t>Am J Physiol Regul Integr Comp Physiol</w:t>
      </w:r>
      <w:r>
        <w:t xml:space="preserve"> 2009; </w:t>
      </w:r>
      <w:r>
        <w:rPr>
          <w:b/>
          <w:bCs/>
        </w:rPr>
        <w:t>297</w:t>
      </w:r>
      <w:r>
        <w:t>: R362-R369 [PMID: 19494177 DOI: 10.1152/ajpregu.00184.2009]</w:t>
      </w:r>
    </w:p>
    <w:p w:rsidR="003B56F5" w:rsidRDefault="003B56F5" w:rsidP="003B56F5">
      <w:pPr>
        <w:pStyle w:val="-1"/>
      </w:pPr>
      <w:r>
        <w:t>28</w:t>
      </w:r>
      <w:r>
        <w:tab/>
      </w:r>
      <w:r>
        <w:rPr>
          <w:b/>
          <w:bCs/>
        </w:rPr>
        <w:t>Wang LW</w:t>
      </w:r>
      <w:r>
        <w:t xml:space="preserve">, Chen H, Gong ZJ. High mobility group box-1 protein inhibits regulatory T cell immune activity in liver failure in patients with chronic hepatitis B. </w:t>
      </w:r>
      <w:r>
        <w:rPr>
          <w:i/>
          <w:iCs/>
        </w:rPr>
        <w:t>Hepatobiliary Pancreat Dis Int</w:t>
      </w:r>
      <w:r>
        <w:t xml:space="preserve"> 2010; </w:t>
      </w:r>
      <w:r>
        <w:rPr>
          <w:b/>
          <w:bCs/>
        </w:rPr>
        <w:t>9</w:t>
      </w:r>
      <w:r>
        <w:t>: 499-507 [PMID: 20943459]</w:t>
      </w:r>
    </w:p>
    <w:p w:rsidR="003B56F5" w:rsidRDefault="003B56F5" w:rsidP="003B56F5">
      <w:pPr>
        <w:pStyle w:val="-1"/>
      </w:pPr>
      <w:r>
        <w:t>29</w:t>
      </w:r>
      <w:r>
        <w:tab/>
      </w:r>
      <w:r>
        <w:rPr>
          <w:b/>
          <w:bCs/>
        </w:rPr>
        <w:t>Cazzaniga M</w:t>
      </w:r>
      <w:r>
        <w:t xml:space="preserve">, Dionigi E, Gobbo G, Fioretti A, Monti V, Salerno F. The systemic inflammatory response syndrome in cirrhotic patients: relationship with their in-hospital outcome. </w:t>
      </w:r>
      <w:r>
        <w:rPr>
          <w:i/>
          <w:iCs/>
        </w:rPr>
        <w:t>J Hepatol</w:t>
      </w:r>
      <w:r>
        <w:t xml:space="preserve"> 2009; </w:t>
      </w:r>
      <w:r>
        <w:rPr>
          <w:b/>
          <w:bCs/>
        </w:rPr>
        <w:t>51</w:t>
      </w:r>
      <w:r>
        <w:t>: 475-482 [PMID: 19560225 DOI: 10.1016/j.jhep.2009.04.017]</w:t>
      </w:r>
    </w:p>
    <w:p w:rsidR="003B56F5" w:rsidRDefault="003B56F5" w:rsidP="003B56F5">
      <w:pPr>
        <w:pStyle w:val="-1"/>
      </w:pPr>
      <w:r>
        <w:t>30</w:t>
      </w:r>
      <w:r>
        <w:tab/>
      </w:r>
      <w:r>
        <w:rPr>
          <w:b/>
          <w:bCs/>
        </w:rPr>
        <w:t>van der Poll T</w:t>
      </w:r>
      <w:r>
        <w:t xml:space="preserve">, Levi M, van Deventer SJ, ten Cate H, Haagmans BL, Biemond BJ, Büller HR, Hack CE, ten Cate JW. Differential effects of anti-tumor necrosis factor monoclonal antibodies on systemic inflammatory responses in experimental endotoxemia in chimpanzees. </w:t>
      </w:r>
      <w:r>
        <w:rPr>
          <w:i/>
          <w:iCs/>
        </w:rPr>
        <w:t>Blood</w:t>
      </w:r>
      <w:r>
        <w:t xml:space="preserve"> 1994; </w:t>
      </w:r>
      <w:r>
        <w:rPr>
          <w:b/>
          <w:bCs/>
        </w:rPr>
        <w:t>83</w:t>
      </w:r>
      <w:r>
        <w:t>: 446-451 [PMID: 8286742]</w:t>
      </w:r>
    </w:p>
    <w:p w:rsidR="003B56F5" w:rsidRDefault="003B56F5" w:rsidP="003B56F5"/>
    <w:p w:rsidR="003B56F5" w:rsidRDefault="003B56F5" w:rsidP="003B56F5">
      <w:r>
        <w:t>FIGURE LEGENDS</w:t>
      </w:r>
    </w:p>
    <w:p w:rsidR="003B56F5" w:rsidRDefault="003B56F5" w:rsidP="003B56F5">
      <w:pPr>
        <w:pStyle w:val="8BF4"/>
        <w:rPr>
          <w:rFonts w:ascii="ArialNarrow-Bold" w:hAnsi="ArialNarrow-Bold" w:cs="ArialNarrow-Bold" w:hint="eastAsia"/>
          <w:b/>
          <w:bCs/>
          <w:lang w:val="en-GB"/>
        </w:rPr>
      </w:pPr>
      <w:r>
        <w:rPr>
          <w:rFonts w:ascii="ArialNarrow-Bold" w:hAnsi="ArialNarrow-Bold" w:cs="ArialNarrow-Bold"/>
          <w:b/>
          <w:bCs/>
          <w:noProof/>
        </w:rPr>
        <w:drawing>
          <wp:inline distT="0" distB="0" distL="0" distR="0">
            <wp:extent cx="1143000" cy="1171575"/>
            <wp:effectExtent l="0" t="0" r="0" b="9525"/>
            <wp:docPr id="3" name="图片 3" descr="G:\BPG组版\WJGv22i16\单行本-16\WJG-22-4136-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PG组版\WJGv22i16\单行本-16\WJG-22-4136-g00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3000" cy="1171575"/>
                    </a:xfrm>
                    <a:prstGeom prst="rect">
                      <a:avLst/>
                    </a:prstGeom>
                    <a:noFill/>
                    <a:ln>
                      <a:noFill/>
                    </a:ln>
                  </pic:spPr>
                </pic:pic>
              </a:graphicData>
            </a:graphic>
          </wp:inline>
        </w:drawing>
      </w:r>
    </w:p>
    <w:p w:rsidR="003B56F5" w:rsidRDefault="003B56F5" w:rsidP="003B56F5">
      <w:pPr>
        <w:pStyle w:val="8BF4"/>
        <w:rPr>
          <w:lang w:val="en-GB"/>
        </w:rPr>
      </w:pPr>
      <w:r>
        <w:rPr>
          <w:rFonts w:ascii="ArialNarrow-Bold" w:hAnsi="ArialNarrow-Bold" w:cs="ArialNarrow-Bold"/>
          <w:b/>
          <w:bCs/>
          <w:lang w:val="en-GB"/>
        </w:rPr>
        <w:t xml:space="preserve">Figure </w:t>
      </w:r>
      <w:proofErr w:type="gramStart"/>
      <w:r>
        <w:rPr>
          <w:rFonts w:ascii="ArialNarrow-Bold" w:hAnsi="ArialNarrow-Bold" w:cs="ArialNarrow-Bold"/>
          <w:b/>
          <w:bCs/>
          <w:lang w:val="en-GB"/>
        </w:rPr>
        <w:t>1  Effect</w:t>
      </w:r>
      <w:proofErr w:type="gramEnd"/>
      <w:r>
        <w:rPr>
          <w:rFonts w:ascii="ArialNarrow-Bold" w:hAnsi="ArialNarrow-Bold" w:cs="ArialNarrow-Bold"/>
          <w:b/>
          <w:bCs/>
          <w:lang w:val="en-GB"/>
        </w:rPr>
        <w:t xml:space="preserve"> of pDC315-3FLAG-sv40-HGF-IRES-Hyper-IL-6-EGFP on the hepatic enzyme, prothrombin time, inflammatory cytokines, serum endotoxin and high mobility group box-1 in a rat acute-on-chronic liver failure model compared to those of pDC315-3FLAG-sv40-HGF-EGFP or pDC315-3FLAG-sv40-Hyper-IL-6-EGFP. </w:t>
      </w:r>
      <w:r>
        <w:rPr>
          <w:lang w:val="en-GB"/>
        </w:rPr>
        <w:t xml:space="preserve">A: Alanine transaminase (ALT); B: </w:t>
      </w:r>
      <w:r>
        <w:rPr>
          <w:caps/>
          <w:lang w:val="en-GB"/>
        </w:rPr>
        <w:t>p</w:t>
      </w:r>
      <w:r>
        <w:rPr>
          <w:lang w:val="en-GB"/>
        </w:rPr>
        <w:t>rothrombin time (PT); C: Tumour necrosis factor-</w:t>
      </w:r>
      <w:r>
        <w:rPr>
          <w:rFonts w:ascii="Symbol" w:hAnsi="Symbol" w:cs="Symbol"/>
          <w:lang w:val="en-GB"/>
        </w:rPr>
        <w:t></w:t>
      </w:r>
      <w:r>
        <w:rPr>
          <w:lang w:val="en-GB"/>
        </w:rPr>
        <w:t xml:space="preserve"> (TNF-</w:t>
      </w:r>
      <w:r>
        <w:rPr>
          <w:rFonts w:ascii="Symbol" w:hAnsi="Symbol" w:cs="Symbol"/>
          <w:lang w:val="en-GB"/>
        </w:rPr>
        <w:t></w:t>
      </w:r>
      <w:r>
        <w:rPr>
          <w:lang w:val="en-GB"/>
        </w:rPr>
        <w:t>); D: Interferon-</w:t>
      </w:r>
      <w:r>
        <w:rPr>
          <w:rFonts w:ascii="Symbol" w:hAnsi="Symbol" w:cs="Symbol"/>
          <w:lang w:val="en-GB"/>
        </w:rPr>
        <w:t></w:t>
      </w:r>
      <w:r>
        <w:rPr>
          <w:lang w:val="en-GB"/>
        </w:rPr>
        <w:t xml:space="preserve"> (IFN-</w:t>
      </w:r>
      <w:r>
        <w:rPr>
          <w:rFonts w:ascii="Symbol" w:hAnsi="Symbol" w:cs="Symbol"/>
          <w:lang w:val="en-GB"/>
        </w:rPr>
        <w:t></w:t>
      </w:r>
      <w:r>
        <w:rPr>
          <w:lang w:val="en-GB"/>
        </w:rPr>
        <w:t xml:space="preserve">); E: Endotoxin; F: High mobility group box-1 (HMGB1). </w:t>
      </w:r>
      <w:proofErr w:type="gramStart"/>
      <w:r>
        <w:rPr>
          <w:vertAlign w:val="superscript"/>
          <w:lang w:val="en-GB"/>
        </w:rPr>
        <w:t>a</w:t>
      </w:r>
      <w:r>
        <w:rPr>
          <w:rFonts w:ascii="ArialNarrow-Italic" w:hAnsi="ArialNarrow-Italic" w:cs="ArialNarrow-Italic"/>
          <w:i/>
          <w:iCs/>
          <w:caps/>
          <w:lang w:val="en-GB"/>
        </w:rPr>
        <w:t>P</w:t>
      </w:r>
      <w:proofErr w:type="gramEnd"/>
      <w:r>
        <w:rPr>
          <w:rFonts w:ascii="ArialNarrow-Italic" w:hAnsi="ArialNarrow-Italic" w:cs="ArialNarrow-Italic"/>
          <w:i/>
          <w:iCs/>
          <w:caps/>
          <w:lang w:val="en-GB"/>
        </w:rPr>
        <w:t xml:space="preserve"> &lt;</w:t>
      </w:r>
      <w:r>
        <w:rPr>
          <w:lang w:val="en-GB"/>
        </w:rPr>
        <w:t xml:space="preserve"> 0.05 </w:t>
      </w:r>
      <w:r>
        <w:rPr>
          <w:rFonts w:ascii="ArialNarrow-Italic" w:hAnsi="ArialNarrow-Italic" w:cs="ArialNarrow-Italic"/>
          <w:i/>
          <w:iCs/>
          <w:lang w:val="en-GB"/>
        </w:rPr>
        <w:t>vs</w:t>
      </w:r>
      <w:r>
        <w:rPr>
          <w:lang w:val="en-GB"/>
        </w:rPr>
        <w:t xml:space="preserve"> Ad-GFP treated, </w:t>
      </w:r>
      <w:r>
        <w:rPr>
          <w:vertAlign w:val="superscript"/>
          <w:lang w:val="en-GB"/>
        </w:rPr>
        <w:t>b</w:t>
      </w:r>
      <w:r>
        <w:rPr>
          <w:rFonts w:ascii="ArialNarrow-Italic" w:hAnsi="ArialNarrow-Italic" w:cs="ArialNarrow-Italic"/>
          <w:i/>
          <w:iCs/>
          <w:caps/>
          <w:lang w:val="en-GB"/>
        </w:rPr>
        <w:t>P &lt;</w:t>
      </w:r>
      <w:r>
        <w:rPr>
          <w:lang w:val="en-GB"/>
        </w:rPr>
        <w:t xml:space="preserve"> 0.01</w:t>
      </w:r>
      <w:r>
        <w:rPr>
          <w:vertAlign w:val="superscript"/>
          <w:lang w:val="en-GB"/>
        </w:rPr>
        <w:t xml:space="preserve"> </w:t>
      </w:r>
      <w:r>
        <w:rPr>
          <w:rFonts w:ascii="ArialNarrow-Italic" w:hAnsi="ArialNarrow-Italic" w:cs="ArialNarrow-Italic"/>
          <w:i/>
          <w:iCs/>
          <w:lang w:val="en-GB"/>
        </w:rPr>
        <w:t>vs</w:t>
      </w:r>
      <w:r>
        <w:rPr>
          <w:lang w:val="en-GB"/>
        </w:rPr>
        <w:t xml:space="preserve"> control,</w:t>
      </w:r>
      <w:r>
        <w:rPr>
          <w:vertAlign w:val="superscript"/>
          <w:lang w:val="en-GB"/>
        </w:rPr>
        <w:t xml:space="preserve"> c</w:t>
      </w:r>
      <w:r>
        <w:rPr>
          <w:rFonts w:ascii="ArialNarrow-Italic" w:hAnsi="ArialNarrow-Italic" w:cs="ArialNarrow-Italic"/>
          <w:i/>
          <w:iCs/>
          <w:caps/>
          <w:lang w:val="en-GB"/>
        </w:rPr>
        <w:t>P &lt;</w:t>
      </w:r>
      <w:r>
        <w:rPr>
          <w:lang w:val="en-GB"/>
        </w:rPr>
        <w:t xml:space="preserve"> 0.05 </w:t>
      </w:r>
      <w:r>
        <w:rPr>
          <w:rFonts w:ascii="ArialNarrow-Italic" w:hAnsi="ArialNarrow-Italic" w:cs="ArialNarrow-Italic"/>
          <w:i/>
          <w:iCs/>
          <w:lang w:val="en-GB"/>
        </w:rPr>
        <w:t>vs</w:t>
      </w:r>
      <w:r>
        <w:rPr>
          <w:lang w:val="en-GB"/>
        </w:rPr>
        <w:t xml:space="preserve"> Ad-</w:t>
      </w:r>
      <w:r>
        <w:rPr>
          <w:rStyle w:val="hps"/>
          <w:color w:val="222222"/>
          <w:lang w:val="en-GB"/>
        </w:rPr>
        <w:t>HIL-6</w:t>
      </w:r>
      <w:r>
        <w:rPr>
          <w:lang w:val="en-GB"/>
        </w:rPr>
        <w:t xml:space="preserve"> treated, </w:t>
      </w:r>
      <w:r>
        <w:rPr>
          <w:vertAlign w:val="superscript"/>
          <w:lang w:val="en-GB"/>
        </w:rPr>
        <w:t>e</w:t>
      </w:r>
      <w:r>
        <w:rPr>
          <w:rFonts w:ascii="ArialNarrow-Italic" w:hAnsi="ArialNarrow-Italic" w:cs="ArialNarrow-Italic"/>
          <w:i/>
          <w:iCs/>
          <w:caps/>
          <w:lang w:val="en-GB"/>
        </w:rPr>
        <w:t>P &lt;</w:t>
      </w:r>
      <w:r>
        <w:rPr>
          <w:lang w:val="en-GB"/>
        </w:rPr>
        <w:t xml:space="preserve"> 0.05 </w:t>
      </w:r>
      <w:r>
        <w:rPr>
          <w:rFonts w:ascii="ArialNarrow-Italic" w:hAnsi="ArialNarrow-Italic" w:cs="ArialNarrow-Italic"/>
          <w:i/>
          <w:iCs/>
          <w:lang w:val="en-GB"/>
        </w:rPr>
        <w:t>vs</w:t>
      </w:r>
      <w:r>
        <w:rPr>
          <w:lang w:val="en-GB"/>
        </w:rPr>
        <w:t xml:space="preserve"> </w:t>
      </w:r>
      <w:r>
        <w:rPr>
          <w:rStyle w:val="hps"/>
          <w:color w:val="222222"/>
          <w:lang w:val="en-GB"/>
        </w:rPr>
        <w:t xml:space="preserve">Ad-HGF </w:t>
      </w:r>
      <w:r>
        <w:rPr>
          <w:lang w:val="en-GB"/>
        </w:rPr>
        <w:t>treated</w:t>
      </w:r>
      <w:r>
        <w:rPr>
          <w:rStyle w:val="hps"/>
          <w:color w:val="222222"/>
          <w:lang w:val="en-GB"/>
        </w:rPr>
        <w:t xml:space="preserve">. </w:t>
      </w:r>
      <w:r>
        <w:rPr>
          <w:lang w:val="en-GB"/>
        </w:rPr>
        <w:t>The results are expressed as the mean ± SD,</w:t>
      </w:r>
      <w:r>
        <w:rPr>
          <w:rFonts w:ascii="ArialNarrow-Italic" w:hAnsi="ArialNarrow-Italic" w:cs="ArialNarrow-Italic"/>
          <w:i/>
          <w:iCs/>
          <w:lang w:val="en-GB"/>
        </w:rPr>
        <w:t xml:space="preserve"> n</w:t>
      </w:r>
      <w:r>
        <w:rPr>
          <w:lang w:val="en-GB"/>
        </w:rPr>
        <w:t xml:space="preserve"> = 6. </w:t>
      </w:r>
      <w:r>
        <w:rPr>
          <w:caps/>
          <w:lang w:val="en-GB"/>
        </w:rPr>
        <w:t>c</w:t>
      </w:r>
      <w:r>
        <w:rPr>
          <w:lang w:val="en-GB"/>
        </w:rPr>
        <w:t xml:space="preserve">ontrol: </w:t>
      </w:r>
      <w:r>
        <w:rPr>
          <w:rStyle w:val="hps"/>
          <w:color w:val="222222"/>
          <w:lang w:val="en-GB"/>
        </w:rPr>
        <w:t>Normal</w:t>
      </w:r>
      <w:r>
        <w:rPr>
          <w:lang w:val="en-GB"/>
        </w:rPr>
        <w:t xml:space="preserve"> liver; model: ACLF liver; Ad-GFP: pDC315-3FLAG-sv40-EGFP; Ad-HIL-6: pDC315-3FLAG-sv40-Hyper-IL-6-EGFP; Ad-HGF: pDC315-3FLAG-sv40-HGF-EGFP; Ad-HGF-HIL-6: pDC315-3FLAG-sv40-HGF-IRES-Hyper-IL-6-EGFP.</w:t>
      </w:r>
    </w:p>
    <w:p w:rsidR="003B56F5" w:rsidRDefault="003B56F5" w:rsidP="003B56F5">
      <w:pPr>
        <w:pStyle w:val="8BF4"/>
        <w:rPr>
          <w:rFonts w:ascii="ArialNarrow-Bold" w:hAnsi="ArialNarrow-Bold" w:cs="ArialNarrow-Bold" w:hint="eastAsia"/>
          <w:b/>
          <w:bCs/>
          <w:lang w:val="en-GB"/>
        </w:rPr>
      </w:pPr>
      <w:r>
        <w:rPr>
          <w:rFonts w:ascii="ArialNarrow-Bold" w:hAnsi="ArialNarrow-Bold" w:cs="ArialNarrow-Bold"/>
          <w:b/>
          <w:bCs/>
          <w:noProof/>
        </w:rPr>
        <w:drawing>
          <wp:inline distT="0" distB="0" distL="0" distR="0">
            <wp:extent cx="1809750" cy="2600325"/>
            <wp:effectExtent l="0" t="0" r="0" b="9525"/>
            <wp:docPr id="4" name="图片 4" descr="G:\BPG组版\WJGv22i16\单行本-16\WJG-22-4136-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PG组版\WJGv22i16\单行本-16\WJG-22-4136-g00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9750" cy="2600325"/>
                    </a:xfrm>
                    <a:prstGeom prst="rect">
                      <a:avLst/>
                    </a:prstGeom>
                    <a:noFill/>
                    <a:ln>
                      <a:noFill/>
                    </a:ln>
                  </pic:spPr>
                </pic:pic>
              </a:graphicData>
            </a:graphic>
          </wp:inline>
        </w:drawing>
      </w:r>
    </w:p>
    <w:p w:rsidR="003B56F5" w:rsidRDefault="003B56F5" w:rsidP="003B56F5">
      <w:pPr>
        <w:pStyle w:val="8BF4"/>
        <w:rPr>
          <w:rStyle w:val="apple-converted-space"/>
          <w:lang w:val="en-GB"/>
        </w:rPr>
      </w:pPr>
      <w:r>
        <w:rPr>
          <w:rFonts w:ascii="ArialNarrow-Bold" w:hAnsi="ArialNarrow-Bold" w:cs="ArialNarrow-Bold"/>
          <w:b/>
          <w:bCs/>
          <w:lang w:val="en-GB"/>
        </w:rPr>
        <w:t xml:space="preserve">Figure </w:t>
      </w:r>
      <w:proofErr w:type="gramStart"/>
      <w:r>
        <w:rPr>
          <w:rFonts w:ascii="ArialNarrow-Bold" w:hAnsi="ArialNarrow-Bold" w:cs="ArialNarrow-Bold"/>
          <w:b/>
          <w:bCs/>
          <w:lang w:val="en-GB"/>
        </w:rPr>
        <w:t>2  Effect</w:t>
      </w:r>
      <w:proofErr w:type="gramEnd"/>
      <w:r>
        <w:rPr>
          <w:rFonts w:ascii="ArialNarrow-Bold" w:hAnsi="ArialNarrow-Bold" w:cs="ArialNarrow-Bold"/>
          <w:b/>
          <w:bCs/>
          <w:lang w:val="en-GB"/>
        </w:rPr>
        <w:t xml:space="preserve"> of pDC315-3FLAG-sv40-HGF-IRES-Hyper-IL-6-EGFP on liver histology (HE staining, original magnification × 100) compared to those of pDC315-3FLAG-sv40-HGF-EGFP or pDC315-3FLAG-sv40-Hyper-IL-6-EGFP and c</w:t>
      </w:r>
      <w:r>
        <w:rPr>
          <w:rFonts w:ascii="ArialNarrow-Bold" w:hAnsi="ArialNarrow-Bold" w:cs="ArialNarrow-Bold"/>
          <w:b/>
          <w:bCs/>
          <w:color w:val="333333"/>
          <w:lang w:val="en-GB"/>
        </w:rPr>
        <w:t xml:space="preserve">omparison of </w:t>
      </w:r>
      <w:r>
        <w:rPr>
          <w:rFonts w:ascii="ArialNarrow-Bold" w:hAnsi="ArialNarrow-Bold" w:cs="ArialNarrow-Bold"/>
          <w:b/>
          <w:bCs/>
          <w:lang w:val="en-GB"/>
        </w:rPr>
        <w:t>histopathological scores for all types of treated liver.</w:t>
      </w:r>
      <w:r>
        <w:rPr>
          <w:lang w:val="en-GB"/>
        </w:rPr>
        <w:t xml:space="preserve"> Arrow indicates an apoptotic or necrotic cell. </w:t>
      </w:r>
      <w:proofErr w:type="gramStart"/>
      <w:r>
        <w:rPr>
          <w:vertAlign w:val="superscript"/>
          <w:lang w:val="en-GB"/>
        </w:rPr>
        <w:t>a</w:t>
      </w:r>
      <w:r>
        <w:rPr>
          <w:rFonts w:ascii="ArialNarrow-Italic" w:hAnsi="ArialNarrow-Italic" w:cs="ArialNarrow-Italic"/>
          <w:i/>
          <w:iCs/>
          <w:caps/>
          <w:lang w:val="en-GB"/>
        </w:rPr>
        <w:t>P</w:t>
      </w:r>
      <w:proofErr w:type="gramEnd"/>
      <w:r>
        <w:rPr>
          <w:rFonts w:ascii="ArialNarrow-Italic" w:hAnsi="ArialNarrow-Italic" w:cs="ArialNarrow-Italic"/>
          <w:i/>
          <w:iCs/>
          <w:caps/>
          <w:lang w:val="en-GB"/>
        </w:rPr>
        <w:t xml:space="preserve"> &lt;</w:t>
      </w:r>
      <w:r>
        <w:rPr>
          <w:lang w:val="en-GB"/>
        </w:rPr>
        <w:t xml:space="preserve"> 0.05 </w:t>
      </w:r>
      <w:r>
        <w:rPr>
          <w:rFonts w:ascii="ArialNarrow-Italic" w:hAnsi="ArialNarrow-Italic" w:cs="ArialNarrow-Italic"/>
          <w:i/>
          <w:iCs/>
          <w:lang w:val="en-GB"/>
        </w:rPr>
        <w:t>vs</w:t>
      </w:r>
      <w:r>
        <w:rPr>
          <w:lang w:val="en-GB"/>
        </w:rPr>
        <w:t xml:space="preserve"> Ad-GFP treated, </w:t>
      </w:r>
      <w:r>
        <w:rPr>
          <w:vertAlign w:val="superscript"/>
          <w:lang w:val="en-GB"/>
        </w:rPr>
        <w:t>b</w:t>
      </w:r>
      <w:r>
        <w:rPr>
          <w:rFonts w:ascii="ArialNarrow-Italic" w:hAnsi="ArialNarrow-Italic" w:cs="ArialNarrow-Italic"/>
          <w:i/>
          <w:iCs/>
          <w:caps/>
          <w:lang w:val="en-GB"/>
        </w:rPr>
        <w:t>P &lt;</w:t>
      </w:r>
      <w:r>
        <w:rPr>
          <w:lang w:val="en-GB"/>
        </w:rPr>
        <w:t xml:space="preserve"> 0.01</w:t>
      </w:r>
      <w:r>
        <w:rPr>
          <w:vertAlign w:val="superscript"/>
          <w:lang w:val="en-GB"/>
        </w:rPr>
        <w:t xml:space="preserve"> </w:t>
      </w:r>
      <w:r>
        <w:rPr>
          <w:rFonts w:ascii="ArialNarrow-Italic" w:hAnsi="ArialNarrow-Italic" w:cs="ArialNarrow-Italic"/>
          <w:i/>
          <w:iCs/>
          <w:lang w:val="en-GB"/>
        </w:rPr>
        <w:t>vs</w:t>
      </w:r>
      <w:r>
        <w:rPr>
          <w:lang w:val="en-GB"/>
        </w:rPr>
        <w:t xml:space="preserve"> control, </w:t>
      </w:r>
      <w:r>
        <w:rPr>
          <w:vertAlign w:val="superscript"/>
          <w:lang w:val="en-GB"/>
        </w:rPr>
        <w:t>c</w:t>
      </w:r>
      <w:r>
        <w:rPr>
          <w:rFonts w:ascii="ArialNarrow-Italic" w:hAnsi="ArialNarrow-Italic" w:cs="ArialNarrow-Italic"/>
          <w:i/>
          <w:iCs/>
          <w:caps/>
          <w:lang w:val="en-GB"/>
        </w:rPr>
        <w:t>P &lt;</w:t>
      </w:r>
      <w:r>
        <w:rPr>
          <w:lang w:val="en-GB"/>
        </w:rPr>
        <w:t xml:space="preserve"> 0.05 </w:t>
      </w:r>
      <w:r>
        <w:rPr>
          <w:rFonts w:ascii="ArialNarrow-Italic" w:hAnsi="ArialNarrow-Italic" w:cs="ArialNarrow-Italic"/>
          <w:i/>
          <w:iCs/>
          <w:lang w:val="en-GB"/>
        </w:rPr>
        <w:t>vs</w:t>
      </w:r>
      <w:r>
        <w:rPr>
          <w:lang w:val="en-GB"/>
        </w:rPr>
        <w:t xml:space="preserve"> Ad-</w:t>
      </w:r>
      <w:r>
        <w:rPr>
          <w:rStyle w:val="hps"/>
          <w:color w:val="222222"/>
          <w:lang w:val="en-GB"/>
        </w:rPr>
        <w:t>HIL-6</w:t>
      </w:r>
      <w:r>
        <w:rPr>
          <w:lang w:val="en-GB"/>
        </w:rPr>
        <w:t xml:space="preserve"> treated, and </w:t>
      </w:r>
      <w:r>
        <w:rPr>
          <w:vertAlign w:val="superscript"/>
          <w:lang w:val="en-GB"/>
        </w:rPr>
        <w:t>e</w:t>
      </w:r>
      <w:r>
        <w:rPr>
          <w:rFonts w:ascii="ArialNarrow-Italic" w:hAnsi="ArialNarrow-Italic" w:cs="ArialNarrow-Italic"/>
          <w:i/>
          <w:iCs/>
          <w:caps/>
          <w:lang w:val="en-GB"/>
        </w:rPr>
        <w:t>P &lt;</w:t>
      </w:r>
      <w:r>
        <w:rPr>
          <w:lang w:val="en-GB"/>
        </w:rPr>
        <w:t xml:space="preserve"> 0.05 </w:t>
      </w:r>
      <w:r>
        <w:rPr>
          <w:rFonts w:ascii="ArialNarrow-Italic" w:hAnsi="ArialNarrow-Italic" w:cs="ArialNarrow-Italic"/>
          <w:i/>
          <w:iCs/>
          <w:lang w:val="en-GB"/>
        </w:rPr>
        <w:t>vs</w:t>
      </w:r>
      <w:r>
        <w:rPr>
          <w:lang w:val="en-GB"/>
        </w:rPr>
        <w:t xml:space="preserve"> </w:t>
      </w:r>
      <w:r>
        <w:rPr>
          <w:rStyle w:val="hps"/>
          <w:color w:val="222222"/>
          <w:lang w:val="en-GB"/>
        </w:rPr>
        <w:t xml:space="preserve">Ad-HGF </w:t>
      </w:r>
      <w:r>
        <w:rPr>
          <w:lang w:val="en-GB"/>
        </w:rPr>
        <w:t xml:space="preserve">treated. The results are expressed as the mean ± SEM, </w:t>
      </w:r>
      <w:r>
        <w:rPr>
          <w:rFonts w:ascii="ArialNarrow-Italic" w:hAnsi="ArialNarrow-Italic" w:cs="ArialNarrow-Italic"/>
          <w:i/>
          <w:iCs/>
          <w:lang w:val="en-GB"/>
        </w:rPr>
        <w:t>n</w:t>
      </w:r>
      <w:r>
        <w:rPr>
          <w:lang w:val="en-GB"/>
        </w:rPr>
        <w:t xml:space="preserve"> = 8. </w:t>
      </w:r>
      <w:r>
        <w:rPr>
          <w:caps/>
          <w:lang w:val="en-GB"/>
        </w:rPr>
        <w:t>c</w:t>
      </w:r>
      <w:r>
        <w:rPr>
          <w:lang w:val="en-GB"/>
        </w:rPr>
        <w:t xml:space="preserve">ontrol: </w:t>
      </w:r>
      <w:r>
        <w:rPr>
          <w:rStyle w:val="hps"/>
          <w:caps/>
          <w:color w:val="222222"/>
          <w:lang w:val="en-GB"/>
        </w:rPr>
        <w:t>n</w:t>
      </w:r>
      <w:r>
        <w:rPr>
          <w:rStyle w:val="hps"/>
          <w:color w:val="222222"/>
          <w:lang w:val="en-GB"/>
        </w:rPr>
        <w:t>ormal</w:t>
      </w:r>
      <w:r>
        <w:rPr>
          <w:lang w:val="en-GB"/>
        </w:rPr>
        <w:t xml:space="preserve"> liver; </w:t>
      </w:r>
      <w:r>
        <w:rPr>
          <w:caps/>
          <w:lang w:val="en-GB"/>
        </w:rPr>
        <w:t>m</w:t>
      </w:r>
      <w:r>
        <w:rPr>
          <w:lang w:val="en-GB"/>
        </w:rPr>
        <w:t xml:space="preserve">odel: ACLF liver; Ad-GFP: pDC315-3FLAG-sv40-EGFP; Ad-HIL-6: pDC315-3FLAG-sv40-Hyper-IL-6-EGFP; Ad-HGF: pDC315-3FLAG-sv40-HGF-EGFP; Ad-HGF-HIL-6: pDC315-3FLAG-sv40-HGF-IRES-Hyper-IL-6-EGFP; A: </w:t>
      </w:r>
      <w:r>
        <w:rPr>
          <w:rStyle w:val="apple-converted-space"/>
        </w:rPr>
        <w:t xml:space="preserve">Control at 24 h; B: Model at 24 h; C: Ad-GFP at 24 h; D: Ad-HIL-6 at 24 h; E: Ad-HGF at 24 h; F: Ad-HGF-HIL-6 at 24 h; G: Control at </w:t>
      </w:r>
      <w:r>
        <w:rPr>
          <w:rStyle w:val="apple-converted-space"/>
        </w:rPr>
        <w:lastRenderedPageBreak/>
        <w:t>48 h; H: Model at 48 h; I: Ad-GFP at 48 h; J: Ad-HIL-6 at 48 h; K: Ad-HGF at 48 h; L: Ad-HGF-HIL-6 at 48 h.</w:t>
      </w:r>
    </w:p>
    <w:p w:rsidR="003B56F5" w:rsidRDefault="003B56F5" w:rsidP="003B56F5">
      <w:pPr>
        <w:pStyle w:val="8BF4"/>
        <w:rPr>
          <w:rFonts w:ascii="ArialNarrow-Bold" w:hAnsi="ArialNarrow-Bold" w:cs="ArialNarrow-Bold" w:hint="eastAsia"/>
          <w:b/>
          <w:bCs/>
          <w:lang w:val="en-GB"/>
        </w:rPr>
      </w:pPr>
      <w:r>
        <w:rPr>
          <w:rFonts w:ascii="ArialNarrow-Bold" w:hAnsi="ArialNarrow-Bold" w:cs="ArialNarrow-Bold"/>
          <w:b/>
          <w:bCs/>
          <w:noProof/>
        </w:rPr>
        <w:drawing>
          <wp:inline distT="0" distB="0" distL="0" distR="0">
            <wp:extent cx="1800225" cy="2590800"/>
            <wp:effectExtent l="0" t="0" r="9525" b="0"/>
            <wp:docPr id="5" name="图片 5" descr="G:\BPG组版\WJGv22i16\单行本-16\WJG-22-4136-g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PG组版\WJGv22i16\单行本-16\WJG-22-4136-g003.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225" cy="2590800"/>
                    </a:xfrm>
                    <a:prstGeom prst="rect">
                      <a:avLst/>
                    </a:prstGeom>
                    <a:noFill/>
                    <a:ln>
                      <a:noFill/>
                    </a:ln>
                  </pic:spPr>
                </pic:pic>
              </a:graphicData>
            </a:graphic>
          </wp:inline>
        </w:drawing>
      </w:r>
    </w:p>
    <w:p w:rsidR="003B56F5" w:rsidRDefault="003B56F5" w:rsidP="003B56F5">
      <w:pPr>
        <w:pStyle w:val="8BF4"/>
        <w:rPr>
          <w:lang w:val="en-GB"/>
        </w:rPr>
      </w:pPr>
      <w:r>
        <w:rPr>
          <w:rFonts w:ascii="ArialNarrow-Bold" w:hAnsi="ArialNarrow-Bold" w:cs="ArialNarrow-Bold"/>
          <w:b/>
          <w:bCs/>
          <w:lang w:val="en-GB"/>
        </w:rPr>
        <w:t xml:space="preserve">Figure </w:t>
      </w:r>
      <w:proofErr w:type="gramStart"/>
      <w:r>
        <w:rPr>
          <w:rFonts w:ascii="ArialNarrow-Bold" w:hAnsi="ArialNarrow-Bold" w:cs="ArialNarrow-Bold"/>
          <w:b/>
          <w:bCs/>
          <w:lang w:val="en-GB"/>
        </w:rPr>
        <w:t>3  Effect</w:t>
      </w:r>
      <w:proofErr w:type="gramEnd"/>
      <w:r>
        <w:rPr>
          <w:rFonts w:ascii="ArialNarrow-Bold" w:hAnsi="ArialNarrow-Bold" w:cs="ArialNarrow-Bold"/>
          <w:b/>
          <w:bCs/>
          <w:lang w:val="en-GB"/>
        </w:rPr>
        <w:t xml:space="preserve"> of pDC315-3FLAG-sv40-HGF-IRES-Hyper-IL-6-EGFP on Ki67 proliferation index (immunohistochemistry, original magnification × 200) compared to those of pDC315-3FLAG-sv40-HGF-EGFP or pDC315-3FLAG-sv40-Hyper-IL-6-EGFP and quantification for Ki67</w:t>
      </w:r>
      <w:r>
        <w:rPr>
          <w:rFonts w:ascii="ArialNarrow-Bold" w:hAnsi="ArialNarrow-Bold" w:cs="ArialNarrow-Bold"/>
          <w:b/>
          <w:bCs/>
          <w:vertAlign w:val="superscript"/>
          <w:lang w:val="en-GB"/>
        </w:rPr>
        <w:t xml:space="preserve">+ </w:t>
      </w:r>
      <w:r>
        <w:rPr>
          <w:rFonts w:ascii="ArialNarrow-Bold" w:hAnsi="ArialNarrow-Bold" w:cs="ArialNarrow-Bold"/>
          <w:b/>
          <w:bCs/>
          <w:lang w:val="en-GB"/>
        </w:rPr>
        <w:t>hepatocytes versus total counted cells for all types of treated liver.</w:t>
      </w:r>
      <w:r>
        <w:rPr>
          <w:lang w:val="en-GB"/>
        </w:rPr>
        <w:t xml:space="preserve"> </w:t>
      </w:r>
      <w:proofErr w:type="gramStart"/>
      <w:r>
        <w:rPr>
          <w:vertAlign w:val="superscript"/>
          <w:lang w:val="en-GB"/>
        </w:rPr>
        <w:t>a</w:t>
      </w:r>
      <w:r>
        <w:rPr>
          <w:rFonts w:ascii="ArialNarrow-Italic" w:hAnsi="ArialNarrow-Italic" w:cs="ArialNarrow-Italic"/>
          <w:i/>
          <w:iCs/>
          <w:caps/>
          <w:lang w:val="en-GB"/>
        </w:rPr>
        <w:t>P</w:t>
      </w:r>
      <w:proofErr w:type="gramEnd"/>
      <w:r>
        <w:rPr>
          <w:rFonts w:ascii="ArialNarrow-Italic" w:hAnsi="ArialNarrow-Italic" w:cs="ArialNarrow-Italic"/>
          <w:i/>
          <w:iCs/>
          <w:caps/>
          <w:lang w:val="en-GB"/>
        </w:rPr>
        <w:t xml:space="preserve"> &lt;</w:t>
      </w:r>
      <w:r>
        <w:rPr>
          <w:lang w:val="en-GB"/>
        </w:rPr>
        <w:t xml:space="preserve"> 0.05 </w:t>
      </w:r>
      <w:r>
        <w:rPr>
          <w:rFonts w:ascii="ArialNarrow-Italic" w:hAnsi="ArialNarrow-Italic" w:cs="ArialNarrow-Italic"/>
          <w:i/>
          <w:iCs/>
          <w:lang w:val="en-GB"/>
        </w:rPr>
        <w:t>vs</w:t>
      </w:r>
      <w:r>
        <w:rPr>
          <w:lang w:val="en-GB"/>
        </w:rPr>
        <w:t xml:space="preserve"> Ad-GFP treated, </w:t>
      </w:r>
      <w:r>
        <w:rPr>
          <w:vertAlign w:val="superscript"/>
          <w:lang w:val="en-GB"/>
        </w:rPr>
        <w:t>b</w:t>
      </w:r>
      <w:r>
        <w:rPr>
          <w:rFonts w:ascii="ArialNarrow-Italic" w:hAnsi="ArialNarrow-Italic" w:cs="ArialNarrow-Italic"/>
          <w:i/>
          <w:iCs/>
          <w:caps/>
          <w:lang w:val="en-GB"/>
        </w:rPr>
        <w:t>P &lt;</w:t>
      </w:r>
      <w:r>
        <w:rPr>
          <w:lang w:val="en-GB"/>
        </w:rPr>
        <w:t xml:space="preserve"> 0.01</w:t>
      </w:r>
      <w:r>
        <w:rPr>
          <w:vertAlign w:val="superscript"/>
          <w:lang w:val="en-GB"/>
        </w:rPr>
        <w:t xml:space="preserve"> </w:t>
      </w:r>
      <w:r>
        <w:rPr>
          <w:rFonts w:ascii="ArialNarrow-Italic" w:hAnsi="ArialNarrow-Italic" w:cs="ArialNarrow-Italic"/>
          <w:i/>
          <w:iCs/>
          <w:lang w:val="en-GB"/>
        </w:rPr>
        <w:t>vs</w:t>
      </w:r>
      <w:r>
        <w:rPr>
          <w:lang w:val="en-GB"/>
        </w:rPr>
        <w:t xml:space="preserve"> control,</w:t>
      </w:r>
      <w:r>
        <w:rPr>
          <w:vertAlign w:val="superscript"/>
          <w:lang w:val="en-GB"/>
        </w:rPr>
        <w:t xml:space="preserve"> c</w:t>
      </w:r>
      <w:r>
        <w:rPr>
          <w:rFonts w:ascii="ArialNarrow-Italic" w:hAnsi="ArialNarrow-Italic" w:cs="ArialNarrow-Italic"/>
          <w:i/>
          <w:iCs/>
          <w:caps/>
          <w:lang w:val="en-GB"/>
        </w:rPr>
        <w:t>P &lt;</w:t>
      </w:r>
      <w:r>
        <w:rPr>
          <w:lang w:val="en-GB"/>
        </w:rPr>
        <w:t xml:space="preserve"> 0.05 </w:t>
      </w:r>
      <w:r>
        <w:rPr>
          <w:rFonts w:ascii="ArialNarrow-Italic" w:hAnsi="ArialNarrow-Italic" w:cs="ArialNarrow-Italic"/>
          <w:i/>
          <w:iCs/>
          <w:lang w:val="en-GB"/>
        </w:rPr>
        <w:t>vs</w:t>
      </w:r>
      <w:r>
        <w:rPr>
          <w:lang w:val="en-GB"/>
        </w:rPr>
        <w:t xml:space="preserve"> Ad-</w:t>
      </w:r>
      <w:r>
        <w:rPr>
          <w:rStyle w:val="hps"/>
          <w:color w:val="222222"/>
          <w:lang w:val="en-GB"/>
        </w:rPr>
        <w:t>HIL-6</w:t>
      </w:r>
      <w:r>
        <w:rPr>
          <w:lang w:val="en-GB"/>
        </w:rPr>
        <w:t xml:space="preserve"> treated, </w:t>
      </w:r>
      <w:r>
        <w:rPr>
          <w:vertAlign w:val="superscript"/>
          <w:lang w:val="en-GB"/>
        </w:rPr>
        <w:t>e</w:t>
      </w:r>
      <w:r>
        <w:rPr>
          <w:rFonts w:ascii="ArialNarrow-Italic" w:hAnsi="ArialNarrow-Italic" w:cs="ArialNarrow-Italic"/>
          <w:i/>
          <w:iCs/>
          <w:caps/>
          <w:lang w:val="en-GB"/>
        </w:rPr>
        <w:t>P &lt;</w:t>
      </w:r>
      <w:r>
        <w:rPr>
          <w:lang w:val="en-GB"/>
        </w:rPr>
        <w:t xml:space="preserve"> 0.05 </w:t>
      </w:r>
      <w:r>
        <w:rPr>
          <w:rFonts w:ascii="ArialNarrow-Italic" w:hAnsi="ArialNarrow-Italic" w:cs="ArialNarrow-Italic"/>
          <w:i/>
          <w:iCs/>
          <w:lang w:val="en-GB"/>
        </w:rPr>
        <w:t>vs</w:t>
      </w:r>
      <w:r>
        <w:rPr>
          <w:lang w:val="en-GB"/>
        </w:rPr>
        <w:t xml:space="preserve"> </w:t>
      </w:r>
      <w:r>
        <w:rPr>
          <w:rStyle w:val="hps"/>
          <w:color w:val="222222"/>
          <w:lang w:val="en-GB"/>
        </w:rPr>
        <w:t xml:space="preserve">Ad-HGF </w:t>
      </w:r>
      <w:r>
        <w:rPr>
          <w:lang w:val="en-GB"/>
        </w:rPr>
        <w:t>treated. The results are expressed as the mean ± SEM,</w:t>
      </w:r>
      <w:r>
        <w:rPr>
          <w:rFonts w:ascii="ArialNarrow-Italic" w:hAnsi="ArialNarrow-Italic" w:cs="ArialNarrow-Italic"/>
          <w:i/>
          <w:iCs/>
          <w:lang w:val="en-GB"/>
        </w:rPr>
        <w:t xml:space="preserve"> n</w:t>
      </w:r>
      <w:r>
        <w:rPr>
          <w:lang w:val="en-GB"/>
        </w:rPr>
        <w:t xml:space="preserve"> = 8. Arrow is a Ki67</w:t>
      </w:r>
      <w:r w:rsidRPr="003F3CBC">
        <w:rPr>
          <w:vertAlign w:val="superscript"/>
        </w:rPr>
        <w:t>+</w:t>
      </w:r>
      <w:r>
        <w:rPr>
          <w:lang w:val="en-GB"/>
        </w:rPr>
        <w:t xml:space="preserve"> cell. </w:t>
      </w:r>
      <w:r>
        <w:rPr>
          <w:caps/>
          <w:lang w:val="en-GB"/>
        </w:rPr>
        <w:t>c</w:t>
      </w:r>
      <w:r>
        <w:rPr>
          <w:lang w:val="en-GB"/>
        </w:rPr>
        <w:t xml:space="preserve">ontrol: </w:t>
      </w:r>
      <w:r>
        <w:rPr>
          <w:rStyle w:val="hps"/>
          <w:caps/>
          <w:color w:val="222222"/>
          <w:lang w:val="en-GB"/>
        </w:rPr>
        <w:t>n</w:t>
      </w:r>
      <w:r>
        <w:rPr>
          <w:rStyle w:val="hps"/>
          <w:color w:val="222222"/>
          <w:lang w:val="en-GB"/>
        </w:rPr>
        <w:t>ormal</w:t>
      </w:r>
      <w:r>
        <w:rPr>
          <w:lang w:val="en-GB"/>
        </w:rPr>
        <w:t xml:space="preserve"> liver; model: ACLF liver; Ad-GFP: pDC315-3FLAG-sv40-EGFP; Ad-HIL-6: pDC315-3FLAG-sv40-Hyper-IL-6-EGFP; Ad-HGF: pDC315-3FLAG-sv40-HGF-EGFP; and Ad-HGF-HIL-6: pDC315-3FLAG-sv40-HGF-IRES-Hyper-IL-6-EGFP; A: </w:t>
      </w:r>
      <w:r>
        <w:rPr>
          <w:rStyle w:val="apple-converted-space"/>
        </w:rPr>
        <w:t>Control at 24 h; B: Model at 24 h; C: Ad-GFP at 24 h; D: Ad-HIL-6 at 24 h; E: Ad-HGF at 24 h; F: Ad-HGF-HIL-6 at 24 h; G: Control at 48 h; H: Model at 48 h; I: Ad-GFP at 48 h; J: Ad-HIL-6 at 48 h; K: Ad-HGF at 48 h; L:Ad-HGF-HIL-6 at 48 h.</w:t>
      </w:r>
      <w:r>
        <w:rPr>
          <w:lang w:val="en-GB"/>
        </w:rPr>
        <w:t xml:space="preserve"> </w:t>
      </w:r>
    </w:p>
    <w:p w:rsidR="003B56F5" w:rsidRDefault="003B56F5" w:rsidP="003B56F5">
      <w:pPr>
        <w:pStyle w:val="8BF4"/>
        <w:rPr>
          <w:rFonts w:ascii="ArialNarrow-Bold" w:hAnsi="ArialNarrow-Bold" w:cs="ArialNarrow-Bold" w:hint="eastAsia"/>
          <w:b/>
          <w:bCs/>
          <w:lang w:val="en-GB"/>
        </w:rPr>
      </w:pPr>
      <w:r>
        <w:rPr>
          <w:rFonts w:ascii="ArialNarrow-Bold" w:hAnsi="ArialNarrow-Bold" w:cs="ArialNarrow-Bold"/>
          <w:b/>
          <w:bCs/>
          <w:noProof/>
        </w:rPr>
        <w:drawing>
          <wp:inline distT="0" distB="0" distL="0" distR="0">
            <wp:extent cx="1809750" cy="2600325"/>
            <wp:effectExtent l="0" t="0" r="0" b="9525"/>
            <wp:docPr id="6" name="图片 6" descr="G:\BPG组版\WJGv22i16\单行本-16\WJG-22-4136-g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BPG组版\WJGv22i16\单行本-16\WJG-22-4136-g004.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9750" cy="2600325"/>
                    </a:xfrm>
                    <a:prstGeom prst="rect">
                      <a:avLst/>
                    </a:prstGeom>
                    <a:noFill/>
                    <a:ln>
                      <a:noFill/>
                    </a:ln>
                  </pic:spPr>
                </pic:pic>
              </a:graphicData>
            </a:graphic>
          </wp:inline>
        </w:drawing>
      </w:r>
    </w:p>
    <w:p w:rsidR="003B56F5" w:rsidRDefault="003B56F5" w:rsidP="003B56F5">
      <w:pPr>
        <w:pStyle w:val="8BF4"/>
        <w:rPr>
          <w:rStyle w:val="apple-converted-space"/>
          <w:lang w:val="en-GB"/>
        </w:rPr>
      </w:pPr>
      <w:r>
        <w:rPr>
          <w:rFonts w:ascii="ArialNarrow-Bold" w:hAnsi="ArialNarrow-Bold" w:cs="ArialNarrow-Bold"/>
          <w:b/>
          <w:bCs/>
          <w:lang w:val="en-GB"/>
        </w:rPr>
        <w:t xml:space="preserve">Figure </w:t>
      </w:r>
      <w:proofErr w:type="gramStart"/>
      <w:r>
        <w:rPr>
          <w:rFonts w:ascii="ArialNarrow-Bold" w:hAnsi="ArialNarrow-Bold" w:cs="ArialNarrow-Bold"/>
          <w:b/>
          <w:bCs/>
          <w:lang w:val="en-GB"/>
        </w:rPr>
        <w:t>4  Effect</w:t>
      </w:r>
      <w:proofErr w:type="gramEnd"/>
      <w:r>
        <w:rPr>
          <w:rFonts w:ascii="ArialNarrow-Bold" w:hAnsi="ArialNarrow-Bold" w:cs="ArialNarrow-Bold"/>
          <w:b/>
          <w:bCs/>
          <w:lang w:val="en-GB"/>
        </w:rPr>
        <w:t xml:space="preserve"> of pDC315-3FLAG-sv40-HGF-IRES-Hyper-IL-6-EGFP on apoptotic index by TUNEL assays (Images are represented at × 400 magnification) compared to those of pDC315-3FLAG-sv40-HGF-EGFP or pDC315-3FLAG-sv40-Hyper-IL-6-EGFP and comparison of the</w:t>
      </w:r>
      <w:r>
        <w:rPr>
          <w:rFonts w:ascii="ArialNarrow-Bold" w:hAnsi="ArialNarrow-Bold" w:cs="ArialNarrow-Bold"/>
          <w:b/>
          <w:bCs/>
          <w:color w:val="333333"/>
          <w:lang w:val="en-GB"/>
        </w:rPr>
        <w:t xml:space="preserve"> </w:t>
      </w:r>
      <w:r>
        <w:rPr>
          <w:rFonts w:ascii="ArialNarrow-Bold" w:hAnsi="ArialNarrow-Bold" w:cs="ArialNarrow-Bold"/>
          <w:b/>
          <w:bCs/>
          <w:lang w:val="en-GB"/>
        </w:rPr>
        <w:t>apoptosis rates (%) for all types of treated liver.</w:t>
      </w:r>
      <w:r>
        <w:rPr>
          <w:lang w:val="en-GB"/>
        </w:rPr>
        <w:t xml:space="preserve"> Arrow indicates an apoptotic cell. </w:t>
      </w:r>
      <w:proofErr w:type="gramStart"/>
      <w:r>
        <w:rPr>
          <w:vertAlign w:val="superscript"/>
          <w:lang w:val="en-GB"/>
        </w:rPr>
        <w:t>a</w:t>
      </w:r>
      <w:r>
        <w:rPr>
          <w:rFonts w:ascii="ArialNarrow-Italic" w:hAnsi="ArialNarrow-Italic" w:cs="ArialNarrow-Italic"/>
          <w:i/>
          <w:iCs/>
          <w:caps/>
          <w:lang w:val="en-GB"/>
        </w:rPr>
        <w:t>P</w:t>
      </w:r>
      <w:proofErr w:type="gramEnd"/>
      <w:r>
        <w:rPr>
          <w:rFonts w:ascii="ArialNarrow-Italic" w:hAnsi="ArialNarrow-Italic" w:cs="ArialNarrow-Italic"/>
          <w:i/>
          <w:iCs/>
          <w:caps/>
          <w:lang w:val="en-GB"/>
        </w:rPr>
        <w:t xml:space="preserve"> &lt;</w:t>
      </w:r>
      <w:r>
        <w:rPr>
          <w:lang w:val="en-GB"/>
        </w:rPr>
        <w:t xml:space="preserve"> 0.05 </w:t>
      </w:r>
      <w:r>
        <w:rPr>
          <w:rFonts w:ascii="ArialNarrow-Italic" w:hAnsi="ArialNarrow-Italic" w:cs="ArialNarrow-Italic"/>
          <w:i/>
          <w:iCs/>
          <w:lang w:val="en-GB"/>
        </w:rPr>
        <w:t>vs</w:t>
      </w:r>
      <w:r>
        <w:rPr>
          <w:lang w:val="en-GB"/>
        </w:rPr>
        <w:t xml:space="preserve"> Ad-GFP treated, </w:t>
      </w:r>
      <w:r>
        <w:rPr>
          <w:vertAlign w:val="superscript"/>
          <w:lang w:val="en-GB"/>
        </w:rPr>
        <w:t>b</w:t>
      </w:r>
      <w:r>
        <w:rPr>
          <w:rFonts w:ascii="ArialNarrow-Italic" w:hAnsi="ArialNarrow-Italic" w:cs="ArialNarrow-Italic"/>
          <w:i/>
          <w:iCs/>
          <w:caps/>
          <w:lang w:val="en-GB"/>
        </w:rPr>
        <w:t>P &lt;</w:t>
      </w:r>
      <w:r>
        <w:rPr>
          <w:lang w:val="en-GB"/>
        </w:rPr>
        <w:t xml:space="preserve"> 0.01</w:t>
      </w:r>
      <w:r>
        <w:rPr>
          <w:vertAlign w:val="superscript"/>
          <w:lang w:val="en-GB"/>
        </w:rPr>
        <w:t xml:space="preserve"> </w:t>
      </w:r>
      <w:r>
        <w:rPr>
          <w:rFonts w:ascii="ArialNarrow-Italic" w:hAnsi="ArialNarrow-Italic" w:cs="ArialNarrow-Italic"/>
          <w:i/>
          <w:iCs/>
          <w:lang w:val="en-GB"/>
        </w:rPr>
        <w:t>vs</w:t>
      </w:r>
      <w:r>
        <w:rPr>
          <w:lang w:val="en-GB"/>
        </w:rPr>
        <w:t xml:space="preserve"> control, </w:t>
      </w:r>
      <w:r>
        <w:rPr>
          <w:vertAlign w:val="superscript"/>
          <w:lang w:val="en-GB"/>
        </w:rPr>
        <w:t>c</w:t>
      </w:r>
      <w:r>
        <w:rPr>
          <w:rFonts w:ascii="ArialNarrow-Italic" w:hAnsi="ArialNarrow-Italic" w:cs="ArialNarrow-Italic"/>
          <w:i/>
          <w:iCs/>
          <w:caps/>
          <w:lang w:val="en-GB"/>
        </w:rPr>
        <w:t>P &lt;</w:t>
      </w:r>
      <w:r>
        <w:rPr>
          <w:lang w:val="en-GB"/>
        </w:rPr>
        <w:t xml:space="preserve"> 0.05 </w:t>
      </w:r>
      <w:r>
        <w:rPr>
          <w:rFonts w:ascii="ArialNarrow-Italic" w:hAnsi="ArialNarrow-Italic" w:cs="ArialNarrow-Italic"/>
          <w:i/>
          <w:iCs/>
          <w:lang w:val="en-GB"/>
        </w:rPr>
        <w:t>vs</w:t>
      </w:r>
      <w:r>
        <w:rPr>
          <w:lang w:val="en-GB"/>
        </w:rPr>
        <w:t xml:space="preserve"> Ad-</w:t>
      </w:r>
      <w:r>
        <w:rPr>
          <w:rStyle w:val="hps"/>
          <w:color w:val="222222"/>
          <w:lang w:val="en-GB"/>
        </w:rPr>
        <w:t>HIL-6</w:t>
      </w:r>
      <w:r>
        <w:rPr>
          <w:lang w:val="en-GB"/>
        </w:rPr>
        <w:t xml:space="preserve"> treated, and </w:t>
      </w:r>
      <w:r>
        <w:rPr>
          <w:vertAlign w:val="superscript"/>
          <w:lang w:val="en-GB"/>
        </w:rPr>
        <w:t>e</w:t>
      </w:r>
      <w:r>
        <w:rPr>
          <w:rFonts w:ascii="ArialNarrow-Italic" w:hAnsi="ArialNarrow-Italic" w:cs="ArialNarrow-Italic"/>
          <w:i/>
          <w:iCs/>
          <w:caps/>
          <w:lang w:val="en-GB"/>
        </w:rPr>
        <w:t>P &lt;</w:t>
      </w:r>
      <w:r>
        <w:rPr>
          <w:lang w:val="en-GB"/>
        </w:rPr>
        <w:t xml:space="preserve"> 0.05 </w:t>
      </w:r>
      <w:r>
        <w:rPr>
          <w:rFonts w:ascii="ArialNarrow-Italic" w:hAnsi="ArialNarrow-Italic" w:cs="ArialNarrow-Italic"/>
          <w:i/>
          <w:iCs/>
          <w:lang w:val="en-GB"/>
        </w:rPr>
        <w:t>vs</w:t>
      </w:r>
      <w:r>
        <w:rPr>
          <w:lang w:val="en-GB"/>
        </w:rPr>
        <w:t xml:space="preserve"> </w:t>
      </w:r>
      <w:r>
        <w:rPr>
          <w:rStyle w:val="hps"/>
          <w:color w:val="222222"/>
          <w:lang w:val="en-GB"/>
        </w:rPr>
        <w:t xml:space="preserve">Ad-HGF </w:t>
      </w:r>
      <w:r>
        <w:rPr>
          <w:lang w:val="en-GB"/>
        </w:rPr>
        <w:t xml:space="preserve">treated. The results are expressed as the mean ± SEM, </w:t>
      </w:r>
      <w:r>
        <w:rPr>
          <w:rFonts w:ascii="ArialNarrow-Italic" w:hAnsi="ArialNarrow-Italic" w:cs="ArialNarrow-Italic"/>
          <w:i/>
          <w:iCs/>
          <w:lang w:val="en-GB"/>
        </w:rPr>
        <w:t>n</w:t>
      </w:r>
      <w:r>
        <w:rPr>
          <w:lang w:val="en-GB"/>
        </w:rPr>
        <w:t xml:space="preserve"> = 8. Control: </w:t>
      </w:r>
      <w:r>
        <w:rPr>
          <w:rStyle w:val="hps"/>
          <w:caps/>
          <w:color w:val="222222"/>
          <w:lang w:val="en-GB"/>
        </w:rPr>
        <w:t>n</w:t>
      </w:r>
      <w:r>
        <w:rPr>
          <w:rStyle w:val="hps"/>
          <w:color w:val="222222"/>
          <w:lang w:val="en-GB"/>
        </w:rPr>
        <w:t>ormal</w:t>
      </w:r>
      <w:r>
        <w:rPr>
          <w:lang w:val="en-GB"/>
        </w:rPr>
        <w:t xml:space="preserve"> liver; model: ACLF liver; Ad-GFP: pDC315-3FLAG-sv40-EGFP; Ad-HIL-6: pDC315-3FLAG-sv40-Hyper-IL-6-EGFP; Ad-HGF: pDC315-3FLAG-sv40-HGF-EGFP; Ad-HGF-HIL-6: pDC315-3FLAG-sv40-HGF-IRES-Hyper-IL-6-EGFP; A: </w:t>
      </w:r>
      <w:r>
        <w:rPr>
          <w:rStyle w:val="apple-converted-space"/>
        </w:rPr>
        <w:t>Control at 24 h; B: Model at 24 h; C: Ad-GFP at 24 h; D: Ad-HIL-6 at 24 h; E: Ad-HGF at 24 h; F: Ad-HGF-HIL-6 at 24 h; G: Control at 48 h; H: Model at 48 h; I: Ad-GFP at 48 h; J: Ad-HIL-6 at 48 h; K: Ad-HGF at 48 h; L:Ad-HGF-HIL-6 at 48 h.</w:t>
      </w:r>
    </w:p>
    <w:p w:rsidR="003B56F5" w:rsidRDefault="003B56F5" w:rsidP="003B56F5">
      <w:pPr>
        <w:pStyle w:val="8BF4"/>
        <w:rPr>
          <w:rFonts w:ascii="ArialNarrow-Bold" w:hAnsi="ArialNarrow-Bold" w:cs="ArialNarrow-Bold" w:hint="eastAsia"/>
          <w:b/>
          <w:bCs/>
          <w:lang w:val="en-GB"/>
        </w:rPr>
      </w:pPr>
      <w:r>
        <w:rPr>
          <w:rFonts w:ascii="ArialNarrow-Bold" w:hAnsi="ArialNarrow-Bold" w:cs="ArialNarrow-Bold"/>
          <w:b/>
          <w:bCs/>
          <w:noProof/>
        </w:rPr>
        <w:lastRenderedPageBreak/>
        <w:drawing>
          <wp:inline distT="0" distB="0" distL="0" distR="0">
            <wp:extent cx="1590675" cy="1990725"/>
            <wp:effectExtent l="0" t="0" r="9525" b="9525"/>
            <wp:docPr id="7" name="图片 7" descr="G:\BPG组版\WJGv22i16\单行本-16\WJG-22-4136-g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BPG组版\WJGv22i16\单行本-16\WJG-22-4136-g005.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0675" cy="1990725"/>
                    </a:xfrm>
                    <a:prstGeom prst="rect">
                      <a:avLst/>
                    </a:prstGeom>
                    <a:noFill/>
                    <a:ln>
                      <a:noFill/>
                    </a:ln>
                  </pic:spPr>
                </pic:pic>
              </a:graphicData>
            </a:graphic>
          </wp:inline>
        </w:drawing>
      </w:r>
    </w:p>
    <w:p w:rsidR="003B56F5" w:rsidRDefault="003B56F5" w:rsidP="003B56F5">
      <w:pPr>
        <w:pStyle w:val="8BF4"/>
        <w:rPr>
          <w:lang w:val="en-GB"/>
        </w:rPr>
      </w:pPr>
      <w:r>
        <w:rPr>
          <w:rFonts w:ascii="ArialNarrow-Bold" w:hAnsi="ArialNarrow-Bold" w:cs="ArialNarrow-Bold"/>
          <w:b/>
          <w:bCs/>
          <w:lang w:val="en-GB"/>
        </w:rPr>
        <w:t xml:space="preserve">Figure </w:t>
      </w:r>
      <w:proofErr w:type="gramStart"/>
      <w:r>
        <w:rPr>
          <w:rFonts w:ascii="ArialNarrow-Bold" w:hAnsi="ArialNarrow-Bold" w:cs="ArialNarrow-Bold"/>
          <w:b/>
          <w:bCs/>
          <w:lang w:val="en-GB"/>
        </w:rPr>
        <w:t>5  Western</w:t>
      </w:r>
      <w:proofErr w:type="gramEnd"/>
      <w:r>
        <w:rPr>
          <w:rFonts w:ascii="ArialNarrow-Bold" w:hAnsi="ArialNarrow-Bold" w:cs="ArialNarrow-Bold"/>
          <w:b/>
          <w:bCs/>
          <w:lang w:val="en-GB"/>
        </w:rPr>
        <w:t xml:space="preserve"> blot assays showing the protein expression of Bcl-2, Bax, Caspase-3 and HMGB1 for all types of treated liver. </w:t>
      </w:r>
      <w:r>
        <w:rPr>
          <w:rFonts w:ascii="ArialNarrow-Italic" w:hAnsi="ArialNarrow-Italic" w:cs="ArialNarrow-Italic"/>
          <w:i/>
          <w:iCs/>
          <w:lang w:val="en-GB"/>
        </w:rPr>
        <w:t>n</w:t>
      </w:r>
      <w:r>
        <w:rPr>
          <w:lang w:val="en-GB"/>
        </w:rPr>
        <w:t xml:space="preserve"> = 6. A: Bcl-2, Bax; B: Caspase-3; C: HMGB1.</w:t>
      </w:r>
      <w:r>
        <w:rPr>
          <w:caps/>
          <w:lang w:val="en-GB"/>
        </w:rPr>
        <w:t xml:space="preserve"> c</w:t>
      </w:r>
      <w:r>
        <w:rPr>
          <w:lang w:val="en-GB"/>
        </w:rPr>
        <w:t xml:space="preserve">ontrol: </w:t>
      </w:r>
      <w:r>
        <w:rPr>
          <w:rStyle w:val="hps"/>
          <w:caps/>
          <w:color w:val="222222"/>
          <w:lang w:val="en-GB"/>
        </w:rPr>
        <w:t>n</w:t>
      </w:r>
      <w:r>
        <w:rPr>
          <w:rStyle w:val="hps"/>
          <w:color w:val="222222"/>
          <w:lang w:val="en-GB"/>
        </w:rPr>
        <w:t>ormal</w:t>
      </w:r>
      <w:r>
        <w:rPr>
          <w:lang w:val="en-GB"/>
        </w:rPr>
        <w:t xml:space="preserve"> liver; Model: ACLF liver; Ad-GFP: pDC315-3FLAG-sv40-EGFP; Ad-HIL-6: pDC315-3FLAG-sv40-Hyper-IL-6-EGFP; Ad-HGF: pDC315-3FLAG-sv40-HGF-EGFP; Ad-HGF-HIL-6: pDC315-3FLAG-sv40-HGF-IRES-Hyper-IL-6-EGFP. ACLF: Acute-on-chronic liver failure.</w:t>
      </w:r>
    </w:p>
    <w:p w:rsidR="003B56F5" w:rsidRDefault="003B56F5" w:rsidP="003B56F5">
      <w:pPr>
        <w:pStyle w:val="8BF4"/>
        <w:rPr>
          <w:rFonts w:ascii="ArialNarrow-Bold" w:hAnsi="ArialNarrow-Bold" w:cs="ArialNarrow-Bold" w:hint="eastAsia"/>
          <w:b/>
          <w:bCs/>
          <w:lang w:val="en-GB"/>
        </w:rPr>
      </w:pPr>
      <w:r>
        <w:rPr>
          <w:rFonts w:ascii="ArialNarrow-Bold" w:hAnsi="ArialNarrow-Bold" w:cs="ArialNarrow-Bold"/>
          <w:b/>
          <w:bCs/>
          <w:noProof/>
        </w:rPr>
        <w:drawing>
          <wp:inline distT="0" distB="0" distL="0" distR="0">
            <wp:extent cx="2000250" cy="2105025"/>
            <wp:effectExtent l="0" t="0" r="0" b="9525"/>
            <wp:docPr id="8" name="图片 8" descr="G:\BPG组版\WJGv22i16\单行本-16\WJG-22-4136-g0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BPG组版\WJGv22i16\单行本-16\WJG-22-4136-g006.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0250" cy="2105025"/>
                    </a:xfrm>
                    <a:prstGeom prst="rect">
                      <a:avLst/>
                    </a:prstGeom>
                    <a:noFill/>
                    <a:ln>
                      <a:noFill/>
                    </a:ln>
                  </pic:spPr>
                </pic:pic>
              </a:graphicData>
            </a:graphic>
          </wp:inline>
        </w:drawing>
      </w:r>
    </w:p>
    <w:p w:rsidR="003B56F5" w:rsidRDefault="003B56F5" w:rsidP="003B56F5">
      <w:pPr>
        <w:pStyle w:val="8BF4"/>
        <w:rPr>
          <w:lang w:val="en-GB"/>
        </w:rPr>
      </w:pPr>
      <w:r>
        <w:rPr>
          <w:rFonts w:ascii="ArialNarrow-Bold" w:hAnsi="ArialNarrow-Bold" w:cs="ArialNarrow-Bold"/>
          <w:b/>
          <w:bCs/>
          <w:lang w:val="en-GB"/>
        </w:rPr>
        <w:t xml:space="preserve">Figure </w:t>
      </w:r>
      <w:proofErr w:type="gramStart"/>
      <w:r>
        <w:rPr>
          <w:rFonts w:ascii="ArialNarrow-Bold" w:hAnsi="ArialNarrow-Bold" w:cs="ArialNarrow-Bold"/>
          <w:b/>
          <w:bCs/>
          <w:lang w:val="en-GB"/>
        </w:rPr>
        <w:t>6  Protein</w:t>
      </w:r>
      <w:proofErr w:type="gramEnd"/>
      <w:r>
        <w:rPr>
          <w:rFonts w:ascii="ArialNarrow-Bold" w:hAnsi="ArialNarrow-Bold" w:cs="ArialNarrow-Bold"/>
          <w:b/>
          <w:bCs/>
          <w:lang w:val="en-GB"/>
        </w:rPr>
        <w:t xml:space="preserve"> levels of Bcl-2, Bax, Caspase-3 and HMGB1 detected by Western blot, revealing the relative protein expression of Bcl-2, Bax, Caspase-3 and HMGB1, and the ratio of Bcl-2/Bax of all treated livers.</w:t>
      </w:r>
      <w:r>
        <w:rPr>
          <w:lang w:val="en-GB"/>
        </w:rPr>
        <w:t xml:space="preserve"> A: Bcl-2 protein; B: Bax protein; C: the ratio of Bcl-2/Bax; D: Caspase-3 protein; E: HMGB1 protein. A, B, D, </w:t>
      </w:r>
      <w:proofErr w:type="gramStart"/>
      <w:r>
        <w:rPr>
          <w:lang w:val="en-GB"/>
        </w:rPr>
        <w:t>E</w:t>
      </w:r>
      <w:proofErr w:type="gramEnd"/>
      <w:r>
        <w:rPr>
          <w:lang w:val="en-GB"/>
        </w:rPr>
        <w:t xml:space="preserve">: The Y axis represents the relative protein expression of Bcl-2, Bax Caspase-3 and HMGB1 compared to that of glyceraldehyde-3-phosphate dehydrogenase (GAPDH) for all types of treated liver; C: The Y axis represents the ratio of the relative protein expression of Bcl-2/Bax for all types of treated liver. </w:t>
      </w:r>
      <w:proofErr w:type="gramStart"/>
      <w:r>
        <w:rPr>
          <w:vertAlign w:val="superscript"/>
          <w:lang w:val="en-GB"/>
        </w:rPr>
        <w:t>a</w:t>
      </w:r>
      <w:r>
        <w:rPr>
          <w:rFonts w:ascii="ArialNarrow-Italic" w:hAnsi="ArialNarrow-Italic" w:cs="ArialNarrow-Italic"/>
          <w:i/>
          <w:iCs/>
          <w:caps/>
          <w:lang w:val="en-GB"/>
        </w:rPr>
        <w:t>P</w:t>
      </w:r>
      <w:proofErr w:type="gramEnd"/>
      <w:r>
        <w:rPr>
          <w:rFonts w:ascii="ArialNarrow-Italic" w:hAnsi="ArialNarrow-Italic" w:cs="ArialNarrow-Italic"/>
          <w:i/>
          <w:iCs/>
          <w:caps/>
          <w:lang w:val="en-GB"/>
        </w:rPr>
        <w:t xml:space="preserve"> &lt;</w:t>
      </w:r>
      <w:r>
        <w:rPr>
          <w:lang w:val="en-GB"/>
        </w:rPr>
        <w:t xml:space="preserve"> 0.05 </w:t>
      </w:r>
      <w:r>
        <w:rPr>
          <w:rFonts w:ascii="ArialNarrow-Italic" w:hAnsi="ArialNarrow-Italic" w:cs="ArialNarrow-Italic"/>
          <w:i/>
          <w:iCs/>
          <w:lang w:val="en-GB"/>
        </w:rPr>
        <w:t>vs</w:t>
      </w:r>
      <w:r>
        <w:rPr>
          <w:lang w:val="en-GB"/>
        </w:rPr>
        <w:t xml:space="preserve"> Ad-HIL-6 treated, </w:t>
      </w:r>
      <w:r>
        <w:rPr>
          <w:vertAlign w:val="superscript"/>
          <w:lang w:val="en-GB"/>
        </w:rPr>
        <w:t>b</w:t>
      </w:r>
      <w:r>
        <w:rPr>
          <w:rFonts w:ascii="ArialNarrow-Italic" w:hAnsi="ArialNarrow-Italic" w:cs="ArialNarrow-Italic"/>
          <w:i/>
          <w:iCs/>
          <w:caps/>
          <w:lang w:val="en-GB"/>
        </w:rPr>
        <w:t>P &lt;</w:t>
      </w:r>
      <w:r>
        <w:rPr>
          <w:lang w:val="en-GB"/>
        </w:rPr>
        <w:t xml:space="preserve"> 0.01 </w:t>
      </w:r>
      <w:r>
        <w:rPr>
          <w:rFonts w:ascii="ArialNarrow-Italic" w:hAnsi="ArialNarrow-Italic" w:cs="ArialNarrow-Italic"/>
          <w:i/>
          <w:iCs/>
          <w:lang w:val="en-GB"/>
        </w:rPr>
        <w:t>vs</w:t>
      </w:r>
      <w:r>
        <w:rPr>
          <w:lang w:val="en-GB"/>
        </w:rPr>
        <w:t xml:space="preserve"> control, </w:t>
      </w:r>
      <w:r>
        <w:rPr>
          <w:vertAlign w:val="superscript"/>
          <w:lang w:val="en-GB"/>
        </w:rPr>
        <w:t>c</w:t>
      </w:r>
      <w:r>
        <w:rPr>
          <w:rFonts w:ascii="ArialNarrow-Italic" w:hAnsi="ArialNarrow-Italic" w:cs="ArialNarrow-Italic"/>
          <w:i/>
          <w:iCs/>
          <w:caps/>
          <w:lang w:val="en-GB"/>
        </w:rPr>
        <w:t>P &lt;</w:t>
      </w:r>
      <w:r>
        <w:rPr>
          <w:lang w:val="en-GB"/>
        </w:rPr>
        <w:t xml:space="preserve"> 0.05 </w:t>
      </w:r>
      <w:r>
        <w:rPr>
          <w:rFonts w:ascii="ArialNarrow-Italic" w:hAnsi="ArialNarrow-Italic" w:cs="ArialNarrow-Italic"/>
          <w:i/>
          <w:iCs/>
          <w:lang w:val="en-GB"/>
        </w:rPr>
        <w:t>vs</w:t>
      </w:r>
      <w:r>
        <w:rPr>
          <w:lang w:val="en-GB"/>
        </w:rPr>
        <w:t xml:space="preserve"> Ad-HGF treated,</w:t>
      </w:r>
      <w:r>
        <w:rPr>
          <w:vertAlign w:val="superscript"/>
          <w:lang w:val="en-GB"/>
        </w:rPr>
        <w:t xml:space="preserve"> d</w:t>
      </w:r>
      <w:r>
        <w:rPr>
          <w:rFonts w:ascii="ArialNarrow-Italic" w:hAnsi="ArialNarrow-Italic" w:cs="ArialNarrow-Italic"/>
          <w:i/>
          <w:iCs/>
          <w:caps/>
          <w:lang w:val="en-GB"/>
        </w:rPr>
        <w:t>P &lt;</w:t>
      </w:r>
      <w:r>
        <w:rPr>
          <w:lang w:val="en-GB"/>
        </w:rPr>
        <w:t xml:space="preserve"> 0.01 </w:t>
      </w:r>
      <w:r>
        <w:rPr>
          <w:rFonts w:ascii="ArialNarrow-Italic" w:hAnsi="ArialNarrow-Italic" w:cs="ArialNarrow-Italic"/>
          <w:i/>
          <w:iCs/>
          <w:lang w:val="en-GB"/>
        </w:rPr>
        <w:t>vs</w:t>
      </w:r>
      <w:r>
        <w:rPr>
          <w:rFonts w:ascii="ArialNarrow-Bold" w:hAnsi="ArialNarrow-Bold" w:cs="ArialNarrow-Bold"/>
          <w:b/>
          <w:bCs/>
          <w:lang w:val="en-GB"/>
        </w:rPr>
        <w:t xml:space="preserve"> </w:t>
      </w:r>
      <w:r>
        <w:rPr>
          <w:lang w:val="en-GB"/>
        </w:rPr>
        <w:t>Ad-GFP treated. The results are expressed as the mean ± SD,</w:t>
      </w:r>
      <w:r>
        <w:rPr>
          <w:rFonts w:ascii="ArialNarrow-Italic" w:hAnsi="ArialNarrow-Italic" w:cs="ArialNarrow-Italic"/>
          <w:i/>
          <w:iCs/>
          <w:lang w:val="en-GB"/>
        </w:rPr>
        <w:t xml:space="preserve"> n</w:t>
      </w:r>
      <w:r>
        <w:rPr>
          <w:lang w:val="en-GB"/>
        </w:rPr>
        <w:t xml:space="preserve"> = 6. Control: </w:t>
      </w:r>
      <w:r>
        <w:rPr>
          <w:rStyle w:val="hps"/>
          <w:caps/>
          <w:color w:val="222222"/>
          <w:lang w:val="en-GB"/>
        </w:rPr>
        <w:t>n</w:t>
      </w:r>
      <w:r>
        <w:rPr>
          <w:rStyle w:val="hps"/>
          <w:color w:val="222222"/>
          <w:lang w:val="en-GB"/>
        </w:rPr>
        <w:t>ormal</w:t>
      </w:r>
      <w:r>
        <w:rPr>
          <w:lang w:val="en-GB"/>
        </w:rPr>
        <w:t xml:space="preserve"> liver; Model: ACLF liver; Ad-GFP: pDC315-3FLAG-sv40-EGFP; Ad-HIL-6: pDC315-3FLAG-sv40-Hyper-IL-6-EGFP; Ad-HGF: pDC315-3FLAG-sv40-HGF-EGFP; Ad-HGF-HIL-6: pDC315-3FLAG-sv40-HGF-IRES-Hyper-IL-6-EGFP.</w:t>
      </w:r>
    </w:p>
    <w:p w:rsidR="003B56F5" w:rsidRDefault="003B56F5" w:rsidP="003B56F5">
      <w:pPr>
        <w:pStyle w:val="8BF4"/>
        <w:rPr>
          <w:rFonts w:ascii="ArialNarrow-Bold" w:hAnsi="ArialNarrow-Bold" w:cs="ArialNarrow-Bold" w:hint="eastAsia"/>
          <w:b/>
          <w:bCs/>
          <w:lang w:val="en-GB"/>
        </w:rPr>
      </w:pPr>
      <w:r>
        <w:rPr>
          <w:rFonts w:ascii="ArialNarrow-Bold" w:hAnsi="ArialNarrow-Bold" w:cs="ArialNarrow-Bold"/>
          <w:b/>
          <w:bCs/>
          <w:noProof/>
        </w:rPr>
        <w:drawing>
          <wp:inline distT="0" distB="0" distL="0" distR="0">
            <wp:extent cx="2038350" cy="752475"/>
            <wp:effectExtent l="0" t="0" r="0" b="9525"/>
            <wp:docPr id="9" name="图片 9" descr="G:\BPG组版\WJGv22i16\单行本-16\WJG-22-4136-g0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BPG组版\WJGv22i16\单行本-16\WJG-22-4136-g007.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8350" cy="752475"/>
                    </a:xfrm>
                    <a:prstGeom prst="rect">
                      <a:avLst/>
                    </a:prstGeom>
                    <a:noFill/>
                    <a:ln>
                      <a:noFill/>
                    </a:ln>
                  </pic:spPr>
                </pic:pic>
              </a:graphicData>
            </a:graphic>
          </wp:inline>
        </w:drawing>
      </w:r>
    </w:p>
    <w:p w:rsidR="003B56F5" w:rsidRDefault="003B56F5" w:rsidP="003B56F5">
      <w:pPr>
        <w:pStyle w:val="8BF4"/>
        <w:rPr>
          <w:lang w:val="en-GB"/>
        </w:rPr>
      </w:pPr>
      <w:r>
        <w:rPr>
          <w:rFonts w:ascii="ArialNarrow-Bold" w:hAnsi="ArialNarrow-Bold" w:cs="ArialNarrow-Bold"/>
          <w:b/>
          <w:bCs/>
          <w:lang w:val="en-GB"/>
        </w:rPr>
        <w:t xml:space="preserve">Figure </w:t>
      </w:r>
      <w:proofErr w:type="gramStart"/>
      <w:r>
        <w:rPr>
          <w:rFonts w:ascii="ArialNarrow-Bold" w:hAnsi="ArialNarrow-Bold" w:cs="ArialNarrow-Bold"/>
          <w:b/>
          <w:bCs/>
          <w:lang w:val="en-GB"/>
        </w:rPr>
        <w:t>7  Expression</w:t>
      </w:r>
      <w:proofErr w:type="gramEnd"/>
      <w:r>
        <w:rPr>
          <w:rFonts w:ascii="ArialNarrow-Bold" w:hAnsi="ArialNarrow-Bold" w:cs="ArialNarrow-Bold"/>
          <w:b/>
          <w:bCs/>
          <w:lang w:val="en-GB"/>
        </w:rPr>
        <w:t xml:space="preserve"> of mRNA levels of hyper-IL-6 or HGF as detected by representative reverse transcription-polymerase chain reaction.</w:t>
      </w:r>
      <w:r>
        <w:rPr>
          <w:lang w:val="en-GB"/>
        </w:rPr>
        <w:t xml:space="preserve"> A: Hyper-IL-6 mRNA; B: HGF mRNA. The Y axis represents the relative mRNA expression of Hyper-IL-6 or HGF compared to that of the house-keeping gene </w:t>
      </w:r>
      <w:r>
        <w:rPr>
          <w:rFonts w:ascii="Symbol" w:hAnsi="Symbol" w:cs="Symbol"/>
          <w:lang w:val="en-GB"/>
        </w:rPr>
        <w:t></w:t>
      </w:r>
      <w:r>
        <w:rPr>
          <w:lang w:val="en-GB"/>
        </w:rPr>
        <w:t>-actin for all types of treated</w:t>
      </w:r>
      <w:r>
        <w:rPr>
          <w:rFonts w:ascii="ArialNarrow-Bold" w:hAnsi="ArialNarrow-Bold" w:cs="ArialNarrow-Bold"/>
          <w:b/>
          <w:bCs/>
          <w:lang w:val="en-GB"/>
        </w:rPr>
        <w:t xml:space="preserve"> </w:t>
      </w:r>
      <w:r>
        <w:rPr>
          <w:lang w:val="en-GB"/>
        </w:rPr>
        <w:t xml:space="preserve">liver. </w:t>
      </w:r>
      <w:r>
        <w:rPr>
          <w:vertAlign w:val="superscript"/>
          <w:lang w:val="en-GB"/>
        </w:rPr>
        <w:t>b</w:t>
      </w:r>
      <w:r>
        <w:rPr>
          <w:rFonts w:ascii="ArialNarrow-Italic" w:hAnsi="ArialNarrow-Italic" w:cs="ArialNarrow-Italic"/>
          <w:i/>
          <w:iCs/>
          <w:caps/>
          <w:lang w:val="en-GB"/>
        </w:rPr>
        <w:t>P &lt;</w:t>
      </w:r>
      <w:r>
        <w:rPr>
          <w:lang w:val="en-GB"/>
        </w:rPr>
        <w:t xml:space="preserve"> 0.01 </w:t>
      </w:r>
      <w:r>
        <w:rPr>
          <w:rFonts w:ascii="ArialNarrow-Italic" w:hAnsi="ArialNarrow-Italic" w:cs="ArialNarrow-Italic"/>
          <w:i/>
          <w:iCs/>
          <w:lang w:val="en-GB"/>
        </w:rPr>
        <w:t>vs</w:t>
      </w:r>
      <w:r>
        <w:rPr>
          <w:lang w:val="en-GB"/>
        </w:rPr>
        <w:t xml:space="preserve"> Ad-GFP treated, </w:t>
      </w:r>
      <w:r>
        <w:rPr>
          <w:vertAlign w:val="superscript"/>
          <w:lang w:val="en-GB"/>
        </w:rPr>
        <w:t>c</w:t>
      </w:r>
      <w:r>
        <w:rPr>
          <w:rFonts w:ascii="ArialNarrow-Italic" w:hAnsi="ArialNarrow-Italic" w:cs="ArialNarrow-Italic"/>
          <w:i/>
          <w:iCs/>
          <w:caps/>
          <w:lang w:val="en-GB"/>
        </w:rPr>
        <w:t>P &lt;</w:t>
      </w:r>
      <w:r>
        <w:rPr>
          <w:lang w:val="en-GB"/>
        </w:rPr>
        <w:t xml:space="preserve"> 0.01 </w:t>
      </w:r>
      <w:r>
        <w:rPr>
          <w:rFonts w:ascii="ArialNarrow-Italic" w:hAnsi="ArialNarrow-Italic" w:cs="ArialNarrow-Italic"/>
          <w:i/>
          <w:iCs/>
          <w:lang w:val="en-GB"/>
        </w:rPr>
        <w:t>vs</w:t>
      </w:r>
      <w:r>
        <w:rPr>
          <w:lang w:val="en-GB"/>
        </w:rPr>
        <w:t xml:space="preserve"> Ad-HIL-6 treated,</w:t>
      </w:r>
      <w:r>
        <w:rPr>
          <w:vertAlign w:val="superscript"/>
          <w:lang w:val="en-GB"/>
        </w:rPr>
        <w:t xml:space="preserve"> d</w:t>
      </w:r>
      <w:r>
        <w:rPr>
          <w:rFonts w:ascii="ArialNarrow-Italic" w:hAnsi="ArialNarrow-Italic" w:cs="ArialNarrow-Italic"/>
          <w:i/>
          <w:iCs/>
          <w:caps/>
          <w:lang w:val="en-GB"/>
        </w:rPr>
        <w:t>P &lt;</w:t>
      </w:r>
      <w:r>
        <w:rPr>
          <w:lang w:val="en-GB"/>
        </w:rPr>
        <w:t xml:space="preserve"> 0.01 </w:t>
      </w:r>
      <w:r>
        <w:rPr>
          <w:rFonts w:ascii="ArialNarrow-Italic" w:hAnsi="ArialNarrow-Italic" w:cs="ArialNarrow-Italic"/>
          <w:i/>
          <w:iCs/>
          <w:lang w:val="en-GB"/>
        </w:rPr>
        <w:t>vs</w:t>
      </w:r>
      <w:r>
        <w:rPr>
          <w:lang w:val="en-GB"/>
        </w:rPr>
        <w:t xml:space="preserve"> Ad-HGF treated, </w:t>
      </w:r>
      <w:r>
        <w:rPr>
          <w:vertAlign w:val="superscript"/>
          <w:lang w:val="en-GB"/>
        </w:rPr>
        <w:t>e</w:t>
      </w:r>
      <w:r>
        <w:rPr>
          <w:rFonts w:ascii="ArialNarrow-Italic" w:hAnsi="ArialNarrow-Italic" w:cs="ArialNarrow-Italic"/>
          <w:i/>
          <w:iCs/>
          <w:caps/>
          <w:lang w:val="en-GB"/>
        </w:rPr>
        <w:t>P &gt;</w:t>
      </w:r>
      <w:r>
        <w:rPr>
          <w:lang w:val="en-GB"/>
        </w:rPr>
        <w:t xml:space="preserve"> 0.05 </w:t>
      </w:r>
      <w:r>
        <w:rPr>
          <w:rFonts w:ascii="ArialNarrow-Italic" w:hAnsi="ArialNarrow-Italic" w:cs="ArialNarrow-Italic"/>
          <w:i/>
          <w:iCs/>
          <w:lang w:val="en-GB"/>
        </w:rPr>
        <w:t>vs</w:t>
      </w:r>
      <w:r>
        <w:rPr>
          <w:lang w:val="en-GB"/>
        </w:rPr>
        <w:t xml:space="preserve"> Ad-HGF treated and </w:t>
      </w:r>
      <w:r>
        <w:rPr>
          <w:vertAlign w:val="superscript"/>
          <w:lang w:val="en-GB"/>
        </w:rPr>
        <w:t>f</w:t>
      </w:r>
      <w:r>
        <w:rPr>
          <w:rFonts w:ascii="ArialNarrow-Italic" w:hAnsi="ArialNarrow-Italic" w:cs="ArialNarrow-Italic"/>
          <w:i/>
          <w:iCs/>
          <w:caps/>
          <w:lang w:val="en-GB"/>
        </w:rPr>
        <w:t>P &gt;</w:t>
      </w:r>
      <w:r>
        <w:rPr>
          <w:lang w:val="en-GB"/>
        </w:rPr>
        <w:t xml:space="preserve"> 0.05 </w:t>
      </w:r>
      <w:r>
        <w:rPr>
          <w:rFonts w:ascii="ArialNarrow-Italic" w:hAnsi="ArialNarrow-Italic" w:cs="ArialNarrow-Italic"/>
          <w:i/>
          <w:iCs/>
          <w:lang w:val="en-GB"/>
        </w:rPr>
        <w:t>vs</w:t>
      </w:r>
      <w:r>
        <w:rPr>
          <w:lang w:val="en-GB"/>
        </w:rPr>
        <w:t xml:space="preserve"> Ad-HIL-6 treated. The results are expressed as the mean ± SD, </w:t>
      </w:r>
      <w:r>
        <w:rPr>
          <w:rFonts w:ascii="ArialNarrow-Italic" w:hAnsi="ArialNarrow-Italic" w:cs="ArialNarrow-Italic"/>
          <w:i/>
          <w:iCs/>
          <w:lang w:val="en-GB"/>
        </w:rPr>
        <w:t>n</w:t>
      </w:r>
      <w:r>
        <w:rPr>
          <w:lang w:val="en-GB"/>
        </w:rPr>
        <w:t xml:space="preserve"> = 6. Control: </w:t>
      </w:r>
      <w:r>
        <w:rPr>
          <w:rStyle w:val="hps"/>
          <w:caps/>
          <w:color w:val="222222"/>
          <w:lang w:val="en-GB"/>
        </w:rPr>
        <w:t>n</w:t>
      </w:r>
      <w:r>
        <w:rPr>
          <w:rStyle w:val="hps"/>
          <w:color w:val="222222"/>
          <w:lang w:val="en-GB"/>
        </w:rPr>
        <w:t>ormal</w:t>
      </w:r>
      <w:r>
        <w:rPr>
          <w:lang w:val="en-GB"/>
        </w:rPr>
        <w:t xml:space="preserve"> liver; Model: ACLF liver; Ad-GFP: pDC315-3FLAG-sv40-EGFP; Ad-HIL-6: pDC315-3FLAG-sv40-Hyper-IL-6-EGFP; Ad-HGF: pDC315-3FLAG-sv40-HGF-EGFP; and Ad-HGF-HIL-6: pDC315-3FLAG-sv40-HGF-IRES-Hyper-IL-6-EGFP.</w:t>
      </w:r>
    </w:p>
    <w:p w:rsidR="003B56F5" w:rsidRPr="003F3CBC" w:rsidRDefault="003B56F5" w:rsidP="003B56F5">
      <w:pPr>
        <w:rPr>
          <w:lang w:val="en-GB"/>
        </w:rPr>
      </w:pPr>
    </w:p>
    <w:p w:rsidR="003B56F5" w:rsidRDefault="003B56F5" w:rsidP="003B56F5">
      <w:r>
        <w:t>FOOTNOTES</w:t>
      </w:r>
    </w:p>
    <w:p w:rsidR="003B56F5" w:rsidRDefault="003B56F5" w:rsidP="003B56F5">
      <w:pPr>
        <w:pStyle w:val="af"/>
        <w:rPr>
          <w:lang w:val="en-GB"/>
        </w:rPr>
      </w:pPr>
      <w:proofErr w:type="gramStart"/>
      <w:r w:rsidRPr="003F3CBC">
        <w:rPr>
          <w:rFonts w:ascii="Tahoma" w:hAnsi="Tahoma" w:cs="Tahoma"/>
          <w:spacing w:val="0"/>
        </w:rPr>
        <w:t>Supported by</w:t>
      </w:r>
      <w:r>
        <w:rPr>
          <w:lang w:val="en-GB"/>
        </w:rPr>
        <w:t xml:space="preserve"> Natural Science Foundation of Chongqing, No. </w:t>
      </w:r>
      <w:r>
        <w:t>cstc2012jjA10052</w:t>
      </w:r>
      <w:r>
        <w:rPr>
          <w:lang w:val="en-GB"/>
        </w:rPr>
        <w:t xml:space="preserve">; and </w:t>
      </w:r>
      <w:r>
        <w:rPr>
          <w:caps/>
          <w:lang w:val="en-GB"/>
        </w:rPr>
        <w:t>y</w:t>
      </w:r>
      <w:r>
        <w:rPr>
          <w:lang w:val="en-GB"/>
        </w:rPr>
        <w:t>oung High-End Medical Reserve Personnel Training Plan Foundation of Chongqing, China.</w:t>
      </w:r>
      <w:proofErr w:type="gramEnd"/>
    </w:p>
    <w:p w:rsidR="003B56F5" w:rsidRDefault="003B56F5" w:rsidP="003B56F5">
      <w:pPr>
        <w:pStyle w:val="af"/>
      </w:pPr>
      <w:r>
        <w:rPr>
          <w:rFonts w:ascii="Tahoma" w:hAnsi="Tahoma" w:cs="Tahoma"/>
          <w:lang w:val="it-IT"/>
        </w:rPr>
        <w:lastRenderedPageBreak/>
        <w:t>Institutional review board statement:</w:t>
      </w:r>
      <w:r>
        <w:rPr>
          <w:lang w:val="en-GB"/>
        </w:rPr>
        <w:t xml:space="preserve"> The study was reviewed and approved by Chongqing Science and Technology Committee </w:t>
      </w:r>
      <w:r>
        <w:rPr>
          <w:rStyle w:val="hps"/>
        </w:rPr>
        <w:t xml:space="preserve">with </w:t>
      </w:r>
      <w:r>
        <w:t>protocol number cstc2012jjA10052.</w:t>
      </w:r>
    </w:p>
    <w:p w:rsidR="003B56F5" w:rsidRDefault="003B56F5" w:rsidP="003B56F5">
      <w:pPr>
        <w:pStyle w:val="af"/>
        <w:rPr>
          <w:rStyle w:val="hps"/>
          <w:lang w:val="en-GB"/>
        </w:rPr>
      </w:pPr>
      <w:r>
        <w:rPr>
          <w:rFonts w:ascii="Tahoma" w:hAnsi="Tahoma" w:cs="Tahoma"/>
          <w:lang w:val="en-GB"/>
        </w:rPr>
        <w:t>Institutional animal care and use committee statement:</w:t>
      </w:r>
      <w:r>
        <w:rPr>
          <w:lang w:val="en-GB"/>
        </w:rPr>
        <w:t xml:space="preserve"> All of the procedures involving animals were reviewed and approved by the Institutional Animal Care and Use Committee of the Ethical Committee on Animal Experiments at First Affiliated Hospital of Chongqing Medical University</w:t>
      </w:r>
      <w:r>
        <w:rPr>
          <w:rStyle w:val="hps"/>
          <w:lang w:val="en-GB"/>
        </w:rPr>
        <w:t xml:space="preserve"> (Chongqing, China)</w:t>
      </w:r>
      <w:r>
        <w:rPr>
          <w:lang w:val="en-GB"/>
        </w:rPr>
        <w:t xml:space="preserve"> with the reference number </w:t>
      </w:r>
      <w:r>
        <w:rPr>
          <w:rStyle w:val="hps"/>
          <w:lang w:val="en-GB"/>
        </w:rPr>
        <w:t>2015-3.</w:t>
      </w:r>
    </w:p>
    <w:p w:rsidR="003B56F5" w:rsidRDefault="003B56F5" w:rsidP="003B56F5">
      <w:pPr>
        <w:pStyle w:val="af"/>
        <w:rPr>
          <w:lang w:val="en-GB"/>
        </w:rPr>
      </w:pPr>
      <w:r>
        <w:rPr>
          <w:rFonts w:ascii="Tahoma" w:hAnsi="Tahoma" w:cs="Tahoma"/>
          <w:lang w:val="it-IT"/>
        </w:rPr>
        <w:t>Conflict-of-interest statement</w:t>
      </w:r>
      <w:r w:rsidRPr="003F3CBC">
        <w:rPr>
          <w:rFonts w:ascii="Tahoma" w:hAnsi="Tahoma" w:cs="Tahoma"/>
        </w:rPr>
        <w:t>:</w:t>
      </w:r>
      <w:r>
        <w:rPr>
          <w:lang w:val="en-GB"/>
        </w:rPr>
        <w:t xml:space="preserve"> The authors declare no conflict of interest.</w:t>
      </w:r>
    </w:p>
    <w:p w:rsidR="003B56F5" w:rsidRDefault="003B56F5" w:rsidP="003B56F5">
      <w:pPr>
        <w:pStyle w:val="af"/>
        <w:rPr>
          <w:lang w:val="en-GB"/>
        </w:rPr>
      </w:pPr>
      <w:r>
        <w:rPr>
          <w:rFonts w:ascii="Tahoma" w:hAnsi="Tahoma" w:cs="Tahoma"/>
          <w:lang w:val="it-IT"/>
        </w:rPr>
        <w:t>Data sharing statement</w:t>
      </w:r>
      <w:r w:rsidRPr="003F3CBC">
        <w:rPr>
          <w:rFonts w:ascii="Tahoma" w:hAnsi="Tahoma" w:cs="Tahoma"/>
        </w:rPr>
        <w:t>:</w:t>
      </w:r>
      <w:r w:rsidRPr="003F3CBC">
        <w:t xml:space="preserve"> </w:t>
      </w:r>
      <w:r>
        <w:rPr>
          <w:lang w:val="en-GB"/>
        </w:rPr>
        <w:t>No additional data are available.</w:t>
      </w:r>
    </w:p>
    <w:p w:rsidR="003B56F5" w:rsidRDefault="003B56F5" w:rsidP="003B56F5">
      <w:pPr>
        <w:pStyle w:val="af"/>
        <w:rPr>
          <w:lang w:val="it-IT"/>
        </w:rPr>
      </w:pPr>
      <w:r>
        <w:rPr>
          <w:rFonts w:ascii="Tahoma" w:hAnsi="Tahoma" w:cs="Tahoma"/>
          <w:lang w:val="it-IT"/>
        </w:rPr>
        <w:t>Open-Access:</w:t>
      </w:r>
      <w:r>
        <w:rPr>
          <w:lang w:val="it-IT"/>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3B56F5" w:rsidRPr="003F3CBC" w:rsidRDefault="003B56F5" w:rsidP="003B56F5">
      <w:pPr>
        <w:pStyle w:val="NormalParagraphStyle"/>
        <w:rPr>
          <w:rFonts w:ascii="Times New Roman" w:hAnsi="Times New Roman" w:cs="Times New Roman"/>
          <w:sz w:val="18"/>
          <w:szCs w:val="18"/>
          <w:lang w:val="en-US"/>
        </w:rPr>
      </w:pPr>
      <w:r>
        <w:rPr>
          <w:rFonts w:ascii="Tahoma" w:hAnsi="Tahoma" w:cs="Tahoma"/>
          <w:spacing w:val="-2"/>
          <w:sz w:val="18"/>
          <w:szCs w:val="18"/>
          <w:lang w:val="en-US"/>
        </w:rPr>
        <w:t>Peer-review started:</w:t>
      </w:r>
      <w:r w:rsidRPr="003F3CBC">
        <w:rPr>
          <w:rFonts w:ascii="Times New Roman" w:hAnsi="Times New Roman" w:cs="Times New Roman"/>
          <w:sz w:val="18"/>
          <w:szCs w:val="18"/>
          <w:lang w:val="en-US"/>
        </w:rPr>
        <w:t xml:space="preserve"> </w:t>
      </w:r>
      <w:r>
        <w:rPr>
          <w:rFonts w:ascii="Times New Roman" w:hAnsi="Times New Roman" w:cs="Times New Roman"/>
          <w:spacing w:val="-2"/>
          <w:sz w:val="18"/>
          <w:szCs w:val="18"/>
          <w:lang w:val="en-US"/>
        </w:rPr>
        <w:t>November 26, 2016</w:t>
      </w:r>
    </w:p>
    <w:p w:rsidR="003B56F5" w:rsidRPr="003F3CBC" w:rsidRDefault="003B56F5" w:rsidP="003B56F5">
      <w:pPr>
        <w:pStyle w:val="NormalParagraphStyle"/>
        <w:rPr>
          <w:rFonts w:ascii="Times New Roman" w:hAnsi="Times New Roman" w:cs="Times New Roman"/>
          <w:sz w:val="18"/>
          <w:szCs w:val="18"/>
          <w:lang w:val="en-US"/>
        </w:rPr>
      </w:pPr>
      <w:r>
        <w:rPr>
          <w:rFonts w:ascii="Tahoma" w:hAnsi="Tahoma" w:cs="Tahoma"/>
          <w:spacing w:val="-2"/>
          <w:sz w:val="18"/>
          <w:szCs w:val="18"/>
          <w:lang w:val="en-US"/>
        </w:rPr>
        <w:t>First decision:</w:t>
      </w:r>
      <w:r w:rsidRPr="003F3CBC">
        <w:rPr>
          <w:rFonts w:ascii="Times New Roman" w:hAnsi="Times New Roman" w:cs="Times New Roman"/>
          <w:sz w:val="18"/>
          <w:szCs w:val="18"/>
          <w:lang w:val="en-US"/>
        </w:rPr>
        <w:t xml:space="preserve"> </w:t>
      </w:r>
      <w:r>
        <w:rPr>
          <w:rFonts w:ascii="Times New Roman" w:hAnsi="Times New Roman" w:cs="Times New Roman"/>
          <w:spacing w:val="-2"/>
          <w:sz w:val="18"/>
          <w:szCs w:val="18"/>
          <w:lang w:val="en-US"/>
        </w:rPr>
        <w:t>December 30, 2015</w:t>
      </w:r>
    </w:p>
    <w:p w:rsidR="003B56F5" w:rsidRDefault="003B56F5" w:rsidP="003B56F5">
      <w:pPr>
        <w:pStyle w:val="NormalParagraphStyle"/>
        <w:rPr>
          <w:rFonts w:ascii="Times New Roman" w:hAnsi="Times New Roman" w:cs="Times New Roman"/>
          <w:spacing w:val="-2"/>
          <w:sz w:val="18"/>
          <w:szCs w:val="18"/>
          <w:lang w:val="en-US"/>
        </w:rPr>
      </w:pPr>
      <w:r>
        <w:rPr>
          <w:rFonts w:ascii="Tahoma" w:hAnsi="Tahoma" w:cs="Tahoma"/>
          <w:spacing w:val="-2"/>
          <w:sz w:val="18"/>
          <w:szCs w:val="18"/>
          <w:lang w:val="en-US"/>
        </w:rPr>
        <w:t>Article in press:</w:t>
      </w:r>
      <w:r>
        <w:rPr>
          <w:rFonts w:ascii="Times New Roman" w:hAnsi="Times New Roman" w:cs="Times New Roman"/>
          <w:spacing w:val="-2"/>
          <w:sz w:val="18"/>
          <w:szCs w:val="18"/>
          <w:lang w:val="en-US"/>
        </w:rPr>
        <w:t xml:space="preserve"> March 2, 2016</w:t>
      </w:r>
    </w:p>
    <w:p w:rsidR="003B56F5" w:rsidRDefault="003B56F5" w:rsidP="003B56F5">
      <w:pPr>
        <w:pStyle w:val="-1"/>
        <w:rPr>
          <w:b/>
          <w:bCs/>
        </w:rPr>
      </w:pPr>
    </w:p>
    <w:p w:rsidR="003B56F5" w:rsidRDefault="003B56F5" w:rsidP="003B56F5">
      <w:pPr>
        <w:pStyle w:val="-1"/>
      </w:pPr>
      <w:r>
        <w:rPr>
          <w:b/>
          <w:bCs/>
        </w:rPr>
        <w:t>P- Reviewer</w:t>
      </w:r>
      <w:r>
        <w:t xml:space="preserve">: Grizzi F, Wei D    </w:t>
      </w:r>
      <w:r>
        <w:rPr>
          <w:b/>
          <w:bCs/>
        </w:rPr>
        <w:t>S- Editor</w:t>
      </w:r>
      <w:r>
        <w:t xml:space="preserve">: Ma YJ    </w:t>
      </w:r>
      <w:r>
        <w:rPr>
          <w:b/>
          <w:bCs/>
        </w:rPr>
        <w:t>L- Editor</w:t>
      </w:r>
      <w:r>
        <w:t xml:space="preserve">: Wang TQ    </w:t>
      </w:r>
      <w:r>
        <w:rPr>
          <w:b/>
          <w:bCs/>
        </w:rPr>
        <w:t>E- Editor</w:t>
      </w:r>
      <w:r>
        <w:t>: Zhang DN</w:t>
      </w:r>
    </w:p>
    <w:p w:rsidR="003B56F5" w:rsidRDefault="003B56F5" w:rsidP="003B56F5"/>
    <w:p w:rsidR="003B56F5" w:rsidRPr="00327B20" w:rsidRDefault="003B56F5" w:rsidP="003B56F5">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985" cy="2399030"/>
                <wp:effectExtent l="9525" t="6350" r="12065" b="13970"/>
                <wp:wrapSquare wrapText="bothSides"/>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985" cy="2399030"/>
                        </a:xfrm>
                        <a:prstGeom prst="rect">
                          <a:avLst/>
                        </a:prstGeom>
                        <a:solidFill>
                          <a:srgbClr val="FFFFFF"/>
                        </a:solidFill>
                        <a:ln w="9525">
                          <a:solidFill>
                            <a:srgbClr val="000000"/>
                          </a:solidFill>
                          <a:miter lim="800000"/>
                          <a:headEnd/>
                          <a:tailEnd/>
                        </a:ln>
                      </wps:spPr>
                      <wps:txbx>
                        <w:txbxContent>
                          <w:p w:rsidR="003B56F5" w:rsidRPr="00327B20" w:rsidRDefault="003B56F5" w:rsidP="003B56F5">
                            <w:pPr>
                              <w:pStyle w:val="af3"/>
                              <w:rPr>
                                <w:color w:val="auto"/>
                                <w:lang w:val="en-US"/>
                              </w:rPr>
                            </w:pPr>
                            <w:r w:rsidRPr="00327B20">
                              <w:rPr>
                                <w:color w:val="auto"/>
                                <w:lang w:val="en-US"/>
                              </w:rPr>
                              <w:t xml:space="preserve">Table </w:t>
                            </w:r>
                            <w:proofErr w:type="gramStart"/>
                            <w:r w:rsidRPr="00327B20">
                              <w:rPr>
                                <w:color w:val="auto"/>
                                <w:lang w:val="en-US"/>
                              </w:rPr>
                              <w:t>1  Primers</w:t>
                            </w:r>
                            <w:proofErr w:type="gramEnd"/>
                            <w:r w:rsidRPr="00327B20">
                              <w:rPr>
                                <w:color w:val="auto"/>
                                <w:lang w:val="en-US"/>
                              </w:rPr>
                              <w:t xml:space="preserve"> for real-time PCR</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533"/>
                              <w:gridCol w:w="4003"/>
                            </w:tblGrid>
                            <w:tr w:rsidR="003B56F5" w:rsidRPr="00327B20" w:rsidTr="009F6F8F">
                              <w:tblPrEx>
                                <w:tblCellMar>
                                  <w:top w:w="0" w:type="dxa"/>
                                  <w:left w:w="0" w:type="dxa"/>
                                  <w:bottom w:w="0" w:type="dxa"/>
                                  <w:right w:w="0" w:type="dxa"/>
                                </w:tblCellMar>
                              </w:tblPrEx>
                              <w:trPr>
                                <w:trHeight w:val="60"/>
                              </w:trPr>
                              <w:tc>
                                <w:tcPr>
                                  <w:tcW w:w="533" w:type="dxa"/>
                                  <w:tcBorders>
                                    <w:top w:val="single" w:sz="6" w:space="0" w:color="000000"/>
                                    <w:bottom w:val="single" w:sz="6" w:space="0" w:color="000000"/>
                                  </w:tcBorders>
                                  <w:tcMar>
                                    <w:top w:w="28" w:type="dxa"/>
                                    <w:left w:w="28" w:type="dxa"/>
                                    <w:bottom w:w="28" w:type="dxa"/>
                                    <w:right w:w="28" w:type="dxa"/>
                                  </w:tcMar>
                                </w:tcPr>
                                <w:p w:rsidR="003B56F5" w:rsidRPr="00327B20" w:rsidRDefault="003B56F5" w:rsidP="00327B20">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r w:rsidRPr="00327B20">
                                    <w:rPr>
                                      <w:rFonts w:ascii="Albertus" w:hAnsi="Albertus" w:cs="Albertus"/>
                                      <w:b/>
                                      <w:bCs/>
                                      <w:color w:val="000000"/>
                                      <w:kern w:val="0"/>
                                      <w:sz w:val="14"/>
                                      <w:szCs w:val="14"/>
                                      <w:lang w:val="zh-CN"/>
                                    </w:rPr>
                                    <w:t>Gene</w:t>
                                  </w:r>
                                </w:p>
                              </w:tc>
                              <w:tc>
                                <w:tcPr>
                                  <w:tcW w:w="4003" w:type="dxa"/>
                                  <w:tcBorders>
                                    <w:top w:val="single" w:sz="6" w:space="0" w:color="000000"/>
                                    <w:bottom w:val="single" w:sz="6" w:space="0" w:color="000000"/>
                                  </w:tcBorders>
                                  <w:tcMar>
                                    <w:top w:w="28" w:type="dxa"/>
                                    <w:left w:w="28" w:type="dxa"/>
                                    <w:bottom w:w="28" w:type="dxa"/>
                                    <w:right w:w="28" w:type="dxa"/>
                                  </w:tcMar>
                                </w:tcPr>
                                <w:p w:rsidR="003B56F5" w:rsidRPr="00327B20" w:rsidRDefault="003B56F5" w:rsidP="00327B2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327B20">
                                    <w:rPr>
                                      <w:rFonts w:ascii="Albertus" w:hAnsi="Albertus" w:cs="Albertus"/>
                                      <w:b/>
                                      <w:bCs/>
                                      <w:color w:val="000000"/>
                                      <w:kern w:val="0"/>
                                      <w:sz w:val="14"/>
                                      <w:szCs w:val="14"/>
                                      <w:lang w:val="zh-CN"/>
                                    </w:rPr>
                                    <w:t>Primer sequences</w:t>
                                  </w:r>
                                </w:p>
                              </w:tc>
                            </w:tr>
                            <w:tr w:rsidR="003B56F5" w:rsidRPr="00327B20" w:rsidTr="009F6F8F">
                              <w:tblPrEx>
                                <w:tblCellMar>
                                  <w:top w:w="0" w:type="dxa"/>
                                  <w:left w:w="0" w:type="dxa"/>
                                  <w:bottom w:w="0" w:type="dxa"/>
                                  <w:right w:w="0" w:type="dxa"/>
                                </w:tblCellMar>
                              </w:tblPrEx>
                              <w:trPr>
                                <w:trHeight w:val="60"/>
                              </w:trPr>
                              <w:tc>
                                <w:tcPr>
                                  <w:tcW w:w="533" w:type="dxa"/>
                                  <w:tcBorders>
                                    <w:top w:val="single" w:sz="6" w:space="0" w:color="000000"/>
                                  </w:tcBorders>
                                  <w:tcMar>
                                    <w:top w:w="28" w:type="dxa"/>
                                    <w:left w:w="28" w:type="dxa"/>
                                    <w:bottom w:w="28" w:type="dxa"/>
                                    <w:right w:w="28" w:type="dxa"/>
                                  </w:tcMar>
                                </w:tcPr>
                                <w:p w:rsidR="003B56F5" w:rsidRPr="00327B20" w:rsidRDefault="003B56F5" w:rsidP="00327B2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327B20">
                                    <w:rPr>
                                      <w:rFonts w:ascii="Book Antiqua" w:hAnsi="Book Antiqua" w:cs="Book Antiqua"/>
                                      <w:i/>
                                      <w:iCs/>
                                      <w:color w:val="000000"/>
                                      <w:kern w:val="0"/>
                                      <w:sz w:val="14"/>
                                      <w:szCs w:val="14"/>
                                      <w:lang w:val="zh-CN"/>
                                    </w:rPr>
                                    <w:t>Hyper IL-6</w:t>
                                  </w:r>
                                </w:p>
                              </w:tc>
                              <w:tc>
                                <w:tcPr>
                                  <w:tcW w:w="4003" w:type="dxa"/>
                                  <w:tcBorders>
                                    <w:top w:val="single" w:sz="6" w:space="0" w:color="000000"/>
                                  </w:tcBorders>
                                  <w:tcMar>
                                    <w:top w:w="28" w:type="dxa"/>
                                    <w:left w:w="28" w:type="dxa"/>
                                    <w:bottom w:w="28" w:type="dxa"/>
                                    <w:right w:w="28" w:type="dxa"/>
                                  </w:tcMar>
                                </w:tcPr>
                                <w:p w:rsidR="003B56F5" w:rsidRPr="00327B20" w:rsidRDefault="003B56F5" w:rsidP="00327B2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27B20">
                                    <w:rPr>
                                      <w:rFonts w:ascii="Book Antiqua" w:hAnsi="Book Antiqua" w:cs="Book Antiqua"/>
                                      <w:bCs/>
                                      <w:color w:val="000000"/>
                                      <w:kern w:val="0"/>
                                      <w:sz w:val="14"/>
                                      <w:szCs w:val="14"/>
                                      <w:lang w:val="zh-CN"/>
                                    </w:rPr>
                                    <w:t>Forward: 5'-GTCAGATCTATGCTGGCCGTCGGCTGC-3'</w:t>
                                  </w:r>
                                </w:p>
                              </w:tc>
                            </w:tr>
                            <w:tr w:rsidR="003B56F5" w:rsidRPr="00327B20" w:rsidTr="009F6F8F">
                              <w:tblPrEx>
                                <w:tblCellMar>
                                  <w:top w:w="0" w:type="dxa"/>
                                  <w:left w:w="0" w:type="dxa"/>
                                  <w:bottom w:w="0" w:type="dxa"/>
                                  <w:right w:w="0" w:type="dxa"/>
                                </w:tblCellMar>
                              </w:tblPrEx>
                              <w:trPr>
                                <w:trHeight w:val="60"/>
                              </w:trPr>
                              <w:tc>
                                <w:tcPr>
                                  <w:tcW w:w="533" w:type="dxa"/>
                                  <w:tcMar>
                                    <w:top w:w="28" w:type="dxa"/>
                                    <w:left w:w="28" w:type="dxa"/>
                                    <w:bottom w:w="28" w:type="dxa"/>
                                    <w:right w:w="28" w:type="dxa"/>
                                  </w:tcMar>
                                </w:tcPr>
                                <w:p w:rsidR="003B56F5" w:rsidRPr="00327B20" w:rsidRDefault="003B56F5" w:rsidP="00327B20">
                                  <w:pPr>
                                    <w:autoSpaceDE w:val="0"/>
                                    <w:autoSpaceDN w:val="0"/>
                                    <w:adjustRightInd w:val="0"/>
                                    <w:jc w:val="left"/>
                                    <w:rPr>
                                      <w:rFonts w:ascii="Albertus" w:hAnsi="Albertus"/>
                                      <w:kern w:val="0"/>
                                      <w:sz w:val="24"/>
                                    </w:rPr>
                                  </w:pPr>
                                </w:p>
                              </w:tc>
                              <w:tc>
                                <w:tcPr>
                                  <w:tcW w:w="4003" w:type="dxa"/>
                                  <w:tcMar>
                                    <w:top w:w="28" w:type="dxa"/>
                                    <w:left w:w="28" w:type="dxa"/>
                                    <w:bottom w:w="28" w:type="dxa"/>
                                    <w:right w:w="28" w:type="dxa"/>
                                  </w:tcMar>
                                </w:tcPr>
                                <w:p w:rsidR="003B56F5" w:rsidRPr="00327B20" w:rsidRDefault="003B56F5" w:rsidP="00327B2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27B20">
                                    <w:rPr>
                                      <w:rFonts w:ascii="Book Antiqua" w:hAnsi="Book Antiqua" w:cs="Book Antiqua"/>
                                      <w:bCs/>
                                      <w:color w:val="000000"/>
                                      <w:kern w:val="0"/>
                                      <w:sz w:val="14"/>
                                      <w:szCs w:val="14"/>
                                      <w:lang w:val="zh-CN"/>
                                    </w:rPr>
                                    <w:t>Reverse: 5'-CCGGAATTCCTACATTTGCCGAAGAGCCCTC-3'</w:t>
                                  </w:r>
                                </w:p>
                              </w:tc>
                            </w:tr>
                            <w:tr w:rsidR="003B56F5" w:rsidRPr="00327B20" w:rsidTr="009F6F8F">
                              <w:tblPrEx>
                                <w:tblCellMar>
                                  <w:top w:w="0" w:type="dxa"/>
                                  <w:left w:w="0" w:type="dxa"/>
                                  <w:bottom w:w="0" w:type="dxa"/>
                                  <w:right w:w="0" w:type="dxa"/>
                                </w:tblCellMar>
                              </w:tblPrEx>
                              <w:trPr>
                                <w:trHeight w:val="60"/>
                              </w:trPr>
                              <w:tc>
                                <w:tcPr>
                                  <w:tcW w:w="533" w:type="dxa"/>
                                  <w:tcMar>
                                    <w:top w:w="28" w:type="dxa"/>
                                    <w:left w:w="28" w:type="dxa"/>
                                    <w:bottom w:w="28" w:type="dxa"/>
                                    <w:right w:w="28" w:type="dxa"/>
                                  </w:tcMar>
                                </w:tcPr>
                                <w:p w:rsidR="003B56F5" w:rsidRPr="00327B20" w:rsidRDefault="003B56F5" w:rsidP="00327B2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327B20">
                                    <w:rPr>
                                      <w:rFonts w:ascii="Book Antiqua" w:hAnsi="Book Antiqua" w:cs="Book Antiqua"/>
                                      <w:i/>
                                      <w:iCs/>
                                      <w:color w:val="000000"/>
                                      <w:kern w:val="0"/>
                                      <w:sz w:val="14"/>
                                      <w:szCs w:val="14"/>
                                      <w:lang w:val="zh-CN"/>
                                    </w:rPr>
                                    <w:t>HGF</w:t>
                                  </w:r>
                                </w:p>
                              </w:tc>
                              <w:tc>
                                <w:tcPr>
                                  <w:tcW w:w="4003" w:type="dxa"/>
                                  <w:tcMar>
                                    <w:top w:w="28" w:type="dxa"/>
                                    <w:left w:w="28" w:type="dxa"/>
                                    <w:bottom w:w="28" w:type="dxa"/>
                                    <w:right w:w="28" w:type="dxa"/>
                                  </w:tcMar>
                                </w:tcPr>
                                <w:p w:rsidR="003B56F5" w:rsidRPr="00327B20" w:rsidRDefault="003B56F5" w:rsidP="00327B2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27B20">
                                    <w:rPr>
                                      <w:rFonts w:ascii="Book Antiqua" w:hAnsi="Book Antiqua" w:cs="Book Antiqua"/>
                                      <w:bCs/>
                                      <w:color w:val="000000"/>
                                      <w:kern w:val="0"/>
                                      <w:sz w:val="14"/>
                                      <w:szCs w:val="14"/>
                                      <w:lang w:val="zh-CN"/>
                                    </w:rPr>
                                    <w:t>Forward: 5</w:t>
                                  </w:r>
                                  <w:proofErr w:type="gramStart"/>
                                  <w:r w:rsidRPr="00327B20">
                                    <w:rPr>
                                      <w:rFonts w:ascii="Book Antiqua" w:hAnsi="Book Antiqua" w:cs="Book Antiqua"/>
                                      <w:bCs/>
                                      <w:color w:val="000000"/>
                                      <w:kern w:val="0"/>
                                      <w:sz w:val="14"/>
                                      <w:szCs w:val="14"/>
                                      <w:lang w:val="zh-CN"/>
                                    </w:rPr>
                                    <w:t>’</w:t>
                                  </w:r>
                                  <w:proofErr w:type="gramEnd"/>
                                  <w:r w:rsidRPr="00327B20">
                                    <w:rPr>
                                      <w:rFonts w:ascii="Book Antiqua" w:hAnsi="Book Antiqua" w:cs="Book Antiqua"/>
                                      <w:bCs/>
                                      <w:color w:val="000000"/>
                                      <w:kern w:val="0"/>
                                      <w:sz w:val="14"/>
                                      <w:szCs w:val="14"/>
                                      <w:lang w:val="zh-CN"/>
                                    </w:rPr>
                                    <w:t>-ATGATGTGGGGGACCAAA-3</w:t>
                                  </w:r>
                                  <w:proofErr w:type="gramStart"/>
                                  <w:r w:rsidRPr="00327B20">
                                    <w:rPr>
                                      <w:rFonts w:ascii="Book Antiqua" w:hAnsi="Book Antiqua" w:cs="Book Antiqua"/>
                                      <w:bCs/>
                                      <w:color w:val="000000"/>
                                      <w:kern w:val="0"/>
                                      <w:sz w:val="14"/>
                                      <w:szCs w:val="14"/>
                                      <w:lang w:val="zh-CN"/>
                                    </w:rPr>
                                    <w:t>’</w:t>
                                  </w:r>
                                  <w:proofErr w:type="gramEnd"/>
                                </w:p>
                              </w:tc>
                            </w:tr>
                            <w:tr w:rsidR="003B56F5" w:rsidRPr="00327B20" w:rsidTr="009F6F8F">
                              <w:tblPrEx>
                                <w:tblCellMar>
                                  <w:top w:w="0" w:type="dxa"/>
                                  <w:left w:w="0" w:type="dxa"/>
                                  <w:bottom w:w="0" w:type="dxa"/>
                                  <w:right w:w="0" w:type="dxa"/>
                                </w:tblCellMar>
                              </w:tblPrEx>
                              <w:trPr>
                                <w:trHeight w:val="60"/>
                              </w:trPr>
                              <w:tc>
                                <w:tcPr>
                                  <w:tcW w:w="533" w:type="dxa"/>
                                  <w:tcMar>
                                    <w:top w:w="28" w:type="dxa"/>
                                    <w:left w:w="28" w:type="dxa"/>
                                    <w:bottom w:w="28" w:type="dxa"/>
                                    <w:right w:w="28" w:type="dxa"/>
                                  </w:tcMar>
                                </w:tcPr>
                                <w:p w:rsidR="003B56F5" w:rsidRPr="00327B20" w:rsidRDefault="003B56F5" w:rsidP="00327B20">
                                  <w:pPr>
                                    <w:autoSpaceDE w:val="0"/>
                                    <w:autoSpaceDN w:val="0"/>
                                    <w:adjustRightInd w:val="0"/>
                                    <w:jc w:val="left"/>
                                    <w:rPr>
                                      <w:rFonts w:ascii="Albertus" w:hAnsi="Albertus"/>
                                      <w:kern w:val="0"/>
                                      <w:sz w:val="24"/>
                                    </w:rPr>
                                  </w:pPr>
                                </w:p>
                              </w:tc>
                              <w:tc>
                                <w:tcPr>
                                  <w:tcW w:w="4003" w:type="dxa"/>
                                  <w:tcMar>
                                    <w:top w:w="28" w:type="dxa"/>
                                    <w:left w:w="28" w:type="dxa"/>
                                    <w:bottom w:w="28" w:type="dxa"/>
                                    <w:right w:w="28" w:type="dxa"/>
                                  </w:tcMar>
                                </w:tcPr>
                                <w:p w:rsidR="003B56F5" w:rsidRPr="00327B20" w:rsidRDefault="003B56F5" w:rsidP="00327B2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27B20">
                                    <w:rPr>
                                      <w:rFonts w:ascii="Book Antiqua" w:hAnsi="Book Antiqua" w:cs="Book Antiqua"/>
                                      <w:bCs/>
                                      <w:color w:val="000000"/>
                                      <w:kern w:val="0"/>
                                      <w:sz w:val="14"/>
                                      <w:szCs w:val="14"/>
                                      <w:lang w:val="zh-CN"/>
                                    </w:rPr>
                                    <w:t>Reverse: 5</w:t>
                                  </w:r>
                                  <w:proofErr w:type="gramStart"/>
                                  <w:r w:rsidRPr="00327B20">
                                    <w:rPr>
                                      <w:rFonts w:ascii="Book Antiqua" w:hAnsi="Book Antiqua" w:cs="Book Antiqua"/>
                                      <w:bCs/>
                                      <w:color w:val="000000"/>
                                      <w:kern w:val="0"/>
                                      <w:sz w:val="14"/>
                                      <w:szCs w:val="14"/>
                                      <w:lang w:val="zh-CN"/>
                                    </w:rPr>
                                    <w:t>’</w:t>
                                  </w:r>
                                  <w:proofErr w:type="gramEnd"/>
                                  <w:r w:rsidRPr="00327B20">
                                    <w:rPr>
                                      <w:rFonts w:ascii="Book Antiqua" w:hAnsi="Book Antiqua" w:cs="Book Antiqua"/>
                                      <w:bCs/>
                                      <w:color w:val="000000"/>
                                      <w:kern w:val="0"/>
                                      <w:sz w:val="14"/>
                                      <w:szCs w:val="14"/>
                                      <w:lang w:val="zh-CN"/>
                                    </w:rPr>
                                    <w:t>-CAACTTGTATGTCAAAATTACTTTGTG-3</w:t>
                                  </w:r>
                                  <w:proofErr w:type="gramStart"/>
                                  <w:r w:rsidRPr="00327B20">
                                    <w:rPr>
                                      <w:rFonts w:ascii="Book Antiqua" w:hAnsi="Book Antiqua" w:cs="Book Antiqua"/>
                                      <w:bCs/>
                                      <w:color w:val="000000"/>
                                      <w:kern w:val="0"/>
                                      <w:sz w:val="14"/>
                                      <w:szCs w:val="14"/>
                                      <w:lang w:val="zh-CN"/>
                                    </w:rPr>
                                    <w:t>’</w:t>
                                  </w:r>
                                  <w:proofErr w:type="gramEnd"/>
                                </w:p>
                              </w:tc>
                            </w:tr>
                            <w:tr w:rsidR="003B56F5" w:rsidRPr="00327B20" w:rsidTr="009F6F8F">
                              <w:tblPrEx>
                                <w:tblCellMar>
                                  <w:top w:w="0" w:type="dxa"/>
                                  <w:left w:w="0" w:type="dxa"/>
                                  <w:bottom w:w="0" w:type="dxa"/>
                                  <w:right w:w="0" w:type="dxa"/>
                                </w:tblCellMar>
                              </w:tblPrEx>
                              <w:trPr>
                                <w:trHeight w:val="60"/>
                              </w:trPr>
                              <w:tc>
                                <w:tcPr>
                                  <w:tcW w:w="533" w:type="dxa"/>
                                  <w:tcMar>
                                    <w:top w:w="28" w:type="dxa"/>
                                    <w:left w:w="28" w:type="dxa"/>
                                    <w:bottom w:w="28" w:type="dxa"/>
                                    <w:right w:w="28" w:type="dxa"/>
                                  </w:tcMar>
                                </w:tcPr>
                                <w:p w:rsidR="003B56F5" w:rsidRPr="00327B20" w:rsidRDefault="003B56F5" w:rsidP="00327B2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327B20">
                                    <w:rPr>
                                      <w:rFonts w:ascii="Symbol" w:hAnsi="Symbol" w:cs="Symbol"/>
                                      <w:color w:val="000000"/>
                                      <w:kern w:val="0"/>
                                      <w:sz w:val="14"/>
                                      <w:szCs w:val="14"/>
                                      <w:lang w:val="zh-CN"/>
                                    </w:rPr>
                                    <w:t></w:t>
                                  </w:r>
                                  <w:r w:rsidRPr="00327B20">
                                    <w:rPr>
                                      <w:rFonts w:ascii="Book Antiqua" w:hAnsi="Book Antiqua" w:cs="Book Antiqua"/>
                                      <w:i/>
                                      <w:iCs/>
                                      <w:color w:val="000000"/>
                                      <w:kern w:val="0"/>
                                      <w:sz w:val="14"/>
                                      <w:szCs w:val="14"/>
                                      <w:lang w:val="zh-CN"/>
                                    </w:rPr>
                                    <w:t>-actin</w:t>
                                  </w:r>
                                </w:p>
                              </w:tc>
                              <w:tc>
                                <w:tcPr>
                                  <w:tcW w:w="4003" w:type="dxa"/>
                                  <w:tcMar>
                                    <w:top w:w="28" w:type="dxa"/>
                                    <w:left w:w="28" w:type="dxa"/>
                                    <w:bottom w:w="28" w:type="dxa"/>
                                    <w:right w:w="28" w:type="dxa"/>
                                  </w:tcMar>
                                </w:tcPr>
                                <w:p w:rsidR="003B56F5" w:rsidRPr="00327B20" w:rsidRDefault="003B56F5" w:rsidP="00327B2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27B20">
                                    <w:rPr>
                                      <w:rFonts w:ascii="Book Antiqua" w:hAnsi="Book Antiqua" w:cs="Book Antiqua"/>
                                      <w:bCs/>
                                      <w:color w:val="000000"/>
                                      <w:kern w:val="0"/>
                                      <w:sz w:val="14"/>
                                      <w:szCs w:val="14"/>
                                      <w:lang w:val="zh-CN"/>
                                    </w:rPr>
                                    <w:t>Forward: 5</w:t>
                                  </w:r>
                                  <w:proofErr w:type="gramStart"/>
                                  <w:r w:rsidRPr="00327B20">
                                    <w:rPr>
                                      <w:rFonts w:ascii="Book Antiqua" w:hAnsi="Book Antiqua" w:cs="Book Antiqua"/>
                                      <w:bCs/>
                                      <w:color w:val="000000"/>
                                      <w:kern w:val="0"/>
                                      <w:sz w:val="14"/>
                                      <w:szCs w:val="14"/>
                                      <w:lang w:val="zh-CN"/>
                                    </w:rPr>
                                    <w:t>’</w:t>
                                  </w:r>
                                  <w:proofErr w:type="gramEnd"/>
                                  <w:r w:rsidRPr="00327B20">
                                    <w:rPr>
                                      <w:rFonts w:ascii="Book Antiqua" w:hAnsi="Book Antiqua" w:cs="Book Antiqua"/>
                                      <w:bCs/>
                                      <w:color w:val="000000"/>
                                      <w:kern w:val="0"/>
                                      <w:sz w:val="14"/>
                                      <w:szCs w:val="14"/>
                                      <w:lang w:val="zh-CN"/>
                                    </w:rPr>
                                    <w:t>-TGACGAGGCCCAGAGCAAGA-3</w:t>
                                  </w:r>
                                  <w:proofErr w:type="gramStart"/>
                                  <w:r w:rsidRPr="00327B20">
                                    <w:rPr>
                                      <w:rFonts w:ascii="Book Antiqua" w:hAnsi="Book Antiqua" w:cs="Book Antiqua"/>
                                      <w:bCs/>
                                      <w:color w:val="000000"/>
                                      <w:kern w:val="0"/>
                                      <w:sz w:val="14"/>
                                      <w:szCs w:val="14"/>
                                      <w:lang w:val="zh-CN"/>
                                    </w:rPr>
                                    <w:t>’</w:t>
                                  </w:r>
                                  <w:proofErr w:type="gramEnd"/>
                                </w:p>
                              </w:tc>
                            </w:tr>
                            <w:tr w:rsidR="003B56F5" w:rsidRPr="00327B20" w:rsidTr="009F6F8F">
                              <w:tblPrEx>
                                <w:tblCellMar>
                                  <w:top w:w="0" w:type="dxa"/>
                                  <w:left w:w="0" w:type="dxa"/>
                                  <w:bottom w:w="0" w:type="dxa"/>
                                  <w:right w:w="0" w:type="dxa"/>
                                </w:tblCellMar>
                              </w:tblPrEx>
                              <w:trPr>
                                <w:trHeight w:val="60"/>
                              </w:trPr>
                              <w:tc>
                                <w:tcPr>
                                  <w:tcW w:w="533" w:type="dxa"/>
                                  <w:tcMar>
                                    <w:top w:w="28" w:type="dxa"/>
                                    <w:left w:w="28" w:type="dxa"/>
                                    <w:bottom w:w="28" w:type="dxa"/>
                                    <w:right w:w="28" w:type="dxa"/>
                                  </w:tcMar>
                                </w:tcPr>
                                <w:p w:rsidR="003B56F5" w:rsidRPr="00327B20" w:rsidRDefault="003B56F5" w:rsidP="00327B20">
                                  <w:pPr>
                                    <w:autoSpaceDE w:val="0"/>
                                    <w:autoSpaceDN w:val="0"/>
                                    <w:adjustRightInd w:val="0"/>
                                    <w:jc w:val="left"/>
                                    <w:rPr>
                                      <w:rFonts w:ascii="Albertus" w:hAnsi="Albertus"/>
                                      <w:kern w:val="0"/>
                                      <w:sz w:val="24"/>
                                    </w:rPr>
                                  </w:pPr>
                                </w:p>
                              </w:tc>
                              <w:tc>
                                <w:tcPr>
                                  <w:tcW w:w="4003" w:type="dxa"/>
                                  <w:tcMar>
                                    <w:top w:w="28" w:type="dxa"/>
                                    <w:left w:w="28" w:type="dxa"/>
                                    <w:bottom w:w="28" w:type="dxa"/>
                                    <w:right w:w="28" w:type="dxa"/>
                                  </w:tcMar>
                                </w:tcPr>
                                <w:p w:rsidR="003B56F5" w:rsidRPr="00327B20" w:rsidRDefault="003B56F5" w:rsidP="00327B2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27B20">
                                    <w:rPr>
                                      <w:rFonts w:ascii="Book Antiqua" w:hAnsi="Book Antiqua" w:cs="Book Antiqua"/>
                                      <w:bCs/>
                                      <w:color w:val="000000"/>
                                      <w:kern w:val="0"/>
                                      <w:sz w:val="14"/>
                                      <w:szCs w:val="14"/>
                                      <w:lang w:val="zh-CN"/>
                                    </w:rPr>
                                    <w:t>Reverse: 5</w:t>
                                  </w:r>
                                  <w:proofErr w:type="gramStart"/>
                                  <w:r w:rsidRPr="00327B20">
                                    <w:rPr>
                                      <w:rFonts w:ascii="Book Antiqua" w:hAnsi="Book Antiqua" w:cs="Book Antiqua"/>
                                      <w:bCs/>
                                      <w:color w:val="000000"/>
                                      <w:kern w:val="0"/>
                                      <w:sz w:val="14"/>
                                      <w:szCs w:val="14"/>
                                      <w:lang w:val="zh-CN"/>
                                    </w:rPr>
                                    <w:t>’</w:t>
                                  </w:r>
                                  <w:proofErr w:type="gramEnd"/>
                                  <w:r w:rsidRPr="00327B20">
                                    <w:rPr>
                                      <w:rFonts w:ascii="Book Antiqua" w:hAnsi="Book Antiqua" w:cs="Book Antiqua"/>
                                      <w:bCs/>
                                      <w:color w:val="000000"/>
                                      <w:kern w:val="0"/>
                                      <w:sz w:val="14"/>
                                      <w:szCs w:val="14"/>
                                      <w:lang w:val="zh-CN"/>
                                    </w:rPr>
                                    <w:t>-ATGGGCACAGTGTGGGTGAC-3</w:t>
                                  </w:r>
                                  <w:proofErr w:type="gramStart"/>
                                  <w:r w:rsidRPr="00327B20">
                                    <w:rPr>
                                      <w:rFonts w:ascii="Book Antiqua" w:hAnsi="Book Antiqua" w:cs="Book Antiqua"/>
                                      <w:bCs/>
                                      <w:color w:val="000000"/>
                                      <w:kern w:val="0"/>
                                      <w:sz w:val="14"/>
                                      <w:szCs w:val="14"/>
                                      <w:lang w:val="zh-CN"/>
                                    </w:rPr>
                                    <w:t>’</w:t>
                                  </w:r>
                                  <w:proofErr w:type="gramEnd"/>
                                </w:p>
                              </w:tc>
                            </w:tr>
                          </w:tbl>
                          <w:p w:rsidR="003B56F5" w:rsidRPr="00F377E5" w:rsidRDefault="003B56F5" w:rsidP="003B56F5">
                            <w:pPr>
                              <w:widowControl/>
                              <w:jc w:val="left"/>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0;margin-top:0;width:240.55pt;height:188.9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">
                <v:textbox style="mso-fit-shape-to-text:t">
                  <w:txbxContent>
                    <w:p w:rsidR="003B56F5" w:rsidRPr="00327B20" w:rsidRDefault="003B56F5" w:rsidP="003B56F5">
                      <w:pPr>
                        <w:pStyle w:val="af3"/>
                        <w:rPr>
                          <w:color w:val="auto"/>
                          <w:lang w:val="en-US"/>
                        </w:rPr>
                      </w:pPr>
                      <w:r w:rsidRPr="00327B20">
                        <w:rPr>
                          <w:color w:val="auto"/>
                          <w:lang w:val="en-US"/>
                        </w:rPr>
                        <w:t xml:space="preserve">Table </w:t>
                      </w:r>
                      <w:proofErr w:type="gramStart"/>
                      <w:r w:rsidRPr="00327B20">
                        <w:rPr>
                          <w:color w:val="auto"/>
                          <w:lang w:val="en-US"/>
                        </w:rPr>
                        <w:t>1  Primers</w:t>
                      </w:r>
                      <w:proofErr w:type="gramEnd"/>
                      <w:r w:rsidRPr="00327B20">
                        <w:rPr>
                          <w:color w:val="auto"/>
                          <w:lang w:val="en-US"/>
                        </w:rPr>
                        <w:t xml:space="preserve"> for real-time PCR</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533"/>
                        <w:gridCol w:w="4003"/>
                      </w:tblGrid>
                      <w:tr w:rsidR="003B56F5" w:rsidRPr="00327B20" w:rsidTr="009F6F8F">
                        <w:tblPrEx>
                          <w:tblCellMar>
                            <w:top w:w="0" w:type="dxa"/>
                            <w:left w:w="0" w:type="dxa"/>
                            <w:bottom w:w="0" w:type="dxa"/>
                            <w:right w:w="0" w:type="dxa"/>
                          </w:tblCellMar>
                        </w:tblPrEx>
                        <w:trPr>
                          <w:trHeight w:val="60"/>
                        </w:trPr>
                        <w:tc>
                          <w:tcPr>
                            <w:tcW w:w="533" w:type="dxa"/>
                            <w:tcBorders>
                              <w:top w:val="single" w:sz="6" w:space="0" w:color="000000"/>
                              <w:bottom w:val="single" w:sz="6" w:space="0" w:color="000000"/>
                            </w:tcBorders>
                            <w:tcMar>
                              <w:top w:w="28" w:type="dxa"/>
                              <w:left w:w="28" w:type="dxa"/>
                              <w:bottom w:w="28" w:type="dxa"/>
                              <w:right w:w="28" w:type="dxa"/>
                            </w:tcMar>
                          </w:tcPr>
                          <w:p w:rsidR="003B56F5" w:rsidRPr="00327B20" w:rsidRDefault="003B56F5" w:rsidP="00327B20">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r w:rsidRPr="00327B20">
                              <w:rPr>
                                <w:rFonts w:ascii="Albertus" w:hAnsi="Albertus" w:cs="Albertus"/>
                                <w:b/>
                                <w:bCs/>
                                <w:color w:val="000000"/>
                                <w:kern w:val="0"/>
                                <w:sz w:val="14"/>
                                <w:szCs w:val="14"/>
                                <w:lang w:val="zh-CN"/>
                              </w:rPr>
                              <w:t>Gene</w:t>
                            </w:r>
                          </w:p>
                        </w:tc>
                        <w:tc>
                          <w:tcPr>
                            <w:tcW w:w="4003" w:type="dxa"/>
                            <w:tcBorders>
                              <w:top w:val="single" w:sz="6" w:space="0" w:color="000000"/>
                              <w:bottom w:val="single" w:sz="6" w:space="0" w:color="000000"/>
                            </w:tcBorders>
                            <w:tcMar>
                              <w:top w:w="28" w:type="dxa"/>
                              <w:left w:w="28" w:type="dxa"/>
                              <w:bottom w:w="28" w:type="dxa"/>
                              <w:right w:w="28" w:type="dxa"/>
                            </w:tcMar>
                          </w:tcPr>
                          <w:p w:rsidR="003B56F5" w:rsidRPr="00327B20" w:rsidRDefault="003B56F5" w:rsidP="00327B2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327B20">
                              <w:rPr>
                                <w:rFonts w:ascii="Albertus" w:hAnsi="Albertus" w:cs="Albertus"/>
                                <w:b/>
                                <w:bCs/>
                                <w:color w:val="000000"/>
                                <w:kern w:val="0"/>
                                <w:sz w:val="14"/>
                                <w:szCs w:val="14"/>
                                <w:lang w:val="zh-CN"/>
                              </w:rPr>
                              <w:t>Primer sequences</w:t>
                            </w:r>
                          </w:p>
                        </w:tc>
                      </w:tr>
                      <w:tr w:rsidR="003B56F5" w:rsidRPr="00327B20" w:rsidTr="009F6F8F">
                        <w:tblPrEx>
                          <w:tblCellMar>
                            <w:top w:w="0" w:type="dxa"/>
                            <w:left w:w="0" w:type="dxa"/>
                            <w:bottom w:w="0" w:type="dxa"/>
                            <w:right w:w="0" w:type="dxa"/>
                          </w:tblCellMar>
                        </w:tblPrEx>
                        <w:trPr>
                          <w:trHeight w:val="60"/>
                        </w:trPr>
                        <w:tc>
                          <w:tcPr>
                            <w:tcW w:w="533" w:type="dxa"/>
                            <w:tcBorders>
                              <w:top w:val="single" w:sz="6" w:space="0" w:color="000000"/>
                            </w:tcBorders>
                            <w:tcMar>
                              <w:top w:w="28" w:type="dxa"/>
                              <w:left w:w="28" w:type="dxa"/>
                              <w:bottom w:w="28" w:type="dxa"/>
                              <w:right w:w="28" w:type="dxa"/>
                            </w:tcMar>
                          </w:tcPr>
                          <w:p w:rsidR="003B56F5" w:rsidRPr="00327B20" w:rsidRDefault="003B56F5" w:rsidP="00327B2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327B20">
                              <w:rPr>
                                <w:rFonts w:ascii="Book Antiqua" w:hAnsi="Book Antiqua" w:cs="Book Antiqua"/>
                                <w:i/>
                                <w:iCs/>
                                <w:color w:val="000000"/>
                                <w:kern w:val="0"/>
                                <w:sz w:val="14"/>
                                <w:szCs w:val="14"/>
                                <w:lang w:val="zh-CN"/>
                              </w:rPr>
                              <w:t>Hyper IL-6</w:t>
                            </w:r>
                          </w:p>
                        </w:tc>
                        <w:tc>
                          <w:tcPr>
                            <w:tcW w:w="4003" w:type="dxa"/>
                            <w:tcBorders>
                              <w:top w:val="single" w:sz="6" w:space="0" w:color="000000"/>
                            </w:tcBorders>
                            <w:tcMar>
                              <w:top w:w="28" w:type="dxa"/>
                              <w:left w:w="28" w:type="dxa"/>
                              <w:bottom w:w="28" w:type="dxa"/>
                              <w:right w:w="28" w:type="dxa"/>
                            </w:tcMar>
                          </w:tcPr>
                          <w:p w:rsidR="003B56F5" w:rsidRPr="00327B20" w:rsidRDefault="003B56F5" w:rsidP="00327B2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27B20">
                              <w:rPr>
                                <w:rFonts w:ascii="Book Antiqua" w:hAnsi="Book Antiqua" w:cs="Book Antiqua"/>
                                <w:bCs/>
                                <w:color w:val="000000"/>
                                <w:kern w:val="0"/>
                                <w:sz w:val="14"/>
                                <w:szCs w:val="14"/>
                                <w:lang w:val="zh-CN"/>
                              </w:rPr>
                              <w:t>Forward: 5'-GTCAGATCTATGCTGGCCGTCGGCTGC-3'</w:t>
                            </w:r>
                          </w:p>
                        </w:tc>
                      </w:tr>
                      <w:tr w:rsidR="003B56F5" w:rsidRPr="00327B20" w:rsidTr="009F6F8F">
                        <w:tblPrEx>
                          <w:tblCellMar>
                            <w:top w:w="0" w:type="dxa"/>
                            <w:left w:w="0" w:type="dxa"/>
                            <w:bottom w:w="0" w:type="dxa"/>
                            <w:right w:w="0" w:type="dxa"/>
                          </w:tblCellMar>
                        </w:tblPrEx>
                        <w:trPr>
                          <w:trHeight w:val="60"/>
                        </w:trPr>
                        <w:tc>
                          <w:tcPr>
                            <w:tcW w:w="533" w:type="dxa"/>
                            <w:tcMar>
                              <w:top w:w="28" w:type="dxa"/>
                              <w:left w:w="28" w:type="dxa"/>
                              <w:bottom w:w="28" w:type="dxa"/>
                              <w:right w:w="28" w:type="dxa"/>
                            </w:tcMar>
                          </w:tcPr>
                          <w:p w:rsidR="003B56F5" w:rsidRPr="00327B20" w:rsidRDefault="003B56F5" w:rsidP="00327B20">
                            <w:pPr>
                              <w:autoSpaceDE w:val="0"/>
                              <w:autoSpaceDN w:val="0"/>
                              <w:adjustRightInd w:val="0"/>
                              <w:jc w:val="left"/>
                              <w:rPr>
                                <w:rFonts w:ascii="Albertus" w:hAnsi="Albertus"/>
                                <w:kern w:val="0"/>
                                <w:sz w:val="24"/>
                              </w:rPr>
                            </w:pPr>
                          </w:p>
                        </w:tc>
                        <w:tc>
                          <w:tcPr>
                            <w:tcW w:w="4003" w:type="dxa"/>
                            <w:tcMar>
                              <w:top w:w="28" w:type="dxa"/>
                              <w:left w:w="28" w:type="dxa"/>
                              <w:bottom w:w="28" w:type="dxa"/>
                              <w:right w:w="28" w:type="dxa"/>
                            </w:tcMar>
                          </w:tcPr>
                          <w:p w:rsidR="003B56F5" w:rsidRPr="00327B20" w:rsidRDefault="003B56F5" w:rsidP="00327B2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27B20">
                              <w:rPr>
                                <w:rFonts w:ascii="Book Antiqua" w:hAnsi="Book Antiqua" w:cs="Book Antiqua"/>
                                <w:bCs/>
                                <w:color w:val="000000"/>
                                <w:kern w:val="0"/>
                                <w:sz w:val="14"/>
                                <w:szCs w:val="14"/>
                                <w:lang w:val="zh-CN"/>
                              </w:rPr>
                              <w:t>Reverse: 5'-CCGGAATTCCTACATTTGCCGAAGAGCCCTC-3'</w:t>
                            </w:r>
                          </w:p>
                        </w:tc>
                      </w:tr>
                      <w:tr w:rsidR="003B56F5" w:rsidRPr="00327B20" w:rsidTr="009F6F8F">
                        <w:tblPrEx>
                          <w:tblCellMar>
                            <w:top w:w="0" w:type="dxa"/>
                            <w:left w:w="0" w:type="dxa"/>
                            <w:bottom w:w="0" w:type="dxa"/>
                            <w:right w:w="0" w:type="dxa"/>
                          </w:tblCellMar>
                        </w:tblPrEx>
                        <w:trPr>
                          <w:trHeight w:val="60"/>
                        </w:trPr>
                        <w:tc>
                          <w:tcPr>
                            <w:tcW w:w="533" w:type="dxa"/>
                            <w:tcMar>
                              <w:top w:w="28" w:type="dxa"/>
                              <w:left w:w="28" w:type="dxa"/>
                              <w:bottom w:w="28" w:type="dxa"/>
                              <w:right w:w="28" w:type="dxa"/>
                            </w:tcMar>
                          </w:tcPr>
                          <w:p w:rsidR="003B56F5" w:rsidRPr="00327B20" w:rsidRDefault="003B56F5" w:rsidP="00327B2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327B20">
                              <w:rPr>
                                <w:rFonts w:ascii="Book Antiqua" w:hAnsi="Book Antiqua" w:cs="Book Antiqua"/>
                                <w:i/>
                                <w:iCs/>
                                <w:color w:val="000000"/>
                                <w:kern w:val="0"/>
                                <w:sz w:val="14"/>
                                <w:szCs w:val="14"/>
                                <w:lang w:val="zh-CN"/>
                              </w:rPr>
                              <w:t>HGF</w:t>
                            </w:r>
                          </w:p>
                        </w:tc>
                        <w:tc>
                          <w:tcPr>
                            <w:tcW w:w="4003" w:type="dxa"/>
                            <w:tcMar>
                              <w:top w:w="28" w:type="dxa"/>
                              <w:left w:w="28" w:type="dxa"/>
                              <w:bottom w:w="28" w:type="dxa"/>
                              <w:right w:w="28" w:type="dxa"/>
                            </w:tcMar>
                          </w:tcPr>
                          <w:p w:rsidR="003B56F5" w:rsidRPr="00327B20" w:rsidRDefault="003B56F5" w:rsidP="00327B2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27B20">
                              <w:rPr>
                                <w:rFonts w:ascii="Book Antiqua" w:hAnsi="Book Antiqua" w:cs="Book Antiqua"/>
                                <w:bCs/>
                                <w:color w:val="000000"/>
                                <w:kern w:val="0"/>
                                <w:sz w:val="14"/>
                                <w:szCs w:val="14"/>
                                <w:lang w:val="zh-CN"/>
                              </w:rPr>
                              <w:t>Forward: 5</w:t>
                            </w:r>
                            <w:proofErr w:type="gramStart"/>
                            <w:r w:rsidRPr="00327B20">
                              <w:rPr>
                                <w:rFonts w:ascii="Book Antiqua" w:hAnsi="Book Antiqua" w:cs="Book Antiqua"/>
                                <w:bCs/>
                                <w:color w:val="000000"/>
                                <w:kern w:val="0"/>
                                <w:sz w:val="14"/>
                                <w:szCs w:val="14"/>
                                <w:lang w:val="zh-CN"/>
                              </w:rPr>
                              <w:t>’</w:t>
                            </w:r>
                            <w:proofErr w:type="gramEnd"/>
                            <w:r w:rsidRPr="00327B20">
                              <w:rPr>
                                <w:rFonts w:ascii="Book Antiqua" w:hAnsi="Book Antiqua" w:cs="Book Antiqua"/>
                                <w:bCs/>
                                <w:color w:val="000000"/>
                                <w:kern w:val="0"/>
                                <w:sz w:val="14"/>
                                <w:szCs w:val="14"/>
                                <w:lang w:val="zh-CN"/>
                              </w:rPr>
                              <w:t>-ATGATGTGGGGGACCAAA-3</w:t>
                            </w:r>
                            <w:proofErr w:type="gramStart"/>
                            <w:r w:rsidRPr="00327B20">
                              <w:rPr>
                                <w:rFonts w:ascii="Book Antiqua" w:hAnsi="Book Antiqua" w:cs="Book Antiqua"/>
                                <w:bCs/>
                                <w:color w:val="000000"/>
                                <w:kern w:val="0"/>
                                <w:sz w:val="14"/>
                                <w:szCs w:val="14"/>
                                <w:lang w:val="zh-CN"/>
                              </w:rPr>
                              <w:t>’</w:t>
                            </w:r>
                            <w:proofErr w:type="gramEnd"/>
                          </w:p>
                        </w:tc>
                      </w:tr>
                      <w:tr w:rsidR="003B56F5" w:rsidRPr="00327B20" w:rsidTr="009F6F8F">
                        <w:tblPrEx>
                          <w:tblCellMar>
                            <w:top w:w="0" w:type="dxa"/>
                            <w:left w:w="0" w:type="dxa"/>
                            <w:bottom w:w="0" w:type="dxa"/>
                            <w:right w:w="0" w:type="dxa"/>
                          </w:tblCellMar>
                        </w:tblPrEx>
                        <w:trPr>
                          <w:trHeight w:val="60"/>
                        </w:trPr>
                        <w:tc>
                          <w:tcPr>
                            <w:tcW w:w="533" w:type="dxa"/>
                            <w:tcMar>
                              <w:top w:w="28" w:type="dxa"/>
                              <w:left w:w="28" w:type="dxa"/>
                              <w:bottom w:w="28" w:type="dxa"/>
                              <w:right w:w="28" w:type="dxa"/>
                            </w:tcMar>
                          </w:tcPr>
                          <w:p w:rsidR="003B56F5" w:rsidRPr="00327B20" w:rsidRDefault="003B56F5" w:rsidP="00327B20">
                            <w:pPr>
                              <w:autoSpaceDE w:val="0"/>
                              <w:autoSpaceDN w:val="0"/>
                              <w:adjustRightInd w:val="0"/>
                              <w:jc w:val="left"/>
                              <w:rPr>
                                <w:rFonts w:ascii="Albertus" w:hAnsi="Albertus"/>
                                <w:kern w:val="0"/>
                                <w:sz w:val="24"/>
                              </w:rPr>
                            </w:pPr>
                          </w:p>
                        </w:tc>
                        <w:tc>
                          <w:tcPr>
                            <w:tcW w:w="4003" w:type="dxa"/>
                            <w:tcMar>
                              <w:top w:w="28" w:type="dxa"/>
                              <w:left w:w="28" w:type="dxa"/>
                              <w:bottom w:w="28" w:type="dxa"/>
                              <w:right w:w="28" w:type="dxa"/>
                            </w:tcMar>
                          </w:tcPr>
                          <w:p w:rsidR="003B56F5" w:rsidRPr="00327B20" w:rsidRDefault="003B56F5" w:rsidP="00327B2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27B20">
                              <w:rPr>
                                <w:rFonts w:ascii="Book Antiqua" w:hAnsi="Book Antiqua" w:cs="Book Antiqua"/>
                                <w:bCs/>
                                <w:color w:val="000000"/>
                                <w:kern w:val="0"/>
                                <w:sz w:val="14"/>
                                <w:szCs w:val="14"/>
                                <w:lang w:val="zh-CN"/>
                              </w:rPr>
                              <w:t>Reverse: 5</w:t>
                            </w:r>
                            <w:proofErr w:type="gramStart"/>
                            <w:r w:rsidRPr="00327B20">
                              <w:rPr>
                                <w:rFonts w:ascii="Book Antiqua" w:hAnsi="Book Antiqua" w:cs="Book Antiqua"/>
                                <w:bCs/>
                                <w:color w:val="000000"/>
                                <w:kern w:val="0"/>
                                <w:sz w:val="14"/>
                                <w:szCs w:val="14"/>
                                <w:lang w:val="zh-CN"/>
                              </w:rPr>
                              <w:t>’</w:t>
                            </w:r>
                            <w:proofErr w:type="gramEnd"/>
                            <w:r w:rsidRPr="00327B20">
                              <w:rPr>
                                <w:rFonts w:ascii="Book Antiqua" w:hAnsi="Book Antiqua" w:cs="Book Antiqua"/>
                                <w:bCs/>
                                <w:color w:val="000000"/>
                                <w:kern w:val="0"/>
                                <w:sz w:val="14"/>
                                <w:szCs w:val="14"/>
                                <w:lang w:val="zh-CN"/>
                              </w:rPr>
                              <w:t>-CAACTTGTATGTCAAAATTACTTTGTG-3</w:t>
                            </w:r>
                            <w:proofErr w:type="gramStart"/>
                            <w:r w:rsidRPr="00327B20">
                              <w:rPr>
                                <w:rFonts w:ascii="Book Antiqua" w:hAnsi="Book Antiqua" w:cs="Book Antiqua"/>
                                <w:bCs/>
                                <w:color w:val="000000"/>
                                <w:kern w:val="0"/>
                                <w:sz w:val="14"/>
                                <w:szCs w:val="14"/>
                                <w:lang w:val="zh-CN"/>
                              </w:rPr>
                              <w:t>’</w:t>
                            </w:r>
                            <w:proofErr w:type="gramEnd"/>
                          </w:p>
                        </w:tc>
                      </w:tr>
                      <w:tr w:rsidR="003B56F5" w:rsidRPr="00327B20" w:rsidTr="009F6F8F">
                        <w:tblPrEx>
                          <w:tblCellMar>
                            <w:top w:w="0" w:type="dxa"/>
                            <w:left w:w="0" w:type="dxa"/>
                            <w:bottom w:w="0" w:type="dxa"/>
                            <w:right w:w="0" w:type="dxa"/>
                          </w:tblCellMar>
                        </w:tblPrEx>
                        <w:trPr>
                          <w:trHeight w:val="60"/>
                        </w:trPr>
                        <w:tc>
                          <w:tcPr>
                            <w:tcW w:w="533" w:type="dxa"/>
                            <w:tcMar>
                              <w:top w:w="28" w:type="dxa"/>
                              <w:left w:w="28" w:type="dxa"/>
                              <w:bottom w:w="28" w:type="dxa"/>
                              <w:right w:w="28" w:type="dxa"/>
                            </w:tcMar>
                          </w:tcPr>
                          <w:p w:rsidR="003B56F5" w:rsidRPr="00327B20" w:rsidRDefault="003B56F5" w:rsidP="00327B2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327B20">
                              <w:rPr>
                                <w:rFonts w:ascii="Symbol" w:hAnsi="Symbol" w:cs="Symbol"/>
                                <w:color w:val="000000"/>
                                <w:kern w:val="0"/>
                                <w:sz w:val="14"/>
                                <w:szCs w:val="14"/>
                                <w:lang w:val="zh-CN"/>
                              </w:rPr>
                              <w:t></w:t>
                            </w:r>
                            <w:r w:rsidRPr="00327B20">
                              <w:rPr>
                                <w:rFonts w:ascii="Book Antiqua" w:hAnsi="Book Antiqua" w:cs="Book Antiqua"/>
                                <w:i/>
                                <w:iCs/>
                                <w:color w:val="000000"/>
                                <w:kern w:val="0"/>
                                <w:sz w:val="14"/>
                                <w:szCs w:val="14"/>
                                <w:lang w:val="zh-CN"/>
                              </w:rPr>
                              <w:t>-actin</w:t>
                            </w:r>
                          </w:p>
                        </w:tc>
                        <w:tc>
                          <w:tcPr>
                            <w:tcW w:w="4003" w:type="dxa"/>
                            <w:tcMar>
                              <w:top w:w="28" w:type="dxa"/>
                              <w:left w:w="28" w:type="dxa"/>
                              <w:bottom w:w="28" w:type="dxa"/>
                              <w:right w:w="28" w:type="dxa"/>
                            </w:tcMar>
                          </w:tcPr>
                          <w:p w:rsidR="003B56F5" w:rsidRPr="00327B20" w:rsidRDefault="003B56F5" w:rsidP="00327B2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27B20">
                              <w:rPr>
                                <w:rFonts w:ascii="Book Antiqua" w:hAnsi="Book Antiqua" w:cs="Book Antiqua"/>
                                <w:bCs/>
                                <w:color w:val="000000"/>
                                <w:kern w:val="0"/>
                                <w:sz w:val="14"/>
                                <w:szCs w:val="14"/>
                                <w:lang w:val="zh-CN"/>
                              </w:rPr>
                              <w:t>Forward: 5</w:t>
                            </w:r>
                            <w:proofErr w:type="gramStart"/>
                            <w:r w:rsidRPr="00327B20">
                              <w:rPr>
                                <w:rFonts w:ascii="Book Antiqua" w:hAnsi="Book Antiqua" w:cs="Book Antiqua"/>
                                <w:bCs/>
                                <w:color w:val="000000"/>
                                <w:kern w:val="0"/>
                                <w:sz w:val="14"/>
                                <w:szCs w:val="14"/>
                                <w:lang w:val="zh-CN"/>
                              </w:rPr>
                              <w:t>’</w:t>
                            </w:r>
                            <w:proofErr w:type="gramEnd"/>
                            <w:r w:rsidRPr="00327B20">
                              <w:rPr>
                                <w:rFonts w:ascii="Book Antiqua" w:hAnsi="Book Antiqua" w:cs="Book Antiqua"/>
                                <w:bCs/>
                                <w:color w:val="000000"/>
                                <w:kern w:val="0"/>
                                <w:sz w:val="14"/>
                                <w:szCs w:val="14"/>
                                <w:lang w:val="zh-CN"/>
                              </w:rPr>
                              <w:t>-TGACGAGGCCCAGAGCAAGA-3</w:t>
                            </w:r>
                            <w:proofErr w:type="gramStart"/>
                            <w:r w:rsidRPr="00327B20">
                              <w:rPr>
                                <w:rFonts w:ascii="Book Antiqua" w:hAnsi="Book Antiqua" w:cs="Book Antiqua"/>
                                <w:bCs/>
                                <w:color w:val="000000"/>
                                <w:kern w:val="0"/>
                                <w:sz w:val="14"/>
                                <w:szCs w:val="14"/>
                                <w:lang w:val="zh-CN"/>
                              </w:rPr>
                              <w:t>’</w:t>
                            </w:r>
                            <w:proofErr w:type="gramEnd"/>
                          </w:p>
                        </w:tc>
                      </w:tr>
                      <w:tr w:rsidR="003B56F5" w:rsidRPr="00327B20" w:rsidTr="009F6F8F">
                        <w:tblPrEx>
                          <w:tblCellMar>
                            <w:top w:w="0" w:type="dxa"/>
                            <w:left w:w="0" w:type="dxa"/>
                            <w:bottom w:w="0" w:type="dxa"/>
                            <w:right w:w="0" w:type="dxa"/>
                          </w:tblCellMar>
                        </w:tblPrEx>
                        <w:trPr>
                          <w:trHeight w:val="60"/>
                        </w:trPr>
                        <w:tc>
                          <w:tcPr>
                            <w:tcW w:w="533" w:type="dxa"/>
                            <w:tcMar>
                              <w:top w:w="28" w:type="dxa"/>
                              <w:left w:w="28" w:type="dxa"/>
                              <w:bottom w:w="28" w:type="dxa"/>
                              <w:right w:w="28" w:type="dxa"/>
                            </w:tcMar>
                          </w:tcPr>
                          <w:p w:rsidR="003B56F5" w:rsidRPr="00327B20" w:rsidRDefault="003B56F5" w:rsidP="00327B20">
                            <w:pPr>
                              <w:autoSpaceDE w:val="0"/>
                              <w:autoSpaceDN w:val="0"/>
                              <w:adjustRightInd w:val="0"/>
                              <w:jc w:val="left"/>
                              <w:rPr>
                                <w:rFonts w:ascii="Albertus" w:hAnsi="Albertus"/>
                                <w:kern w:val="0"/>
                                <w:sz w:val="24"/>
                              </w:rPr>
                            </w:pPr>
                          </w:p>
                        </w:tc>
                        <w:tc>
                          <w:tcPr>
                            <w:tcW w:w="4003" w:type="dxa"/>
                            <w:tcMar>
                              <w:top w:w="28" w:type="dxa"/>
                              <w:left w:w="28" w:type="dxa"/>
                              <w:bottom w:w="28" w:type="dxa"/>
                              <w:right w:w="28" w:type="dxa"/>
                            </w:tcMar>
                          </w:tcPr>
                          <w:p w:rsidR="003B56F5" w:rsidRPr="00327B20" w:rsidRDefault="003B56F5" w:rsidP="00327B2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27B20">
                              <w:rPr>
                                <w:rFonts w:ascii="Book Antiqua" w:hAnsi="Book Antiqua" w:cs="Book Antiqua"/>
                                <w:bCs/>
                                <w:color w:val="000000"/>
                                <w:kern w:val="0"/>
                                <w:sz w:val="14"/>
                                <w:szCs w:val="14"/>
                                <w:lang w:val="zh-CN"/>
                              </w:rPr>
                              <w:t>Reverse: 5</w:t>
                            </w:r>
                            <w:proofErr w:type="gramStart"/>
                            <w:r w:rsidRPr="00327B20">
                              <w:rPr>
                                <w:rFonts w:ascii="Book Antiqua" w:hAnsi="Book Antiqua" w:cs="Book Antiqua"/>
                                <w:bCs/>
                                <w:color w:val="000000"/>
                                <w:kern w:val="0"/>
                                <w:sz w:val="14"/>
                                <w:szCs w:val="14"/>
                                <w:lang w:val="zh-CN"/>
                              </w:rPr>
                              <w:t>’</w:t>
                            </w:r>
                            <w:proofErr w:type="gramEnd"/>
                            <w:r w:rsidRPr="00327B20">
                              <w:rPr>
                                <w:rFonts w:ascii="Book Antiqua" w:hAnsi="Book Antiqua" w:cs="Book Antiqua"/>
                                <w:bCs/>
                                <w:color w:val="000000"/>
                                <w:kern w:val="0"/>
                                <w:sz w:val="14"/>
                                <w:szCs w:val="14"/>
                                <w:lang w:val="zh-CN"/>
                              </w:rPr>
                              <w:t>-ATGGGCACAGTGTGGGTGAC-3</w:t>
                            </w:r>
                            <w:proofErr w:type="gramStart"/>
                            <w:r w:rsidRPr="00327B20">
                              <w:rPr>
                                <w:rFonts w:ascii="Book Antiqua" w:hAnsi="Book Antiqua" w:cs="Book Antiqua"/>
                                <w:bCs/>
                                <w:color w:val="000000"/>
                                <w:kern w:val="0"/>
                                <w:sz w:val="14"/>
                                <w:szCs w:val="14"/>
                                <w:lang w:val="zh-CN"/>
                              </w:rPr>
                              <w:t>’</w:t>
                            </w:r>
                            <w:proofErr w:type="gramEnd"/>
                          </w:p>
                        </w:tc>
                      </w:tr>
                    </w:tbl>
                    <w:p w:rsidR="003B56F5" w:rsidRPr="00F377E5" w:rsidRDefault="003B56F5" w:rsidP="003B56F5">
                      <w:pPr>
                        <w:widowControl/>
                        <w:jc w:val="left"/>
                      </w:pPr>
                    </w:p>
                  </w:txbxContent>
                </v:textbox>
                <w10:wrap type="square"/>
              </v:shape>
            </w:pict>
          </mc:Fallback>
        </mc:AlternateContent>
      </w:r>
    </w:p>
    <w:p w:rsidR="003B56F5" w:rsidRDefault="003B56F5" w:rsidP="003B56F5"/>
    <w:p w:rsidR="003B56F5" w:rsidRDefault="003B56F5" w:rsidP="003B56F5"/>
    <w:p w:rsidR="003B56F5" w:rsidRDefault="003B56F5" w:rsidP="003B56F5"/>
    <w:p w:rsidR="003B56F5" w:rsidRDefault="003B56F5" w:rsidP="003B56F5"/>
    <w:p w:rsidR="003B56F5" w:rsidRPr="00F17C36" w:rsidRDefault="003B56F5" w:rsidP="003B56F5"/>
    <w:p w:rsidR="003B56F5" w:rsidRDefault="003B56F5" w:rsidP="003B56F5">
      <w:pPr>
        <w:rPr>
          <w:rFonts w:hint="eastAsia"/>
        </w:rPr>
      </w:pPr>
    </w:p>
    <w:p w:rsidR="003B56F5" w:rsidRDefault="003B56F5" w:rsidP="003B56F5">
      <w:pPr>
        <w:rPr>
          <w:rFonts w:hint="eastAsia"/>
        </w:rPr>
      </w:pPr>
    </w:p>
    <w:p w:rsidR="003B56F5" w:rsidRDefault="003B56F5" w:rsidP="003B56F5">
      <w:pPr>
        <w:rPr>
          <w:rFonts w:hint="eastAsia"/>
        </w:rPr>
      </w:pPr>
    </w:p>
    <w:p w:rsidR="003B56F5" w:rsidRDefault="003B56F5" w:rsidP="003B56F5">
      <w:pPr>
        <w:rPr>
          <w:rFonts w:hint="eastAsia"/>
        </w:rPr>
      </w:pPr>
    </w:p>
    <w:p w:rsidR="003B56F5" w:rsidRDefault="003B56F5" w:rsidP="003B56F5">
      <w:pPr>
        <w:rPr>
          <w:rFonts w:hint="eastAsia"/>
        </w:rPr>
      </w:pPr>
    </w:p>
    <w:p w:rsidR="003B56F5" w:rsidRDefault="003B56F5" w:rsidP="003B56F5">
      <w:pPr>
        <w:rPr>
          <w:rFonts w:hint="eastAsia"/>
        </w:rPr>
      </w:pPr>
    </w:p>
    <w:p w:rsidR="00F50781" w:rsidRPr="003B56F5" w:rsidRDefault="00F50781" w:rsidP="00F50781"/>
    <w:sectPr w:rsidR="00F50781" w:rsidRPr="003B56F5">
      <w:footerReference w:type="even" r:id="rId15"/>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425D" w:rsidRDefault="00F1425D">
      <w:r>
        <w:separator/>
      </w:r>
    </w:p>
  </w:endnote>
  <w:endnote w:type="continuationSeparator" w:id="0">
    <w:p w:rsidR="00F1425D" w:rsidRDefault="00F142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Symbol Bold Italic">
    <w:panose1 w:val="00000000000000000000"/>
    <w:charset w:val="02"/>
    <w:family w:val="auto"/>
    <w:notTrueType/>
    <w:pitch w:val="default"/>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20000287" w:usb1="00000000" w:usb2="00000000" w:usb3="00000000" w:csb0="0000019F" w:csb1="00000000"/>
  </w:font>
  <w:font w:name="ArialNarrow-BoldItalic">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lbertus">
    <w:panose1 w:val="020E0702040304020204"/>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Narrow-Bold">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rialNarrow-Italic">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4E" w:rsidRDefault="00F50781" w:rsidP="00791A4E">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791A4E" w:rsidRDefault="00791A4E" w:rsidP="00791A4E">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425D" w:rsidRDefault="00F1425D">
      <w:r>
        <w:separator/>
      </w:r>
    </w:p>
  </w:footnote>
  <w:footnote w:type="continuationSeparator" w:id="0">
    <w:p w:rsidR="00F1425D" w:rsidRDefault="00F1425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781"/>
    <w:rsid w:val="000B0D85"/>
    <w:rsid w:val="001551FF"/>
    <w:rsid w:val="001666C0"/>
    <w:rsid w:val="00180AED"/>
    <w:rsid w:val="00200B22"/>
    <w:rsid w:val="002107CC"/>
    <w:rsid w:val="002956C9"/>
    <w:rsid w:val="00295C5F"/>
    <w:rsid w:val="002B75DF"/>
    <w:rsid w:val="002D2A10"/>
    <w:rsid w:val="002F45F1"/>
    <w:rsid w:val="00323671"/>
    <w:rsid w:val="003577BA"/>
    <w:rsid w:val="003B56F5"/>
    <w:rsid w:val="00455B0F"/>
    <w:rsid w:val="00476DB2"/>
    <w:rsid w:val="004D6FBC"/>
    <w:rsid w:val="00631E9C"/>
    <w:rsid w:val="00695F5F"/>
    <w:rsid w:val="006E55C4"/>
    <w:rsid w:val="006F19CB"/>
    <w:rsid w:val="007218D1"/>
    <w:rsid w:val="00731FA6"/>
    <w:rsid w:val="00762110"/>
    <w:rsid w:val="00791A4E"/>
    <w:rsid w:val="007E3B2C"/>
    <w:rsid w:val="008226AD"/>
    <w:rsid w:val="008531AE"/>
    <w:rsid w:val="008548B1"/>
    <w:rsid w:val="009B3A45"/>
    <w:rsid w:val="009E244B"/>
    <w:rsid w:val="009E5A72"/>
    <w:rsid w:val="009F426D"/>
    <w:rsid w:val="00A4134A"/>
    <w:rsid w:val="00A619D5"/>
    <w:rsid w:val="00A71FFD"/>
    <w:rsid w:val="00AE0EE0"/>
    <w:rsid w:val="00B002E2"/>
    <w:rsid w:val="00BD4C39"/>
    <w:rsid w:val="00C33DC9"/>
    <w:rsid w:val="00C542CD"/>
    <w:rsid w:val="00C846FE"/>
    <w:rsid w:val="00C91A79"/>
    <w:rsid w:val="00CB42A6"/>
    <w:rsid w:val="00CE1EAC"/>
    <w:rsid w:val="00D21779"/>
    <w:rsid w:val="00D34BE3"/>
    <w:rsid w:val="00D55C5E"/>
    <w:rsid w:val="00D676E0"/>
    <w:rsid w:val="00D70213"/>
    <w:rsid w:val="00D74442"/>
    <w:rsid w:val="00E74CF7"/>
    <w:rsid w:val="00EA68A7"/>
    <w:rsid w:val="00F1425D"/>
    <w:rsid w:val="00F15824"/>
    <w:rsid w:val="00F50781"/>
    <w:rsid w:val="00F75910"/>
    <w:rsid w:val="00FA0DA2"/>
    <w:rsid w:val="00FC121E"/>
    <w:rsid w:val="00FF42BF"/>
    <w:rsid w:val="00FF5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rsid w:val="00F50781"/>
    <w:pPr>
      <w:tabs>
        <w:tab w:val="center" w:pos="4153"/>
        <w:tab w:val="right" w:pos="8306"/>
      </w:tabs>
      <w:snapToGrid w:val="0"/>
      <w:jc w:val="left"/>
    </w:pPr>
    <w:rPr>
      <w:sz w:val="18"/>
      <w:szCs w:val="18"/>
    </w:rPr>
  </w:style>
  <w:style w:type="character" w:customStyle="1" w:styleId="Char">
    <w:name w:val="页脚 Char"/>
    <w:link w:val="a3"/>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F50781"/>
    <w:rPr>
      <w:b/>
      <w:bCs/>
    </w:rPr>
  </w:style>
  <w:style w:type="paragraph" w:customStyle="1" w:styleId="a8">
    <w:name w:val="题目"/>
    <w:basedOn w:val="a"/>
    <w:uiPriority w:val="99"/>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uiPriority w:val="99"/>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uiPriority w:val="99"/>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uiPriority w:val="99"/>
    <w:rsid w:val="00F50781"/>
    <w:rPr>
      <w:rFonts w:cs="Times New Roman"/>
    </w:rPr>
  </w:style>
  <w:style w:type="paragraph" w:styleId="ac">
    <w:name w:val="header"/>
    <w:basedOn w:val="a"/>
    <w:link w:val="Char1"/>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ae">
    <w:name w:val="作者"/>
    <w:basedOn w:val="a"/>
    <w:uiPriority w:val="99"/>
    <w:rsid w:val="003B56F5"/>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paragraphstyle">
    <w:name w:val="[No paragraph style]"/>
    <w:rsid w:val="003B56F5"/>
    <w:pPr>
      <w:widowControl w:val="0"/>
      <w:autoSpaceDE w:val="0"/>
      <w:autoSpaceDN w:val="0"/>
      <w:adjustRightInd w:val="0"/>
      <w:spacing w:line="288" w:lineRule="auto"/>
      <w:jc w:val="both"/>
      <w:textAlignment w:val="center"/>
    </w:pPr>
    <w:rPr>
      <w:rFonts w:ascii="宋体" w:hAnsi="Symbol Bold Italic" w:cs="宋体"/>
      <w:color w:val="000000"/>
      <w:sz w:val="24"/>
      <w:szCs w:val="24"/>
      <w:lang w:val="zh-CN"/>
    </w:rPr>
  </w:style>
  <w:style w:type="paragraph" w:customStyle="1" w:styleId="NormalParagraphStyle">
    <w:name w:val="NormalParagraphStyle"/>
    <w:basedOn w:val="Noparagraphstyle"/>
    <w:uiPriority w:val="99"/>
    <w:rsid w:val="003B56F5"/>
  </w:style>
  <w:style w:type="paragraph" w:customStyle="1" w:styleId="af">
    <w:name w:val="嶌幰怣"/>
    <w:basedOn w:val="NormalParagraphStyle"/>
    <w:uiPriority w:val="99"/>
    <w:rsid w:val="003B56F5"/>
    <w:pPr>
      <w:suppressAutoHyphens/>
      <w:spacing w:line="210" w:lineRule="atLeast"/>
    </w:pPr>
    <w:rPr>
      <w:rFonts w:ascii="Times New Roman" w:hAnsi="Times New Roman" w:cs="Times New Roman"/>
      <w:spacing w:val="-2"/>
      <w:sz w:val="18"/>
      <w:szCs w:val="18"/>
      <w:lang w:val="en-US"/>
    </w:rPr>
  </w:style>
  <w:style w:type="paragraph" w:customStyle="1" w:styleId="af0">
    <w:name w:val="一级标题"/>
    <w:basedOn w:val="NormalParagraphStyle"/>
    <w:uiPriority w:val="99"/>
    <w:rsid w:val="003B56F5"/>
    <w:pPr>
      <w:spacing w:line="360" w:lineRule="atLeast"/>
      <w:jc w:val="left"/>
    </w:pPr>
    <w:rPr>
      <w:rFonts w:ascii="Univers" w:hAnsi="Univers" w:cs="Univers"/>
      <w:b/>
      <w:bCs/>
      <w:spacing w:val="-2"/>
    </w:rPr>
  </w:style>
  <w:style w:type="paragraph" w:customStyle="1" w:styleId="af1">
    <w:name w:val="惓暥暥_"/>
    <w:basedOn w:val="NormalParagraphStyle"/>
    <w:uiPriority w:val="99"/>
    <w:rsid w:val="003B56F5"/>
    <w:pPr>
      <w:suppressAutoHyphens/>
    </w:pPr>
    <w:rPr>
      <w:rFonts w:ascii="Verdana" w:hAnsi="Verdana" w:cs="Verdana"/>
      <w:spacing w:val="-7"/>
      <w:sz w:val="18"/>
      <w:szCs w:val="18"/>
      <w:lang w:val="en-US"/>
    </w:rPr>
  </w:style>
  <w:style w:type="paragraph" w:customStyle="1" w:styleId="1">
    <w:name w:val="惓暥暥_1"/>
    <w:basedOn w:val="NormalParagraphStyle"/>
    <w:uiPriority w:val="99"/>
    <w:rsid w:val="003B56F5"/>
    <w:pPr>
      <w:suppressAutoHyphens/>
      <w:ind w:firstLine="283"/>
    </w:pPr>
    <w:rPr>
      <w:rFonts w:ascii="Verdana" w:hAnsi="Verdana" w:cs="Verdana"/>
      <w:spacing w:val="-7"/>
      <w:sz w:val="18"/>
      <w:szCs w:val="18"/>
      <w:lang w:val="en-US"/>
    </w:rPr>
  </w:style>
  <w:style w:type="paragraph" w:customStyle="1" w:styleId="af2">
    <w:name w:val="二级标题"/>
    <w:basedOn w:val="Noparagraphstyle"/>
    <w:uiPriority w:val="99"/>
    <w:rsid w:val="003B56F5"/>
    <w:pPr>
      <w:suppressAutoHyphens/>
      <w:spacing w:line="250" w:lineRule="atLeast"/>
      <w:jc w:val="left"/>
    </w:pPr>
    <w:rPr>
      <w:rFonts w:ascii="ArialNarrow-BoldItalic" w:hAnsi="ArialNarrow-BoldItalic" w:cs="ArialNarrow-BoldItalic"/>
      <w:b/>
      <w:bCs/>
      <w:i/>
      <w:iCs/>
      <w:sz w:val="21"/>
      <w:szCs w:val="21"/>
    </w:rPr>
  </w:style>
  <w:style w:type="paragraph" w:customStyle="1" w:styleId="8BF4">
    <w:name w:val="徠曅&lt;8BF4&gt;柧"/>
    <w:basedOn w:val="NormalParagraphStyle"/>
    <w:uiPriority w:val="99"/>
    <w:rsid w:val="003B56F5"/>
    <w:pPr>
      <w:suppressAutoHyphens/>
      <w:spacing w:line="200" w:lineRule="atLeast"/>
    </w:pPr>
    <w:rPr>
      <w:rFonts w:ascii="Arial Narrow" w:hAnsi="Arial Narrow" w:cs="Arial Narrow"/>
      <w:sz w:val="16"/>
      <w:szCs w:val="16"/>
      <w:lang w:val="en-US"/>
    </w:rPr>
  </w:style>
  <w:style w:type="paragraph" w:customStyle="1" w:styleId="-1">
    <w:name w:val="嶲峫暥專-1"/>
    <w:basedOn w:val="NormalParagraphStyle"/>
    <w:uiPriority w:val="99"/>
    <w:rsid w:val="003B56F5"/>
    <w:pPr>
      <w:suppressAutoHyphens/>
      <w:spacing w:line="200" w:lineRule="atLeast"/>
      <w:ind w:left="360" w:hanging="360"/>
    </w:pPr>
    <w:rPr>
      <w:rFonts w:ascii="Times New Roman" w:hAnsi="Times New Roman" w:cs="Times New Roman"/>
      <w:spacing w:val="-1"/>
      <w:sz w:val="16"/>
      <w:szCs w:val="16"/>
      <w:lang w:val="en-US"/>
    </w:rPr>
  </w:style>
  <w:style w:type="character" w:customStyle="1" w:styleId="high-light-bg4">
    <w:name w:val="high-light-bg4"/>
    <w:uiPriority w:val="99"/>
    <w:rsid w:val="003B56F5"/>
    <w:rPr>
      <w:w w:val="100"/>
    </w:rPr>
  </w:style>
  <w:style w:type="character" w:customStyle="1" w:styleId="94FE">
    <w:name w:val="?94FE&gt;愙"/>
    <w:uiPriority w:val="99"/>
    <w:rsid w:val="003B56F5"/>
    <w:rPr>
      <w:color w:val="0000FF"/>
      <w:w w:val="100"/>
      <w:u w:val="thick" w:color="0000FF"/>
    </w:rPr>
  </w:style>
  <w:style w:type="character" w:customStyle="1" w:styleId="5F3A8C03">
    <w:name w:val="&lt;5F3A&gt;&lt;8C03&gt;"/>
    <w:uiPriority w:val="99"/>
    <w:rsid w:val="003B56F5"/>
    <w:rPr>
      <w:i/>
      <w:iCs/>
      <w:w w:val="100"/>
    </w:rPr>
  </w:style>
  <w:style w:type="character" w:customStyle="1" w:styleId="apple-converted-space">
    <w:name w:val="apple-converted-space"/>
    <w:uiPriority w:val="99"/>
    <w:rsid w:val="003B56F5"/>
    <w:rPr>
      <w:w w:val="100"/>
    </w:rPr>
  </w:style>
  <w:style w:type="character" w:customStyle="1" w:styleId="9875">
    <w:name w:val="&lt;9875&gt;"/>
    <w:uiPriority w:val="99"/>
    <w:rsid w:val="003B56F5"/>
    <w:rPr>
      <w:w w:val="100"/>
      <w:sz w:val="18"/>
      <w:szCs w:val="18"/>
    </w:rPr>
  </w:style>
  <w:style w:type="character" w:customStyle="1" w:styleId="8BBF95EE8FC7">
    <w:name w:val="&lt;8BBF&gt;&lt;95EE&gt;&lt;8FC7&gt;"/>
    <w:uiPriority w:val="99"/>
    <w:rsid w:val="003B56F5"/>
    <w:rPr>
      <w:color w:val="800080"/>
      <w:w w:val="100"/>
      <w:u w:val="none"/>
    </w:rPr>
  </w:style>
  <w:style w:type="character" w:customStyle="1" w:styleId="so-ask-best">
    <w:name w:val="so-ask-best"/>
    <w:uiPriority w:val="99"/>
    <w:rsid w:val="003B56F5"/>
    <w:rPr>
      <w:w w:val="100"/>
    </w:rPr>
  </w:style>
  <w:style w:type="paragraph" w:customStyle="1" w:styleId="af3">
    <w:name w:val="表格名称"/>
    <w:basedOn w:val="NormalParagraphStyle"/>
    <w:uiPriority w:val="99"/>
    <w:rsid w:val="003B56F5"/>
    <w:pPr>
      <w:suppressAutoHyphens/>
      <w:spacing w:line="200" w:lineRule="atLeast"/>
    </w:pPr>
    <w:rPr>
      <w:rFonts w:ascii="Albertus" w:hAnsi="Albertus" w:cs="Albertus"/>
      <w:b/>
      <w:bCs/>
      <w:color w:val="FFFFFF"/>
      <w:sz w:val="16"/>
      <w:szCs w:val="16"/>
    </w:rPr>
  </w:style>
  <w:style w:type="paragraph" w:customStyle="1" w:styleId="af4">
    <w:name w:val="表头"/>
    <w:basedOn w:val="NormalParagraphStyle"/>
    <w:uiPriority w:val="99"/>
    <w:rsid w:val="003B56F5"/>
    <w:pPr>
      <w:suppressAutoHyphens/>
    </w:pPr>
    <w:rPr>
      <w:rFonts w:ascii="Albertus" w:hAnsi="Albertus" w:cs="Albertus"/>
      <w:b/>
      <w:bCs/>
      <w:sz w:val="14"/>
      <w:szCs w:val="14"/>
    </w:rPr>
  </w:style>
  <w:style w:type="paragraph" w:customStyle="1" w:styleId="af5">
    <w:name w:val="表格中文字"/>
    <w:basedOn w:val="af3"/>
    <w:uiPriority w:val="99"/>
    <w:rsid w:val="003B56F5"/>
    <w:rPr>
      <w:rFonts w:ascii="Book Antiqua" w:hAnsi="Book Antiqua" w:cs="Book Antiqua"/>
      <w:color w:val="000000"/>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rsid w:val="00F50781"/>
    <w:pPr>
      <w:tabs>
        <w:tab w:val="center" w:pos="4153"/>
        <w:tab w:val="right" w:pos="8306"/>
      </w:tabs>
      <w:snapToGrid w:val="0"/>
      <w:jc w:val="left"/>
    </w:pPr>
    <w:rPr>
      <w:sz w:val="18"/>
      <w:szCs w:val="18"/>
    </w:rPr>
  </w:style>
  <w:style w:type="character" w:customStyle="1" w:styleId="Char">
    <w:name w:val="页脚 Char"/>
    <w:link w:val="a3"/>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F50781"/>
    <w:rPr>
      <w:b/>
      <w:bCs/>
    </w:rPr>
  </w:style>
  <w:style w:type="paragraph" w:customStyle="1" w:styleId="a8">
    <w:name w:val="题目"/>
    <w:basedOn w:val="a"/>
    <w:uiPriority w:val="99"/>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uiPriority w:val="99"/>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uiPriority w:val="99"/>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uiPriority w:val="99"/>
    <w:rsid w:val="00F50781"/>
    <w:rPr>
      <w:rFonts w:cs="Times New Roman"/>
    </w:rPr>
  </w:style>
  <w:style w:type="paragraph" w:styleId="ac">
    <w:name w:val="header"/>
    <w:basedOn w:val="a"/>
    <w:link w:val="Char1"/>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ae">
    <w:name w:val="作者"/>
    <w:basedOn w:val="a"/>
    <w:uiPriority w:val="99"/>
    <w:rsid w:val="003B56F5"/>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paragraphstyle">
    <w:name w:val="[No paragraph style]"/>
    <w:rsid w:val="003B56F5"/>
    <w:pPr>
      <w:widowControl w:val="0"/>
      <w:autoSpaceDE w:val="0"/>
      <w:autoSpaceDN w:val="0"/>
      <w:adjustRightInd w:val="0"/>
      <w:spacing w:line="288" w:lineRule="auto"/>
      <w:jc w:val="both"/>
      <w:textAlignment w:val="center"/>
    </w:pPr>
    <w:rPr>
      <w:rFonts w:ascii="宋体" w:hAnsi="Symbol Bold Italic" w:cs="宋体"/>
      <w:color w:val="000000"/>
      <w:sz w:val="24"/>
      <w:szCs w:val="24"/>
      <w:lang w:val="zh-CN"/>
    </w:rPr>
  </w:style>
  <w:style w:type="paragraph" w:customStyle="1" w:styleId="NormalParagraphStyle">
    <w:name w:val="NormalParagraphStyle"/>
    <w:basedOn w:val="Noparagraphstyle"/>
    <w:uiPriority w:val="99"/>
    <w:rsid w:val="003B56F5"/>
  </w:style>
  <w:style w:type="paragraph" w:customStyle="1" w:styleId="af">
    <w:name w:val="嶌幰怣"/>
    <w:basedOn w:val="NormalParagraphStyle"/>
    <w:uiPriority w:val="99"/>
    <w:rsid w:val="003B56F5"/>
    <w:pPr>
      <w:suppressAutoHyphens/>
      <w:spacing w:line="210" w:lineRule="atLeast"/>
    </w:pPr>
    <w:rPr>
      <w:rFonts w:ascii="Times New Roman" w:hAnsi="Times New Roman" w:cs="Times New Roman"/>
      <w:spacing w:val="-2"/>
      <w:sz w:val="18"/>
      <w:szCs w:val="18"/>
      <w:lang w:val="en-US"/>
    </w:rPr>
  </w:style>
  <w:style w:type="paragraph" w:customStyle="1" w:styleId="af0">
    <w:name w:val="一级标题"/>
    <w:basedOn w:val="NormalParagraphStyle"/>
    <w:uiPriority w:val="99"/>
    <w:rsid w:val="003B56F5"/>
    <w:pPr>
      <w:spacing w:line="360" w:lineRule="atLeast"/>
      <w:jc w:val="left"/>
    </w:pPr>
    <w:rPr>
      <w:rFonts w:ascii="Univers" w:hAnsi="Univers" w:cs="Univers"/>
      <w:b/>
      <w:bCs/>
      <w:spacing w:val="-2"/>
    </w:rPr>
  </w:style>
  <w:style w:type="paragraph" w:customStyle="1" w:styleId="af1">
    <w:name w:val="惓暥暥_"/>
    <w:basedOn w:val="NormalParagraphStyle"/>
    <w:uiPriority w:val="99"/>
    <w:rsid w:val="003B56F5"/>
    <w:pPr>
      <w:suppressAutoHyphens/>
    </w:pPr>
    <w:rPr>
      <w:rFonts w:ascii="Verdana" w:hAnsi="Verdana" w:cs="Verdana"/>
      <w:spacing w:val="-7"/>
      <w:sz w:val="18"/>
      <w:szCs w:val="18"/>
      <w:lang w:val="en-US"/>
    </w:rPr>
  </w:style>
  <w:style w:type="paragraph" w:customStyle="1" w:styleId="1">
    <w:name w:val="惓暥暥_1"/>
    <w:basedOn w:val="NormalParagraphStyle"/>
    <w:uiPriority w:val="99"/>
    <w:rsid w:val="003B56F5"/>
    <w:pPr>
      <w:suppressAutoHyphens/>
      <w:ind w:firstLine="283"/>
    </w:pPr>
    <w:rPr>
      <w:rFonts w:ascii="Verdana" w:hAnsi="Verdana" w:cs="Verdana"/>
      <w:spacing w:val="-7"/>
      <w:sz w:val="18"/>
      <w:szCs w:val="18"/>
      <w:lang w:val="en-US"/>
    </w:rPr>
  </w:style>
  <w:style w:type="paragraph" w:customStyle="1" w:styleId="af2">
    <w:name w:val="二级标题"/>
    <w:basedOn w:val="Noparagraphstyle"/>
    <w:uiPriority w:val="99"/>
    <w:rsid w:val="003B56F5"/>
    <w:pPr>
      <w:suppressAutoHyphens/>
      <w:spacing w:line="250" w:lineRule="atLeast"/>
      <w:jc w:val="left"/>
    </w:pPr>
    <w:rPr>
      <w:rFonts w:ascii="ArialNarrow-BoldItalic" w:hAnsi="ArialNarrow-BoldItalic" w:cs="ArialNarrow-BoldItalic"/>
      <w:b/>
      <w:bCs/>
      <w:i/>
      <w:iCs/>
      <w:sz w:val="21"/>
      <w:szCs w:val="21"/>
    </w:rPr>
  </w:style>
  <w:style w:type="paragraph" w:customStyle="1" w:styleId="8BF4">
    <w:name w:val="徠曅&lt;8BF4&gt;柧"/>
    <w:basedOn w:val="NormalParagraphStyle"/>
    <w:uiPriority w:val="99"/>
    <w:rsid w:val="003B56F5"/>
    <w:pPr>
      <w:suppressAutoHyphens/>
      <w:spacing w:line="200" w:lineRule="atLeast"/>
    </w:pPr>
    <w:rPr>
      <w:rFonts w:ascii="Arial Narrow" w:hAnsi="Arial Narrow" w:cs="Arial Narrow"/>
      <w:sz w:val="16"/>
      <w:szCs w:val="16"/>
      <w:lang w:val="en-US"/>
    </w:rPr>
  </w:style>
  <w:style w:type="paragraph" w:customStyle="1" w:styleId="-1">
    <w:name w:val="嶲峫暥專-1"/>
    <w:basedOn w:val="NormalParagraphStyle"/>
    <w:uiPriority w:val="99"/>
    <w:rsid w:val="003B56F5"/>
    <w:pPr>
      <w:suppressAutoHyphens/>
      <w:spacing w:line="200" w:lineRule="atLeast"/>
      <w:ind w:left="360" w:hanging="360"/>
    </w:pPr>
    <w:rPr>
      <w:rFonts w:ascii="Times New Roman" w:hAnsi="Times New Roman" w:cs="Times New Roman"/>
      <w:spacing w:val="-1"/>
      <w:sz w:val="16"/>
      <w:szCs w:val="16"/>
      <w:lang w:val="en-US"/>
    </w:rPr>
  </w:style>
  <w:style w:type="character" w:customStyle="1" w:styleId="high-light-bg4">
    <w:name w:val="high-light-bg4"/>
    <w:uiPriority w:val="99"/>
    <w:rsid w:val="003B56F5"/>
    <w:rPr>
      <w:w w:val="100"/>
    </w:rPr>
  </w:style>
  <w:style w:type="character" w:customStyle="1" w:styleId="94FE">
    <w:name w:val="?94FE&gt;愙"/>
    <w:uiPriority w:val="99"/>
    <w:rsid w:val="003B56F5"/>
    <w:rPr>
      <w:color w:val="0000FF"/>
      <w:w w:val="100"/>
      <w:u w:val="thick" w:color="0000FF"/>
    </w:rPr>
  </w:style>
  <w:style w:type="character" w:customStyle="1" w:styleId="5F3A8C03">
    <w:name w:val="&lt;5F3A&gt;&lt;8C03&gt;"/>
    <w:uiPriority w:val="99"/>
    <w:rsid w:val="003B56F5"/>
    <w:rPr>
      <w:i/>
      <w:iCs/>
      <w:w w:val="100"/>
    </w:rPr>
  </w:style>
  <w:style w:type="character" w:customStyle="1" w:styleId="apple-converted-space">
    <w:name w:val="apple-converted-space"/>
    <w:uiPriority w:val="99"/>
    <w:rsid w:val="003B56F5"/>
    <w:rPr>
      <w:w w:val="100"/>
    </w:rPr>
  </w:style>
  <w:style w:type="character" w:customStyle="1" w:styleId="9875">
    <w:name w:val="&lt;9875&gt;"/>
    <w:uiPriority w:val="99"/>
    <w:rsid w:val="003B56F5"/>
    <w:rPr>
      <w:w w:val="100"/>
      <w:sz w:val="18"/>
      <w:szCs w:val="18"/>
    </w:rPr>
  </w:style>
  <w:style w:type="character" w:customStyle="1" w:styleId="8BBF95EE8FC7">
    <w:name w:val="&lt;8BBF&gt;&lt;95EE&gt;&lt;8FC7&gt;"/>
    <w:uiPriority w:val="99"/>
    <w:rsid w:val="003B56F5"/>
    <w:rPr>
      <w:color w:val="800080"/>
      <w:w w:val="100"/>
      <w:u w:val="none"/>
    </w:rPr>
  </w:style>
  <w:style w:type="character" w:customStyle="1" w:styleId="so-ask-best">
    <w:name w:val="so-ask-best"/>
    <w:uiPriority w:val="99"/>
    <w:rsid w:val="003B56F5"/>
    <w:rPr>
      <w:w w:val="100"/>
    </w:rPr>
  </w:style>
  <w:style w:type="paragraph" w:customStyle="1" w:styleId="af3">
    <w:name w:val="表格名称"/>
    <w:basedOn w:val="NormalParagraphStyle"/>
    <w:uiPriority w:val="99"/>
    <w:rsid w:val="003B56F5"/>
    <w:pPr>
      <w:suppressAutoHyphens/>
      <w:spacing w:line="200" w:lineRule="atLeast"/>
    </w:pPr>
    <w:rPr>
      <w:rFonts w:ascii="Albertus" w:hAnsi="Albertus" w:cs="Albertus"/>
      <w:b/>
      <w:bCs/>
      <w:color w:val="FFFFFF"/>
      <w:sz w:val="16"/>
      <w:szCs w:val="16"/>
    </w:rPr>
  </w:style>
  <w:style w:type="paragraph" w:customStyle="1" w:styleId="af4">
    <w:name w:val="表头"/>
    <w:basedOn w:val="NormalParagraphStyle"/>
    <w:uiPriority w:val="99"/>
    <w:rsid w:val="003B56F5"/>
    <w:pPr>
      <w:suppressAutoHyphens/>
    </w:pPr>
    <w:rPr>
      <w:rFonts w:ascii="Albertus" w:hAnsi="Albertus" w:cs="Albertus"/>
      <w:b/>
      <w:bCs/>
      <w:sz w:val="14"/>
      <w:szCs w:val="14"/>
    </w:rPr>
  </w:style>
  <w:style w:type="paragraph" w:customStyle="1" w:styleId="af5">
    <w:name w:val="表格中文字"/>
    <w:basedOn w:val="af3"/>
    <w:uiPriority w:val="99"/>
    <w:rsid w:val="003B56F5"/>
    <w:rPr>
      <w:rFonts w:ascii="Book Antiqua" w:hAnsi="Book Antiqua" w:cs="Book Antiqua"/>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tiff"/><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7299</Words>
  <Characters>41609</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48811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 Ma</dc:creator>
  <cp:keywords/>
  <cp:lastModifiedBy>Wen Lingling</cp:lastModifiedBy>
  <cp:revision>3</cp:revision>
  <dcterms:created xsi:type="dcterms:W3CDTF">2016-01-15T04:02:00Z</dcterms:created>
  <dcterms:modified xsi:type="dcterms:W3CDTF">2016-04-18T08:38:00Z</dcterms:modified>
</cp:coreProperties>
</file>