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424866" w:rsidRDefault="00894903">
            <w:pPr>
              <w:spacing w:line="360" w:lineRule="auto"/>
              <w:rPr>
                <w:rFonts w:ascii="Book Antiqua" w:hAnsi="Book Antiqua"/>
                <w:color w:val="000000"/>
                <w:sz w:val="24"/>
                <w:szCs w:val="24"/>
              </w:rPr>
            </w:pPr>
            <w:r w:rsidRPr="00894903">
              <w:rPr>
                <w:rFonts w:ascii="Book Antiqua" w:hAnsi="Book Antiqua"/>
                <w:color w:val="000000"/>
                <w:sz w:val="24"/>
                <w:szCs w:val="24"/>
              </w:rPr>
              <w:t>Association of obesity with Helicobacter pylori infection: A retrospective study</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424866" w:rsidRDefault="0089490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894903">
              <w:rPr>
                <w:rFonts w:ascii="Book Antiqua" w:hAnsi="Book Antiqua" w:cs="Book Antiqua"/>
                <w:color w:val="000000"/>
                <w:sz w:val="24"/>
                <w:szCs w:val="24"/>
              </w:rPr>
              <w:t xml:space="preserve">Mei-Yan </w:t>
            </w:r>
            <w:proofErr w:type="spellStart"/>
            <w:r w:rsidRPr="00894903">
              <w:rPr>
                <w:rFonts w:ascii="Book Antiqua" w:hAnsi="Book Antiqua" w:cs="Book Antiqua"/>
                <w:color w:val="000000"/>
                <w:sz w:val="24"/>
                <w:szCs w:val="24"/>
              </w:rPr>
              <w:t>Xu</w:t>
            </w:r>
            <w:proofErr w:type="spellEnd"/>
            <w:r w:rsidRPr="00894903">
              <w:rPr>
                <w:rFonts w:ascii="Book Antiqua" w:hAnsi="Book Antiqua" w:cs="Book Antiqua"/>
                <w:color w:val="000000"/>
                <w:sz w:val="24"/>
                <w:szCs w:val="24"/>
              </w:rPr>
              <w:t xml:space="preserve">, </w:t>
            </w:r>
            <w:proofErr w:type="spellStart"/>
            <w:r w:rsidRPr="00894903">
              <w:rPr>
                <w:rFonts w:ascii="Book Antiqua" w:hAnsi="Book Antiqua" w:cs="Book Antiqua"/>
                <w:color w:val="000000"/>
                <w:sz w:val="24"/>
                <w:szCs w:val="24"/>
              </w:rPr>
              <w:t>Lan</w:t>
            </w:r>
            <w:proofErr w:type="spellEnd"/>
            <w:r w:rsidRPr="00894903">
              <w:rPr>
                <w:rFonts w:ascii="Book Antiqua" w:hAnsi="Book Antiqua" w:cs="Book Antiqua"/>
                <w:color w:val="000000"/>
                <w:sz w:val="24"/>
                <w:szCs w:val="24"/>
              </w:rPr>
              <w:t xml:space="preserve"> Liu, </w:t>
            </w:r>
            <w:proofErr w:type="spellStart"/>
            <w:r w:rsidRPr="00894903">
              <w:rPr>
                <w:rFonts w:ascii="Book Antiqua" w:hAnsi="Book Antiqua" w:cs="Book Antiqua"/>
                <w:color w:val="000000"/>
                <w:sz w:val="24"/>
                <w:szCs w:val="24"/>
              </w:rPr>
              <w:t>Bao</w:t>
            </w:r>
            <w:proofErr w:type="spellEnd"/>
            <w:r w:rsidRPr="00894903">
              <w:rPr>
                <w:rFonts w:ascii="Book Antiqua" w:hAnsi="Book Antiqua" w:cs="Book Antiqua"/>
                <w:color w:val="000000"/>
                <w:sz w:val="24"/>
                <w:szCs w:val="24"/>
              </w:rPr>
              <w:t xml:space="preserve">-Shi Yuan, </w:t>
            </w:r>
            <w:proofErr w:type="spellStart"/>
            <w:r w:rsidRPr="00894903">
              <w:rPr>
                <w:rFonts w:ascii="Book Antiqua" w:hAnsi="Book Antiqua" w:cs="Book Antiqua"/>
                <w:color w:val="000000"/>
                <w:sz w:val="24"/>
                <w:szCs w:val="24"/>
              </w:rPr>
              <w:t>Jian</w:t>
            </w:r>
            <w:proofErr w:type="spellEnd"/>
            <w:r w:rsidRPr="00894903">
              <w:rPr>
                <w:rFonts w:ascii="Book Antiqua" w:hAnsi="Book Antiqua" w:cs="Book Antiqua"/>
                <w:color w:val="000000"/>
                <w:sz w:val="24"/>
                <w:szCs w:val="24"/>
              </w:rPr>
              <w:t xml:space="preserve"> Yin, Qing-Bin Lu</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424866" w:rsidRDefault="00894903">
            <w:pPr>
              <w:pStyle w:val="a9"/>
              <w:spacing w:line="360" w:lineRule="auto"/>
              <w:rPr>
                <w:rFonts w:ascii="Book Antiqua" w:hAnsi="Book Antiqua"/>
                <w:sz w:val="24"/>
                <w:szCs w:val="24"/>
                <w:lang w:val="zh-CN"/>
              </w:rPr>
            </w:pPr>
            <w:proofErr w:type="spellStart"/>
            <w:r w:rsidRPr="00894903">
              <w:rPr>
                <w:rFonts w:ascii="Book Antiqua" w:hAnsi="Book Antiqua"/>
                <w:sz w:val="24"/>
                <w:szCs w:val="24"/>
              </w:rPr>
              <w:t>Xu</w:t>
            </w:r>
            <w:proofErr w:type="spellEnd"/>
            <w:r w:rsidRPr="00894903">
              <w:rPr>
                <w:rFonts w:ascii="Book Antiqua" w:hAnsi="Book Antiqua"/>
                <w:sz w:val="24"/>
                <w:szCs w:val="24"/>
              </w:rPr>
              <w:t xml:space="preserve"> MY, Liu L, Yuan BS, Yin J, Lu QB. Association of obesity with Helicobacter pylori infection: a retrospective study. World J </w:t>
            </w:r>
            <w:proofErr w:type="spellStart"/>
            <w:r w:rsidRPr="00894903">
              <w:rPr>
                <w:rFonts w:ascii="Book Antiqua" w:hAnsi="Book Antiqua"/>
                <w:sz w:val="24"/>
                <w:szCs w:val="24"/>
              </w:rPr>
              <w:t>Gastroenterol</w:t>
            </w:r>
            <w:proofErr w:type="spellEnd"/>
            <w:r w:rsidRPr="00894903">
              <w:rPr>
                <w:rFonts w:ascii="Book Antiqua" w:hAnsi="Book Antiqua"/>
                <w:sz w:val="24"/>
                <w:szCs w:val="24"/>
              </w:rPr>
              <w:t xml:space="preserve"> 2017; 23(15): 2750-2756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894903" w:rsidRDefault="00894903" w:rsidP="003577BA">
            <w:pPr>
              <w:pStyle w:val="a8"/>
              <w:spacing w:line="360" w:lineRule="auto"/>
              <w:rPr>
                <w:rFonts w:ascii="Book Antiqua" w:hAnsi="Book Antiqua"/>
                <w:b w:val="0"/>
                <w:bCs w:val="0"/>
                <w:sz w:val="24"/>
                <w:szCs w:val="24"/>
                <w:lang w:val="en-US"/>
              </w:rPr>
            </w:pPr>
            <w:r w:rsidRPr="00894903">
              <w:rPr>
                <w:rFonts w:ascii="Book Antiqua" w:hAnsi="Book Antiqua"/>
                <w:b w:val="0"/>
                <w:sz w:val="24"/>
                <w:szCs w:val="24"/>
                <w:lang w:val="en-US"/>
              </w:rPr>
              <w:t>http://www.wjgnet.com/1007-9327/full/v23/i15/2750.htm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894903" w:rsidRDefault="00894903" w:rsidP="003577BA">
            <w:pPr>
              <w:pStyle w:val="a8"/>
              <w:spacing w:line="360" w:lineRule="auto"/>
              <w:rPr>
                <w:rFonts w:ascii="Book Antiqua" w:hAnsi="Book Antiqua"/>
                <w:b w:val="0"/>
                <w:bCs w:val="0"/>
                <w:sz w:val="24"/>
                <w:szCs w:val="24"/>
                <w:lang w:val="en-US"/>
              </w:rPr>
            </w:pPr>
            <w:r w:rsidRPr="00894903">
              <w:rPr>
                <w:rFonts w:ascii="Book Antiqua" w:hAnsi="Book Antiqua"/>
                <w:b w:val="0"/>
                <w:sz w:val="24"/>
                <w:szCs w:val="24"/>
                <w:lang w:val="en-US"/>
              </w:rPr>
              <w:t>http://dx.doi.org/10.3748/wjg.v23.i15.2750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424866" w:rsidRDefault="001B1951">
            <w:pPr>
              <w:pStyle w:val="aa"/>
              <w:spacing w:line="360" w:lineRule="auto"/>
              <w:rPr>
                <w:rFonts w:ascii="Book Antiqua" w:hAnsi="Book Antiqua"/>
                <w:color w:val="000000"/>
                <w:sz w:val="24"/>
                <w:szCs w:val="24"/>
                <w:lang w:val="zh-CN"/>
              </w:rPr>
            </w:pPr>
            <w:r w:rsidRPr="0089490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424866" w:rsidRDefault="00894903">
            <w:pPr>
              <w:pStyle w:val="E-1"/>
              <w:spacing w:line="360" w:lineRule="auto"/>
              <w:rPr>
                <w:rFonts w:ascii="Book Antiqua" w:hAnsi="Book Antiqua"/>
                <w:bCs/>
                <w:sz w:val="24"/>
                <w:szCs w:val="24"/>
              </w:rPr>
            </w:pPr>
            <w:r w:rsidRPr="00894903">
              <w:rPr>
                <w:rFonts w:ascii="Book Antiqua" w:hAnsi="Book Antiqua"/>
                <w:sz w:val="24"/>
                <w:szCs w:val="24"/>
              </w:rPr>
              <w:t xml:space="preserve">The association between Helicobacter pylori (H. pylori) infection and obesity/weight gain is still unclear and controversial. We performed this retrospective study with a large sample size to explore the association between H. pylori infection and obesity/weight gain in Chinese people. The change in body mass index and the prevalence of obesity over </w:t>
            </w:r>
            <w:r w:rsidRPr="00894903">
              <w:rPr>
                <w:rFonts w:ascii="Book Antiqua" w:hAnsi="Book Antiqua"/>
                <w:sz w:val="24"/>
                <w:szCs w:val="24"/>
              </w:rPr>
              <w:lastRenderedPageBreak/>
              <w:t>two years in the H. pylori (+) group were not significantly higher than those in the H. pylori (-) group. We concluded that H. pylori infection was not associated with overweight/obesity observed from this study of Chinese people.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424866" w:rsidRDefault="00894903">
            <w:pPr>
              <w:pStyle w:val="E-1"/>
              <w:spacing w:line="360" w:lineRule="auto"/>
              <w:rPr>
                <w:rFonts w:ascii="Book Antiqua" w:hAnsi="Book Antiqua"/>
                <w:spacing w:val="-4"/>
                <w:sz w:val="24"/>
                <w:szCs w:val="24"/>
              </w:rPr>
            </w:pPr>
            <w:r w:rsidRPr="00894903">
              <w:rPr>
                <w:rFonts w:ascii="Book Antiqua" w:hAnsi="Book Antiqua"/>
                <w:sz w:val="24"/>
                <w:szCs w:val="24"/>
              </w:rPr>
              <w:t>Obesity; Helicobacter pylori; retrospective study; China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424866" w:rsidRDefault="001B1951">
            <w:pPr>
              <w:pStyle w:val="a8"/>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424866" w:rsidRDefault="001B1951">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424866" w:rsidRDefault="001B1951">
            <w:pPr>
              <w:pStyle w:val="a8"/>
              <w:spacing w:line="360" w:lineRule="auto"/>
              <w:rPr>
                <w:rFonts w:ascii="Book Antiqua" w:hAnsi="Book Antiqua"/>
                <w:b w:val="0"/>
                <w:sz w:val="24"/>
                <w:szCs w:val="24"/>
                <w:lang w:val="en-US"/>
              </w:rPr>
            </w:pPr>
            <w:r>
              <w:rPr>
                <w:rFonts w:ascii="Book Antiqua" w:hAnsi="Book Antiqua"/>
                <w:b w:val="0"/>
                <w:sz w:val="24"/>
                <w:szCs w:val="24"/>
              </w:rPr>
              <w:t>1007-9327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424866" w:rsidRDefault="001B1951">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424866" w:rsidRDefault="001B1951">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894903" w:rsidRDefault="00894903" w:rsidP="00F50781"/>
    <w:p w:rsidR="002A5AE1" w:rsidRDefault="002A5AE1" w:rsidP="002A5AE1">
      <w:pPr>
        <w:pStyle w:val="8BF4"/>
        <w:rPr>
          <w:rFonts w:ascii="Tw Cen MT" w:hAnsi="Tw Cen MT" w:cs="Tw Cen MT"/>
          <w:b/>
          <w:bCs/>
          <w:sz w:val="22"/>
          <w:szCs w:val="22"/>
        </w:rPr>
      </w:pPr>
      <w:r w:rsidRPr="00881D16">
        <w:lastRenderedPageBreak/>
        <w:t xml:space="preserve">                                       </w:t>
      </w:r>
      <w:r>
        <w:rPr>
          <w:rFonts w:ascii="Tw Cen MT" w:hAnsi="Tw Cen MT" w:cs="Tw Cen MT"/>
          <w:b/>
          <w:bCs/>
          <w:sz w:val="22"/>
          <w:szCs w:val="22"/>
        </w:rPr>
        <w:t>Retrospective Study</w:t>
      </w:r>
    </w:p>
    <w:p w:rsidR="002A5AE1" w:rsidRDefault="002A5AE1" w:rsidP="002A5AE1">
      <w:pPr>
        <w:rPr>
          <w:rFonts w:hint="eastAsia"/>
        </w:rPr>
      </w:pPr>
    </w:p>
    <w:p w:rsidR="002A5AE1" w:rsidRPr="00B00C3F" w:rsidRDefault="002A5AE1" w:rsidP="002A5AE1">
      <w:pPr>
        <w:pStyle w:val="a8"/>
        <w:rPr>
          <w:lang w:val="en-US"/>
        </w:rPr>
      </w:pPr>
      <w:r w:rsidRPr="00B00C3F">
        <w:rPr>
          <w:lang w:val="en-US"/>
        </w:rPr>
        <w:t xml:space="preserve">Association of obesity with </w:t>
      </w:r>
      <w:r w:rsidRPr="00B00C3F">
        <w:rPr>
          <w:i/>
          <w:lang w:val="en-US"/>
        </w:rPr>
        <w:t>Helicobacter pylori</w:t>
      </w:r>
      <w:r w:rsidRPr="00B00C3F">
        <w:rPr>
          <w:lang w:val="en-US"/>
        </w:rPr>
        <w:t xml:space="preserve"> infection: A retrospective study</w:t>
      </w:r>
    </w:p>
    <w:p w:rsidR="002A5AE1" w:rsidRPr="00B00C3F" w:rsidRDefault="002A5AE1" w:rsidP="002A5AE1">
      <w:pPr>
        <w:rPr>
          <w:rFonts w:hint="eastAsia"/>
        </w:rPr>
      </w:pPr>
    </w:p>
    <w:p w:rsidR="002A5AE1" w:rsidRPr="00B00C3F" w:rsidRDefault="002A5AE1" w:rsidP="002A5AE1">
      <w:pPr>
        <w:pStyle w:val="ae"/>
        <w:rPr>
          <w:lang w:val="en-US"/>
        </w:rPr>
      </w:pPr>
      <w:r w:rsidRPr="00B00C3F">
        <w:rPr>
          <w:lang w:val="en-US"/>
        </w:rPr>
        <w:t xml:space="preserve">Mei-Yan </w:t>
      </w:r>
      <w:proofErr w:type="spellStart"/>
      <w:r w:rsidRPr="00B00C3F">
        <w:rPr>
          <w:lang w:val="en-US"/>
        </w:rPr>
        <w:t>Xu</w:t>
      </w:r>
      <w:proofErr w:type="spellEnd"/>
      <w:r w:rsidRPr="00B00C3F">
        <w:rPr>
          <w:lang w:val="en-US"/>
        </w:rPr>
        <w:t xml:space="preserve">, </w:t>
      </w:r>
      <w:proofErr w:type="spellStart"/>
      <w:proofErr w:type="gramStart"/>
      <w:r w:rsidRPr="00B00C3F">
        <w:rPr>
          <w:lang w:val="en-US"/>
        </w:rPr>
        <w:t>Lan</w:t>
      </w:r>
      <w:proofErr w:type="spellEnd"/>
      <w:proofErr w:type="gramEnd"/>
      <w:r w:rsidRPr="00B00C3F">
        <w:rPr>
          <w:lang w:val="en-US"/>
        </w:rPr>
        <w:t xml:space="preserve"> Liu, </w:t>
      </w:r>
      <w:proofErr w:type="spellStart"/>
      <w:r w:rsidRPr="00B00C3F">
        <w:rPr>
          <w:lang w:val="en-US"/>
        </w:rPr>
        <w:t>Bao</w:t>
      </w:r>
      <w:proofErr w:type="spellEnd"/>
      <w:r w:rsidRPr="00B00C3F">
        <w:rPr>
          <w:lang w:val="en-US"/>
        </w:rPr>
        <w:t xml:space="preserve">-Shi Yuan, </w:t>
      </w:r>
      <w:proofErr w:type="spellStart"/>
      <w:r w:rsidRPr="00B00C3F">
        <w:rPr>
          <w:lang w:val="en-US"/>
        </w:rPr>
        <w:t>Jian</w:t>
      </w:r>
      <w:proofErr w:type="spellEnd"/>
      <w:r w:rsidRPr="00B00C3F">
        <w:rPr>
          <w:lang w:val="en-US"/>
        </w:rPr>
        <w:t xml:space="preserve"> Yin, Qing-Bin Lu</w:t>
      </w:r>
    </w:p>
    <w:p w:rsidR="002A5AE1" w:rsidRPr="00B00C3F" w:rsidRDefault="002A5AE1" w:rsidP="002A5AE1">
      <w:pPr>
        <w:rPr>
          <w:rFonts w:hint="eastAsia"/>
        </w:rPr>
      </w:pPr>
    </w:p>
    <w:p w:rsidR="002A5AE1" w:rsidRDefault="002A5AE1" w:rsidP="002A5AE1">
      <w:pPr>
        <w:pStyle w:val="af"/>
      </w:pPr>
      <w:r>
        <w:rPr>
          <w:rFonts w:ascii="Tahoma" w:hAnsi="Tahoma" w:cs="Tahoma"/>
        </w:rPr>
        <w:t xml:space="preserve">Mei-Yan </w:t>
      </w:r>
      <w:proofErr w:type="spellStart"/>
      <w:r>
        <w:rPr>
          <w:rFonts w:ascii="Tahoma" w:hAnsi="Tahoma" w:cs="Tahoma"/>
        </w:rPr>
        <w:t>Xu</w:t>
      </w:r>
      <w:proofErr w:type="spellEnd"/>
      <w:r>
        <w:rPr>
          <w:rFonts w:ascii="Tahoma" w:hAnsi="Tahoma" w:cs="Tahoma"/>
        </w:rPr>
        <w:t xml:space="preserve">, </w:t>
      </w:r>
      <w:proofErr w:type="spellStart"/>
      <w:r>
        <w:rPr>
          <w:rFonts w:ascii="Tahoma" w:hAnsi="Tahoma" w:cs="Tahoma"/>
        </w:rPr>
        <w:t>Jian</w:t>
      </w:r>
      <w:proofErr w:type="spellEnd"/>
      <w:r>
        <w:rPr>
          <w:rFonts w:ascii="Tahoma" w:hAnsi="Tahoma" w:cs="Tahoma"/>
        </w:rPr>
        <w:t xml:space="preserve"> Yin,</w:t>
      </w:r>
      <w:r>
        <w:t xml:space="preserve"> Department of Nutrition, Aerospace Center Hospital, Beijing 100049, China</w:t>
      </w:r>
    </w:p>
    <w:p w:rsidR="002A5AE1" w:rsidRDefault="002A5AE1" w:rsidP="002A5AE1">
      <w:pPr>
        <w:pStyle w:val="af"/>
      </w:pPr>
      <w:proofErr w:type="spellStart"/>
      <w:proofErr w:type="gramStart"/>
      <w:r>
        <w:rPr>
          <w:rFonts w:ascii="Tahoma" w:hAnsi="Tahoma" w:cs="Tahoma"/>
        </w:rPr>
        <w:t>Lan</w:t>
      </w:r>
      <w:proofErr w:type="spellEnd"/>
      <w:proofErr w:type="gramEnd"/>
      <w:r>
        <w:rPr>
          <w:rFonts w:ascii="Tahoma" w:hAnsi="Tahoma" w:cs="Tahoma"/>
        </w:rPr>
        <w:t xml:space="preserve"> Liu, </w:t>
      </w:r>
      <w:proofErr w:type="spellStart"/>
      <w:r>
        <w:rPr>
          <w:rFonts w:ascii="Tahoma" w:hAnsi="Tahoma" w:cs="Tahoma"/>
        </w:rPr>
        <w:t>Bao</w:t>
      </w:r>
      <w:proofErr w:type="spellEnd"/>
      <w:r>
        <w:rPr>
          <w:rFonts w:ascii="Tahoma" w:hAnsi="Tahoma" w:cs="Tahoma"/>
        </w:rPr>
        <w:t>-Shi Yuan,</w:t>
      </w:r>
      <w:r>
        <w:t xml:space="preserve"> Department of Health Management, Aerospace Center Hospital, Beijing 100049, China</w:t>
      </w:r>
    </w:p>
    <w:p w:rsidR="002A5AE1" w:rsidRDefault="002A5AE1" w:rsidP="002A5AE1">
      <w:pPr>
        <w:pStyle w:val="af"/>
      </w:pPr>
      <w:r>
        <w:rPr>
          <w:rFonts w:ascii="Tahoma" w:hAnsi="Tahoma" w:cs="Tahoma"/>
        </w:rPr>
        <w:t>Qing-Bin Lu,</w:t>
      </w:r>
      <w:r>
        <w:t xml:space="preserve"> School of Public Health, Peking University, Beijing 100191, China</w:t>
      </w:r>
    </w:p>
    <w:p w:rsidR="002A5AE1" w:rsidRDefault="002A5AE1" w:rsidP="002A5AE1">
      <w:pPr>
        <w:pStyle w:val="af"/>
      </w:pPr>
      <w:r w:rsidRPr="00B00C3F">
        <w:rPr>
          <w:rFonts w:ascii="Tahoma" w:hAnsi="Tahoma" w:cs="Tahoma"/>
          <w:spacing w:val="0"/>
        </w:rPr>
        <w:t>Author contributions:</w:t>
      </w:r>
      <w:r>
        <w:t xml:space="preserve"> </w:t>
      </w:r>
      <w:proofErr w:type="spellStart"/>
      <w:r>
        <w:t>Xu</w:t>
      </w:r>
      <w:proofErr w:type="spellEnd"/>
      <w:r>
        <w:t xml:space="preserve"> MY and Liu L contributed equally to this work; </w:t>
      </w:r>
      <w:proofErr w:type="spellStart"/>
      <w:r>
        <w:t>Xu</w:t>
      </w:r>
      <w:proofErr w:type="spellEnd"/>
      <w:r>
        <w:t xml:space="preserve"> MY, Liu L and Lu QB designed the study, analyzed the data and wrote the paper; Liu L, Yuan BS and Yin J collected the data; Yin J and Yuan BS revised the paper; all authors have read and approved the final version to be published.</w:t>
      </w:r>
    </w:p>
    <w:p w:rsidR="002A5AE1" w:rsidRDefault="002A5AE1" w:rsidP="002A5AE1">
      <w:pPr>
        <w:pStyle w:val="af"/>
      </w:pPr>
      <w:r w:rsidRPr="00B00C3F">
        <w:rPr>
          <w:rFonts w:ascii="Tahoma" w:hAnsi="Tahoma" w:cs="Tahoma"/>
          <w:spacing w:val="0"/>
        </w:rPr>
        <w:t>Supported by</w:t>
      </w:r>
      <w:r>
        <w:t xml:space="preserve"> the State Key Laboratory of Pathogen and Biosecurity (Academy of Military Medical Science), No. </w:t>
      </w:r>
      <w:proofErr w:type="gramStart"/>
      <w:r>
        <w:t>SKLPBS1442; and the Youth Talent Support Program of the School of Public Health, Peking University.</w:t>
      </w:r>
      <w:proofErr w:type="gramEnd"/>
    </w:p>
    <w:p w:rsidR="002A5AE1" w:rsidRDefault="002A5AE1" w:rsidP="002A5AE1">
      <w:pPr>
        <w:pStyle w:val="af"/>
      </w:pPr>
      <w:r w:rsidRPr="00B00C3F">
        <w:rPr>
          <w:rFonts w:ascii="Tahoma" w:hAnsi="Tahoma" w:cs="Tahoma"/>
          <w:spacing w:val="0"/>
        </w:rPr>
        <w:t>Correspondence to:</w:t>
      </w:r>
      <w:r>
        <w:rPr>
          <w:rFonts w:ascii="Tahoma" w:hAnsi="Tahoma" w:cs="Tahoma"/>
        </w:rPr>
        <w:t xml:space="preserve"> Qing-Bin Lu, MD,</w:t>
      </w:r>
      <w:r>
        <w:t xml:space="preserve"> School of Public Health, Peking University, No. 38 </w:t>
      </w:r>
      <w:proofErr w:type="spellStart"/>
      <w:r>
        <w:t>Xue</w:t>
      </w:r>
      <w:proofErr w:type="spellEnd"/>
      <w:r>
        <w:t xml:space="preserve">-Yuan Road, </w:t>
      </w:r>
      <w:proofErr w:type="spellStart"/>
      <w:r>
        <w:t>Haidian</w:t>
      </w:r>
      <w:proofErr w:type="spellEnd"/>
      <w:r>
        <w:t xml:space="preserve"> District, Beijing 100191, China. qingbinlu@bjmu.edu.cn</w:t>
      </w:r>
    </w:p>
    <w:p w:rsidR="002A5AE1" w:rsidRDefault="002A5AE1" w:rsidP="002A5AE1">
      <w:pPr>
        <w:pStyle w:val="af"/>
      </w:pPr>
      <w:r w:rsidRPr="00B00C3F">
        <w:rPr>
          <w:rFonts w:ascii="Tahoma" w:hAnsi="Tahoma" w:cs="Tahoma"/>
          <w:spacing w:val="0"/>
        </w:rPr>
        <w:t>Telephone:</w:t>
      </w:r>
      <w:r>
        <w:rPr>
          <w:b/>
          <w:bCs/>
        </w:rPr>
        <w:t xml:space="preserve"> </w:t>
      </w:r>
      <w:r>
        <w:t>+86-10-82805327</w:t>
      </w:r>
      <w:r>
        <w:rPr>
          <w:rFonts w:hint="eastAsia"/>
        </w:rPr>
        <w:t xml:space="preserve">    </w:t>
      </w:r>
      <w:r w:rsidRPr="00B00C3F">
        <w:rPr>
          <w:rFonts w:ascii="Tahoma" w:hAnsi="Tahoma" w:cs="Tahoma"/>
          <w:spacing w:val="0"/>
        </w:rPr>
        <w:t>Fax:</w:t>
      </w:r>
      <w:r>
        <w:rPr>
          <w:b/>
          <w:bCs/>
        </w:rPr>
        <w:t xml:space="preserve"> </w:t>
      </w:r>
      <w:r>
        <w:t>+86-10-82805327</w:t>
      </w:r>
    </w:p>
    <w:p w:rsidR="002A5AE1" w:rsidRPr="00B00C3F" w:rsidRDefault="002A5AE1" w:rsidP="002A5AE1">
      <w:pPr>
        <w:pStyle w:val="af"/>
        <w:rPr>
          <w:b/>
          <w:bCs/>
        </w:rPr>
      </w:pPr>
      <w:r>
        <w:rPr>
          <w:rFonts w:ascii="Tahoma" w:hAnsi="Tahoma" w:cs="Tahoma"/>
        </w:rPr>
        <w:t>Received:</w:t>
      </w:r>
      <w:r>
        <w:rPr>
          <w:b/>
          <w:bCs/>
        </w:rPr>
        <w:t xml:space="preserve"> </w:t>
      </w:r>
      <w:r>
        <w:t>December 12, 2016</w:t>
      </w:r>
      <w:r>
        <w:rPr>
          <w:rFonts w:hint="eastAsia"/>
          <w:b/>
          <w:bCs/>
        </w:rPr>
        <w:t xml:space="preserve">    </w:t>
      </w:r>
      <w:r>
        <w:rPr>
          <w:rFonts w:ascii="Tahoma" w:hAnsi="Tahoma" w:cs="Tahoma"/>
        </w:rPr>
        <w:t>Revised:</w:t>
      </w:r>
      <w:r>
        <w:t xml:space="preserve"> January 17, 2017</w:t>
      </w:r>
      <w:r>
        <w:rPr>
          <w:rFonts w:hint="eastAsia"/>
          <w:b/>
          <w:bCs/>
        </w:rPr>
        <w:t xml:space="preserve">    </w:t>
      </w:r>
      <w:r>
        <w:rPr>
          <w:rFonts w:ascii="Tahoma" w:hAnsi="Tahoma" w:cs="Tahoma"/>
        </w:rPr>
        <w:t>Accepted:</w:t>
      </w:r>
      <w:r>
        <w:t xml:space="preserve"> March 15, 2017</w:t>
      </w:r>
    </w:p>
    <w:p w:rsidR="002A5AE1" w:rsidRPr="00B00C3F" w:rsidRDefault="002A5AE1" w:rsidP="002A5AE1">
      <w:pPr>
        <w:pStyle w:val="NormalParagraphStyle"/>
        <w:suppressAutoHyphens/>
        <w:rPr>
          <w:rFonts w:ascii="Times New Roman" w:hAnsi="Times New Roman" w:cs="Times New Roman"/>
          <w:sz w:val="18"/>
          <w:szCs w:val="18"/>
          <w:lang w:val="en-US"/>
        </w:rPr>
      </w:pPr>
      <w:r w:rsidRPr="00B00C3F">
        <w:rPr>
          <w:rFonts w:ascii="Tahoma" w:hAnsi="Tahoma" w:cs="Tahoma"/>
          <w:sz w:val="18"/>
          <w:szCs w:val="18"/>
          <w:lang w:val="en-US"/>
        </w:rPr>
        <w:t xml:space="preserve">Published online: </w:t>
      </w:r>
      <w:r w:rsidRPr="00B00C3F">
        <w:rPr>
          <w:rFonts w:ascii="Times New Roman" w:hAnsi="Times New Roman" w:cs="Times New Roman"/>
          <w:sz w:val="18"/>
          <w:szCs w:val="18"/>
          <w:lang w:val="en-US"/>
        </w:rPr>
        <w:t>April 21, 2017</w:t>
      </w:r>
    </w:p>
    <w:p w:rsidR="002A5AE1" w:rsidRPr="00B00C3F" w:rsidRDefault="002A5AE1" w:rsidP="002A5AE1">
      <w:pPr>
        <w:pStyle w:val="NormalParagraphStyle"/>
        <w:rPr>
          <w:rFonts w:ascii="Century Gothic" w:hAnsi="Century Gothic" w:cs="Century Gothic"/>
          <w:b/>
          <w:bCs/>
          <w:spacing w:val="12"/>
          <w:lang w:val="en-US"/>
        </w:rPr>
      </w:pPr>
    </w:p>
    <w:p w:rsidR="002A5AE1" w:rsidRPr="00B00C3F" w:rsidRDefault="002A5AE1" w:rsidP="002A5AE1">
      <w:pPr>
        <w:pStyle w:val="NormalParagraphStyle"/>
        <w:rPr>
          <w:rFonts w:ascii="Book Antiqua" w:hAnsi="Book Antiqua" w:cs="Book Antiqua"/>
          <w:b/>
          <w:bCs/>
          <w:lang w:val="en-US"/>
        </w:rPr>
      </w:pPr>
      <w:r w:rsidRPr="00B00C3F">
        <w:rPr>
          <w:rFonts w:ascii="Century Gothic" w:hAnsi="Century Gothic" w:cs="Century Gothic"/>
          <w:b/>
          <w:bCs/>
          <w:spacing w:val="12"/>
          <w:lang w:val="en-US"/>
        </w:rPr>
        <w:t>Abstract</w:t>
      </w:r>
    </w:p>
    <w:p w:rsidR="002A5AE1" w:rsidRPr="00B00C3F" w:rsidRDefault="002A5AE1" w:rsidP="002A5AE1">
      <w:pPr>
        <w:pStyle w:val="E-1"/>
        <w:rPr>
          <w:rFonts w:ascii="Tahoma Bold Italic" w:hAnsi="Tahoma Bold Italic" w:cs="Tahoma Bold Italic"/>
          <w:b/>
          <w:bCs/>
          <w:iCs/>
        </w:rPr>
      </w:pPr>
      <w:r w:rsidRPr="00B00C3F">
        <w:rPr>
          <w:rFonts w:ascii="Times New Roman" w:hAnsi="Times New Roman" w:cs="Times New Roman"/>
          <w:b/>
          <w:bCs/>
          <w:iCs/>
        </w:rPr>
        <w:t>AIM</w:t>
      </w:r>
    </w:p>
    <w:p w:rsidR="002A5AE1" w:rsidRDefault="002A5AE1" w:rsidP="002A5AE1">
      <w:pPr>
        <w:pStyle w:val="E-1"/>
      </w:pPr>
      <w:r>
        <w:rPr>
          <w:caps/>
        </w:rPr>
        <w:t>t</w:t>
      </w:r>
      <w:r>
        <w:t xml:space="preserve">o explore the association between </w:t>
      </w:r>
      <w:r>
        <w:rPr>
          <w:rFonts w:ascii="Tahoma Italic" w:hAnsi="Tahoma Italic" w:cs="Tahoma Italic"/>
          <w:i/>
          <w:iCs/>
        </w:rPr>
        <w:t>Helicobacter pylori</w:t>
      </w:r>
      <w:r>
        <w:t xml:space="preserve"> (</w:t>
      </w:r>
      <w:r>
        <w:rPr>
          <w:rFonts w:ascii="Tahoma Italic" w:hAnsi="Tahoma Italic" w:cs="Tahoma Italic"/>
          <w:i/>
          <w:iCs/>
        </w:rPr>
        <w:t>H. pylori</w:t>
      </w:r>
      <w:r>
        <w:t>) infection and obesity/weight gain in a Chinese population.</w:t>
      </w:r>
    </w:p>
    <w:p w:rsidR="002A5AE1" w:rsidRPr="00B00C3F" w:rsidRDefault="002A5AE1" w:rsidP="002A5AE1">
      <w:pPr>
        <w:pStyle w:val="E-1"/>
        <w:rPr>
          <w:rFonts w:ascii="Tahoma Bold Italic" w:hAnsi="Tahoma Bold Italic" w:cs="Tahoma Bold Italic"/>
          <w:b/>
          <w:bCs/>
          <w:iCs/>
        </w:rPr>
      </w:pPr>
      <w:r w:rsidRPr="00B00C3F">
        <w:rPr>
          <w:rFonts w:ascii="Times New Roman" w:hAnsi="Times New Roman" w:cs="Times New Roman"/>
          <w:b/>
          <w:bCs/>
          <w:iCs/>
        </w:rPr>
        <w:t>METHODS</w:t>
      </w:r>
    </w:p>
    <w:p w:rsidR="002A5AE1" w:rsidRDefault="002A5AE1" w:rsidP="002A5AE1">
      <w:pPr>
        <w:pStyle w:val="E-1"/>
      </w:pPr>
      <w:r>
        <w:t>Our primary outcome was the change in body mass index (BMI). The generalized linear models were used to explore the association between</w:t>
      </w:r>
      <w:r>
        <w:rPr>
          <w:rFonts w:ascii="Tahoma Italic" w:hAnsi="Tahoma Italic" w:cs="Tahoma Italic"/>
          <w:i/>
          <w:iCs/>
        </w:rPr>
        <w:t xml:space="preserve"> H. pylori </w:t>
      </w:r>
      <w:r>
        <w:t xml:space="preserve">infection and the change of BMI, and the logistic regression </w:t>
      </w:r>
      <w:r>
        <w:rPr>
          <w:spacing w:val="0"/>
        </w:rPr>
        <w:t>models were used to explore the association between</w:t>
      </w:r>
      <w:r>
        <w:t xml:space="preserve"> </w:t>
      </w:r>
      <w:r>
        <w:rPr>
          <w:rFonts w:ascii="Tahoma Italic" w:hAnsi="Tahoma Italic" w:cs="Tahoma Italic"/>
          <w:i/>
          <w:iCs/>
        </w:rPr>
        <w:t xml:space="preserve">H. pylori </w:t>
      </w:r>
      <w:r>
        <w:t>infection and obesity.</w:t>
      </w:r>
    </w:p>
    <w:p w:rsidR="002A5AE1" w:rsidRPr="00B00C3F" w:rsidRDefault="002A5AE1" w:rsidP="002A5AE1">
      <w:pPr>
        <w:pStyle w:val="E-1"/>
        <w:rPr>
          <w:rFonts w:ascii="Tahoma Bold Italic" w:hAnsi="Tahoma Bold Italic" w:cs="Tahoma Bold Italic"/>
          <w:b/>
          <w:bCs/>
          <w:iCs/>
          <w:caps/>
        </w:rPr>
      </w:pPr>
      <w:r w:rsidRPr="00B00C3F">
        <w:rPr>
          <w:rFonts w:ascii="Times New Roman" w:hAnsi="Times New Roman" w:cs="Times New Roman"/>
          <w:b/>
          <w:bCs/>
          <w:iCs/>
        </w:rPr>
        <w:t>RESULTS</w:t>
      </w:r>
    </w:p>
    <w:p w:rsidR="002A5AE1" w:rsidRDefault="002A5AE1" w:rsidP="002A5AE1">
      <w:pPr>
        <w:pStyle w:val="E-1"/>
      </w:pPr>
      <w:r>
        <w:t xml:space="preserve">A total of 3039 subjects were recruited and analyzed, of which 12.8% were obese. The prevalence of </w:t>
      </w:r>
      <w:r>
        <w:rPr>
          <w:rFonts w:ascii="Tahoma Italic" w:hAnsi="Tahoma Italic" w:cs="Tahoma Italic"/>
          <w:i/>
          <w:iCs/>
        </w:rPr>
        <w:t xml:space="preserve">H. pylori </w:t>
      </w:r>
      <w:r>
        <w:t xml:space="preserve">infection was 53.9% (1639/3039) overall and 54.6% (212/388) in the obese subjects. The change of BMI in the </w:t>
      </w:r>
      <w:r>
        <w:rPr>
          <w:rFonts w:ascii="Tahoma Italic" w:hAnsi="Tahoma Italic" w:cs="Tahoma Italic"/>
          <w:i/>
          <w:iCs/>
        </w:rPr>
        <w:t xml:space="preserve">H. pylori </w:t>
      </w:r>
      <w:r>
        <w:t xml:space="preserve">(+) group was not significantly higher than that in the </w:t>
      </w:r>
      <w:r>
        <w:rPr>
          <w:rFonts w:ascii="Tahoma Italic" w:hAnsi="Tahoma Italic" w:cs="Tahoma Italic"/>
          <w:i/>
          <w:iCs/>
        </w:rPr>
        <w:t xml:space="preserve">H. pylori </w:t>
      </w:r>
      <w:r>
        <w:t xml:space="preserve">(-) group after adjustment for potential confounding factors [RR = 0.988, 95%CI: 0.924-1.057, </w:t>
      </w:r>
      <w:r>
        <w:rPr>
          <w:rFonts w:ascii="Tahoma Italic" w:hAnsi="Tahoma Italic" w:cs="Tahoma Italic"/>
          <w:i/>
          <w:iCs/>
        </w:rPr>
        <w:t>P</w:t>
      </w:r>
      <w:r>
        <w:t xml:space="preserve"> = 0.729]. The prevalence of obesity decreased 1.1% in the </w:t>
      </w:r>
      <w:r>
        <w:rPr>
          <w:rFonts w:ascii="Tahoma Italic" w:hAnsi="Tahoma Italic" w:cs="Tahoma Italic"/>
          <w:i/>
          <w:iCs/>
        </w:rPr>
        <w:t xml:space="preserve">H. pylori </w:t>
      </w:r>
      <w:r>
        <w:t xml:space="preserve">(+) group and 0.5% in the </w:t>
      </w:r>
      <w:r>
        <w:rPr>
          <w:rFonts w:ascii="Tahoma Italic" w:hAnsi="Tahoma Italic" w:cs="Tahoma Italic"/>
          <w:i/>
          <w:iCs/>
        </w:rPr>
        <w:t xml:space="preserve">H. pylori </w:t>
      </w:r>
      <w:r>
        <w:t xml:space="preserve">(-) group. The RR of </w:t>
      </w:r>
      <w:r>
        <w:rPr>
          <w:rFonts w:ascii="Tahoma Italic" w:hAnsi="Tahoma Italic" w:cs="Tahoma Italic"/>
          <w:i/>
          <w:iCs/>
        </w:rPr>
        <w:t xml:space="preserve">H. pylori </w:t>
      </w:r>
      <w:r>
        <w:t xml:space="preserve">infection for obesity was 0.831 (95%CI: 0.577-1.197, </w:t>
      </w:r>
      <w:r>
        <w:rPr>
          <w:rFonts w:ascii="Tahoma Italic" w:hAnsi="Tahoma Italic" w:cs="Tahoma Italic"/>
          <w:i/>
          <w:iCs/>
        </w:rPr>
        <w:t>P</w:t>
      </w:r>
      <w:r>
        <w:t xml:space="preserve"> = 0.321) after the adjustment.</w:t>
      </w:r>
    </w:p>
    <w:p w:rsidR="002A5AE1" w:rsidRPr="00B00C3F" w:rsidRDefault="002A5AE1" w:rsidP="002A5AE1">
      <w:pPr>
        <w:pStyle w:val="E-1"/>
        <w:rPr>
          <w:rFonts w:ascii="Tahoma Bold Italic" w:hAnsi="Tahoma Bold Italic" w:cs="Tahoma Bold Italic"/>
          <w:b/>
          <w:bCs/>
          <w:iCs/>
        </w:rPr>
      </w:pPr>
      <w:r w:rsidRPr="00B00C3F">
        <w:rPr>
          <w:rFonts w:ascii="Times New Roman" w:hAnsi="Times New Roman" w:cs="Times New Roman"/>
          <w:b/>
          <w:bCs/>
          <w:iCs/>
        </w:rPr>
        <w:t>CONCLUSION</w:t>
      </w:r>
    </w:p>
    <w:p w:rsidR="002A5AE1" w:rsidRDefault="002A5AE1" w:rsidP="002A5AE1">
      <w:pPr>
        <w:pStyle w:val="E-1"/>
        <w:rPr>
          <w:b/>
          <w:bCs/>
        </w:rPr>
      </w:pPr>
      <w:r>
        <w:rPr>
          <w:rFonts w:ascii="Tahoma Italic" w:hAnsi="Tahoma Italic" w:cs="Tahoma Italic"/>
          <w:i/>
          <w:iCs/>
        </w:rPr>
        <w:t xml:space="preserve">H. pylori </w:t>
      </w:r>
      <w:r>
        <w:t>infection was not associated with overweight/obesity observed from the retrospective study in this Chinese population.</w:t>
      </w:r>
    </w:p>
    <w:p w:rsidR="002A5AE1" w:rsidRDefault="002A5AE1" w:rsidP="002A5AE1">
      <w:pPr>
        <w:pStyle w:val="E-1"/>
        <w:rPr>
          <w:b/>
          <w:bCs/>
        </w:rPr>
      </w:pPr>
    </w:p>
    <w:p w:rsidR="002A5AE1" w:rsidRDefault="002A5AE1" w:rsidP="002A5AE1">
      <w:pPr>
        <w:pStyle w:val="E-1"/>
      </w:pPr>
      <w:r>
        <w:rPr>
          <w:rFonts w:ascii="Times New Roman" w:hAnsi="Times New Roman" w:cs="Times New Roman"/>
          <w:b/>
          <w:bCs/>
        </w:rPr>
        <w:t>Key words:</w:t>
      </w:r>
      <w:r>
        <w:rPr>
          <w:b/>
          <w:bCs/>
        </w:rPr>
        <w:t xml:space="preserve"> </w:t>
      </w:r>
      <w:r>
        <w:t xml:space="preserve">Obesity; </w:t>
      </w:r>
      <w:r>
        <w:rPr>
          <w:rFonts w:ascii="Tahoma Italic" w:hAnsi="Tahoma Italic" w:cs="Tahoma Italic"/>
          <w:i/>
          <w:iCs/>
        </w:rPr>
        <w:t>Helicobacter pylori</w:t>
      </w:r>
      <w:r>
        <w:t xml:space="preserve">; </w:t>
      </w:r>
      <w:r>
        <w:rPr>
          <w:caps/>
        </w:rPr>
        <w:t>r</w:t>
      </w:r>
      <w:r>
        <w:t>etrospective study; China</w:t>
      </w:r>
    </w:p>
    <w:p w:rsidR="002A5AE1" w:rsidRDefault="002A5AE1" w:rsidP="002A5AE1">
      <w:pPr>
        <w:pStyle w:val="a9"/>
      </w:pPr>
    </w:p>
    <w:p w:rsidR="002A5AE1" w:rsidRDefault="002A5AE1" w:rsidP="002A5AE1">
      <w:pPr>
        <w:pStyle w:val="a9"/>
      </w:pPr>
      <w:proofErr w:type="spellStart"/>
      <w:proofErr w:type="gramStart"/>
      <w:r>
        <w:t>Xu</w:t>
      </w:r>
      <w:proofErr w:type="spellEnd"/>
      <w:r>
        <w:t xml:space="preserve"> MY, Liu L, Yuan BS, Yin J, Lu QB.</w:t>
      </w:r>
      <w:proofErr w:type="gramEnd"/>
      <w:r>
        <w:t xml:space="preserve"> Association of obesity with </w:t>
      </w:r>
      <w:r>
        <w:rPr>
          <w:i/>
          <w:iCs/>
        </w:rPr>
        <w:t>Helicobacter pylori</w:t>
      </w:r>
      <w:r>
        <w:t xml:space="preserve"> infection: </w:t>
      </w:r>
      <w:r>
        <w:rPr>
          <w:caps/>
        </w:rPr>
        <w:t>a</w:t>
      </w:r>
      <w:r>
        <w:t xml:space="preserve"> retrospective study.</w:t>
      </w:r>
      <w:r>
        <w:rPr>
          <w:i/>
          <w:iCs/>
        </w:rPr>
        <w:t xml:space="preserve"> World J </w:t>
      </w:r>
      <w:proofErr w:type="spellStart"/>
      <w:r>
        <w:rPr>
          <w:i/>
          <w:iCs/>
        </w:rPr>
        <w:t>Gastroenterol</w:t>
      </w:r>
      <w:proofErr w:type="spellEnd"/>
      <w:r>
        <w:t xml:space="preserve"> 2017; 23(15): 2750-</w:t>
      </w:r>
      <w:proofErr w:type="gramStart"/>
      <w:r>
        <w:t>2756  Available</w:t>
      </w:r>
      <w:proofErr w:type="gramEnd"/>
      <w:r>
        <w:t xml:space="preserve"> from: URL: http://www.wjgnet.com/1007-9327/full/v23/i15/2750.htm  DOI: </w:t>
      </w:r>
      <w:r>
        <w:lastRenderedPageBreak/>
        <w:t>http://dx.doi.org/10.3748/wjg.v23.i15.2750</w:t>
      </w:r>
    </w:p>
    <w:p w:rsidR="002A5AE1" w:rsidRDefault="002A5AE1" w:rsidP="002A5AE1">
      <w:pPr>
        <w:pStyle w:val="af0"/>
        <w:rPr>
          <w:rFonts w:hint="eastAsia"/>
          <w:lang w:val="en-US"/>
        </w:rPr>
      </w:pPr>
    </w:p>
    <w:p w:rsidR="002A5AE1" w:rsidRPr="00E00154" w:rsidRDefault="002A5AE1" w:rsidP="002A5AE1">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2A5AE1" w:rsidRPr="00B00C3F" w:rsidRDefault="002A5AE1" w:rsidP="002A5AE1">
      <w:pPr>
        <w:pStyle w:val="af0"/>
        <w:rPr>
          <w:lang w:val="en-US"/>
        </w:rPr>
      </w:pPr>
      <w:bookmarkStart w:id="0" w:name="_GoBack"/>
      <w:bookmarkEnd w:id="0"/>
    </w:p>
    <w:p w:rsidR="002A5AE1" w:rsidRDefault="002A5AE1" w:rsidP="002A5AE1">
      <w:pPr>
        <w:pStyle w:val="E-1"/>
        <w:rPr>
          <w:b/>
          <w:bCs/>
        </w:rPr>
      </w:pPr>
      <w:r>
        <w:rPr>
          <w:rFonts w:ascii="Times New Roman" w:hAnsi="Times New Roman" w:cs="Times New Roman"/>
          <w:b/>
          <w:bCs/>
          <w:spacing w:val="-3"/>
        </w:rPr>
        <w:t>Core tip:</w:t>
      </w:r>
      <w:r>
        <w:rPr>
          <w:b/>
          <w:bCs/>
        </w:rPr>
        <w:t xml:space="preserve"> </w:t>
      </w:r>
      <w:r>
        <w:t xml:space="preserve">The association between </w:t>
      </w:r>
      <w:r>
        <w:rPr>
          <w:rFonts w:ascii="Tahoma Italic" w:hAnsi="Tahoma Italic" w:cs="Tahoma Italic"/>
          <w:i/>
          <w:iCs/>
        </w:rPr>
        <w:t>Helicobacter pylori</w:t>
      </w:r>
      <w:r>
        <w:t xml:space="preserve"> (</w:t>
      </w:r>
      <w:r>
        <w:rPr>
          <w:rFonts w:ascii="Tahoma Italic" w:hAnsi="Tahoma Italic" w:cs="Tahoma Italic"/>
          <w:i/>
          <w:iCs/>
        </w:rPr>
        <w:t>H. pylori</w:t>
      </w:r>
      <w:r>
        <w:t xml:space="preserve">) infection and obesity/weight gain is still unclear and controversial. We performed this retrospective study with a large sample size to explore the association between </w:t>
      </w:r>
      <w:r>
        <w:rPr>
          <w:rFonts w:ascii="Tahoma Italic" w:hAnsi="Tahoma Italic" w:cs="Tahoma Italic"/>
          <w:i/>
          <w:iCs/>
        </w:rPr>
        <w:t xml:space="preserve">H. pylori </w:t>
      </w:r>
      <w:r>
        <w:t xml:space="preserve">infection and obesity/weight gain in Chinese people. The change in body mass index and the prevalence of obesity over two years in the </w:t>
      </w:r>
      <w:r>
        <w:rPr>
          <w:rFonts w:ascii="Tahoma Italic" w:hAnsi="Tahoma Italic" w:cs="Tahoma Italic"/>
          <w:i/>
          <w:iCs/>
        </w:rPr>
        <w:t xml:space="preserve">H. pylori </w:t>
      </w:r>
      <w:r>
        <w:t xml:space="preserve">(+) group were not significantly higher than those in the </w:t>
      </w:r>
      <w:r>
        <w:rPr>
          <w:rFonts w:ascii="Tahoma Italic" w:hAnsi="Tahoma Italic" w:cs="Tahoma Italic"/>
          <w:i/>
          <w:iCs/>
        </w:rPr>
        <w:t xml:space="preserve">H. pylori </w:t>
      </w:r>
      <w:r>
        <w:t xml:space="preserve">(-) group. We concluded that </w:t>
      </w:r>
      <w:r>
        <w:rPr>
          <w:rFonts w:ascii="Tahoma Italic" w:hAnsi="Tahoma Italic" w:cs="Tahoma Italic"/>
          <w:i/>
          <w:iCs/>
        </w:rPr>
        <w:t xml:space="preserve">H. pylori </w:t>
      </w:r>
      <w:r>
        <w:t>infection was not associated with overweight/obesity observed from this study of Chinese people.</w:t>
      </w:r>
    </w:p>
    <w:p w:rsidR="002A5AE1" w:rsidRPr="00B00C3F" w:rsidRDefault="002A5AE1" w:rsidP="002A5AE1">
      <w:pPr>
        <w:pStyle w:val="af0"/>
        <w:rPr>
          <w:lang w:val="en-US"/>
        </w:rPr>
      </w:pPr>
    </w:p>
    <w:p w:rsidR="002A5AE1" w:rsidRPr="00B00C3F" w:rsidRDefault="002A5AE1" w:rsidP="002A5AE1">
      <w:pPr>
        <w:pStyle w:val="af0"/>
        <w:rPr>
          <w:rFonts w:ascii="Book Antiqua" w:hAnsi="Book Antiqua" w:cs="Book Antiqua"/>
          <w:u w:val="single"/>
          <w:lang w:val="en-US"/>
        </w:rPr>
      </w:pPr>
      <w:r w:rsidRPr="00B00C3F">
        <w:rPr>
          <w:u w:val="single"/>
          <w:lang w:val="en-US"/>
        </w:rPr>
        <w:t>INTRODUCTION</w:t>
      </w:r>
    </w:p>
    <w:p w:rsidR="002A5AE1" w:rsidRDefault="002A5AE1" w:rsidP="002A5AE1">
      <w:pPr>
        <w:pStyle w:val="af1"/>
        <w:rPr>
          <w:spacing w:val="-9"/>
        </w:rPr>
      </w:pPr>
      <w:r>
        <w:rPr>
          <w:spacing w:val="-9"/>
        </w:rPr>
        <w:t xml:space="preserve">Obesity is defined as excessive fat accumulation that may impair health. The World Health Organization estimated that over 600 million people in the world were obese in the year 2014. The worldwide prevalence of obesity more than doubled between 1980 and 2014. Obesity is associated with infectious diseases, such that certain infections may trigger an increase in adiposity, such as human adenovirus 36, H1N1/influenza virus, human immunodeficiency virus, and </w:t>
      </w:r>
      <w:r>
        <w:rPr>
          <w:i/>
          <w:iCs/>
          <w:spacing w:val="-9"/>
        </w:rPr>
        <w:t>Helicobacter pylori</w:t>
      </w:r>
      <w:r>
        <w:rPr>
          <w:spacing w:val="-9"/>
        </w:rPr>
        <w:t xml:space="preserve"> (</w:t>
      </w:r>
      <w:r>
        <w:rPr>
          <w:i/>
          <w:iCs/>
          <w:spacing w:val="-9"/>
        </w:rPr>
        <w:t>H. pylori</w:t>
      </w:r>
      <w:r>
        <w:rPr>
          <w:spacing w:val="-9"/>
        </w:rPr>
        <w:t>)</w:t>
      </w:r>
      <w:r>
        <w:rPr>
          <w:spacing w:val="-9"/>
          <w:vertAlign w:val="superscript"/>
        </w:rPr>
        <w:t>[1]</w:t>
      </w:r>
      <w:r>
        <w:rPr>
          <w:spacing w:val="-9"/>
        </w:rPr>
        <w:t>.</w:t>
      </w:r>
    </w:p>
    <w:p w:rsidR="002A5AE1" w:rsidRDefault="002A5AE1" w:rsidP="002A5AE1">
      <w:pPr>
        <w:pStyle w:val="1"/>
      </w:pPr>
      <w:r>
        <w:rPr>
          <w:i/>
          <w:iCs/>
        </w:rPr>
        <w:t xml:space="preserve">H. pylori </w:t>
      </w:r>
      <w:r>
        <w:t xml:space="preserve">is one of the most common human infections, and it is estimated that more than half of the world’s population are </w:t>
      </w:r>
      <w:proofErr w:type="gramStart"/>
      <w:r>
        <w:t>infected</w:t>
      </w:r>
      <w:r>
        <w:rPr>
          <w:vertAlign w:val="superscript"/>
        </w:rPr>
        <w:t>[</w:t>
      </w:r>
      <w:proofErr w:type="gramEnd"/>
      <w:r>
        <w:rPr>
          <w:vertAlign w:val="superscript"/>
        </w:rPr>
        <w:t>2]</w:t>
      </w:r>
      <w:r>
        <w:t xml:space="preserve">. </w:t>
      </w:r>
      <w:r>
        <w:rPr>
          <w:i/>
          <w:iCs/>
        </w:rPr>
        <w:t xml:space="preserve">H. pylori </w:t>
      </w:r>
      <w:r>
        <w:t xml:space="preserve">has been linked to gastritis, gastric ulcers and gastric </w:t>
      </w:r>
      <w:proofErr w:type="gramStart"/>
      <w:r>
        <w:t>cancer</w:t>
      </w:r>
      <w:r>
        <w:rPr>
          <w:vertAlign w:val="superscript"/>
        </w:rPr>
        <w:t>[</w:t>
      </w:r>
      <w:proofErr w:type="gramEnd"/>
      <w:r>
        <w:rPr>
          <w:vertAlign w:val="superscript"/>
        </w:rPr>
        <w:t>3-5]</w:t>
      </w:r>
      <w:r>
        <w:t xml:space="preserve">. The association between </w:t>
      </w:r>
      <w:r>
        <w:rPr>
          <w:i/>
          <w:iCs/>
        </w:rPr>
        <w:t xml:space="preserve">H. pylori </w:t>
      </w:r>
      <w:r>
        <w:t>and obesity/weight gain remains unclear and controversial.</w:t>
      </w:r>
    </w:p>
    <w:p w:rsidR="002A5AE1" w:rsidRDefault="002A5AE1" w:rsidP="002A5AE1">
      <w:pPr>
        <w:pStyle w:val="1"/>
      </w:pPr>
      <w:r>
        <w:t xml:space="preserve">The prevalence of </w:t>
      </w:r>
      <w:r>
        <w:rPr>
          <w:i/>
          <w:iCs/>
        </w:rPr>
        <w:t xml:space="preserve">H. pylori </w:t>
      </w:r>
      <w:r>
        <w:t>infection was reported to be from 8.7% to 85.5</w:t>
      </w:r>
      <w:proofErr w:type="gramStart"/>
      <w:r>
        <w:t>%</w:t>
      </w:r>
      <w:r>
        <w:rPr>
          <w:vertAlign w:val="superscript"/>
        </w:rPr>
        <w:t>[</w:t>
      </w:r>
      <w:proofErr w:type="gramEnd"/>
      <w:r>
        <w:rPr>
          <w:vertAlign w:val="superscript"/>
        </w:rPr>
        <w:t>6]</w:t>
      </w:r>
      <w:r>
        <w:t xml:space="preserve">. A lower prevalence of </w:t>
      </w:r>
      <w:r>
        <w:rPr>
          <w:i/>
          <w:iCs/>
        </w:rPr>
        <w:t xml:space="preserve">H. pylori </w:t>
      </w:r>
      <w:r>
        <w:t xml:space="preserve">infection was found in obese patients than in the general </w:t>
      </w:r>
      <w:proofErr w:type="gramStart"/>
      <w:r>
        <w:t>population</w:t>
      </w:r>
      <w:r>
        <w:rPr>
          <w:vertAlign w:val="superscript"/>
        </w:rPr>
        <w:t>[</w:t>
      </w:r>
      <w:proofErr w:type="gramEnd"/>
      <w:r>
        <w:rPr>
          <w:vertAlign w:val="superscript"/>
        </w:rPr>
        <w:t>6]</w:t>
      </w:r>
      <w:r>
        <w:t xml:space="preserve">. Other studies have reported a higher </w:t>
      </w:r>
      <w:r>
        <w:rPr>
          <w:i/>
          <w:iCs/>
        </w:rPr>
        <w:t xml:space="preserve">H. pylori </w:t>
      </w:r>
      <w:r>
        <w:t xml:space="preserve">prevalence in obese </w:t>
      </w:r>
      <w:proofErr w:type="gramStart"/>
      <w:r>
        <w:t>patients</w:t>
      </w:r>
      <w:r>
        <w:rPr>
          <w:vertAlign w:val="superscript"/>
        </w:rPr>
        <w:t>[</w:t>
      </w:r>
      <w:proofErr w:type="gramEnd"/>
      <w:r>
        <w:rPr>
          <w:vertAlign w:val="superscript"/>
        </w:rPr>
        <w:t>7,8]</w:t>
      </w:r>
      <w:r>
        <w:t xml:space="preserve">. The systematic review by </w:t>
      </w:r>
      <w:proofErr w:type="spellStart"/>
      <w:r>
        <w:t>Dhurandhar</w:t>
      </w:r>
      <w:proofErr w:type="spellEnd"/>
      <w:r>
        <w:t xml:space="preserve"> </w:t>
      </w:r>
      <w:r>
        <w:rPr>
          <w:i/>
          <w:iCs/>
        </w:rPr>
        <w:t xml:space="preserve">et </w:t>
      </w:r>
      <w:proofErr w:type="gramStart"/>
      <w:r>
        <w:rPr>
          <w:i/>
          <w:iCs/>
        </w:rPr>
        <w:t>al</w:t>
      </w:r>
      <w:r>
        <w:rPr>
          <w:vertAlign w:val="superscript"/>
        </w:rPr>
        <w:t>[</w:t>
      </w:r>
      <w:proofErr w:type="gramEnd"/>
      <w:r>
        <w:rPr>
          <w:vertAlign w:val="superscript"/>
        </w:rPr>
        <w:t>1]</w:t>
      </w:r>
      <w:r>
        <w:t xml:space="preserve"> reported an increase in weight gain or an increase in the biomarkers associated with weight gain after </w:t>
      </w:r>
      <w:r>
        <w:rPr>
          <w:i/>
          <w:iCs/>
        </w:rPr>
        <w:t xml:space="preserve">H. pylori </w:t>
      </w:r>
      <w:r>
        <w:t xml:space="preserve">eradication, and most cross-sectional studies found evidence of a higher prevalence of </w:t>
      </w:r>
      <w:r>
        <w:rPr>
          <w:i/>
          <w:iCs/>
        </w:rPr>
        <w:t xml:space="preserve">H. pylori </w:t>
      </w:r>
      <w:r>
        <w:t>infection in obese individuals or metabolic impairment in the presence of the infection.</w:t>
      </w:r>
    </w:p>
    <w:p w:rsidR="002A5AE1" w:rsidRDefault="002A5AE1" w:rsidP="002A5AE1">
      <w:pPr>
        <w:pStyle w:val="1"/>
      </w:pPr>
      <w:r>
        <w:t>One study indicated an inverse relationship bet</w:t>
      </w:r>
      <w:r>
        <w:softHyphen/>
        <w:t xml:space="preserve">ween morbid obesity and </w:t>
      </w:r>
      <w:r>
        <w:rPr>
          <w:i/>
          <w:iCs/>
        </w:rPr>
        <w:t>H. pylori</w:t>
      </w:r>
      <w:r>
        <w:t xml:space="preserve"> </w:t>
      </w:r>
      <w:proofErr w:type="spellStart"/>
      <w:r>
        <w:t>seropositivity</w:t>
      </w:r>
      <w:proofErr w:type="spellEnd"/>
      <w:r>
        <w:t xml:space="preserve">, leading to the hypothesis that the absence of </w:t>
      </w:r>
      <w:r>
        <w:rPr>
          <w:i/>
          <w:iCs/>
        </w:rPr>
        <w:t>H. pylori</w:t>
      </w:r>
      <w:r>
        <w:t xml:space="preserve"> infection during childhood may enhance the risk of developing morbid </w:t>
      </w:r>
      <w:proofErr w:type="gramStart"/>
      <w:r>
        <w:t>obesity</w:t>
      </w:r>
      <w:r>
        <w:rPr>
          <w:vertAlign w:val="superscript"/>
        </w:rPr>
        <w:t>[</w:t>
      </w:r>
      <w:proofErr w:type="gramEnd"/>
      <w:r>
        <w:rPr>
          <w:vertAlign w:val="superscript"/>
        </w:rPr>
        <w:t>9]</w:t>
      </w:r>
      <w:r>
        <w:t xml:space="preserve">. The significant increase in body mass index (BMI) observed after eradication of </w:t>
      </w:r>
      <w:r>
        <w:rPr>
          <w:i/>
          <w:iCs/>
        </w:rPr>
        <w:t xml:space="preserve">H. pylori </w:t>
      </w:r>
      <w:r>
        <w:t xml:space="preserve">highlights a possible inverse correlation between </w:t>
      </w:r>
      <w:r>
        <w:rPr>
          <w:i/>
          <w:iCs/>
        </w:rPr>
        <w:t xml:space="preserve">H. pylori </w:t>
      </w:r>
      <w:r>
        <w:t xml:space="preserve">infection and </w:t>
      </w:r>
      <w:proofErr w:type="gramStart"/>
      <w:r>
        <w:t>obesity</w:t>
      </w:r>
      <w:r>
        <w:rPr>
          <w:vertAlign w:val="superscript"/>
        </w:rPr>
        <w:t>[</w:t>
      </w:r>
      <w:proofErr w:type="gramEnd"/>
      <w:r>
        <w:rPr>
          <w:vertAlign w:val="superscript"/>
        </w:rPr>
        <w:t>10,11]</w:t>
      </w:r>
      <w:r>
        <w:t xml:space="preserve">. Several studies did not find any influence of bacterial eradication on body </w:t>
      </w:r>
      <w:proofErr w:type="gramStart"/>
      <w:r>
        <w:t>weight</w:t>
      </w:r>
      <w:r>
        <w:rPr>
          <w:vertAlign w:val="superscript"/>
        </w:rPr>
        <w:t>[</w:t>
      </w:r>
      <w:proofErr w:type="gramEnd"/>
      <w:r>
        <w:rPr>
          <w:vertAlign w:val="superscript"/>
        </w:rPr>
        <w:t>12,13]</w:t>
      </w:r>
      <w:r>
        <w:t xml:space="preserve">. In a large randomized controlled study, Lane and colleagues found a significant increase in body mass following eradication of </w:t>
      </w:r>
      <w:r>
        <w:rPr>
          <w:i/>
          <w:iCs/>
        </w:rPr>
        <w:t xml:space="preserve">H. pylori </w:t>
      </w:r>
      <w:r>
        <w:t xml:space="preserve">in a European </w:t>
      </w:r>
      <w:proofErr w:type="gramStart"/>
      <w:r>
        <w:t>population</w:t>
      </w:r>
      <w:r>
        <w:rPr>
          <w:vertAlign w:val="superscript"/>
        </w:rPr>
        <w:t>[</w:t>
      </w:r>
      <w:proofErr w:type="gramEnd"/>
      <w:r>
        <w:rPr>
          <w:vertAlign w:val="superscript"/>
        </w:rPr>
        <w:t>10]</w:t>
      </w:r>
      <w:r>
        <w:t xml:space="preserve">. A meta-analysis of 18 observational studies including 10000 subjects found a higher body mass index among </w:t>
      </w:r>
      <w:r>
        <w:rPr>
          <w:i/>
          <w:iCs/>
        </w:rPr>
        <w:t>H. pylori</w:t>
      </w:r>
      <w:r>
        <w:t xml:space="preserve">-positive subjects compared with </w:t>
      </w:r>
      <w:r>
        <w:rPr>
          <w:i/>
          <w:iCs/>
        </w:rPr>
        <w:t>H. pylori</w:t>
      </w:r>
      <w:r>
        <w:t xml:space="preserve">-negative </w:t>
      </w:r>
      <w:proofErr w:type="gramStart"/>
      <w:r>
        <w:t>subjects</w:t>
      </w:r>
      <w:r>
        <w:rPr>
          <w:vertAlign w:val="superscript"/>
        </w:rPr>
        <w:t>[</w:t>
      </w:r>
      <w:proofErr w:type="gramEnd"/>
      <w:r>
        <w:rPr>
          <w:vertAlign w:val="superscript"/>
        </w:rPr>
        <w:t>14]</w:t>
      </w:r>
      <w:r>
        <w:t xml:space="preserve">. A cross-sectional study showed that </w:t>
      </w:r>
      <w:r>
        <w:rPr>
          <w:i/>
          <w:iCs/>
        </w:rPr>
        <w:t xml:space="preserve">H. pylori </w:t>
      </w:r>
      <w:r>
        <w:t xml:space="preserve">infection was significantly and positively associated with overweight/obesity in a Chinese </w:t>
      </w:r>
      <w:proofErr w:type="gramStart"/>
      <w:r>
        <w:t>population</w:t>
      </w:r>
      <w:r>
        <w:rPr>
          <w:vertAlign w:val="superscript"/>
        </w:rPr>
        <w:t>[</w:t>
      </w:r>
      <w:proofErr w:type="gramEnd"/>
      <w:r>
        <w:rPr>
          <w:vertAlign w:val="superscript"/>
        </w:rPr>
        <w:t>15]</w:t>
      </w:r>
      <w:r>
        <w:t xml:space="preserve">. Reports from different areas and countries were not consistent with each other, and most were cross-sectional studies. It is therefore necessary to further explore the true association between </w:t>
      </w:r>
      <w:r>
        <w:rPr>
          <w:i/>
          <w:iCs/>
        </w:rPr>
        <w:t xml:space="preserve">H. pylori </w:t>
      </w:r>
      <w:r>
        <w:t>infection and obesity.</w:t>
      </w:r>
    </w:p>
    <w:p w:rsidR="002A5AE1" w:rsidRDefault="002A5AE1" w:rsidP="002A5AE1">
      <w:pPr>
        <w:pStyle w:val="1"/>
      </w:pPr>
      <w:r>
        <w:t xml:space="preserve">Therefore, we performed this retrospective study to explore the association between </w:t>
      </w:r>
      <w:r>
        <w:rPr>
          <w:i/>
          <w:iCs/>
        </w:rPr>
        <w:t xml:space="preserve">H. pylori </w:t>
      </w:r>
      <w:r>
        <w:t>infection and obesity/weight gain in a Chinese population.</w:t>
      </w:r>
    </w:p>
    <w:p w:rsidR="002A5AE1" w:rsidRPr="00B00C3F" w:rsidRDefault="002A5AE1" w:rsidP="002A5AE1">
      <w:pPr>
        <w:pStyle w:val="af0"/>
        <w:rPr>
          <w:lang w:val="en-US"/>
        </w:rPr>
      </w:pPr>
    </w:p>
    <w:p w:rsidR="002A5AE1" w:rsidRPr="00B00C3F" w:rsidRDefault="002A5AE1" w:rsidP="002A5AE1">
      <w:pPr>
        <w:pStyle w:val="af0"/>
        <w:rPr>
          <w:w w:val="90"/>
          <w:u w:val="single"/>
          <w:lang w:val="en-US"/>
        </w:rPr>
      </w:pPr>
      <w:r w:rsidRPr="00B00C3F">
        <w:rPr>
          <w:u w:val="single"/>
          <w:lang w:val="en-US"/>
        </w:rPr>
        <w:t>MATERIALS AND METHODS</w:t>
      </w:r>
    </w:p>
    <w:p w:rsidR="002A5AE1" w:rsidRPr="00B00C3F" w:rsidRDefault="002A5AE1" w:rsidP="002A5AE1">
      <w:pPr>
        <w:pStyle w:val="af2"/>
        <w:rPr>
          <w:lang w:val="en-US"/>
        </w:rPr>
      </w:pPr>
      <w:r w:rsidRPr="00B00C3F">
        <w:rPr>
          <w:lang w:val="en-US"/>
        </w:rPr>
        <w:t>Study design and participants</w:t>
      </w:r>
    </w:p>
    <w:p w:rsidR="002A5AE1" w:rsidRDefault="002A5AE1" w:rsidP="002A5AE1">
      <w:pPr>
        <w:pStyle w:val="af1"/>
      </w:pPr>
      <w:r>
        <w:t xml:space="preserve">This observational retrospective study was performed at the Aerospace Center Hospital in Beijing, China. The data of all the subjects from a certain unit who underwent health examination in 2012 were retrieved </w:t>
      </w:r>
      <w:r>
        <w:rPr>
          <w:spacing w:val="-2"/>
        </w:rPr>
        <w:t xml:space="preserve">from the registration system. The subjects without </w:t>
      </w:r>
      <w:r>
        <w:rPr>
          <w:i/>
          <w:iCs/>
        </w:rPr>
        <w:t xml:space="preserve">H. pylori </w:t>
      </w:r>
      <w:r>
        <w:t>detection results or data regarding height/weight were excluded. We then searched the data regarding height and weight of the same patient population in 2013.</w:t>
      </w:r>
    </w:p>
    <w:p w:rsidR="002A5AE1" w:rsidRDefault="002A5AE1" w:rsidP="002A5AE1">
      <w:pPr>
        <w:pStyle w:val="1"/>
      </w:pPr>
      <w:r>
        <w:rPr>
          <w:spacing w:val="-9"/>
        </w:rPr>
        <w:t>We performed a chart review of all recruited subjects to collect the information regarding demographic characteristics, underlying diseases (diabetes, hyper</w:t>
      </w:r>
      <w:r>
        <w:rPr>
          <w:spacing w:val="-9"/>
        </w:rPr>
        <w:softHyphen/>
        <w:t>tension and coronary heart disease), and laboratory test results, including low density lipopr</w:t>
      </w:r>
      <w:r>
        <w:t xml:space="preserve">otein (LDL), high density lipoprotein (HDL), triglycerides (TG), total cholesterol (TC) and fasting blood-glucose (FBG). The height and weight of all the subjects were measured at baseline and at 1-year follow-up. </w:t>
      </w:r>
      <w:r>
        <w:rPr>
          <w:i/>
          <w:iCs/>
        </w:rPr>
        <w:t xml:space="preserve">H. pylori </w:t>
      </w:r>
      <w:r>
        <w:t xml:space="preserve">status was estimated by enzyme linked </w:t>
      </w:r>
      <w:proofErr w:type="spellStart"/>
      <w:r>
        <w:t>immunosorbent</w:t>
      </w:r>
      <w:proofErr w:type="spellEnd"/>
      <w:r>
        <w:t xml:space="preserve"> assay (ELISA) for anti-</w:t>
      </w:r>
      <w:r>
        <w:rPr>
          <w:i/>
          <w:iCs/>
        </w:rPr>
        <w:t xml:space="preserve">H. </w:t>
      </w:r>
      <w:proofErr w:type="gramStart"/>
      <w:r>
        <w:rPr>
          <w:i/>
          <w:iCs/>
        </w:rPr>
        <w:t>pylori</w:t>
      </w:r>
      <w:proofErr w:type="gramEnd"/>
      <w:r>
        <w:rPr>
          <w:i/>
          <w:iCs/>
        </w:rPr>
        <w:t xml:space="preserve"> </w:t>
      </w:r>
      <w:proofErr w:type="spellStart"/>
      <w:r>
        <w:t>IgG</w:t>
      </w:r>
      <w:proofErr w:type="spellEnd"/>
      <w:r>
        <w:t xml:space="preserve"> and </w:t>
      </w:r>
      <w:proofErr w:type="spellStart"/>
      <w:r>
        <w:t>IgM</w:t>
      </w:r>
      <w:proofErr w:type="spellEnd"/>
      <w:r>
        <w:t>. This study was performed with the approval of the Ethical Committees of the hospital. The methods were carried out in accordance with the approved guidelines. At recruitment, written informed consent was obtained from all subjects.</w:t>
      </w:r>
    </w:p>
    <w:p w:rsidR="002A5AE1" w:rsidRPr="00B00C3F" w:rsidRDefault="002A5AE1" w:rsidP="002A5AE1">
      <w:pPr>
        <w:pStyle w:val="af2"/>
        <w:rPr>
          <w:lang w:val="en-US"/>
        </w:rPr>
      </w:pPr>
    </w:p>
    <w:p w:rsidR="002A5AE1" w:rsidRPr="00B00C3F" w:rsidRDefault="002A5AE1" w:rsidP="002A5AE1">
      <w:pPr>
        <w:pStyle w:val="af2"/>
        <w:rPr>
          <w:lang w:val="en-US"/>
        </w:rPr>
      </w:pPr>
      <w:r w:rsidRPr="00B00C3F">
        <w:rPr>
          <w:lang w:val="en-US"/>
        </w:rPr>
        <w:t xml:space="preserve">Outcomes </w:t>
      </w:r>
    </w:p>
    <w:p w:rsidR="002A5AE1" w:rsidRDefault="002A5AE1" w:rsidP="002A5AE1">
      <w:pPr>
        <w:pStyle w:val="af1"/>
      </w:pPr>
      <w:r>
        <w:t>Our primary outcome was the change in BMI. The secondary outcome was the prevalence of obesity.</w:t>
      </w:r>
    </w:p>
    <w:p w:rsidR="002A5AE1" w:rsidRPr="00B00C3F" w:rsidRDefault="002A5AE1" w:rsidP="002A5AE1">
      <w:pPr>
        <w:pStyle w:val="af2"/>
        <w:rPr>
          <w:lang w:val="en-US"/>
        </w:rPr>
      </w:pPr>
    </w:p>
    <w:p w:rsidR="002A5AE1" w:rsidRPr="00B00C3F" w:rsidRDefault="002A5AE1" w:rsidP="002A5AE1">
      <w:pPr>
        <w:pStyle w:val="af2"/>
        <w:rPr>
          <w:lang w:val="en-US"/>
        </w:rPr>
      </w:pPr>
      <w:r w:rsidRPr="00B00C3F">
        <w:rPr>
          <w:lang w:val="en-US"/>
        </w:rPr>
        <w:t>Statistical analysis</w:t>
      </w:r>
    </w:p>
    <w:p w:rsidR="002A5AE1" w:rsidRDefault="002A5AE1" w:rsidP="002A5AE1">
      <w:pPr>
        <w:pStyle w:val="af1"/>
        <w:rPr>
          <w:spacing w:val="-9"/>
        </w:rPr>
      </w:pPr>
      <w:r>
        <w:rPr>
          <w:spacing w:val="-9"/>
        </w:rPr>
        <w:t>BMI was calculated as the weight (kg) divided by the square of the height (m). Obesity was defined as BMI equal to or greater than 28 kg/m</w:t>
      </w:r>
      <w:r>
        <w:rPr>
          <w:spacing w:val="-9"/>
          <w:vertAlign w:val="superscript"/>
        </w:rPr>
        <w:t>2</w:t>
      </w:r>
      <w:r>
        <w:rPr>
          <w:spacing w:val="-9"/>
        </w:rPr>
        <w:t>,</w:t>
      </w:r>
      <w:r>
        <w:rPr>
          <w:spacing w:val="-9"/>
          <w:vertAlign w:val="superscript"/>
        </w:rPr>
        <w:t xml:space="preserve"> </w:t>
      </w:r>
      <w:r>
        <w:rPr>
          <w:spacing w:val="-9"/>
        </w:rPr>
        <w:t>and overweight was defined as BMI equal to or greater than 24 kg/m</w:t>
      </w:r>
      <w:r>
        <w:rPr>
          <w:spacing w:val="-9"/>
          <w:vertAlign w:val="superscript"/>
        </w:rPr>
        <w:t>2</w:t>
      </w:r>
      <w:r>
        <w:rPr>
          <w:spacing w:val="-9"/>
        </w:rPr>
        <w:t xml:space="preserve"> and less than 28 kg/m</w:t>
      </w:r>
      <w:r>
        <w:rPr>
          <w:spacing w:val="-9"/>
          <w:vertAlign w:val="superscript"/>
        </w:rPr>
        <w:t>2</w:t>
      </w:r>
      <w:r>
        <w:rPr>
          <w:spacing w:val="-9"/>
        </w:rPr>
        <w:t xml:space="preserve">, as recommended by the Working Group on Obesity in </w:t>
      </w:r>
      <w:proofErr w:type="gramStart"/>
      <w:r>
        <w:rPr>
          <w:spacing w:val="-9"/>
        </w:rPr>
        <w:t>China</w:t>
      </w:r>
      <w:r>
        <w:rPr>
          <w:spacing w:val="-9"/>
          <w:vertAlign w:val="superscript"/>
        </w:rPr>
        <w:t>[</w:t>
      </w:r>
      <w:proofErr w:type="gramEnd"/>
      <w:r>
        <w:rPr>
          <w:spacing w:val="-9"/>
          <w:vertAlign w:val="superscript"/>
        </w:rPr>
        <w:t>16]</w:t>
      </w:r>
      <w:r>
        <w:rPr>
          <w:spacing w:val="-9"/>
        </w:rPr>
        <w:t xml:space="preserve">. Descriptive statistics were performed, with continuous variables summarized as median and range and categorical variables as frequencies and proportions. The statistical significance between groups was tested using the </w:t>
      </w:r>
      <w:r>
        <w:rPr>
          <w:rFonts w:ascii="Symbol" w:hAnsi="Symbol" w:cs="Symbol"/>
          <w:spacing w:val="-9"/>
        </w:rPr>
        <w:t></w:t>
      </w:r>
      <w:r>
        <w:rPr>
          <w:spacing w:val="-9"/>
          <w:vertAlign w:val="superscript"/>
        </w:rPr>
        <w:t>2</w:t>
      </w:r>
      <w:r>
        <w:rPr>
          <w:spacing w:val="-9"/>
        </w:rPr>
        <w:t xml:space="preserve">-test or Fisher’s exact test for categorical variables and the independent </w:t>
      </w:r>
      <w:r>
        <w:rPr>
          <w:i/>
          <w:iCs/>
          <w:spacing w:val="-9"/>
        </w:rPr>
        <w:t>t</w:t>
      </w:r>
      <w:r>
        <w:rPr>
          <w:spacing w:val="-9"/>
        </w:rPr>
        <w:t xml:space="preserve"> test for continuous variables. Generalized linear models were used to explore the association between</w:t>
      </w:r>
      <w:r>
        <w:rPr>
          <w:i/>
          <w:iCs/>
          <w:spacing w:val="-9"/>
        </w:rPr>
        <w:t xml:space="preserve"> H. pylori </w:t>
      </w:r>
      <w:r>
        <w:rPr>
          <w:spacing w:val="-9"/>
        </w:rPr>
        <w:t xml:space="preserve">infection and the change in BMI. Logistic regression </w:t>
      </w:r>
      <w:r>
        <w:t>models were used to explore the association between</w:t>
      </w:r>
      <w:r>
        <w:rPr>
          <w:spacing w:val="-9"/>
        </w:rPr>
        <w:t xml:space="preserve"> </w:t>
      </w:r>
      <w:r>
        <w:rPr>
          <w:i/>
          <w:iCs/>
          <w:spacing w:val="-9"/>
        </w:rPr>
        <w:t xml:space="preserve">H. pylori </w:t>
      </w:r>
      <w:r>
        <w:rPr>
          <w:spacing w:val="-9"/>
        </w:rPr>
        <w:t xml:space="preserve">infection and obesity. The variables of age, sex, marital status, </w:t>
      </w:r>
      <w:proofErr w:type="gramStart"/>
      <w:r>
        <w:rPr>
          <w:spacing w:val="-9"/>
        </w:rPr>
        <w:t>underlying</w:t>
      </w:r>
      <w:proofErr w:type="gramEnd"/>
      <w:r>
        <w:rPr>
          <w:spacing w:val="-9"/>
        </w:rPr>
        <w:t xml:space="preserve"> disease, LDL, HDL, TGs, TC and FBG were adjusted in the above models. Risk ratios (RRs) and their 95%CIs were estimated. A two-sided </w:t>
      </w:r>
      <w:r>
        <w:rPr>
          <w:i/>
          <w:iCs/>
          <w:spacing w:val="-9"/>
        </w:rPr>
        <w:t xml:space="preserve">P </w:t>
      </w:r>
      <w:r>
        <w:rPr>
          <w:spacing w:val="-9"/>
        </w:rPr>
        <w:t xml:space="preserve">value &lt; 0.05 was considered statistically significant. All analyses were performed using </w:t>
      </w:r>
      <w:proofErr w:type="spellStart"/>
      <w:r>
        <w:rPr>
          <w:spacing w:val="-9"/>
        </w:rPr>
        <w:t>Stata</w:t>
      </w:r>
      <w:proofErr w:type="spellEnd"/>
      <w:r>
        <w:rPr>
          <w:spacing w:val="-9"/>
        </w:rPr>
        <w:t xml:space="preserve"> 12.0 (</w:t>
      </w:r>
      <w:proofErr w:type="spellStart"/>
      <w:r>
        <w:rPr>
          <w:spacing w:val="-9"/>
        </w:rPr>
        <w:t>Stata</w:t>
      </w:r>
      <w:proofErr w:type="spellEnd"/>
      <w:r>
        <w:rPr>
          <w:spacing w:val="-9"/>
        </w:rPr>
        <w:t xml:space="preserve"> Corp LP, College Station, TX, United States).</w:t>
      </w:r>
    </w:p>
    <w:p w:rsidR="002A5AE1" w:rsidRPr="00B00C3F" w:rsidRDefault="002A5AE1" w:rsidP="002A5AE1">
      <w:pPr>
        <w:pStyle w:val="af0"/>
        <w:rPr>
          <w:lang w:val="en-US"/>
        </w:rPr>
      </w:pPr>
    </w:p>
    <w:p w:rsidR="002A5AE1" w:rsidRPr="00B00C3F" w:rsidRDefault="002A5AE1" w:rsidP="002A5AE1">
      <w:pPr>
        <w:pStyle w:val="af0"/>
        <w:rPr>
          <w:u w:val="single"/>
          <w:lang w:val="en-US"/>
        </w:rPr>
      </w:pPr>
      <w:r w:rsidRPr="00B00C3F">
        <w:rPr>
          <w:u w:val="single"/>
          <w:lang w:val="en-US"/>
        </w:rPr>
        <w:t>RESULTS</w:t>
      </w:r>
    </w:p>
    <w:p w:rsidR="002A5AE1" w:rsidRPr="00B00C3F" w:rsidRDefault="002A5AE1" w:rsidP="002A5AE1">
      <w:pPr>
        <w:pStyle w:val="af2"/>
        <w:rPr>
          <w:lang w:val="en-US"/>
        </w:rPr>
      </w:pPr>
      <w:r w:rsidRPr="00B00C3F">
        <w:rPr>
          <w:lang w:val="en-US"/>
        </w:rPr>
        <w:t>Subjects</w:t>
      </w:r>
    </w:p>
    <w:p w:rsidR="002A5AE1" w:rsidRDefault="002A5AE1" w:rsidP="002A5AE1">
      <w:pPr>
        <w:pStyle w:val="af1"/>
      </w:pPr>
      <w:r>
        <w:t xml:space="preserve">A total of 16462 subjects participated in the health examination at the hospital. The diagram of the selection of subjects in the study is shown in Figure 1. Among all the subjects, 13390 were excluded due to the absence of </w:t>
      </w:r>
      <w:r>
        <w:rPr>
          <w:i/>
          <w:iCs/>
        </w:rPr>
        <w:t xml:space="preserve">H. pylori </w:t>
      </w:r>
      <w:r>
        <w:t>detection results or BMI data, and 33 (1.1%) subjects were lost to follow-up. Finally, 3039 subjects were recruited and analyzed.</w:t>
      </w:r>
    </w:p>
    <w:p w:rsidR="002A5AE1" w:rsidRDefault="002A5AE1" w:rsidP="002A5AE1">
      <w:pPr>
        <w:pStyle w:val="1"/>
      </w:pPr>
      <w:r>
        <w:rPr>
          <w:spacing w:val="-9"/>
        </w:rPr>
        <w:t xml:space="preserve">The characteristics of the subjects in this study are shown in Table 1. The mean (SD) age of all the subjects was 49 (19) years, and 248 (8.2%) were female. A total of 770 (22.5%) subjects had underlying diseases, </w:t>
      </w:r>
      <w:r>
        <w:rPr>
          <w:spacing w:val="-9"/>
        </w:rPr>
        <w:lastRenderedPageBreak/>
        <w:t>including 21.1% with hypertension, 6.8% with diabetes and 5.8% with coronary heart disease. The mean (standard deviation) BMI was 24.5 (3.3) kg/m</w:t>
      </w:r>
      <w:r>
        <w:rPr>
          <w:spacing w:val="-9"/>
          <w:vertAlign w:val="superscript"/>
        </w:rPr>
        <w:t>2</w:t>
      </w:r>
      <w:r>
        <w:t>. Most (44.2%) of the subjects had normal weight, 41.0% were overweight and 12.8% were obese.</w:t>
      </w:r>
    </w:p>
    <w:p w:rsidR="002A5AE1" w:rsidRPr="00B00C3F" w:rsidRDefault="002A5AE1" w:rsidP="002A5AE1">
      <w:pPr>
        <w:pStyle w:val="af2"/>
        <w:rPr>
          <w:lang w:val="en-US"/>
        </w:rPr>
      </w:pPr>
    </w:p>
    <w:p w:rsidR="002A5AE1" w:rsidRPr="00B00C3F" w:rsidRDefault="002A5AE1" w:rsidP="002A5AE1">
      <w:pPr>
        <w:pStyle w:val="af2"/>
        <w:rPr>
          <w:lang w:val="en-US"/>
        </w:rPr>
      </w:pPr>
      <w:r w:rsidRPr="00B00C3F">
        <w:rPr>
          <w:lang w:val="en-US"/>
        </w:rPr>
        <w:t>H. pylori distribution</w:t>
      </w:r>
    </w:p>
    <w:p w:rsidR="002A5AE1" w:rsidRDefault="002A5AE1" w:rsidP="002A5AE1">
      <w:pPr>
        <w:pStyle w:val="af1"/>
      </w:pPr>
      <w:r>
        <w:t xml:space="preserve">The overall prevalence of </w:t>
      </w:r>
      <w:r>
        <w:rPr>
          <w:i/>
          <w:iCs/>
        </w:rPr>
        <w:t xml:space="preserve">H. pylori </w:t>
      </w:r>
      <w:r>
        <w:t xml:space="preserve">infection was 53.9% (1639/3039), and the prevalence was 54.6% (212/388) in the obese subjects. Higher rates of </w:t>
      </w:r>
      <w:proofErr w:type="spellStart"/>
      <w:r>
        <w:t>seroprevalence</w:t>
      </w:r>
      <w:proofErr w:type="spellEnd"/>
      <w:r>
        <w:t xml:space="preserve"> were demonstrated in the subjects who were older, married, had underlying diseases, hypertension or higher FBG (all </w:t>
      </w:r>
      <w:r>
        <w:rPr>
          <w:i/>
          <w:iCs/>
        </w:rPr>
        <w:t>P</w:t>
      </w:r>
      <w:r>
        <w:t xml:space="preserve"> &lt; 0.05), as shown in Table 1. No significant associations were found between </w:t>
      </w:r>
      <w:r>
        <w:rPr>
          <w:i/>
          <w:iCs/>
        </w:rPr>
        <w:t xml:space="preserve">H. pylori </w:t>
      </w:r>
      <w:r>
        <w:t>and BMI/obesity at the baseline survey (</w:t>
      </w:r>
      <w:r>
        <w:rPr>
          <w:i/>
          <w:iCs/>
        </w:rPr>
        <w:t>P</w:t>
      </w:r>
      <w:r>
        <w:t xml:space="preserve"> &gt; 0.05).</w:t>
      </w:r>
    </w:p>
    <w:p w:rsidR="002A5AE1" w:rsidRPr="00B00C3F" w:rsidRDefault="002A5AE1" w:rsidP="002A5AE1">
      <w:pPr>
        <w:pStyle w:val="af2"/>
        <w:rPr>
          <w:lang w:val="en-US"/>
        </w:rPr>
      </w:pPr>
    </w:p>
    <w:p w:rsidR="002A5AE1" w:rsidRPr="00B00C3F" w:rsidRDefault="002A5AE1" w:rsidP="002A5AE1">
      <w:pPr>
        <w:pStyle w:val="af2"/>
        <w:rPr>
          <w:lang w:val="en-US"/>
        </w:rPr>
      </w:pPr>
      <w:r w:rsidRPr="00B00C3F">
        <w:rPr>
          <w:lang w:val="en-US"/>
        </w:rPr>
        <w:t>Association between H. pylori and BMI</w:t>
      </w:r>
    </w:p>
    <w:p w:rsidR="002A5AE1" w:rsidRDefault="002A5AE1" w:rsidP="002A5AE1">
      <w:pPr>
        <w:pStyle w:val="af1"/>
        <w:rPr>
          <w:spacing w:val="-9"/>
        </w:rPr>
      </w:pPr>
      <w:r>
        <w:rPr>
          <w:spacing w:val="-9"/>
        </w:rPr>
        <w:t xml:space="preserve">Observed from all the subjects, the BMI decreased from the baseline to the 1-year follow-up in both the </w:t>
      </w:r>
      <w:r>
        <w:rPr>
          <w:i/>
          <w:iCs/>
          <w:spacing w:val="-9"/>
        </w:rPr>
        <w:t xml:space="preserve">H. pylori </w:t>
      </w:r>
      <w:r>
        <w:rPr>
          <w:spacing w:val="-9"/>
        </w:rPr>
        <w:t>(+) group (</w:t>
      </w:r>
      <w:r>
        <w:rPr>
          <w:i/>
          <w:iCs/>
          <w:spacing w:val="-9"/>
        </w:rPr>
        <w:t>r</w:t>
      </w:r>
      <w:r>
        <w:rPr>
          <w:spacing w:val="-9"/>
        </w:rPr>
        <w:t xml:space="preserve"> = -0.169, Figure 2A)</w:t>
      </w:r>
      <w:r>
        <w:rPr>
          <w:i/>
          <w:iCs/>
          <w:spacing w:val="-9"/>
        </w:rPr>
        <w:t xml:space="preserve"> </w:t>
      </w:r>
      <w:r>
        <w:rPr>
          <w:spacing w:val="-9"/>
        </w:rPr>
        <w:t xml:space="preserve">and the </w:t>
      </w:r>
      <w:r>
        <w:rPr>
          <w:i/>
          <w:iCs/>
          <w:spacing w:val="-9"/>
        </w:rPr>
        <w:t xml:space="preserve">H. pylori </w:t>
      </w:r>
      <w:r>
        <w:rPr>
          <w:spacing w:val="-9"/>
        </w:rPr>
        <w:t>(-) group (</w:t>
      </w:r>
      <w:r>
        <w:rPr>
          <w:i/>
          <w:iCs/>
          <w:spacing w:val="-9"/>
        </w:rPr>
        <w:t>r</w:t>
      </w:r>
      <w:r>
        <w:rPr>
          <w:spacing w:val="-9"/>
        </w:rPr>
        <w:t xml:space="preserve"> = -0.189, Figure 2B). However, the change in BMI in the </w:t>
      </w:r>
      <w:r>
        <w:rPr>
          <w:i/>
          <w:iCs/>
          <w:spacing w:val="-9"/>
        </w:rPr>
        <w:t xml:space="preserve">H. pylori </w:t>
      </w:r>
      <w:r>
        <w:rPr>
          <w:spacing w:val="-9"/>
        </w:rPr>
        <w:t xml:space="preserve">(+) group was not significantly higher than that in the </w:t>
      </w:r>
      <w:r>
        <w:rPr>
          <w:i/>
          <w:iCs/>
          <w:spacing w:val="-9"/>
        </w:rPr>
        <w:t xml:space="preserve">H. pylori </w:t>
      </w:r>
      <w:r>
        <w:rPr>
          <w:spacing w:val="-9"/>
        </w:rPr>
        <w:t xml:space="preserve">(-) group after adjusting for age, sex, marriage, underlying disease, LDL, HDL, TGs, TC and FBG (RR = 0.988, 95%CI: 0.924-1.057, </w:t>
      </w:r>
      <w:r>
        <w:rPr>
          <w:i/>
          <w:iCs/>
          <w:spacing w:val="-9"/>
        </w:rPr>
        <w:t>P</w:t>
      </w:r>
      <w:r>
        <w:rPr>
          <w:spacing w:val="-9"/>
        </w:rPr>
        <w:t xml:space="preserve"> = 0.729), as shown in Table 2. BMI significantly decreased in the overweight and obese subjects at the 1-year follow-up, while it was non-significantly increased in the underweight and normal weight subjects (Table 2 </w:t>
      </w:r>
      <w:r>
        <w:rPr>
          <w:spacing w:val="-2"/>
        </w:rPr>
        <w:t xml:space="preserve">and Figure 3). Differences were not found between </w:t>
      </w:r>
      <w:r>
        <w:rPr>
          <w:i/>
          <w:iCs/>
          <w:spacing w:val="-9"/>
        </w:rPr>
        <w:t xml:space="preserve">H. pylori </w:t>
      </w:r>
      <w:r>
        <w:rPr>
          <w:spacing w:val="-9"/>
        </w:rPr>
        <w:t>infection</w:t>
      </w:r>
      <w:r>
        <w:rPr>
          <w:i/>
          <w:iCs/>
          <w:spacing w:val="-9"/>
        </w:rPr>
        <w:t xml:space="preserve"> </w:t>
      </w:r>
      <w:r>
        <w:rPr>
          <w:spacing w:val="-9"/>
        </w:rPr>
        <w:t>and BMI change in different BMI groups (</w:t>
      </w:r>
      <w:r>
        <w:rPr>
          <w:i/>
          <w:iCs/>
          <w:spacing w:val="-9"/>
        </w:rPr>
        <w:t>P</w:t>
      </w:r>
      <w:r>
        <w:rPr>
          <w:spacing w:val="-9"/>
        </w:rPr>
        <w:t xml:space="preserve"> &gt; 0.05 for all).</w:t>
      </w:r>
    </w:p>
    <w:p w:rsidR="002A5AE1" w:rsidRPr="00B00C3F" w:rsidRDefault="002A5AE1" w:rsidP="002A5AE1">
      <w:pPr>
        <w:pStyle w:val="af2"/>
        <w:rPr>
          <w:lang w:val="en-US"/>
        </w:rPr>
      </w:pPr>
    </w:p>
    <w:p w:rsidR="002A5AE1" w:rsidRPr="00B00C3F" w:rsidRDefault="002A5AE1" w:rsidP="002A5AE1">
      <w:pPr>
        <w:pStyle w:val="af2"/>
        <w:rPr>
          <w:lang w:val="en-US"/>
        </w:rPr>
      </w:pPr>
      <w:r w:rsidRPr="00B00C3F">
        <w:rPr>
          <w:lang w:val="en-US"/>
        </w:rPr>
        <w:t>Association between H. pylori and obesity</w:t>
      </w:r>
    </w:p>
    <w:p w:rsidR="002A5AE1" w:rsidRDefault="002A5AE1" w:rsidP="002A5AE1">
      <w:pPr>
        <w:pStyle w:val="af1"/>
      </w:pPr>
      <w:r>
        <w:t xml:space="preserve">The prevalence of obesity decreased 1.1% in the </w:t>
      </w:r>
      <w:r>
        <w:rPr>
          <w:i/>
          <w:iCs/>
        </w:rPr>
        <w:t xml:space="preserve">H. pylori </w:t>
      </w:r>
      <w:r>
        <w:t xml:space="preserve">(+) group and 0.5% in the </w:t>
      </w:r>
      <w:r>
        <w:rPr>
          <w:i/>
          <w:iCs/>
        </w:rPr>
        <w:t xml:space="preserve">H. pylori </w:t>
      </w:r>
      <w:r>
        <w:t xml:space="preserve">(-) group (Table 3). The RR of </w:t>
      </w:r>
      <w:r>
        <w:rPr>
          <w:i/>
          <w:iCs/>
        </w:rPr>
        <w:t xml:space="preserve">H. pylori </w:t>
      </w:r>
      <w:r>
        <w:t xml:space="preserve">infection for obesity was 0.831 (95%CI: 0.577-1.197; </w:t>
      </w:r>
      <w:r>
        <w:rPr>
          <w:i/>
          <w:iCs/>
        </w:rPr>
        <w:t>P</w:t>
      </w:r>
      <w:r>
        <w:t xml:space="preserve"> = 0.321) after the adjustment. In the obese subjects, the decreased prevalence of obesity was 19.9% and 19.1% in the </w:t>
      </w:r>
      <w:r>
        <w:rPr>
          <w:i/>
          <w:iCs/>
        </w:rPr>
        <w:t xml:space="preserve">H. pylori </w:t>
      </w:r>
      <w:r>
        <w:t xml:space="preserve">(+) and the </w:t>
      </w:r>
      <w:r>
        <w:rPr>
          <w:i/>
          <w:iCs/>
        </w:rPr>
        <w:t xml:space="preserve">H. pylori </w:t>
      </w:r>
      <w:r>
        <w:t xml:space="preserve">(-) group, respectively. Compared with the </w:t>
      </w:r>
      <w:r>
        <w:rPr>
          <w:i/>
          <w:iCs/>
        </w:rPr>
        <w:t xml:space="preserve">H. pylori </w:t>
      </w:r>
      <w:r>
        <w:t xml:space="preserve">(-) group, the subjects in the </w:t>
      </w:r>
      <w:r>
        <w:rPr>
          <w:i/>
          <w:iCs/>
        </w:rPr>
        <w:t xml:space="preserve">H. pylori </w:t>
      </w:r>
      <w:r>
        <w:t xml:space="preserve">(+) group lost weight more easily (RR = 0.931; 95%CI: 0.574-1.585; </w:t>
      </w:r>
      <w:r>
        <w:rPr>
          <w:i/>
          <w:iCs/>
        </w:rPr>
        <w:t>P</w:t>
      </w:r>
      <w:r>
        <w:t xml:space="preserve"> = 0.972). In the non-obese subjects, the prevalence of obesity in the </w:t>
      </w:r>
      <w:r>
        <w:rPr>
          <w:i/>
          <w:iCs/>
        </w:rPr>
        <w:t xml:space="preserve">H. pylori </w:t>
      </w:r>
      <w:r>
        <w:t xml:space="preserve">(+) group was lower than that in the </w:t>
      </w:r>
      <w:r>
        <w:rPr>
          <w:i/>
          <w:iCs/>
        </w:rPr>
        <w:t xml:space="preserve">H. pylori </w:t>
      </w:r>
      <w:r>
        <w:t xml:space="preserve">(-) group (RR = 0.673; 95%CI: 0.382-1.186; </w:t>
      </w:r>
      <w:r>
        <w:rPr>
          <w:i/>
          <w:iCs/>
        </w:rPr>
        <w:t>P</w:t>
      </w:r>
      <w:r>
        <w:t xml:space="preserve"> = 0.170).</w:t>
      </w:r>
    </w:p>
    <w:p w:rsidR="002A5AE1" w:rsidRPr="00B00C3F" w:rsidRDefault="002A5AE1" w:rsidP="002A5AE1">
      <w:pPr>
        <w:pStyle w:val="af0"/>
        <w:rPr>
          <w:lang w:val="en-US"/>
        </w:rPr>
      </w:pPr>
    </w:p>
    <w:p w:rsidR="002A5AE1" w:rsidRPr="00B00C3F" w:rsidRDefault="002A5AE1" w:rsidP="002A5AE1">
      <w:pPr>
        <w:pStyle w:val="af0"/>
        <w:rPr>
          <w:u w:val="single"/>
          <w:lang w:val="en-US"/>
        </w:rPr>
      </w:pPr>
      <w:r w:rsidRPr="00B00C3F">
        <w:rPr>
          <w:u w:val="single"/>
          <w:lang w:val="en-US"/>
        </w:rPr>
        <w:t>DISCUSSION</w:t>
      </w:r>
    </w:p>
    <w:p w:rsidR="002A5AE1" w:rsidRDefault="002A5AE1" w:rsidP="002A5AE1">
      <w:pPr>
        <w:pStyle w:val="af1"/>
      </w:pPr>
      <w:r>
        <w:t xml:space="preserve">We evaluated the relationship between </w:t>
      </w:r>
      <w:r>
        <w:rPr>
          <w:i/>
          <w:iCs/>
        </w:rPr>
        <w:t xml:space="preserve">H. pylori </w:t>
      </w:r>
      <w:r>
        <w:t xml:space="preserve">infection and obesity/weight gain in the population using a retrospective study. No significant differences were found during the analysis. Despite the lack of significant differences, we found a trend toward weight loss in conjunction with </w:t>
      </w:r>
      <w:r>
        <w:rPr>
          <w:i/>
          <w:iCs/>
        </w:rPr>
        <w:t xml:space="preserve">H. pylori </w:t>
      </w:r>
      <w:r>
        <w:t>infection.</w:t>
      </w:r>
    </w:p>
    <w:p w:rsidR="002A5AE1" w:rsidRDefault="002A5AE1" w:rsidP="002A5AE1">
      <w:pPr>
        <w:pStyle w:val="1"/>
      </w:pPr>
      <w:r>
        <w:t xml:space="preserve">The prevalence of </w:t>
      </w:r>
      <w:r>
        <w:rPr>
          <w:i/>
          <w:iCs/>
        </w:rPr>
        <w:t xml:space="preserve">H. pylori </w:t>
      </w:r>
      <w:r>
        <w:t xml:space="preserve">in the overall population was 53.9%, which was similar to those in other Asian countries (Japan and Taiwan), lower than those in most European and South American countries and higher than those in North America and </w:t>
      </w:r>
      <w:proofErr w:type="gramStart"/>
      <w:r>
        <w:t>Australia</w:t>
      </w:r>
      <w:r>
        <w:rPr>
          <w:vertAlign w:val="superscript"/>
        </w:rPr>
        <w:t>[</w:t>
      </w:r>
      <w:proofErr w:type="gramEnd"/>
      <w:r>
        <w:rPr>
          <w:vertAlign w:val="superscript"/>
        </w:rPr>
        <w:t>6]</w:t>
      </w:r>
      <w:r>
        <w:t xml:space="preserve">. These discrepancies might be related to both small sample size and variability in diagnostic testing. Different methods were used to diagnose </w:t>
      </w:r>
      <w:r>
        <w:rPr>
          <w:i/>
          <w:iCs/>
        </w:rPr>
        <w:t xml:space="preserve">H. pylori </w:t>
      </w:r>
      <w:r>
        <w:t xml:space="preserve">infection. Serology had a low diagnostic accuracy of only 80%-84%, which is only useful to exclude </w:t>
      </w:r>
      <w:r>
        <w:rPr>
          <w:i/>
          <w:iCs/>
        </w:rPr>
        <w:t>H. pylori</w:t>
      </w:r>
      <w:r>
        <w:t>,</w:t>
      </w:r>
      <w:r>
        <w:rPr>
          <w:i/>
          <w:iCs/>
        </w:rPr>
        <w:t xml:space="preserve"> </w:t>
      </w:r>
      <w:r>
        <w:t>while the urea breath test (UBT) performed better with a sensitivity of 88%-95% and a specificity of 95%-100</w:t>
      </w:r>
      <w:proofErr w:type="gramStart"/>
      <w:r>
        <w:t>%</w:t>
      </w:r>
      <w:r>
        <w:rPr>
          <w:vertAlign w:val="superscript"/>
        </w:rPr>
        <w:t>[</w:t>
      </w:r>
      <w:proofErr w:type="gramEnd"/>
      <w:r>
        <w:rPr>
          <w:vertAlign w:val="superscript"/>
        </w:rPr>
        <w:t>6]</w:t>
      </w:r>
      <w:r>
        <w:t>. Therefore, in order to give a correct diagnosis, positive serology and UBT should be per</w:t>
      </w:r>
      <w:r>
        <w:softHyphen/>
        <w:t>formed together before treatment.</w:t>
      </w:r>
    </w:p>
    <w:p w:rsidR="002A5AE1" w:rsidRDefault="002A5AE1" w:rsidP="002A5AE1">
      <w:pPr>
        <w:pStyle w:val="1"/>
      </w:pPr>
      <w:r>
        <w:lastRenderedPageBreak/>
        <w:t xml:space="preserve">Some studies reported that eradication of </w:t>
      </w:r>
      <w:r>
        <w:rPr>
          <w:i/>
          <w:iCs/>
        </w:rPr>
        <w:t xml:space="preserve">H. pylori </w:t>
      </w:r>
      <w:r>
        <w:t xml:space="preserve">was associated with metabolic disturbances including weight </w:t>
      </w:r>
      <w:proofErr w:type="gramStart"/>
      <w:r>
        <w:t>gain</w:t>
      </w:r>
      <w:r>
        <w:rPr>
          <w:vertAlign w:val="superscript"/>
        </w:rPr>
        <w:t>[</w:t>
      </w:r>
      <w:proofErr w:type="gramEnd"/>
      <w:r>
        <w:rPr>
          <w:vertAlign w:val="superscript"/>
        </w:rPr>
        <w:t>17-19]</w:t>
      </w:r>
      <w:r>
        <w:t xml:space="preserve">. Some studies have given an explanation about the effect of </w:t>
      </w:r>
      <w:r>
        <w:rPr>
          <w:i/>
          <w:iCs/>
        </w:rPr>
        <w:t xml:space="preserve">H. pylori </w:t>
      </w:r>
      <w:r>
        <w:t xml:space="preserve">eradication; one was that </w:t>
      </w:r>
      <w:r>
        <w:rPr>
          <w:i/>
          <w:iCs/>
        </w:rPr>
        <w:t xml:space="preserve">H. pylori </w:t>
      </w:r>
      <w:r>
        <w:t xml:space="preserve">eradication increases the gastric secretion of ghrelin, which leads to increased appetite and weight </w:t>
      </w:r>
      <w:proofErr w:type="gramStart"/>
      <w:r>
        <w:t>gain</w:t>
      </w:r>
      <w:r>
        <w:rPr>
          <w:vertAlign w:val="superscript"/>
        </w:rPr>
        <w:t>[</w:t>
      </w:r>
      <w:proofErr w:type="gramEnd"/>
      <w:r>
        <w:rPr>
          <w:vertAlign w:val="superscript"/>
        </w:rPr>
        <w:t>20,21]</w:t>
      </w:r>
      <w:r>
        <w:t xml:space="preserve">. The precise effect of gastric secretion of ghrelin on circulating ghrelin levels is not straightforward. Another explanation was that the eradication of </w:t>
      </w:r>
      <w:r>
        <w:rPr>
          <w:i/>
          <w:iCs/>
        </w:rPr>
        <w:t xml:space="preserve">H. pylori </w:t>
      </w:r>
      <w:r>
        <w:t xml:space="preserve">decreases gastric </w:t>
      </w:r>
      <w:proofErr w:type="spellStart"/>
      <w:r>
        <w:t>leptin</w:t>
      </w:r>
      <w:proofErr w:type="spellEnd"/>
      <w:r>
        <w:t xml:space="preserve"> expres</w:t>
      </w:r>
      <w:r>
        <w:softHyphen/>
        <w:t xml:space="preserve">sion, and this decrease was accompanied by an increase in </w:t>
      </w:r>
      <w:proofErr w:type="gramStart"/>
      <w:r>
        <w:t>BMI</w:t>
      </w:r>
      <w:r>
        <w:rPr>
          <w:vertAlign w:val="superscript"/>
        </w:rPr>
        <w:t>[</w:t>
      </w:r>
      <w:proofErr w:type="gramEnd"/>
      <w:r>
        <w:rPr>
          <w:vertAlign w:val="superscript"/>
        </w:rPr>
        <w:t>22]</w:t>
      </w:r>
      <w:r>
        <w:t xml:space="preserve">. The effects of </w:t>
      </w:r>
      <w:r>
        <w:rPr>
          <w:i/>
          <w:iCs/>
        </w:rPr>
        <w:t xml:space="preserve">H. pylori </w:t>
      </w:r>
      <w:r>
        <w:rPr>
          <w:spacing w:val="-9"/>
        </w:rPr>
        <w:t xml:space="preserve">on ghrelin and </w:t>
      </w:r>
      <w:proofErr w:type="spellStart"/>
      <w:r>
        <w:rPr>
          <w:spacing w:val="-9"/>
        </w:rPr>
        <w:t>leptin</w:t>
      </w:r>
      <w:proofErr w:type="spellEnd"/>
      <w:r>
        <w:rPr>
          <w:spacing w:val="-9"/>
        </w:rPr>
        <w:t xml:space="preserve"> strongly suggest that the bacterium “protects” against obesity.</w:t>
      </w:r>
      <w:r>
        <w:t xml:space="preserve"> The decreasing incidence of this infection may be contributing to an increase in appetite and food intake. Unfortunately, these mechanisms were not invariably confirmed. Epidemiological studies have failed to show any association between </w:t>
      </w:r>
      <w:r>
        <w:rPr>
          <w:i/>
          <w:iCs/>
        </w:rPr>
        <w:t xml:space="preserve">H. pylori </w:t>
      </w:r>
      <w:r>
        <w:t xml:space="preserve">infection and BMI, although a meta-analysis of 18 observational studies reported a slightly higher BMI in </w:t>
      </w:r>
      <w:r>
        <w:rPr>
          <w:i/>
          <w:iCs/>
        </w:rPr>
        <w:t>H. pylori</w:t>
      </w:r>
      <w:r>
        <w:t xml:space="preserve"> positive </w:t>
      </w:r>
      <w:proofErr w:type="gramStart"/>
      <w:r>
        <w:t>patients</w:t>
      </w:r>
      <w:r>
        <w:rPr>
          <w:vertAlign w:val="superscript"/>
        </w:rPr>
        <w:t>[</w:t>
      </w:r>
      <w:proofErr w:type="gramEnd"/>
      <w:r>
        <w:rPr>
          <w:vertAlign w:val="superscript"/>
        </w:rPr>
        <w:t>14]</w:t>
      </w:r>
      <w:r>
        <w:t xml:space="preserve">. In our study, the </w:t>
      </w:r>
      <w:r>
        <w:rPr>
          <w:i/>
          <w:iCs/>
        </w:rPr>
        <w:t xml:space="preserve">H. pylori </w:t>
      </w:r>
      <w:r>
        <w:t xml:space="preserve">infection appeared to be a protective factor for obesity. The </w:t>
      </w:r>
      <w:r>
        <w:rPr>
          <w:i/>
          <w:iCs/>
        </w:rPr>
        <w:t xml:space="preserve">H. pylori </w:t>
      </w:r>
      <w:r>
        <w:t xml:space="preserve">(+) subjects had decreased BMI more than </w:t>
      </w:r>
      <w:r>
        <w:rPr>
          <w:i/>
          <w:iCs/>
        </w:rPr>
        <w:t xml:space="preserve">H. pylori </w:t>
      </w:r>
      <w:r>
        <w:t xml:space="preserve">(-) subjects, although the differences were not significant, which is opposite to the result of the cross-sectional study by Zhang </w:t>
      </w:r>
      <w:r>
        <w:rPr>
          <w:i/>
          <w:iCs/>
        </w:rPr>
        <w:t xml:space="preserve">et </w:t>
      </w:r>
      <w:proofErr w:type="gramStart"/>
      <w:r>
        <w:rPr>
          <w:i/>
          <w:iCs/>
        </w:rPr>
        <w:t>al</w:t>
      </w:r>
      <w:r>
        <w:rPr>
          <w:vertAlign w:val="superscript"/>
        </w:rPr>
        <w:t>[</w:t>
      </w:r>
      <w:proofErr w:type="gramEnd"/>
      <w:r>
        <w:rPr>
          <w:vertAlign w:val="superscript"/>
        </w:rPr>
        <w:t>15]</w:t>
      </w:r>
      <w:r>
        <w:t xml:space="preserve">. This contrary finding may be attributed to different populations being analyzed and/or the different methods used to make the diagnosis. Another reason may be the increase in intestinal permeability and the role of gut </w:t>
      </w:r>
      <w:proofErr w:type="spellStart"/>
      <w:r>
        <w:t>microbiota</w:t>
      </w:r>
      <w:proofErr w:type="spellEnd"/>
      <w:r>
        <w:t xml:space="preserve"> to induce insulin resistance and liver </w:t>
      </w:r>
      <w:proofErr w:type="spellStart"/>
      <w:proofErr w:type="gramStart"/>
      <w:r>
        <w:t>steatosis</w:t>
      </w:r>
      <w:proofErr w:type="spellEnd"/>
      <w:r>
        <w:rPr>
          <w:vertAlign w:val="superscript"/>
        </w:rPr>
        <w:t>[</w:t>
      </w:r>
      <w:proofErr w:type="gramEnd"/>
      <w:r>
        <w:rPr>
          <w:vertAlign w:val="superscript"/>
        </w:rPr>
        <w:t>23,24]</w:t>
      </w:r>
      <w:r>
        <w:t xml:space="preserve">. Based on that, we think that </w:t>
      </w:r>
      <w:r>
        <w:rPr>
          <w:i/>
          <w:iCs/>
        </w:rPr>
        <w:t>H. pylori</w:t>
      </w:r>
      <w:r>
        <w:t xml:space="preserve"> infection may have a limited effect in losing weight, and the eradication of </w:t>
      </w:r>
      <w:r>
        <w:rPr>
          <w:i/>
          <w:iCs/>
        </w:rPr>
        <w:t xml:space="preserve">H. pylori </w:t>
      </w:r>
      <w:r>
        <w:t>may have a limited effect in gaining weight. The primary cause of weight gain is changes in lifestyle. The intake of fat and carbohydrates increases, while physical activity clearly decreases.</w:t>
      </w:r>
      <w:r>
        <w:rPr>
          <w:i/>
          <w:iCs/>
        </w:rPr>
        <w:t xml:space="preserve"> H. pylori</w:t>
      </w:r>
      <w:r>
        <w:t xml:space="preserve"> infection was associated with decreased gastric expression of </w:t>
      </w:r>
      <w:proofErr w:type="spellStart"/>
      <w:r>
        <w:t>leptin</w:t>
      </w:r>
      <w:proofErr w:type="spellEnd"/>
      <w:r>
        <w:t xml:space="preserve"> and ghrelin and correlated negatively with patient energy intake </w:t>
      </w:r>
      <w:r>
        <w:rPr>
          <w:spacing w:val="-5"/>
        </w:rPr>
        <w:t xml:space="preserve">and body mass </w:t>
      </w:r>
      <w:proofErr w:type="gramStart"/>
      <w:r>
        <w:rPr>
          <w:spacing w:val="-5"/>
        </w:rPr>
        <w:t>index</w:t>
      </w:r>
      <w:r>
        <w:rPr>
          <w:spacing w:val="-5"/>
          <w:vertAlign w:val="superscript"/>
        </w:rPr>
        <w:t>[</w:t>
      </w:r>
      <w:proofErr w:type="gramEnd"/>
      <w:r>
        <w:rPr>
          <w:spacing w:val="-5"/>
          <w:vertAlign w:val="superscript"/>
        </w:rPr>
        <w:t>25]</w:t>
      </w:r>
      <w:r>
        <w:rPr>
          <w:spacing w:val="-5"/>
        </w:rPr>
        <w:t xml:space="preserve">. It can be postulated that </w:t>
      </w:r>
      <w:r>
        <w:rPr>
          <w:i/>
          <w:iCs/>
        </w:rPr>
        <w:t xml:space="preserve">H. pylori </w:t>
      </w:r>
      <w:r>
        <w:t xml:space="preserve">infection due to effects on </w:t>
      </w:r>
      <w:proofErr w:type="spellStart"/>
      <w:r>
        <w:t>leptin</w:t>
      </w:r>
      <w:proofErr w:type="spellEnd"/>
      <w:r>
        <w:t xml:space="preserve"> and ghrelin protects against the intake of a large amount of calories in these patients.</w:t>
      </w:r>
    </w:p>
    <w:p w:rsidR="002A5AE1" w:rsidRDefault="002A5AE1" w:rsidP="002A5AE1">
      <w:pPr>
        <w:pStyle w:val="1"/>
      </w:pPr>
      <w:r>
        <w:t xml:space="preserve">Our study had several important limitations. The primary limitation is that our study had a short-term follow-up (only one year), and we could not achieve a significant outcome from the portion of the subjects who attended follow-up. Another limitation is that we did not consider the effect of the treatment on the </w:t>
      </w:r>
      <w:r>
        <w:rPr>
          <w:i/>
          <w:iCs/>
        </w:rPr>
        <w:t xml:space="preserve">H. pylori </w:t>
      </w:r>
      <w:r>
        <w:t xml:space="preserve">infection during the follow-up time, which may influence the association between </w:t>
      </w:r>
      <w:r>
        <w:rPr>
          <w:i/>
          <w:iCs/>
        </w:rPr>
        <w:t xml:space="preserve">H. pylori </w:t>
      </w:r>
      <w:r>
        <w:t xml:space="preserve">infection and weight gain. We did not analyze the effect of insulin resistance on the association between </w:t>
      </w:r>
      <w:r>
        <w:rPr>
          <w:i/>
          <w:iCs/>
        </w:rPr>
        <w:t xml:space="preserve">H. pylori </w:t>
      </w:r>
      <w:r>
        <w:t xml:space="preserve">and obesity. </w:t>
      </w:r>
      <w:proofErr w:type="gramStart"/>
      <w:r>
        <w:t>Serological testing for the presence of anti-</w:t>
      </w:r>
      <w:r>
        <w:rPr>
          <w:i/>
          <w:iCs/>
        </w:rPr>
        <w:t>H.</w:t>
      </w:r>
      <w:proofErr w:type="gramEnd"/>
      <w:r>
        <w:rPr>
          <w:i/>
          <w:iCs/>
        </w:rPr>
        <w:t xml:space="preserve"> </w:t>
      </w:r>
      <w:proofErr w:type="gramStart"/>
      <w:r>
        <w:rPr>
          <w:i/>
          <w:iCs/>
        </w:rPr>
        <w:t>pylori</w:t>
      </w:r>
      <w:proofErr w:type="gramEnd"/>
      <w:r>
        <w:rPr>
          <w:i/>
          <w:iCs/>
        </w:rPr>
        <w:t xml:space="preserve"> </w:t>
      </w:r>
      <w:proofErr w:type="spellStart"/>
      <w:r>
        <w:t>IgG</w:t>
      </w:r>
      <w:proofErr w:type="spellEnd"/>
      <w:r>
        <w:t xml:space="preserve"> and </w:t>
      </w:r>
      <w:proofErr w:type="spellStart"/>
      <w:r>
        <w:t>IgM</w:t>
      </w:r>
      <w:proofErr w:type="spellEnd"/>
      <w:r>
        <w:t xml:space="preserve"> does not indicate a current infection and only shows exposure to these bacteria, which may have biased the detection of </w:t>
      </w:r>
      <w:r>
        <w:rPr>
          <w:i/>
          <w:iCs/>
        </w:rPr>
        <w:t>H. pylori</w:t>
      </w:r>
      <w:r>
        <w:t xml:space="preserve"> infection. The last limitation is that the ratio of males to females was high due to the characteristics of the unit from which the subjected came. These above limitations may have biased certain outcomes of the results.</w:t>
      </w:r>
    </w:p>
    <w:p w:rsidR="002A5AE1" w:rsidRDefault="002A5AE1" w:rsidP="002A5AE1">
      <w:pPr>
        <w:pStyle w:val="1"/>
      </w:pPr>
      <w:r>
        <w:t xml:space="preserve">In conclusion, </w:t>
      </w:r>
      <w:r>
        <w:rPr>
          <w:i/>
          <w:iCs/>
        </w:rPr>
        <w:t xml:space="preserve">H. pylori </w:t>
      </w:r>
      <w:r>
        <w:t>infection was not associated with overweight/obesity observed in the retrospective study in this Chinese population.</w:t>
      </w:r>
    </w:p>
    <w:p w:rsidR="002A5AE1" w:rsidRPr="00B00C3F" w:rsidRDefault="002A5AE1" w:rsidP="002A5AE1">
      <w:pPr>
        <w:pStyle w:val="af0"/>
        <w:rPr>
          <w:lang w:val="en-US"/>
        </w:rPr>
      </w:pPr>
    </w:p>
    <w:p w:rsidR="002A5AE1" w:rsidRPr="00B00C3F" w:rsidRDefault="002A5AE1" w:rsidP="002A5AE1">
      <w:pPr>
        <w:pStyle w:val="af0"/>
        <w:rPr>
          <w:u w:val="single"/>
          <w:lang w:val="en-US"/>
        </w:rPr>
      </w:pPr>
      <w:r w:rsidRPr="00B00C3F">
        <w:rPr>
          <w:u w:val="single"/>
          <w:lang w:val="en-US"/>
        </w:rPr>
        <w:t>ACKNOWLEDGMENTS</w:t>
      </w:r>
    </w:p>
    <w:p w:rsidR="002A5AE1" w:rsidRDefault="002A5AE1" w:rsidP="002A5AE1">
      <w:pPr>
        <w:pStyle w:val="af1"/>
      </w:pPr>
      <w:r>
        <w:t>We would like to thank Lai-Lai Yan from the School of Public Health, Peking University for his support and assistance in this study.</w:t>
      </w:r>
    </w:p>
    <w:p w:rsidR="002A5AE1" w:rsidRPr="00B00C3F" w:rsidRDefault="002A5AE1" w:rsidP="002A5AE1">
      <w:pPr>
        <w:pStyle w:val="af0"/>
        <w:rPr>
          <w:lang w:val="en-US"/>
        </w:rPr>
      </w:pPr>
    </w:p>
    <w:p w:rsidR="002A5AE1" w:rsidRPr="00B00C3F" w:rsidRDefault="002A5AE1" w:rsidP="002A5AE1">
      <w:pPr>
        <w:pStyle w:val="af0"/>
        <w:rPr>
          <w:rFonts w:ascii="Book Antiqua" w:hAnsi="Book Antiqua" w:cs="Book Antiqua"/>
          <w:i/>
          <w:iCs/>
          <w:u w:val="single"/>
          <w:lang w:val="en-US"/>
        </w:rPr>
      </w:pPr>
      <w:r w:rsidRPr="00B00C3F">
        <w:rPr>
          <w:u w:val="single"/>
          <w:lang w:val="en-US"/>
        </w:rPr>
        <w:t>COMMENTS</w:t>
      </w:r>
    </w:p>
    <w:p w:rsidR="002A5AE1" w:rsidRPr="00B00C3F" w:rsidRDefault="002A5AE1" w:rsidP="002A5AE1">
      <w:pPr>
        <w:pStyle w:val="af2"/>
        <w:rPr>
          <w:lang w:val="en-US"/>
        </w:rPr>
      </w:pPr>
      <w:r w:rsidRPr="00B00C3F">
        <w:rPr>
          <w:lang w:val="en-US"/>
        </w:rPr>
        <w:t>Background</w:t>
      </w:r>
    </w:p>
    <w:p w:rsidR="002A5AE1" w:rsidRDefault="002A5AE1" w:rsidP="002A5AE1">
      <w:pPr>
        <w:pStyle w:val="8BF4"/>
      </w:pPr>
      <w:r>
        <w:lastRenderedPageBreak/>
        <w:t xml:space="preserve">The World Health Organization estimated that over 600 million people were obese in the world in year 2014. Obesity is interlinked with infectious diseases, such that certain infections may trigger an increase in adiposity, such as </w:t>
      </w:r>
      <w:r>
        <w:rPr>
          <w:i/>
          <w:iCs/>
        </w:rPr>
        <w:t>Helicobacter pylori</w:t>
      </w:r>
      <w:r>
        <w:t xml:space="preserve"> (</w:t>
      </w:r>
      <w:r>
        <w:rPr>
          <w:i/>
          <w:iCs/>
        </w:rPr>
        <w:t>H. pylori</w:t>
      </w:r>
      <w:r>
        <w:t xml:space="preserve">). </w:t>
      </w:r>
      <w:r>
        <w:rPr>
          <w:i/>
          <w:iCs/>
        </w:rPr>
        <w:t xml:space="preserve">H. </w:t>
      </w:r>
      <w:proofErr w:type="gramStart"/>
      <w:r>
        <w:rPr>
          <w:i/>
          <w:iCs/>
        </w:rPr>
        <w:t xml:space="preserve">pylori </w:t>
      </w:r>
      <w:r>
        <w:t>has</w:t>
      </w:r>
      <w:proofErr w:type="gramEnd"/>
      <w:r>
        <w:t xml:space="preserve"> been linked with gastritis, gastric ulcers and gastric cancer. The association between </w:t>
      </w:r>
      <w:r>
        <w:rPr>
          <w:i/>
          <w:iCs/>
        </w:rPr>
        <w:t xml:space="preserve">H. pylori </w:t>
      </w:r>
      <w:r>
        <w:t xml:space="preserve">and obesity/weight gain is still unclear and controversial. Reports from different areas and countries are not consistent with each other, and most were cross-sectional studies. It was therefore necessary to further explore the true association between </w:t>
      </w:r>
      <w:r>
        <w:rPr>
          <w:i/>
          <w:iCs/>
        </w:rPr>
        <w:t xml:space="preserve">H. pylori </w:t>
      </w:r>
      <w:r>
        <w:t xml:space="preserve">and obesity. Therefore, we performed this retrospective study to explore the association between </w:t>
      </w:r>
      <w:r>
        <w:rPr>
          <w:i/>
          <w:iCs/>
        </w:rPr>
        <w:t xml:space="preserve">H. pylori </w:t>
      </w:r>
      <w:r>
        <w:t>infection and obesity/weight gain in a population in China.</w:t>
      </w:r>
    </w:p>
    <w:p w:rsidR="002A5AE1" w:rsidRPr="00B00C3F" w:rsidRDefault="002A5AE1" w:rsidP="002A5AE1">
      <w:pPr>
        <w:pStyle w:val="af2"/>
        <w:rPr>
          <w:lang w:val="en-US"/>
        </w:rPr>
      </w:pPr>
      <w:r w:rsidRPr="00B00C3F">
        <w:rPr>
          <w:lang w:val="en-US"/>
        </w:rPr>
        <w:t>Research frontiers</w:t>
      </w:r>
    </w:p>
    <w:p w:rsidR="002A5AE1" w:rsidRDefault="002A5AE1" w:rsidP="002A5AE1">
      <w:pPr>
        <w:pStyle w:val="8BF4"/>
      </w:pPr>
      <w:r>
        <w:t xml:space="preserve">Some studies reported that the eradication of </w:t>
      </w:r>
      <w:r>
        <w:rPr>
          <w:i/>
          <w:iCs/>
        </w:rPr>
        <w:t xml:space="preserve">H. pylori </w:t>
      </w:r>
      <w:r>
        <w:t xml:space="preserve">was associated with metabolic disturbances including weight gain, but the mechanisms were not invariably confirmed. Epidemiological studies have failed to show any association between </w:t>
      </w:r>
      <w:r>
        <w:rPr>
          <w:i/>
          <w:iCs/>
        </w:rPr>
        <w:t>H. pylori</w:t>
      </w:r>
      <w:r>
        <w:t xml:space="preserve"> infection and body mass index.</w:t>
      </w:r>
    </w:p>
    <w:p w:rsidR="002A5AE1" w:rsidRPr="00B00C3F" w:rsidRDefault="002A5AE1" w:rsidP="002A5AE1">
      <w:pPr>
        <w:pStyle w:val="af2"/>
        <w:rPr>
          <w:lang w:val="en-US"/>
        </w:rPr>
      </w:pPr>
      <w:r w:rsidRPr="00B00C3F">
        <w:rPr>
          <w:lang w:val="en-US"/>
        </w:rPr>
        <w:t>Innovations and breakthroughs</w:t>
      </w:r>
    </w:p>
    <w:p w:rsidR="002A5AE1" w:rsidRDefault="002A5AE1" w:rsidP="002A5AE1">
      <w:pPr>
        <w:pStyle w:val="8BF4"/>
      </w:pPr>
      <w:r>
        <w:t xml:space="preserve">No significant differences were found between </w:t>
      </w:r>
      <w:r>
        <w:rPr>
          <w:i/>
          <w:iCs/>
        </w:rPr>
        <w:t xml:space="preserve">H. pylori </w:t>
      </w:r>
      <w:r>
        <w:t xml:space="preserve">infection and obesity/weight gain during the analysis. In spite of this, the authors also found a trend toward weight loss with </w:t>
      </w:r>
      <w:r>
        <w:rPr>
          <w:i/>
          <w:iCs/>
        </w:rPr>
        <w:t xml:space="preserve">H. pylori </w:t>
      </w:r>
      <w:r>
        <w:t>infection.</w:t>
      </w:r>
    </w:p>
    <w:p w:rsidR="002A5AE1" w:rsidRPr="00B00C3F" w:rsidRDefault="002A5AE1" w:rsidP="002A5AE1">
      <w:pPr>
        <w:pStyle w:val="af2"/>
        <w:rPr>
          <w:lang w:val="en-US"/>
        </w:rPr>
      </w:pPr>
      <w:r w:rsidRPr="00B00C3F">
        <w:rPr>
          <w:lang w:val="en-US"/>
        </w:rPr>
        <w:t>Applications</w:t>
      </w:r>
    </w:p>
    <w:p w:rsidR="002A5AE1" w:rsidRDefault="002A5AE1" w:rsidP="002A5AE1">
      <w:pPr>
        <w:pStyle w:val="8BF4"/>
      </w:pPr>
      <w:r>
        <w:t xml:space="preserve">These results provide evidence that </w:t>
      </w:r>
      <w:r>
        <w:rPr>
          <w:i/>
          <w:iCs/>
        </w:rPr>
        <w:t xml:space="preserve">H. pylori </w:t>
      </w:r>
      <w:r>
        <w:t xml:space="preserve">infection may be not associated with obesity or weight gain, which means that </w:t>
      </w:r>
      <w:r>
        <w:rPr>
          <w:i/>
          <w:iCs/>
        </w:rPr>
        <w:t>H. pylori</w:t>
      </w:r>
      <w:r>
        <w:t xml:space="preserve"> infection may have a limited effect in weight loss; that is, eradication of </w:t>
      </w:r>
      <w:r>
        <w:rPr>
          <w:i/>
          <w:iCs/>
        </w:rPr>
        <w:t xml:space="preserve">H. pylori </w:t>
      </w:r>
      <w:r>
        <w:t>may have a limited effect in gaining weight.</w:t>
      </w:r>
    </w:p>
    <w:p w:rsidR="002A5AE1" w:rsidRPr="00B00C3F" w:rsidRDefault="002A5AE1" w:rsidP="002A5AE1">
      <w:pPr>
        <w:pStyle w:val="af2"/>
        <w:rPr>
          <w:lang w:val="en-US"/>
        </w:rPr>
      </w:pPr>
      <w:r w:rsidRPr="00B00C3F">
        <w:rPr>
          <w:lang w:val="en-US"/>
        </w:rPr>
        <w:t>Terminology</w:t>
      </w:r>
    </w:p>
    <w:p w:rsidR="002A5AE1" w:rsidRDefault="002A5AE1" w:rsidP="002A5AE1">
      <w:pPr>
        <w:pStyle w:val="8BF4"/>
      </w:pPr>
      <w:r>
        <w:t>BMI, body mass index, is used to quantify the amount of tissue mass (muscle, fat, and bone) in an individual and then categorize that person as underweight, normal weight, overweight, or obese based on that value.</w:t>
      </w:r>
    </w:p>
    <w:p w:rsidR="002A5AE1" w:rsidRPr="00B00C3F" w:rsidRDefault="002A5AE1" w:rsidP="002A5AE1">
      <w:pPr>
        <w:pStyle w:val="af2"/>
        <w:rPr>
          <w:lang w:val="en-US"/>
        </w:rPr>
      </w:pPr>
      <w:r w:rsidRPr="00B00C3F">
        <w:rPr>
          <w:lang w:val="en-US"/>
        </w:rPr>
        <w:t>Peer-review</w:t>
      </w:r>
    </w:p>
    <w:p w:rsidR="002A5AE1" w:rsidRDefault="002A5AE1" w:rsidP="002A5AE1">
      <w:pPr>
        <w:pStyle w:val="8BF4"/>
        <w:rPr>
          <w:b/>
          <w:bCs/>
        </w:rPr>
      </w:pPr>
      <w:r>
        <w:t xml:space="preserve">This is a well-designed, performed and written retrospective clinical study for the evaluation of the association between </w:t>
      </w:r>
      <w:r>
        <w:rPr>
          <w:i/>
          <w:iCs/>
        </w:rPr>
        <w:t>H. pylori</w:t>
      </w:r>
      <w:r>
        <w:t xml:space="preserve"> infection and obesity in a population in China. </w:t>
      </w:r>
    </w:p>
    <w:p w:rsidR="002A5AE1" w:rsidRPr="00B00C3F" w:rsidRDefault="002A5AE1" w:rsidP="002A5AE1">
      <w:pPr>
        <w:pStyle w:val="af0"/>
        <w:rPr>
          <w:lang w:val="en-US"/>
        </w:rPr>
      </w:pPr>
    </w:p>
    <w:p w:rsidR="002A5AE1" w:rsidRPr="00B00C3F" w:rsidRDefault="002A5AE1" w:rsidP="002A5AE1">
      <w:pPr>
        <w:pStyle w:val="af0"/>
        <w:rPr>
          <w:rFonts w:ascii="Book Antiqua" w:hAnsi="Book Antiqua" w:cs="Book Antiqua"/>
          <w:lang w:val="en-US"/>
        </w:rPr>
      </w:pPr>
      <w:r w:rsidRPr="00B00C3F">
        <w:rPr>
          <w:lang w:val="en-US"/>
        </w:rPr>
        <w:t>REFERENCES</w:t>
      </w:r>
    </w:p>
    <w:p w:rsidR="002A5AE1" w:rsidRDefault="002A5AE1" w:rsidP="002A5AE1">
      <w:pPr>
        <w:pStyle w:val="-1"/>
      </w:pPr>
      <w:r>
        <w:t>1</w:t>
      </w:r>
      <w:r>
        <w:tab/>
      </w:r>
      <w:proofErr w:type="spellStart"/>
      <w:r>
        <w:rPr>
          <w:b/>
          <w:bCs/>
        </w:rPr>
        <w:t>Dhurandhar</w:t>
      </w:r>
      <w:proofErr w:type="spellEnd"/>
      <w:r>
        <w:rPr>
          <w:b/>
          <w:bCs/>
        </w:rPr>
        <w:t xml:space="preserve"> NV</w:t>
      </w:r>
      <w:r>
        <w:t xml:space="preserve">, Bailey D, Thomas D. Interaction of obesity and infections. </w:t>
      </w:r>
      <w:proofErr w:type="spellStart"/>
      <w:r>
        <w:rPr>
          <w:i/>
          <w:iCs/>
        </w:rPr>
        <w:t>Obes</w:t>
      </w:r>
      <w:proofErr w:type="spellEnd"/>
      <w:r>
        <w:rPr>
          <w:i/>
          <w:iCs/>
        </w:rPr>
        <w:t xml:space="preserve"> Rev</w:t>
      </w:r>
      <w:r>
        <w:t xml:space="preserve"> 2015; </w:t>
      </w:r>
      <w:r>
        <w:rPr>
          <w:b/>
          <w:bCs/>
        </w:rPr>
        <w:t>16</w:t>
      </w:r>
      <w:r>
        <w:t>: 1017-1029 [PMID: 26354800 DOI: 10.1111/obr.12320]</w:t>
      </w:r>
    </w:p>
    <w:p w:rsidR="002A5AE1" w:rsidRDefault="002A5AE1" w:rsidP="002A5AE1">
      <w:pPr>
        <w:pStyle w:val="-1"/>
      </w:pPr>
      <w:r>
        <w:t>2</w:t>
      </w:r>
      <w:r>
        <w:tab/>
      </w:r>
      <w:proofErr w:type="spellStart"/>
      <w:r>
        <w:rPr>
          <w:b/>
          <w:bCs/>
        </w:rPr>
        <w:t>Malfertheiner</w:t>
      </w:r>
      <w:proofErr w:type="spellEnd"/>
      <w:r>
        <w:rPr>
          <w:b/>
          <w:bCs/>
        </w:rPr>
        <w:t xml:space="preserve"> P</w:t>
      </w:r>
      <w:r>
        <w:t xml:space="preserve">, </w:t>
      </w:r>
      <w:proofErr w:type="spellStart"/>
      <w:r>
        <w:t>Megraud</w:t>
      </w:r>
      <w:proofErr w:type="spellEnd"/>
      <w:r>
        <w:t xml:space="preserve"> F, </w:t>
      </w:r>
      <w:proofErr w:type="spellStart"/>
      <w:r>
        <w:t>O’Morain</w:t>
      </w:r>
      <w:proofErr w:type="spellEnd"/>
      <w:r>
        <w:t xml:space="preserve"> CA, Atherton J, Axon AT, </w:t>
      </w:r>
      <w:proofErr w:type="spellStart"/>
      <w:r>
        <w:t>Bazzoli</w:t>
      </w:r>
      <w:proofErr w:type="spellEnd"/>
      <w:r>
        <w:t xml:space="preserve"> F, </w:t>
      </w:r>
      <w:proofErr w:type="spellStart"/>
      <w:r>
        <w:t>Gensini</w:t>
      </w:r>
      <w:proofErr w:type="spellEnd"/>
      <w:r>
        <w:t xml:space="preserve"> GF, </w:t>
      </w:r>
      <w:proofErr w:type="spellStart"/>
      <w:r>
        <w:t>Gisbert</w:t>
      </w:r>
      <w:proofErr w:type="spellEnd"/>
      <w:r>
        <w:t xml:space="preserve"> JP, Graham DY, </w:t>
      </w:r>
      <w:proofErr w:type="spellStart"/>
      <w:r>
        <w:t>Rokkas</w:t>
      </w:r>
      <w:proofErr w:type="spellEnd"/>
      <w:r>
        <w:t xml:space="preserve"> T, El-Omar EM, </w:t>
      </w:r>
      <w:proofErr w:type="spellStart"/>
      <w:r>
        <w:t>Kuipers</w:t>
      </w:r>
      <w:proofErr w:type="spellEnd"/>
      <w:r>
        <w:t xml:space="preserve"> EJ; European Helicobacter Study Group. </w:t>
      </w:r>
      <w:proofErr w:type="gramStart"/>
      <w:r>
        <w:t>Management of Helicobacter pylori infection--the Maastricht IV/ Florence Consensus Report.</w:t>
      </w:r>
      <w:proofErr w:type="gramEnd"/>
      <w:r>
        <w:t xml:space="preserve"> </w:t>
      </w:r>
      <w:r>
        <w:rPr>
          <w:i/>
          <w:iCs/>
        </w:rPr>
        <w:t>Gut</w:t>
      </w:r>
      <w:r>
        <w:t xml:space="preserve"> 2012; </w:t>
      </w:r>
      <w:r>
        <w:rPr>
          <w:b/>
          <w:bCs/>
        </w:rPr>
        <w:t>61</w:t>
      </w:r>
      <w:r>
        <w:t>: 646-664 [PMID: 22491499 DOI: 10.1136/gutjnl-2012-302084]</w:t>
      </w:r>
    </w:p>
    <w:p w:rsidR="002A5AE1" w:rsidRDefault="002A5AE1" w:rsidP="002A5AE1">
      <w:pPr>
        <w:pStyle w:val="-1"/>
      </w:pPr>
      <w:r>
        <w:t>3</w:t>
      </w:r>
      <w:r>
        <w:tab/>
      </w:r>
      <w:proofErr w:type="spellStart"/>
      <w:r>
        <w:rPr>
          <w:b/>
          <w:bCs/>
        </w:rPr>
        <w:t>Wotherspoon</w:t>
      </w:r>
      <w:proofErr w:type="spellEnd"/>
      <w:r>
        <w:rPr>
          <w:b/>
          <w:bCs/>
        </w:rPr>
        <w:t xml:space="preserve"> AC</w:t>
      </w:r>
      <w:r>
        <w:t xml:space="preserve">, Ortiz-Hidalgo C, </w:t>
      </w:r>
      <w:proofErr w:type="spellStart"/>
      <w:r>
        <w:t>Falzon</w:t>
      </w:r>
      <w:proofErr w:type="spellEnd"/>
      <w:r>
        <w:t xml:space="preserve"> MR, Isaacson PG. Helicobacter pylori-associated gastritis and primary B-cell gastric lymphoma. </w:t>
      </w:r>
      <w:r>
        <w:rPr>
          <w:i/>
          <w:iCs/>
        </w:rPr>
        <w:t>Lancet</w:t>
      </w:r>
      <w:r>
        <w:t xml:space="preserve"> 1991; </w:t>
      </w:r>
      <w:r>
        <w:rPr>
          <w:b/>
          <w:bCs/>
        </w:rPr>
        <w:t>338</w:t>
      </w:r>
      <w:r>
        <w:t>: 1175-1176 [PMID: 1682595]</w:t>
      </w:r>
    </w:p>
    <w:p w:rsidR="002A5AE1" w:rsidRDefault="002A5AE1" w:rsidP="002A5AE1">
      <w:pPr>
        <w:pStyle w:val="-1"/>
      </w:pPr>
      <w:r>
        <w:t>4</w:t>
      </w:r>
      <w:r>
        <w:tab/>
      </w:r>
      <w:proofErr w:type="spellStart"/>
      <w:r>
        <w:rPr>
          <w:b/>
          <w:bCs/>
        </w:rPr>
        <w:t>Khatoon</w:t>
      </w:r>
      <w:proofErr w:type="spellEnd"/>
      <w:r>
        <w:rPr>
          <w:b/>
          <w:bCs/>
        </w:rPr>
        <w:t xml:space="preserve"> J</w:t>
      </w:r>
      <w:r>
        <w:t xml:space="preserve">, </w:t>
      </w:r>
      <w:proofErr w:type="spellStart"/>
      <w:r>
        <w:t>Rai</w:t>
      </w:r>
      <w:proofErr w:type="spellEnd"/>
      <w:r>
        <w:t xml:space="preserve"> RP, Prasad KN. Role of Helicobacter pylori in gastric cancer: Updates. </w:t>
      </w:r>
      <w:r>
        <w:rPr>
          <w:i/>
          <w:iCs/>
        </w:rPr>
        <w:t xml:space="preserve">World J </w:t>
      </w:r>
      <w:proofErr w:type="spellStart"/>
      <w:r>
        <w:rPr>
          <w:i/>
          <w:iCs/>
        </w:rPr>
        <w:t>Gastrointest</w:t>
      </w:r>
      <w:proofErr w:type="spellEnd"/>
      <w:r>
        <w:rPr>
          <w:i/>
          <w:iCs/>
        </w:rPr>
        <w:t xml:space="preserve"> </w:t>
      </w:r>
      <w:proofErr w:type="spellStart"/>
      <w:r>
        <w:rPr>
          <w:i/>
          <w:iCs/>
        </w:rPr>
        <w:t>Oncol</w:t>
      </w:r>
      <w:proofErr w:type="spellEnd"/>
      <w:r>
        <w:t xml:space="preserve"> 2016; </w:t>
      </w:r>
      <w:r>
        <w:rPr>
          <w:b/>
          <w:bCs/>
        </w:rPr>
        <w:t>8</w:t>
      </w:r>
      <w:r>
        <w:t>: 147-158 [PMID: 26909129 DOI: 10.4251/wjgo.v8.i2.147]</w:t>
      </w:r>
    </w:p>
    <w:p w:rsidR="002A5AE1" w:rsidRDefault="002A5AE1" w:rsidP="002A5AE1">
      <w:pPr>
        <w:pStyle w:val="-1"/>
      </w:pPr>
      <w:r>
        <w:t>5</w:t>
      </w:r>
      <w:r>
        <w:tab/>
      </w:r>
      <w:r>
        <w:rPr>
          <w:b/>
          <w:bCs/>
        </w:rPr>
        <w:t>Chang SS</w:t>
      </w:r>
      <w:r>
        <w:t xml:space="preserve">, Hu HY. Helicobacter pylori: Effect of coexisting diseases and update on treatment regimens. </w:t>
      </w:r>
      <w:r>
        <w:rPr>
          <w:i/>
          <w:iCs/>
        </w:rPr>
        <w:t xml:space="preserve">World J </w:t>
      </w:r>
      <w:proofErr w:type="spellStart"/>
      <w:r>
        <w:rPr>
          <w:i/>
          <w:iCs/>
        </w:rPr>
        <w:t>Gastrointest</w:t>
      </w:r>
      <w:proofErr w:type="spellEnd"/>
      <w:r>
        <w:rPr>
          <w:i/>
          <w:iCs/>
        </w:rPr>
        <w:t xml:space="preserve"> </w:t>
      </w:r>
      <w:proofErr w:type="spellStart"/>
      <w:r>
        <w:rPr>
          <w:i/>
          <w:iCs/>
        </w:rPr>
        <w:t>Pharmacol</w:t>
      </w:r>
      <w:proofErr w:type="spellEnd"/>
      <w:r>
        <w:rPr>
          <w:i/>
          <w:iCs/>
        </w:rPr>
        <w:t xml:space="preserve"> </w:t>
      </w:r>
      <w:proofErr w:type="spellStart"/>
      <w:r>
        <w:rPr>
          <w:i/>
          <w:iCs/>
        </w:rPr>
        <w:t>Ther</w:t>
      </w:r>
      <w:proofErr w:type="spellEnd"/>
      <w:r>
        <w:t xml:space="preserve"> 2015; </w:t>
      </w:r>
      <w:r>
        <w:rPr>
          <w:b/>
          <w:bCs/>
        </w:rPr>
        <w:t>6</w:t>
      </w:r>
      <w:r>
        <w:t>: 127-136 [PMID: 26558147 DOI: 10.4292/wjgpt.v6.i4.127]</w:t>
      </w:r>
    </w:p>
    <w:p w:rsidR="002A5AE1" w:rsidRDefault="002A5AE1" w:rsidP="002A5AE1">
      <w:pPr>
        <w:pStyle w:val="-1"/>
      </w:pPr>
      <w:r>
        <w:t>6</w:t>
      </w:r>
      <w:r>
        <w:tab/>
      </w:r>
      <w:proofErr w:type="spellStart"/>
      <w:r>
        <w:rPr>
          <w:b/>
          <w:bCs/>
        </w:rPr>
        <w:t>Carabotti</w:t>
      </w:r>
      <w:proofErr w:type="spellEnd"/>
      <w:r>
        <w:rPr>
          <w:b/>
          <w:bCs/>
        </w:rPr>
        <w:t xml:space="preserve"> M</w:t>
      </w:r>
      <w:r>
        <w:t xml:space="preserve">, </w:t>
      </w:r>
      <w:proofErr w:type="spellStart"/>
      <w:r>
        <w:t>D’Ercole</w:t>
      </w:r>
      <w:proofErr w:type="spellEnd"/>
      <w:r>
        <w:t xml:space="preserve"> C, </w:t>
      </w:r>
      <w:proofErr w:type="spellStart"/>
      <w:r>
        <w:t>Iossa</w:t>
      </w:r>
      <w:proofErr w:type="spellEnd"/>
      <w:r>
        <w:t xml:space="preserve"> A, </w:t>
      </w:r>
      <w:proofErr w:type="spellStart"/>
      <w:r>
        <w:t>Corazziari</w:t>
      </w:r>
      <w:proofErr w:type="spellEnd"/>
      <w:r>
        <w:t xml:space="preserve"> E, </w:t>
      </w:r>
      <w:proofErr w:type="spellStart"/>
      <w:r>
        <w:t>Silecchia</w:t>
      </w:r>
      <w:proofErr w:type="spellEnd"/>
      <w:r>
        <w:t xml:space="preserve"> G, </w:t>
      </w:r>
      <w:proofErr w:type="spellStart"/>
      <w:r>
        <w:t>Severi</w:t>
      </w:r>
      <w:proofErr w:type="spellEnd"/>
      <w:r>
        <w:t xml:space="preserve"> C. Helicobacter pylori infection in obesity and its clinical outcome after bariatric surgery. </w:t>
      </w:r>
      <w:r>
        <w:rPr>
          <w:i/>
          <w:iCs/>
        </w:rPr>
        <w:t xml:space="preserve">World J </w:t>
      </w:r>
      <w:proofErr w:type="spellStart"/>
      <w:r>
        <w:rPr>
          <w:i/>
          <w:iCs/>
        </w:rPr>
        <w:t>Gastroenterol</w:t>
      </w:r>
      <w:proofErr w:type="spellEnd"/>
      <w:r>
        <w:t xml:space="preserve"> 2014; </w:t>
      </w:r>
      <w:r>
        <w:rPr>
          <w:b/>
          <w:bCs/>
        </w:rPr>
        <w:t>20</w:t>
      </w:r>
      <w:r>
        <w:t>: 647-653 [PMID: 24574738 DOI: 10.3748/wjg.v20.i3.647]</w:t>
      </w:r>
    </w:p>
    <w:p w:rsidR="002A5AE1" w:rsidRDefault="002A5AE1" w:rsidP="002A5AE1">
      <w:pPr>
        <w:pStyle w:val="-1"/>
      </w:pPr>
      <w:r>
        <w:t>7</w:t>
      </w:r>
      <w:r>
        <w:tab/>
      </w:r>
      <w:proofErr w:type="spellStart"/>
      <w:r>
        <w:rPr>
          <w:b/>
          <w:bCs/>
        </w:rPr>
        <w:t>Arslan</w:t>
      </w:r>
      <w:proofErr w:type="spellEnd"/>
      <w:r>
        <w:rPr>
          <w:b/>
          <w:bCs/>
        </w:rPr>
        <w:t xml:space="preserve"> E</w:t>
      </w:r>
      <w:r>
        <w:t xml:space="preserve">, </w:t>
      </w:r>
      <w:proofErr w:type="spellStart"/>
      <w:r>
        <w:t>Atilgan</w:t>
      </w:r>
      <w:proofErr w:type="spellEnd"/>
      <w:r>
        <w:t xml:space="preserve"> H, </w:t>
      </w:r>
      <w:proofErr w:type="spellStart"/>
      <w:r>
        <w:t>Yavaşoğlu</w:t>
      </w:r>
      <w:proofErr w:type="spellEnd"/>
      <w:r>
        <w:t xml:space="preserve"> I. </w:t>
      </w:r>
      <w:proofErr w:type="gramStart"/>
      <w:r>
        <w:t>The prevalence of Helicobacter pylori in obese subjects.</w:t>
      </w:r>
      <w:proofErr w:type="gramEnd"/>
      <w:r>
        <w:t xml:space="preserve"> </w:t>
      </w:r>
      <w:proofErr w:type="spellStart"/>
      <w:r>
        <w:rPr>
          <w:i/>
          <w:iCs/>
        </w:rPr>
        <w:t>Eur</w:t>
      </w:r>
      <w:proofErr w:type="spellEnd"/>
      <w:r>
        <w:rPr>
          <w:i/>
          <w:iCs/>
        </w:rPr>
        <w:t xml:space="preserve"> J Intern Med</w:t>
      </w:r>
      <w:r>
        <w:t xml:space="preserve"> 2009; </w:t>
      </w:r>
      <w:r>
        <w:rPr>
          <w:b/>
          <w:bCs/>
        </w:rPr>
        <w:t>20</w:t>
      </w:r>
      <w:r>
        <w:t>: 695-697 [PMID: 19818289 DOI: 10.1016/j.ejim.2009.07.013]</w:t>
      </w:r>
    </w:p>
    <w:p w:rsidR="002A5AE1" w:rsidRDefault="002A5AE1" w:rsidP="002A5AE1">
      <w:pPr>
        <w:pStyle w:val="-1"/>
      </w:pPr>
      <w:r>
        <w:t>8</w:t>
      </w:r>
      <w:r>
        <w:tab/>
      </w:r>
      <w:proofErr w:type="spellStart"/>
      <w:r>
        <w:rPr>
          <w:b/>
          <w:bCs/>
        </w:rPr>
        <w:t>Dutta</w:t>
      </w:r>
      <w:proofErr w:type="spellEnd"/>
      <w:r>
        <w:rPr>
          <w:b/>
          <w:bCs/>
        </w:rPr>
        <w:t xml:space="preserve"> SK</w:t>
      </w:r>
      <w:r>
        <w:t xml:space="preserve">, </w:t>
      </w:r>
      <w:proofErr w:type="spellStart"/>
      <w:r>
        <w:t>Arora</w:t>
      </w:r>
      <w:proofErr w:type="spellEnd"/>
      <w:r>
        <w:t xml:space="preserve"> M, </w:t>
      </w:r>
      <w:proofErr w:type="spellStart"/>
      <w:r>
        <w:t>Kireet</w:t>
      </w:r>
      <w:proofErr w:type="spellEnd"/>
      <w:r>
        <w:t xml:space="preserve"> A, </w:t>
      </w:r>
      <w:proofErr w:type="spellStart"/>
      <w:r>
        <w:t>Bashandy</w:t>
      </w:r>
      <w:proofErr w:type="spellEnd"/>
      <w:r>
        <w:t xml:space="preserve"> H, </w:t>
      </w:r>
      <w:proofErr w:type="spellStart"/>
      <w:r>
        <w:t>Gandsas</w:t>
      </w:r>
      <w:proofErr w:type="spellEnd"/>
      <w:r>
        <w:t xml:space="preserve"> A. Upper gastrointestinal symptoms and associated disorders in morbidly obese patients: a prospective study. </w:t>
      </w:r>
      <w:r>
        <w:rPr>
          <w:i/>
          <w:iCs/>
        </w:rPr>
        <w:t xml:space="preserve">Dig Dis </w:t>
      </w:r>
      <w:proofErr w:type="spellStart"/>
      <w:r>
        <w:rPr>
          <w:i/>
          <w:iCs/>
        </w:rPr>
        <w:t>Sci</w:t>
      </w:r>
      <w:proofErr w:type="spellEnd"/>
      <w:r>
        <w:t xml:space="preserve"> 2009; </w:t>
      </w:r>
      <w:r>
        <w:rPr>
          <w:b/>
          <w:bCs/>
        </w:rPr>
        <w:t>54</w:t>
      </w:r>
      <w:r>
        <w:t>: 1243-1246 [PMID: 18975090 DOI: 10.1007/s10620-008-0485-6]</w:t>
      </w:r>
    </w:p>
    <w:p w:rsidR="002A5AE1" w:rsidRDefault="002A5AE1" w:rsidP="002A5AE1">
      <w:pPr>
        <w:pStyle w:val="-1"/>
      </w:pPr>
      <w:r>
        <w:t>9</w:t>
      </w:r>
      <w:r>
        <w:tab/>
      </w:r>
      <w:r>
        <w:rPr>
          <w:b/>
          <w:bCs/>
        </w:rPr>
        <w:t>Wu MS</w:t>
      </w:r>
      <w:r>
        <w:t xml:space="preserve">, Lee WJ, Wang HH, Huang SP, Lin JT. </w:t>
      </w:r>
      <w:proofErr w:type="gramStart"/>
      <w:r>
        <w:t>A case-control study of association of Helicobacter pylori infection with morbid obesity in Taiwan.</w:t>
      </w:r>
      <w:proofErr w:type="gramEnd"/>
      <w:r>
        <w:t xml:space="preserve"> </w:t>
      </w:r>
      <w:r>
        <w:rPr>
          <w:i/>
          <w:iCs/>
        </w:rPr>
        <w:t>Arch Intern Med</w:t>
      </w:r>
      <w:r>
        <w:t xml:space="preserve"> 2005; </w:t>
      </w:r>
      <w:r>
        <w:rPr>
          <w:b/>
          <w:bCs/>
        </w:rPr>
        <w:t>165</w:t>
      </w:r>
      <w:r>
        <w:t>: 1552-1555 [PMID: 16009873 DOI: 10.1001/archinte.165.13.1552]</w:t>
      </w:r>
    </w:p>
    <w:p w:rsidR="002A5AE1" w:rsidRDefault="002A5AE1" w:rsidP="002A5AE1">
      <w:pPr>
        <w:pStyle w:val="-1"/>
        <w:rPr>
          <w:spacing w:val="-3"/>
        </w:rPr>
      </w:pPr>
      <w:r>
        <w:rPr>
          <w:spacing w:val="-3"/>
        </w:rPr>
        <w:t>10</w:t>
      </w:r>
      <w:r>
        <w:rPr>
          <w:spacing w:val="-3"/>
        </w:rPr>
        <w:tab/>
      </w:r>
      <w:r>
        <w:rPr>
          <w:b/>
          <w:bCs/>
          <w:spacing w:val="-3"/>
        </w:rPr>
        <w:t>Lane JA</w:t>
      </w:r>
      <w:r>
        <w:rPr>
          <w:spacing w:val="-3"/>
        </w:rPr>
        <w:t xml:space="preserve">, Murray LJ, Harvey IM, Donovan JL, </w:t>
      </w:r>
      <w:proofErr w:type="gramStart"/>
      <w:r>
        <w:rPr>
          <w:spacing w:val="-3"/>
        </w:rPr>
        <w:t>Nair</w:t>
      </w:r>
      <w:proofErr w:type="gramEnd"/>
      <w:r>
        <w:rPr>
          <w:spacing w:val="-3"/>
        </w:rPr>
        <w:t xml:space="preserve"> P, Harvey RF. </w:t>
      </w:r>
      <w:proofErr w:type="spellStart"/>
      <w:r>
        <w:rPr>
          <w:spacing w:val="-3"/>
        </w:rPr>
        <w:t>Randomised</w:t>
      </w:r>
      <w:proofErr w:type="spellEnd"/>
      <w:r>
        <w:rPr>
          <w:spacing w:val="-3"/>
        </w:rPr>
        <w:t xml:space="preserve"> clinical trial: Helicobacter pylori eradication is associated with a significantly increased body mass index in a placebo-controlled study. </w:t>
      </w:r>
      <w:r>
        <w:rPr>
          <w:i/>
          <w:iCs/>
          <w:spacing w:val="-3"/>
        </w:rPr>
        <w:t xml:space="preserve">Aliment </w:t>
      </w:r>
      <w:proofErr w:type="spellStart"/>
      <w:r>
        <w:rPr>
          <w:i/>
          <w:iCs/>
          <w:spacing w:val="-3"/>
        </w:rPr>
        <w:t>Pharmacol</w:t>
      </w:r>
      <w:proofErr w:type="spellEnd"/>
      <w:r>
        <w:rPr>
          <w:i/>
          <w:iCs/>
          <w:spacing w:val="-3"/>
        </w:rPr>
        <w:t xml:space="preserve"> </w:t>
      </w:r>
      <w:proofErr w:type="spellStart"/>
      <w:r>
        <w:rPr>
          <w:i/>
          <w:iCs/>
          <w:spacing w:val="-3"/>
        </w:rPr>
        <w:t>Ther</w:t>
      </w:r>
      <w:proofErr w:type="spellEnd"/>
      <w:r>
        <w:rPr>
          <w:spacing w:val="-3"/>
        </w:rPr>
        <w:t xml:space="preserve"> 2011; </w:t>
      </w:r>
      <w:r>
        <w:rPr>
          <w:b/>
          <w:bCs/>
          <w:spacing w:val="-3"/>
        </w:rPr>
        <w:t>33</w:t>
      </w:r>
      <w:r>
        <w:rPr>
          <w:spacing w:val="-3"/>
        </w:rPr>
        <w:t>: 922-929 [PMID: 21366634 DOI: 10.1111/j.1365-2036.2011.04610.x]</w:t>
      </w:r>
    </w:p>
    <w:p w:rsidR="002A5AE1" w:rsidRDefault="002A5AE1" w:rsidP="002A5AE1">
      <w:pPr>
        <w:pStyle w:val="-1"/>
      </w:pPr>
      <w:r>
        <w:t>11</w:t>
      </w:r>
      <w:r>
        <w:tab/>
      </w:r>
      <w:r>
        <w:rPr>
          <w:b/>
          <w:bCs/>
        </w:rPr>
        <w:t>Yang YJ</w:t>
      </w:r>
      <w:r>
        <w:t xml:space="preserve">, </w:t>
      </w:r>
      <w:proofErr w:type="spellStart"/>
      <w:r>
        <w:t>Sheu</w:t>
      </w:r>
      <w:proofErr w:type="spellEnd"/>
      <w:r>
        <w:t xml:space="preserve"> BS, Yang HB, Lu CC, Chuang CC. Eradication of Helicobacter pylori increases childhood growth and serum </w:t>
      </w:r>
      <w:proofErr w:type="spellStart"/>
      <w:r>
        <w:t>acylated</w:t>
      </w:r>
      <w:proofErr w:type="spellEnd"/>
      <w:r>
        <w:t xml:space="preserve"> ghrelin levels. </w:t>
      </w:r>
      <w:r>
        <w:rPr>
          <w:i/>
          <w:iCs/>
        </w:rPr>
        <w:t xml:space="preserve">World J </w:t>
      </w:r>
      <w:proofErr w:type="spellStart"/>
      <w:r>
        <w:rPr>
          <w:i/>
          <w:iCs/>
        </w:rPr>
        <w:t>Gastroenterol</w:t>
      </w:r>
      <w:proofErr w:type="spellEnd"/>
      <w:r>
        <w:t xml:space="preserve"> 2012; </w:t>
      </w:r>
      <w:r>
        <w:rPr>
          <w:b/>
          <w:bCs/>
        </w:rPr>
        <w:t>18</w:t>
      </w:r>
      <w:r>
        <w:t>: 2674-2681 [PMID: 22690077 DOI: 10.3748/wjg.v18.i21.2674]</w:t>
      </w:r>
    </w:p>
    <w:p w:rsidR="002A5AE1" w:rsidRDefault="002A5AE1" w:rsidP="002A5AE1">
      <w:pPr>
        <w:pStyle w:val="-1"/>
      </w:pPr>
      <w:proofErr w:type="gramStart"/>
      <w:r>
        <w:lastRenderedPageBreak/>
        <w:t>12</w:t>
      </w:r>
      <w:r>
        <w:tab/>
      </w:r>
      <w:r>
        <w:rPr>
          <w:b/>
          <w:bCs/>
        </w:rPr>
        <w:t>Jang EJ</w:t>
      </w:r>
      <w:r>
        <w:t xml:space="preserve">, Park SW, Park JS, Park SJ, </w:t>
      </w:r>
      <w:proofErr w:type="spellStart"/>
      <w:r>
        <w:t>Hahm</w:t>
      </w:r>
      <w:proofErr w:type="spellEnd"/>
      <w:r>
        <w:t xml:space="preserve"> KB, Paik SY, Sin MK, Lee ES, Oh SW, Park CY, </w:t>
      </w:r>
      <w:proofErr w:type="spellStart"/>
      <w:r>
        <w:t>Baik</w:t>
      </w:r>
      <w:proofErr w:type="spellEnd"/>
      <w:r>
        <w:t xml:space="preserve"> HW.</w:t>
      </w:r>
      <w:proofErr w:type="gramEnd"/>
      <w:r>
        <w:t xml:space="preserve"> </w:t>
      </w:r>
      <w:proofErr w:type="gramStart"/>
      <w:r>
        <w:t>The influence of the eradication of Helicobacter pylori on gastric ghrelin, appetite, and body mass index in patients with peptic ulcer disease.</w:t>
      </w:r>
      <w:proofErr w:type="gramEnd"/>
      <w:r>
        <w:t xml:space="preserve"> </w:t>
      </w:r>
      <w:r>
        <w:rPr>
          <w:i/>
          <w:iCs/>
        </w:rPr>
        <w:t xml:space="preserve">J </w:t>
      </w:r>
      <w:proofErr w:type="spellStart"/>
      <w:r>
        <w:rPr>
          <w:i/>
          <w:iCs/>
        </w:rPr>
        <w:t>Gastroenterol</w:t>
      </w:r>
      <w:proofErr w:type="spellEnd"/>
      <w:r>
        <w:rPr>
          <w:i/>
          <w:iCs/>
        </w:rPr>
        <w:t xml:space="preserve"> </w:t>
      </w:r>
      <w:proofErr w:type="spellStart"/>
      <w:r>
        <w:rPr>
          <w:i/>
          <w:iCs/>
        </w:rPr>
        <w:t>Hepatol</w:t>
      </w:r>
      <w:proofErr w:type="spellEnd"/>
      <w:r>
        <w:t xml:space="preserve"> 2008; </w:t>
      </w:r>
      <w:r>
        <w:rPr>
          <w:b/>
          <w:bCs/>
        </w:rPr>
        <w:t xml:space="preserve">23 </w:t>
      </w:r>
      <w:proofErr w:type="spellStart"/>
      <w:r>
        <w:t>Suppl</w:t>
      </w:r>
      <w:proofErr w:type="spellEnd"/>
      <w:r>
        <w:t xml:space="preserve"> 2: S278-S285 [PMID: 19120912 DOI: 10.1111/j.1440-1746.2008.05415.x]</w:t>
      </w:r>
    </w:p>
    <w:p w:rsidR="002A5AE1" w:rsidRDefault="002A5AE1" w:rsidP="002A5AE1">
      <w:pPr>
        <w:pStyle w:val="-1"/>
      </w:pPr>
      <w:r>
        <w:t>13</w:t>
      </w:r>
      <w:r>
        <w:tab/>
      </w:r>
      <w:r>
        <w:rPr>
          <w:b/>
          <w:bCs/>
        </w:rPr>
        <w:t>Kawano S</w:t>
      </w:r>
      <w:r>
        <w:t xml:space="preserve">, Kawahara A, </w:t>
      </w:r>
      <w:proofErr w:type="spellStart"/>
      <w:r>
        <w:t>Nakai</w:t>
      </w:r>
      <w:proofErr w:type="spellEnd"/>
      <w:r>
        <w:t xml:space="preserve"> R, Fu HY, Tsuji S, </w:t>
      </w:r>
      <w:proofErr w:type="spellStart"/>
      <w:r>
        <w:t>Tsujii</w:t>
      </w:r>
      <w:proofErr w:type="spellEnd"/>
      <w:r>
        <w:t xml:space="preserve"> M. Helicobacter pylori infection does not affect serum </w:t>
      </w:r>
      <w:proofErr w:type="spellStart"/>
      <w:r>
        <w:t>leptin</w:t>
      </w:r>
      <w:proofErr w:type="spellEnd"/>
      <w:r>
        <w:t xml:space="preserve"> concentration and body mass index (BMI) in asymptomatic subjects. </w:t>
      </w:r>
      <w:r>
        <w:rPr>
          <w:i/>
          <w:iCs/>
        </w:rPr>
        <w:t xml:space="preserve">J </w:t>
      </w:r>
      <w:proofErr w:type="spellStart"/>
      <w:r>
        <w:rPr>
          <w:i/>
          <w:iCs/>
        </w:rPr>
        <w:t>Gastroenterol</w:t>
      </w:r>
      <w:proofErr w:type="spellEnd"/>
      <w:r>
        <w:t xml:space="preserve"> 2001; </w:t>
      </w:r>
      <w:r>
        <w:rPr>
          <w:b/>
          <w:bCs/>
        </w:rPr>
        <w:t>36</w:t>
      </w:r>
      <w:r>
        <w:t>: 579-580 [PMID: 11519840]</w:t>
      </w:r>
    </w:p>
    <w:p w:rsidR="002A5AE1" w:rsidRDefault="002A5AE1" w:rsidP="002A5AE1">
      <w:pPr>
        <w:pStyle w:val="-1"/>
      </w:pPr>
      <w:r>
        <w:t>14</w:t>
      </w:r>
      <w:r>
        <w:tab/>
      </w:r>
      <w:proofErr w:type="spellStart"/>
      <w:r>
        <w:rPr>
          <w:b/>
          <w:bCs/>
        </w:rPr>
        <w:t>Danesh</w:t>
      </w:r>
      <w:proofErr w:type="spellEnd"/>
      <w:r>
        <w:rPr>
          <w:b/>
          <w:bCs/>
        </w:rPr>
        <w:t xml:space="preserve"> J</w:t>
      </w:r>
      <w:r>
        <w:t xml:space="preserve">, </w:t>
      </w:r>
      <w:proofErr w:type="spellStart"/>
      <w:r>
        <w:t>Peto</w:t>
      </w:r>
      <w:proofErr w:type="spellEnd"/>
      <w:r>
        <w:t xml:space="preserve"> R. Risk factors for coronary heart disease and infection with Helicobacter pylori: meta-analysis of 18 studies. </w:t>
      </w:r>
      <w:r>
        <w:rPr>
          <w:i/>
          <w:iCs/>
        </w:rPr>
        <w:t>BMJ</w:t>
      </w:r>
      <w:r>
        <w:t xml:space="preserve"> 1998; </w:t>
      </w:r>
      <w:r>
        <w:rPr>
          <w:b/>
          <w:bCs/>
        </w:rPr>
        <w:t>316</w:t>
      </w:r>
      <w:r>
        <w:t>: 1130-1132 [PMID: 9552950]</w:t>
      </w:r>
    </w:p>
    <w:p w:rsidR="002A5AE1" w:rsidRDefault="002A5AE1" w:rsidP="002A5AE1">
      <w:pPr>
        <w:pStyle w:val="-1"/>
      </w:pPr>
      <w:r>
        <w:t>15</w:t>
      </w:r>
      <w:r>
        <w:tab/>
      </w:r>
      <w:r>
        <w:rPr>
          <w:b/>
          <w:bCs/>
        </w:rPr>
        <w:t>Zhang Y</w:t>
      </w:r>
      <w:r>
        <w:t xml:space="preserve">, Du T, Chen X, Yu X, </w:t>
      </w:r>
      <w:proofErr w:type="spellStart"/>
      <w:r>
        <w:t>Tu</w:t>
      </w:r>
      <w:proofErr w:type="spellEnd"/>
      <w:r>
        <w:t xml:space="preserve"> L, Zhang C. Association between Helicobacter pylori infection and overweight or obesity in a Chinese population. </w:t>
      </w:r>
      <w:r>
        <w:rPr>
          <w:i/>
          <w:iCs/>
        </w:rPr>
        <w:t xml:space="preserve">J Infect </w:t>
      </w:r>
      <w:proofErr w:type="spellStart"/>
      <w:r>
        <w:rPr>
          <w:i/>
          <w:iCs/>
        </w:rPr>
        <w:t>Dev</w:t>
      </w:r>
      <w:proofErr w:type="spellEnd"/>
      <w:r>
        <w:rPr>
          <w:i/>
          <w:iCs/>
        </w:rPr>
        <w:t xml:space="preserve"> </w:t>
      </w:r>
      <w:proofErr w:type="spellStart"/>
      <w:r>
        <w:rPr>
          <w:i/>
          <w:iCs/>
        </w:rPr>
        <w:t>Ctries</w:t>
      </w:r>
      <w:proofErr w:type="spellEnd"/>
      <w:r>
        <w:t xml:space="preserve"> 2015; </w:t>
      </w:r>
      <w:r>
        <w:rPr>
          <w:b/>
          <w:bCs/>
        </w:rPr>
        <w:t>9</w:t>
      </w:r>
      <w:r>
        <w:t>: 945-953 [PMID: 26409735 DOI: 10.3855/jidc.6035]</w:t>
      </w:r>
    </w:p>
    <w:p w:rsidR="002A5AE1" w:rsidRDefault="002A5AE1" w:rsidP="002A5AE1">
      <w:pPr>
        <w:pStyle w:val="-1"/>
      </w:pPr>
      <w:r>
        <w:t>16</w:t>
      </w:r>
      <w:r>
        <w:tab/>
      </w:r>
      <w:r>
        <w:rPr>
          <w:b/>
          <w:bCs/>
        </w:rPr>
        <w:t>Zhou BF</w:t>
      </w:r>
      <w:r>
        <w:t xml:space="preserve">; Cooperative Meta-Analysis Group of the Working Group on Obesity in China. Predictive values of body mass index and waist circumference for risk factors of certain related diseases in Chinese adults--study on optimal cut-off points of body mass index and waist circumference in Chinese adults. </w:t>
      </w:r>
      <w:r>
        <w:rPr>
          <w:i/>
          <w:iCs/>
        </w:rPr>
        <w:t xml:space="preserve">Biomed Environ </w:t>
      </w:r>
      <w:proofErr w:type="spellStart"/>
      <w:r>
        <w:rPr>
          <w:i/>
          <w:iCs/>
        </w:rPr>
        <w:t>Sci</w:t>
      </w:r>
      <w:proofErr w:type="spellEnd"/>
      <w:r>
        <w:t xml:space="preserve"> 2002; </w:t>
      </w:r>
      <w:r>
        <w:rPr>
          <w:b/>
          <w:bCs/>
        </w:rPr>
        <w:t>15</w:t>
      </w:r>
      <w:r>
        <w:t>: 83-96 [PMID: 12046553]</w:t>
      </w:r>
    </w:p>
    <w:p w:rsidR="002A5AE1" w:rsidRDefault="002A5AE1" w:rsidP="002A5AE1">
      <w:pPr>
        <w:pStyle w:val="-1"/>
      </w:pPr>
      <w:r>
        <w:t>17</w:t>
      </w:r>
      <w:r>
        <w:tab/>
      </w:r>
      <w:r>
        <w:rPr>
          <w:b/>
          <w:bCs/>
        </w:rPr>
        <w:t>Al-</w:t>
      </w:r>
      <w:proofErr w:type="spellStart"/>
      <w:r>
        <w:rPr>
          <w:b/>
          <w:bCs/>
        </w:rPr>
        <w:t>Nozha</w:t>
      </w:r>
      <w:proofErr w:type="spellEnd"/>
      <w:r>
        <w:rPr>
          <w:b/>
          <w:bCs/>
        </w:rPr>
        <w:t xml:space="preserve"> M</w:t>
      </w:r>
      <w:r>
        <w:t>, Al-</w:t>
      </w:r>
      <w:proofErr w:type="spellStart"/>
      <w:r>
        <w:t>Khadra</w:t>
      </w:r>
      <w:proofErr w:type="spellEnd"/>
      <w:r>
        <w:t xml:space="preserve"> A, </w:t>
      </w:r>
      <w:proofErr w:type="spellStart"/>
      <w:r>
        <w:t>Arafah</w:t>
      </w:r>
      <w:proofErr w:type="spellEnd"/>
      <w:r>
        <w:t xml:space="preserve"> MR, Al-</w:t>
      </w:r>
      <w:proofErr w:type="spellStart"/>
      <w:r>
        <w:t>Maatouq</w:t>
      </w:r>
      <w:proofErr w:type="spellEnd"/>
      <w:r>
        <w:t xml:space="preserve"> MA, Khalil MZ, Khan NB, Al-</w:t>
      </w:r>
      <w:proofErr w:type="spellStart"/>
      <w:r>
        <w:t>Mazrou</w:t>
      </w:r>
      <w:proofErr w:type="spellEnd"/>
      <w:r>
        <w:t xml:space="preserve"> YY, Al-</w:t>
      </w:r>
      <w:proofErr w:type="spellStart"/>
      <w:r>
        <w:t>Marzouki</w:t>
      </w:r>
      <w:proofErr w:type="spellEnd"/>
      <w:r>
        <w:t xml:space="preserve"> K, Al-</w:t>
      </w:r>
      <w:proofErr w:type="spellStart"/>
      <w:r>
        <w:t>Harthi</w:t>
      </w:r>
      <w:proofErr w:type="spellEnd"/>
      <w:r>
        <w:t xml:space="preserve"> SS, Abdullah M, Al-</w:t>
      </w:r>
      <w:proofErr w:type="spellStart"/>
      <w:r>
        <w:t>Shahid</w:t>
      </w:r>
      <w:proofErr w:type="spellEnd"/>
      <w:r>
        <w:t xml:space="preserve"> MS, Al-</w:t>
      </w:r>
      <w:proofErr w:type="spellStart"/>
      <w:r>
        <w:t>Mobeireek</w:t>
      </w:r>
      <w:proofErr w:type="spellEnd"/>
      <w:r>
        <w:t xml:space="preserve"> A, </w:t>
      </w:r>
      <w:proofErr w:type="spellStart"/>
      <w:r>
        <w:t>Nouh</w:t>
      </w:r>
      <w:proofErr w:type="spellEnd"/>
      <w:r>
        <w:t xml:space="preserve"> MS. Metabolic syndrome in Saudi Arabia. </w:t>
      </w:r>
      <w:r>
        <w:rPr>
          <w:i/>
          <w:iCs/>
        </w:rPr>
        <w:t>Saudi Med J</w:t>
      </w:r>
      <w:r>
        <w:t xml:space="preserve"> 2005; </w:t>
      </w:r>
      <w:r>
        <w:rPr>
          <w:b/>
          <w:bCs/>
        </w:rPr>
        <w:t>26</w:t>
      </w:r>
      <w:r>
        <w:t>: 1918-1925 [PMID: 16380773]</w:t>
      </w:r>
    </w:p>
    <w:p w:rsidR="002A5AE1" w:rsidRDefault="002A5AE1" w:rsidP="002A5AE1">
      <w:pPr>
        <w:pStyle w:val="-1"/>
      </w:pPr>
      <w:r>
        <w:t>18</w:t>
      </w:r>
      <w:r>
        <w:tab/>
      </w:r>
      <w:proofErr w:type="spellStart"/>
      <w:r>
        <w:rPr>
          <w:b/>
          <w:bCs/>
        </w:rPr>
        <w:t>Scharnagl</w:t>
      </w:r>
      <w:proofErr w:type="spellEnd"/>
      <w:r>
        <w:rPr>
          <w:b/>
          <w:bCs/>
        </w:rPr>
        <w:t xml:space="preserve"> H</w:t>
      </w:r>
      <w:r>
        <w:t xml:space="preserve">, Kist M, </w:t>
      </w:r>
      <w:proofErr w:type="spellStart"/>
      <w:r>
        <w:t>Grawitz</w:t>
      </w:r>
      <w:proofErr w:type="spellEnd"/>
      <w:r>
        <w:t xml:space="preserve"> AB, Koenig W, Wieland H, </w:t>
      </w:r>
      <w:proofErr w:type="spellStart"/>
      <w:r>
        <w:t>März</w:t>
      </w:r>
      <w:proofErr w:type="spellEnd"/>
      <w:r>
        <w:t xml:space="preserve"> W. Effect of Helicobacter pylori eradication on high-density lipoprotein cholesterol. </w:t>
      </w:r>
      <w:r>
        <w:rPr>
          <w:i/>
          <w:iCs/>
        </w:rPr>
        <w:t xml:space="preserve">Am J </w:t>
      </w:r>
      <w:proofErr w:type="spellStart"/>
      <w:r>
        <w:rPr>
          <w:i/>
          <w:iCs/>
        </w:rPr>
        <w:t>Cardiol</w:t>
      </w:r>
      <w:proofErr w:type="spellEnd"/>
      <w:r>
        <w:t xml:space="preserve"> 2004; </w:t>
      </w:r>
      <w:r>
        <w:rPr>
          <w:b/>
          <w:bCs/>
        </w:rPr>
        <w:t>93</w:t>
      </w:r>
      <w:r>
        <w:t>: 219-220 [PMID: 14715353]</w:t>
      </w:r>
    </w:p>
    <w:p w:rsidR="002A5AE1" w:rsidRDefault="002A5AE1" w:rsidP="002A5AE1">
      <w:pPr>
        <w:pStyle w:val="-1"/>
        <w:rPr>
          <w:spacing w:val="-3"/>
        </w:rPr>
      </w:pPr>
      <w:r>
        <w:rPr>
          <w:spacing w:val="-3"/>
        </w:rPr>
        <w:t>19</w:t>
      </w:r>
      <w:r>
        <w:rPr>
          <w:spacing w:val="-3"/>
        </w:rPr>
        <w:tab/>
      </w:r>
      <w:proofErr w:type="spellStart"/>
      <w:r>
        <w:rPr>
          <w:b/>
          <w:bCs/>
          <w:spacing w:val="-3"/>
        </w:rPr>
        <w:t>Albaker</w:t>
      </w:r>
      <w:proofErr w:type="spellEnd"/>
      <w:r>
        <w:rPr>
          <w:b/>
          <w:bCs/>
          <w:spacing w:val="-3"/>
        </w:rPr>
        <w:t xml:space="preserve"> WI</w:t>
      </w:r>
      <w:r>
        <w:rPr>
          <w:spacing w:val="-3"/>
        </w:rPr>
        <w:t xml:space="preserve">. Helicobacter pylori infection and its relationship to metabolic syndrome: is it a myth or fact? </w:t>
      </w:r>
      <w:r>
        <w:rPr>
          <w:i/>
          <w:iCs/>
          <w:spacing w:val="-3"/>
        </w:rPr>
        <w:t xml:space="preserve">Saudi J </w:t>
      </w:r>
      <w:proofErr w:type="spellStart"/>
      <w:r>
        <w:rPr>
          <w:i/>
          <w:iCs/>
          <w:spacing w:val="-3"/>
        </w:rPr>
        <w:t>Gastroenterol</w:t>
      </w:r>
      <w:proofErr w:type="spellEnd"/>
      <w:r>
        <w:rPr>
          <w:spacing w:val="-3"/>
        </w:rPr>
        <w:t xml:space="preserve"> 2011; </w:t>
      </w:r>
      <w:r>
        <w:rPr>
          <w:b/>
          <w:bCs/>
          <w:spacing w:val="-3"/>
        </w:rPr>
        <w:t>17</w:t>
      </w:r>
      <w:r>
        <w:rPr>
          <w:spacing w:val="-3"/>
        </w:rPr>
        <w:t>: 165-169 [PMID: 21546717 DOI: 10.4103/1319-3767.80377]</w:t>
      </w:r>
    </w:p>
    <w:p w:rsidR="002A5AE1" w:rsidRDefault="002A5AE1" w:rsidP="002A5AE1">
      <w:pPr>
        <w:pStyle w:val="-1"/>
      </w:pPr>
      <w:r>
        <w:t>20</w:t>
      </w:r>
      <w:r>
        <w:tab/>
      </w:r>
      <w:proofErr w:type="spellStart"/>
      <w:r>
        <w:rPr>
          <w:b/>
          <w:bCs/>
        </w:rPr>
        <w:t>Osawa</w:t>
      </w:r>
      <w:proofErr w:type="spellEnd"/>
      <w:r>
        <w:rPr>
          <w:b/>
          <w:bCs/>
        </w:rPr>
        <w:t xml:space="preserve"> H</w:t>
      </w:r>
      <w:r>
        <w:t xml:space="preserve">, </w:t>
      </w:r>
      <w:proofErr w:type="spellStart"/>
      <w:r>
        <w:t>Nakazato</w:t>
      </w:r>
      <w:proofErr w:type="spellEnd"/>
      <w:r>
        <w:t xml:space="preserve"> M, Date Y, Kita H, Ohnishi H, Ueno H, </w:t>
      </w:r>
      <w:proofErr w:type="spellStart"/>
      <w:r>
        <w:t>Shiiya</w:t>
      </w:r>
      <w:proofErr w:type="spellEnd"/>
      <w:r>
        <w:t xml:space="preserve"> T, Satoh K, </w:t>
      </w:r>
      <w:proofErr w:type="spellStart"/>
      <w:r>
        <w:t>Ishino</w:t>
      </w:r>
      <w:proofErr w:type="spellEnd"/>
      <w:r>
        <w:t xml:space="preserve"> Y, Sugano K. Impaired production of gastric ghrelin in chronic gastritis associated with Helicobacter pylori. </w:t>
      </w:r>
      <w:r>
        <w:rPr>
          <w:i/>
          <w:iCs/>
        </w:rPr>
        <w:t xml:space="preserve">J </w:t>
      </w:r>
      <w:proofErr w:type="spellStart"/>
      <w:r>
        <w:rPr>
          <w:i/>
          <w:iCs/>
        </w:rPr>
        <w:t>Clin</w:t>
      </w:r>
      <w:proofErr w:type="spellEnd"/>
      <w:r>
        <w:rPr>
          <w:i/>
          <w:iCs/>
        </w:rPr>
        <w:t xml:space="preserve"> </w:t>
      </w:r>
      <w:proofErr w:type="spellStart"/>
      <w:r>
        <w:rPr>
          <w:i/>
          <w:iCs/>
        </w:rPr>
        <w:t>Endocrinol</w:t>
      </w:r>
      <w:proofErr w:type="spellEnd"/>
      <w:r>
        <w:rPr>
          <w:i/>
          <w:iCs/>
        </w:rPr>
        <w:t xml:space="preserve"> </w:t>
      </w:r>
      <w:proofErr w:type="spellStart"/>
      <w:r>
        <w:rPr>
          <w:i/>
          <w:iCs/>
        </w:rPr>
        <w:t>Metab</w:t>
      </w:r>
      <w:proofErr w:type="spellEnd"/>
      <w:r>
        <w:t xml:space="preserve"> 2005; </w:t>
      </w:r>
      <w:r>
        <w:rPr>
          <w:b/>
          <w:bCs/>
        </w:rPr>
        <w:t>90</w:t>
      </w:r>
      <w:r>
        <w:t>: 10-16 [PMID: 15483107 DOI: 10.1210/jc.2004-1330]</w:t>
      </w:r>
    </w:p>
    <w:p w:rsidR="002A5AE1" w:rsidRDefault="002A5AE1" w:rsidP="002A5AE1">
      <w:pPr>
        <w:pStyle w:val="-1"/>
      </w:pPr>
      <w:r>
        <w:t>21</w:t>
      </w:r>
      <w:r>
        <w:tab/>
      </w:r>
      <w:proofErr w:type="spellStart"/>
      <w:r>
        <w:rPr>
          <w:b/>
          <w:bCs/>
        </w:rPr>
        <w:t>Tatsuguchi</w:t>
      </w:r>
      <w:proofErr w:type="spellEnd"/>
      <w:r>
        <w:rPr>
          <w:b/>
          <w:bCs/>
        </w:rPr>
        <w:t xml:space="preserve"> A</w:t>
      </w:r>
      <w:r>
        <w:t xml:space="preserve">, Miyake K, </w:t>
      </w:r>
      <w:proofErr w:type="spellStart"/>
      <w:r>
        <w:t>Gudis</w:t>
      </w:r>
      <w:proofErr w:type="spellEnd"/>
      <w:r>
        <w:t xml:space="preserve"> K, </w:t>
      </w:r>
      <w:proofErr w:type="spellStart"/>
      <w:r>
        <w:t>Futagami</w:t>
      </w:r>
      <w:proofErr w:type="spellEnd"/>
      <w:r>
        <w:t xml:space="preserve"> S, </w:t>
      </w:r>
      <w:proofErr w:type="spellStart"/>
      <w:r>
        <w:t>Tsukui</w:t>
      </w:r>
      <w:proofErr w:type="spellEnd"/>
      <w:r>
        <w:t xml:space="preserve"> T, Wada K, </w:t>
      </w:r>
      <w:proofErr w:type="spellStart"/>
      <w:r>
        <w:t>Kishida</w:t>
      </w:r>
      <w:proofErr w:type="spellEnd"/>
      <w:r>
        <w:t xml:space="preserve"> T, Fukuda Y, </w:t>
      </w:r>
      <w:proofErr w:type="spellStart"/>
      <w:r>
        <w:t>Sugisaki</w:t>
      </w:r>
      <w:proofErr w:type="spellEnd"/>
      <w:r>
        <w:t xml:space="preserve"> Y, Sakamoto C. Effect of Helicobacter pylori infection on ghrelin expression in human gastric mucosa. </w:t>
      </w:r>
      <w:r>
        <w:rPr>
          <w:i/>
          <w:iCs/>
        </w:rPr>
        <w:t xml:space="preserve">Am J </w:t>
      </w:r>
      <w:proofErr w:type="spellStart"/>
      <w:r>
        <w:rPr>
          <w:i/>
          <w:iCs/>
        </w:rPr>
        <w:t>Gastroenterol</w:t>
      </w:r>
      <w:proofErr w:type="spellEnd"/>
      <w:r>
        <w:t xml:space="preserve"> 2004; </w:t>
      </w:r>
      <w:r>
        <w:rPr>
          <w:b/>
          <w:bCs/>
        </w:rPr>
        <w:t>99</w:t>
      </w:r>
      <w:r>
        <w:t>: 2121-2127 [PMID: 15554990 DOI: 10.1111/j.1572-0241.2004.30291.x]</w:t>
      </w:r>
    </w:p>
    <w:p w:rsidR="002A5AE1" w:rsidRDefault="002A5AE1" w:rsidP="002A5AE1">
      <w:pPr>
        <w:pStyle w:val="-1"/>
      </w:pPr>
      <w:r>
        <w:t>22</w:t>
      </w:r>
      <w:r>
        <w:tab/>
      </w:r>
      <w:r>
        <w:rPr>
          <w:b/>
          <w:bCs/>
        </w:rPr>
        <w:t>Azuma T</w:t>
      </w:r>
      <w:r>
        <w:t xml:space="preserve">, </w:t>
      </w:r>
      <w:proofErr w:type="spellStart"/>
      <w:r>
        <w:t>Suto</w:t>
      </w:r>
      <w:proofErr w:type="spellEnd"/>
      <w:r>
        <w:t xml:space="preserve"> H, Ito Y, </w:t>
      </w:r>
      <w:proofErr w:type="spellStart"/>
      <w:r>
        <w:t>Ohtani</w:t>
      </w:r>
      <w:proofErr w:type="spellEnd"/>
      <w:r>
        <w:t xml:space="preserve"> M, Dojo M, </w:t>
      </w:r>
      <w:proofErr w:type="spellStart"/>
      <w:r>
        <w:t>Kuriyama</w:t>
      </w:r>
      <w:proofErr w:type="spellEnd"/>
      <w:r>
        <w:t xml:space="preserve"> M, Kato T. Gastric </w:t>
      </w:r>
      <w:proofErr w:type="spellStart"/>
      <w:r>
        <w:t>leptin</w:t>
      </w:r>
      <w:proofErr w:type="spellEnd"/>
      <w:r>
        <w:t xml:space="preserve"> and Helicobacter pylori infection. </w:t>
      </w:r>
      <w:r>
        <w:rPr>
          <w:i/>
          <w:iCs/>
        </w:rPr>
        <w:t>Gut</w:t>
      </w:r>
      <w:r>
        <w:t xml:space="preserve"> 2001; </w:t>
      </w:r>
      <w:r>
        <w:rPr>
          <w:b/>
          <w:bCs/>
        </w:rPr>
        <w:t>49</w:t>
      </w:r>
      <w:r>
        <w:t>: 324-329 [PMID: 11511551]</w:t>
      </w:r>
    </w:p>
    <w:p w:rsidR="002A5AE1" w:rsidRDefault="002A5AE1" w:rsidP="002A5AE1">
      <w:pPr>
        <w:pStyle w:val="-1"/>
      </w:pPr>
      <w:r>
        <w:t>23</w:t>
      </w:r>
      <w:r>
        <w:tab/>
      </w:r>
      <w:proofErr w:type="spellStart"/>
      <w:r>
        <w:rPr>
          <w:b/>
          <w:bCs/>
        </w:rPr>
        <w:t>Abenavoli</w:t>
      </w:r>
      <w:proofErr w:type="spellEnd"/>
      <w:r>
        <w:rPr>
          <w:b/>
          <w:bCs/>
        </w:rPr>
        <w:t xml:space="preserve"> L</w:t>
      </w:r>
      <w:r>
        <w:t xml:space="preserve">, </w:t>
      </w:r>
      <w:proofErr w:type="spellStart"/>
      <w:r>
        <w:t>Milic</w:t>
      </w:r>
      <w:proofErr w:type="spellEnd"/>
      <w:r>
        <w:t xml:space="preserve"> N, </w:t>
      </w:r>
      <w:proofErr w:type="spellStart"/>
      <w:r>
        <w:t>Masarone</w:t>
      </w:r>
      <w:proofErr w:type="spellEnd"/>
      <w:r>
        <w:t xml:space="preserve"> M, </w:t>
      </w:r>
      <w:proofErr w:type="spellStart"/>
      <w:r>
        <w:t>Persico</w:t>
      </w:r>
      <w:proofErr w:type="spellEnd"/>
      <w:r>
        <w:t xml:space="preserve"> M. Association between non-alcoholic fatty liver disease, insulin resistance and Helicobacter pylori. </w:t>
      </w:r>
      <w:r>
        <w:rPr>
          <w:i/>
          <w:iCs/>
        </w:rPr>
        <w:t>Med Hypotheses</w:t>
      </w:r>
      <w:r>
        <w:t xml:space="preserve"> 2013; </w:t>
      </w:r>
      <w:r>
        <w:rPr>
          <w:b/>
          <w:bCs/>
        </w:rPr>
        <w:t>81</w:t>
      </w:r>
      <w:r>
        <w:t>: 913-915 [PMID: 24011768 DOI: 10.1016/j.mehy.2013.08.011]</w:t>
      </w:r>
    </w:p>
    <w:p w:rsidR="002A5AE1" w:rsidRDefault="002A5AE1" w:rsidP="002A5AE1">
      <w:pPr>
        <w:pStyle w:val="-1"/>
      </w:pPr>
      <w:r>
        <w:t>24</w:t>
      </w:r>
      <w:r>
        <w:tab/>
      </w:r>
      <w:proofErr w:type="spellStart"/>
      <w:r>
        <w:rPr>
          <w:b/>
          <w:bCs/>
        </w:rPr>
        <w:t>Upala</w:t>
      </w:r>
      <w:proofErr w:type="spellEnd"/>
      <w:r>
        <w:rPr>
          <w:b/>
          <w:bCs/>
        </w:rPr>
        <w:t xml:space="preserve"> S</w:t>
      </w:r>
      <w:r>
        <w:t xml:space="preserve">, </w:t>
      </w:r>
      <w:proofErr w:type="spellStart"/>
      <w:r>
        <w:t>Sanguankeo</w:t>
      </w:r>
      <w:proofErr w:type="spellEnd"/>
      <w:r>
        <w:t xml:space="preserve"> A, </w:t>
      </w:r>
      <w:proofErr w:type="spellStart"/>
      <w:r>
        <w:t>Saleem</w:t>
      </w:r>
      <w:proofErr w:type="spellEnd"/>
      <w:r>
        <w:t xml:space="preserve"> SA, </w:t>
      </w:r>
      <w:proofErr w:type="spellStart"/>
      <w:r>
        <w:t>Jaruvongvanich</w:t>
      </w:r>
      <w:proofErr w:type="spellEnd"/>
      <w:r>
        <w:t xml:space="preserve"> V. Effects of Helicobacter pylori eradication on insulin resistance and metabolic parameters: a systematic review and meta-analysis.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2017; </w:t>
      </w:r>
      <w:r>
        <w:rPr>
          <w:b/>
          <w:bCs/>
        </w:rPr>
        <w:t>29</w:t>
      </w:r>
      <w:r>
        <w:t>: 153-159 [PMID: 27832037 DOI: 10.1097/MEG.0000000000000774]</w:t>
      </w:r>
    </w:p>
    <w:p w:rsidR="002A5AE1" w:rsidRDefault="002A5AE1" w:rsidP="002A5AE1">
      <w:pPr>
        <w:pStyle w:val="-1"/>
      </w:pPr>
      <w:r>
        <w:t>25</w:t>
      </w:r>
      <w:r>
        <w:tab/>
      </w:r>
      <w:proofErr w:type="spellStart"/>
      <w:r>
        <w:rPr>
          <w:b/>
          <w:bCs/>
        </w:rPr>
        <w:t>Salles</w:t>
      </w:r>
      <w:proofErr w:type="spellEnd"/>
      <w:r>
        <w:rPr>
          <w:b/>
          <w:bCs/>
        </w:rPr>
        <w:t xml:space="preserve"> N</w:t>
      </w:r>
      <w:r>
        <w:t xml:space="preserve">, </w:t>
      </w:r>
      <w:proofErr w:type="spellStart"/>
      <w:r>
        <w:t>Ménard</w:t>
      </w:r>
      <w:proofErr w:type="spellEnd"/>
      <w:r>
        <w:t xml:space="preserve"> A, Georges A, Salzmann M, de </w:t>
      </w:r>
      <w:proofErr w:type="spellStart"/>
      <w:r>
        <w:t>Ledinghen</w:t>
      </w:r>
      <w:proofErr w:type="spellEnd"/>
      <w:r>
        <w:t xml:space="preserve"> V, de </w:t>
      </w:r>
      <w:proofErr w:type="spellStart"/>
      <w:r>
        <w:t>Mascarel</w:t>
      </w:r>
      <w:proofErr w:type="spellEnd"/>
      <w:r>
        <w:t xml:space="preserve"> A, </w:t>
      </w:r>
      <w:proofErr w:type="spellStart"/>
      <w:r>
        <w:t>Emeriau</w:t>
      </w:r>
      <w:proofErr w:type="spellEnd"/>
      <w:r>
        <w:t xml:space="preserve"> JP, </w:t>
      </w:r>
      <w:proofErr w:type="spellStart"/>
      <w:r>
        <w:t>Lamouliatte</w:t>
      </w:r>
      <w:proofErr w:type="spellEnd"/>
      <w:r>
        <w:t xml:space="preserve"> H, </w:t>
      </w:r>
      <w:proofErr w:type="spellStart"/>
      <w:r>
        <w:t>Mégraud</w:t>
      </w:r>
      <w:proofErr w:type="spellEnd"/>
      <w:r>
        <w:t xml:space="preserve"> F. Effects of Helicobacter pylori infection on gut appetite peptide (</w:t>
      </w:r>
      <w:proofErr w:type="spellStart"/>
      <w:r>
        <w:t>leptin</w:t>
      </w:r>
      <w:proofErr w:type="spellEnd"/>
      <w:r>
        <w:t xml:space="preserve">, ghrelin) expression in elderly inpatients. </w:t>
      </w:r>
      <w:r>
        <w:rPr>
          <w:i/>
          <w:iCs/>
        </w:rPr>
        <w:t xml:space="preserve">J </w:t>
      </w:r>
      <w:proofErr w:type="spellStart"/>
      <w:r>
        <w:rPr>
          <w:i/>
          <w:iCs/>
        </w:rPr>
        <w:t>Gerontol</w:t>
      </w:r>
      <w:proofErr w:type="spellEnd"/>
      <w:r>
        <w:rPr>
          <w:i/>
          <w:iCs/>
        </w:rPr>
        <w:t xml:space="preserve"> A </w:t>
      </w:r>
      <w:proofErr w:type="spellStart"/>
      <w:r>
        <w:rPr>
          <w:i/>
          <w:iCs/>
        </w:rPr>
        <w:t>Biol</w:t>
      </w:r>
      <w:proofErr w:type="spellEnd"/>
      <w:r>
        <w:rPr>
          <w:i/>
          <w:iCs/>
        </w:rPr>
        <w:t xml:space="preserve"> </w:t>
      </w:r>
      <w:proofErr w:type="spellStart"/>
      <w:r>
        <w:rPr>
          <w:i/>
          <w:iCs/>
        </w:rPr>
        <w:t>Sci</w:t>
      </w:r>
      <w:proofErr w:type="spellEnd"/>
      <w:r>
        <w:rPr>
          <w:i/>
          <w:iCs/>
        </w:rPr>
        <w:t xml:space="preserve"> Med </w:t>
      </w:r>
      <w:proofErr w:type="spellStart"/>
      <w:r>
        <w:rPr>
          <w:i/>
          <w:iCs/>
        </w:rPr>
        <w:t>Sci</w:t>
      </w:r>
      <w:proofErr w:type="spellEnd"/>
      <w:r>
        <w:t xml:space="preserve"> 2006; </w:t>
      </w:r>
      <w:r>
        <w:rPr>
          <w:b/>
          <w:bCs/>
        </w:rPr>
        <w:t>61</w:t>
      </w:r>
      <w:r>
        <w:t>: 1144-1150 [PMID: 17167154]</w:t>
      </w:r>
    </w:p>
    <w:p w:rsidR="002A5AE1" w:rsidRDefault="002A5AE1" w:rsidP="002A5AE1">
      <w:pPr>
        <w:rPr>
          <w:rFonts w:hint="eastAsia"/>
        </w:rPr>
      </w:pPr>
    </w:p>
    <w:p w:rsidR="002A5AE1" w:rsidRDefault="002A5AE1" w:rsidP="002A5AE1">
      <w:r>
        <w:t>Figure Legends</w:t>
      </w:r>
    </w:p>
    <w:p w:rsidR="002A5AE1" w:rsidRDefault="002A5AE1" w:rsidP="002A5AE1">
      <w:pPr>
        <w:pStyle w:val="8BF4"/>
        <w:rPr>
          <w:rFonts w:hint="eastAsia"/>
          <w:b/>
          <w:bCs/>
        </w:rPr>
      </w:pPr>
      <w:r>
        <w:rPr>
          <w:b/>
          <w:bCs/>
          <w:noProof/>
        </w:rPr>
        <w:drawing>
          <wp:inline distT="0" distB="0" distL="0" distR="0">
            <wp:extent cx="1697355" cy="1214120"/>
            <wp:effectExtent l="0" t="0" r="0" b="5080"/>
            <wp:docPr id="5" name="图片 5" descr="D:\学排版\WJG\组版\WJGv23i15\pmc-15\fig-15\WJG-23-275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15\pmc-15\fig-15\WJG-23-2750-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355" cy="1214120"/>
                    </a:xfrm>
                    <a:prstGeom prst="rect">
                      <a:avLst/>
                    </a:prstGeom>
                    <a:noFill/>
                    <a:ln>
                      <a:noFill/>
                    </a:ln>
                  </pic:spPr>
                </pic:pic>
              </a:graphicData>
            </a:graphic>
          </wp:inline>
        </w:drawing>
      </w:r>
    </w:p>
    <w:p w:rsidR="002A5AE1" w:rsidRDefault="002A5AE1" w:rsidP="002A5AE1">
      <w:pPr>
        <w:pStyle w:val="8BF4"/>
        <w:rPr>
          <w:b/>
          <w:bCs/>
        </w:rPr>
      </w:pPr>
      <w:r>
        <w:rPr>
          <w:b/>
          <w:bCs/>
        </w:rPr>
        <w:t xml:space="preserve">Figure </w:t>
      </w:r>
      <w:proofErr w:type="gramStart"/>
      <w:r>
        <w:rPr>
          <w:b/>
          <w:bCs/>
        </w:rPr>
        <w:t>1  The</w:t>
      </w:r>
      <w:proofErr w:type="gramEnd"/>
      <w:r>
        <w:rPr>
          <w:b/>
          <w:bCs/>
        </w:rPr>
        <w:t xml:space="preserve"> flow diagram of the subject selection in the study.</w:t>
      </w:r>
    </w:p>
    <w:p w:rsidR="002A5AE1" w:rsidRDefault="002A5AE1" w:rsidP="002A5AE1">
      <w:pPr>
        <w:pStyle w:val="8BF4"/>
        <w:rPr>
          <w:rFonts w:hint="eastAsia"/>
          <w:b/>
          <w:bCs/>
        </w:rPr>
      </w:pPr>
      <w:r>
        <w:rPr>
          <w:b/>
          <w:bCs/>
          <w:noProof/>
        </w:rPr>
        <w:lastRenderedPageBreak/>
        <w:drawing>
          <wp:inline distT="0" distB="0" distL="0" distR="0">
            <wp:extent cx="1681392" cy="2062886"/>
            <wp:effectExtent l="0" t="0" r="0" b="0"/>
            <wp:docPr id="6" name="图片 6" descr="D:\学排版\WJG\组版\WJGv23i15\pmc-15\fig-15\WJG-23-275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15\pmc-15\fig-15\WJG-23-2750-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314" cy="2064018"/>
                    </a:xfrm>
                    <a:prstGeom prst="rect">
                      <a:avLst/>
                    </a:prstGeom>
                    <a:noFill/>
                    <a:ln>
                      <a:noFill/>
                    </a:ln>
                  </pic:spPr>
                </pic:pic>
              </a:graphicData>
            </a:graphic>
          </wp:inline>
        </w:drawing>
      </w:r>
    </w:p>
    <w:p w:rsidR="002A5AE1" w:rsidRDefault="002A5AE1" w:rsidP="002A5AE1">
      <w:pPr>
        <w:pStyle w:val="8BF4"/>
      </w:pPr>
      <w:r>
        <w:rPr>
          <w:b/>
          <w:bCs/>
        </w:rPr>
        <w:t xml:space="preserve">Figure 2  The scatter plots of change in body mass index along with body mass index at baseline in the </w:t>
      </w:r>
      <w:r>
        <w:rPr>
          <w:b/>
          <w:bCs/>
          <w:i/>
          <w:iCs/>
        </w:rPr>
        <w:t>Helicobacter pylori</w:t>
      </w:r>
      <w:r>
        <w:rPr>
          <w:b/>
          <w:bCs/>
        </w:rPr>
        <w:t xml:space="preserve"> (+) and </w:t>
      </w:r>
      <w:r>
        <w:rPr>
          <w:b/>
          <w:bCs/>
          <w:i/>
          <w:iCs/>
        </w:rPr>
        <w:t>Helicobacter pylori</w:t>
      </w:r>
      <w:r>
        <w:rPr>
          <w:b/>
          <w:bCs/>
        </w:rPr>
        <w:t xml:space="preserve"> (-) groups.</w:t>
      </w:r>
      <w:r>
        <w:t xml:space="preserve"> The trend lines are added in the two plots. A: </w:t>
      </w:r>
      <w:r>
        <w:rPr>
          <w:i/>
          <w:iCs/>
        </w:rPr>
        <w:t>Helicobacter pylori</w:t>
      </w:r>
      <w:r>
        <w:t xml:space="preserve"> (</w:t>
      </w:r>
      <w:r>
        <w:rPr>
          <w:i/>
          <w:iCs/>
        </w:rPr>
        <w:t>H. pylori</w:t>
      </w:r>
      <w:r>
        <w:t xml:space="preserve">) (+) group; B: </w:t>
      </w:r>
      <w:r>
        <w:rPr>
          <w:i/>
          <w:iCs/>
        </w:rPr>
        <w:t>H. pylori</w:t>
      </w:r>
      <w:r>
        <w:t xml:space="preserve"> (-) group. BMI: Body mass index.</w:t>
      </w:r>
    </w:p>
    <w:p w:rsidR="002A5AE1" w:rsidRDefault="002A5AE1" w:rsidP="002A5AE1">
      <w:pPr>
        <w:pStyle w:val="8BF4"/>
        <w:rPr>
          <w:rFonts w:hint="eastAsia"/>
          <w:b/>
          <w:bCs/>
        </w:rPr>
      </w:pPr>
      <w:r>
        <w:rPr>
          <w:b/>
          <w:bCs/>
          <w:noProof/>
        </w:rPr>
        <w:drawing>
          <wp:inline distT="0" distB="0" distL="0" distR="0">
            <wp:extent cx="4145188" cy="1207008"/>
            <wp:effectExtent l="0" t="0" r="8255" b="0"/>
            <wp:docPr id="7" name="图片 7" descr="D:\学排版\WJG\组版\WJGv23i15\pmc-15\fig-15\WJG-23-2750-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15\pmc-15\fig-15\WJG-23-2750-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5072" cy="1206974"/>
                    </a:xfrm>
                    <a:prstGeom prst="rect">
                      <a:avLst/>
                    </a:prstGeom>
                    <a:noFill/>
                    <a:ln>
                      <a:noFill/>
                    </a:ln>
                  </pic:spPr>
                </pic:pic>
              </a:graphicData>
            </a:graphic>
          </wp:inline>
        </w:drawing>
      </w:r>
    </w:p>
    <w:p w:rsidR="002A5AE1" w:rsidRDefault="002A5AE1" w:rsidP="002A5AE1">
      <w:pPr>
        <w:pStyle w:val="8BF4"/>
      </w:pPr>
      <w:r>
        <w:rPr>
          <w:b/>
          <w:bCs/>
        </w:rPr>
        <w:t xml:space="preserve">Figure 3  The scatter plots of change in body mass index in the underweight, normal, overweight and obese subjects at baseline in the </w:t>
      </w:r>
      <w:r>
        <w:rPr>
          <w:b/>
          <w:bCs/>
          <w:i/>
          <w:iCs/>
        </w:rPr>
        <w:t>Helicobacter pylori</w:t>
      </w:r>
      <w:r>
        <w:rPr>
          <w:b/>
          <w:bCs/>
        </w:rPr>
        <w:t xml:space="preserve"> (+) and </w:t>
      </w:r>
      <w:r>
        <w:rPr>
          <w:b/>
          <w:bCs/>
          <w:i/>
          <w:iCs/>
        </w:rPr>
        <w:t>Helicobacter pylori</w:t>
      </w:r>
      <w:r>
        <w:rPr>
          <w:b/>
          <w:bCs/>
        </w:rPr>
        <w:t xml:space="preserve"> (-) groups.</w:t>
      </w:r>
      <w:r>
        <w:t xml:space="preserve"> The means are added in the two plots. A: </w:t>
      </w:r>
      <w:r>
        <w:rPr>
          <w:i/>
          <w:iCs/>
        </w:rPr>
        <w:t>Helicobacter pylori</w:t>
      </w:r>
      <w:r>
        <w:t xml:space="preserve"> (</w:t>
      </w:r>
      <w:r>
        <w:rPr>
          <w:i/>
          <w:iCs/>
        </w:rPr>
        <w:t>H. pylori</w:t>
      </w:r>
      <w:r>
        <w:t xml:space="preserve">) (+) group; B: </w:t>
      </w:r>
      <w:r>
        <w:rPr>
          <w:i/>
          <w:iCs/>
        </w:rPr>
        <w:t>H. pylori</w:t>
      </w:r>
      <w:r>
        <w:t xml:space="preserve"> (-) group. BMI: Body mass index.</w:t>
      </w:r>
    </w:p>
    <w:p w:rsidR="002A5AE1" w:rsidRPr="00B00C3F" w:rsidRDefault="002A5AE1" w:rsidP="002A5AE1"/>
    <w:p w:rsidR="002A5AE1" w:rsidRDefault="002A5AE1" w:rsidP="002A5AE1">
      <w:pPr>
        <w:rPr>
          <w:rFonts w:hint="eastAsia"/>
        </w:rPr>
      </w:pPr>
      <w:r>
        <w:t>Footnotes</w:t>
      </w:r>
    </w:p>
    <w:p w:rsidR="002A5AE1" w:rsidRDefault="002A5AE1" w:rsidP="002A5AE1">
      <w:pPr>
        <w:pStyle w:val="af"/>
      </w:pPr>
      <w:bookmarkStart w:id="1" w:name="OLE_LINK880"/>
      <w:bookmarkStart w:id="2" w:name="OLE_LINK881"/>
      <w:bookmarkStart w:id="3" w:name="OLE_LINK497"/>
      <w:bookmarkStart w:id="4" w:name="OLE_LINK813"/>
      <w:r>
        <w:rPr>
          <w:rFonts w:ascii="Tahoma" w:hAnsi="Tahoma" w:cs="Tahoma"/>
        </w:rPr>
        <w:t>Manuscript source:</w:t>
      </w:r>
      <w:r>
        <w:rPr>
          <w:b/>
          <w:bCs/>
        </w:rPr>
        <w:t xml:space="preserve"> </w:t>
      </w:r>
      <w:r>
        <w:t>Unsolicited manuscript</w:t>
      </w:r>
    </w:p>
    <w:p w:rsidR="002A5AE1" w:rsidRPr="00BC4B60" w:rsidRDefault="002A5AE1" w:rsidP="002A5AE1">
      <w:pPr>
        <w:widowControl/>
        <w:shd w:val="clear" w:color="auto" w:fill="FFFFFF"/>
        <w:snapToGrid w:val="0"/>
        <w:spacing w:line="360" w:lineRule="auto"/>
        <w:rPr>
          <w:rFonts w:ascii="Book Antiqua" w:hAnsi="Book Antiqua" w:cs="Helvetica"/>
          <w:b/>
          <w:kern w:val="0"/>
          <w:sz w:val="24"/>
          <w:szCs w:val="24"/>
        </w:rPr>
      </w:pPr>
      <w:r w:rsidRPr="00BC4B60">
        <w:rPr>
          <w:rFonts w:ascii="Book Antiqua" w:hAnsi="Book Antiqua" w:cs="Helvetica"/>
          <w:b/>
          <w:kern w:val="0"/>
          <w:sz w:val="24"/>
          <w:szCs w:val="24"/>
        </w:rPr>
        <w:t xml:space="preserve">Specialty type: </w:t>
      </w:r>
      <w:r w:rsidRPr="00BC4B60">
        <w:rPr>
          <w:rFonts w:ascii="Book Antiqua" w:hAnsi="Book Antiqua" w:cs="Helvetica"/>
          <w:kern w:val="0"/>
          <w:sz w:val="24"/>
          <w:szCs w:val="24"/>
        </w:rPr>
        <w:t>Gastroenterology and</w:t>
      </w:r>
      <w:r w:rsidRPr="00BC4B60">
        <w:rPr>
          <w:rFonts w:ascii="Book Antiqua" w:hAnsi="Book Antiqua" w:cs="Helvetica" w:hint="eastAsia"/>
          <w:kern w:val="0"/>
          <w:sz w:val="24"/>
          <w:szCs w:val="24"/>
        </w:rPr>
        <w:t xml:space="preserve"> </w:t>
      </w:r>
      <w:proofErr w:type="spellStart"/>
      <w:r w:rsidRPr="00BC4B60">
        <w:rPr>
          <w:rFonts w:ascii="Book Antiqua" w:hAnsi="Book Antiqua" w:cs="Helvetica"/>
          <w:kern w:val="0"/>
          <w:sz w:val="24"/>
          <w:szCs w:val="24"/>
        </w:rPr>
        <w:t>hepatology</w:t>
      </w:r>
      <w:proofErr w:type="spellEnd"/>
    </w:p>
    <w:p w:rsidR="002A5AE1" w:rsidRPr="00BC4B60" w:rsidRDefault="002A5AE1" w:rsidP="002A5AE1">
      <w:pPr>
        <w:widowControl/>
        <w:shd w:val="clear" w:color="auto" w:fill="FFFFFF"/>
        <w:snapToGrid w:val="0"/>
        <w:spacing w:line="360" w:lineRule="auto"/>
        <w:rPr>
          <w:rFonts w:ascii="Book Antiqua" w:hAnsi="Book Antiqua" w:cs="Helvetica"/>
          <w:b/>
          <w:kern w:val="0"/>
          <w:sz w:val="24"/>
          <w:szCs w:val="24"/>
        </w:rPr>
      </w:pPr>
      <w:r w:rsidRPr="00BC4B60">
        <w:rPr>
          <w:rFonts w:ascii="Book Antiqua" w:hAnsi="Book Antiqua" w:cs="Helvetica"/>
          <w:b/>
          <w:kern w:val="0"/>
          <w:sz w:val="24"/>
          <w:szCs w:val="24"/>
        </w:rPr>
        <w:t xml:space="preserve">Country of origin: </w:t>
      </w:r>
      <w:r w:rsidRPr="00BC4B60">
        <w:rPr>
          <w:rFonts w:ascii="Book Antiqua" w:hAnsi="Book Antiqua" w:cs="Helvetica"/>
          <w:kern w:val="0"/>
          <w:sz w:val="24"/>
          <w:szCs w:val="24"/>
          <w:lang w:val="en-CA"/>
        </w:rPr>
        <w:t>China</w:t>
      </w:r>
    </w:p>
    <w:p w:rsidR="002A5AE1" w:rsidRPr="00BC4B60" w:rsidRDefault="002A5AE1" w:rsidP="002A5AE1">
      <w:pPr>
        <w:widowControl/>
        <w:shd w:val="clear" w:color="auto" w:fill="FFFFFF"/>
        <w:snapToGrid w:val="0"/>
        <w:spacing w:line="360" w:lineRule="auto"/>
        <w:rPr>
          <w:rFonts w:ascii="Book Antiqua" w:hAnsi="Book Antiqua" w:cs="Helvetica"/>
          <w:b/>
          <w:kern w:val="0"/>
          <w:sz w:val="24"/>
          <w:szCs w:val="24"/>
        </w:rPr>
      </w:pPr>
      <w:r w:rsidRPr="00BC4B60">
        <w:rPr>
          <w:rFonts w:ascii="Book Antiqua" w:hAnsi="Book Antiqua" w:cs="Helvetica"/>
          <w:b/>
          <w:kern w:val="0"/>
          <w:sz w:val="24"/>
          <w:szCs w:val="24"/>
        </w:rPr>
        <w:t>Peer-review report classification</w:t>
      </w:r>
    </w:p>
    <w:p w:rsidR="002A5AE1" w:rsidRPr="00BC4B60" w:rsidRDefault="002A5AE1" w:rsidP="002A5AE1">
      <w:pPr>
        <w:widowControl/>
        <w:shd w:val="clear" w:color="auto" w:fill="FFFFFF"/>
        <w:snapToGrid w:val="0"/>
        <w:spacing w:line="360" w:lineRule="auto"/>
        <w:rPr>
          <w:rFonts w:ascii="Book Antiqua" w:hAnsi="Book Antiqua" w:cs="Helvetica"/>
          <w:kern w:val="0"/>
          <w:sz w:val="24"/>
          <w:szCs w:val="24"/>
        </w:rPr>
      </w:pPr>
      <w:r w:rsidRPr="00BC4B60">
        <w:rPr>
          <w:rFonts w:ascii="Book Antiqua" w:hAnsi="Book Antiqua" w:cs="Helvetica"/>
          <w:kern w:val="0"/>
          <w:sz w:val="24"/>
          <w:szCs w:val="24"/>
        </w:rPr>
        <w:t xml:space="preserve">Grade </w:t>
      </w:r>
      <w:proofErr w:type="gramStart"/>
      <w:r w:rsidRPr="00BC4B60">
        <w:rPr>
          <w:rFonts w:ascii="Book Antiqua" w:hAnsi="Book Antiqua" w:cs="Helvetica"/>
          <w:kern w:val="0"/>
          <w:sz w:val="24"/>
          <w:szCs w:val="24"/>
        </w:rPr>
        <w:t>A</w:t>
      </w:r>
      <w:proofErr w:type="gramEnd"/>
      <w:r w:rsidRPr="00BC4B60">
        <w:rPr>
          <w:rFonts w:ascii="Book Antiqua" w:hAnsi="Book Antiqua" w:cs="Helvetica"/>
          <w:kern w:val="0"/>
          <w:sz w:val="24"/>
          <w:szCs w:val="24"/>
        </w:rPr>
        <w:t xml:space="preserve"> (Excellent): </w:t>
      </w:r>
      <w:r>
        <w:rPr>
          <w:rFonts w:ascii="Book Antiqua" w:hAnsi="Book Antiqua" w:cs="Helvetica" w:hint="eastAsia"/>
          <w:kern w:val="0"/>
          <w:sz w:val="24"/>
          <w:szCs w:val="24"/>
        </w:rPr>
        <w:t>A</w:t>
      </w:r>
    </w:p>
    <w:p w:rsidR="002A5AE1" w:rsidRPr="00BC4B60" w:rsidRDefault="002A5AE1" w:rsidP="002A5AE1">
      <w:pPr>
        <w:widowControl/>
        <w:shd w:val="clear" w:color="auto" w:fill="FFFFFF"/>
        <w:snapToGrid w:val="0"/>
        <w:spacing w:line="360" w:lineRule="auto"/>
        <w:rPr>
          <w:rFonts w:ascii="Book Antiqua" w:hAnsi="Book Antiqua" w:cs="Helvetica"/>
          <w:kern w:val="0"/>
          <w:sz w:val="24"/>
          <w:szCs w:val="24"/>
        </w:rPr>
      </w:pPr>
      <w:r w:rsidRPr="00BC4B60">
        <w:rPr>
          <w:rFonts w:ascii="Book Antiqua" w:hAnsi="Book Antiqua" w:cs="Helvetica"/>
          <w:kern w:val="0"/>
          <w:sz w:val="24"/>
          <w:szCs w:val="24"/>
        </w:rPr>
        <w:t>Grade B (Very good): B</w:t>
      </w:r>
    </w:p>
    <w:p w:rsidR="002A5AE1" w:rsidRPr="00BC4B60" w:rsidRDefault="002A5AE1" w:rsidP="002A5AE1">
      <w:pPr>
        <w:widowControl/>
        <w:shd w:val="clear" w:color="auto" w:fill="FFFFFF"/>
        <w:snapToGrid w:val="0"/>
        <w:spacing w:line="360" w:lineRule="auto"/>
        <w:rPr>
          <w:rFonts w:ascii="Book Antiqua" w:hAnsi="Book Antiqua" w:cs="Helvetica"/>
          <w:kern w:val="0"/>
          <w:sz w:val="24"/>
          <w:szCs w:val="24"/>
        </w:rPr>
      </w:pPr>
      <w:r w:rsidRPr="00BC4B60">
        <w:rPr>
          <w:rFonts w:ascii="Book Antiqua" w:hAnsi="Book Antiqua" w:cs="Helvetica"/>
          <w:kern w:val="0"/>
          <w:sz w:val="24"/>
          <w:szCs w:val="24"/>
        </w:rPr>
        <w:t xml:space="preserve">Grade C (Good): </w:t>
      </w:r>
      <w:r w:rsidRPr="00BC4B60">
        <w:rPr>
          <w:rFonts w:ascii="Book Antiqua" w:hAnsi="Book Antiqua" w:cs="Helvetica" w:hint="eastAsia"/>
          <w:kern w:val="0"/>
          <w:sz w:val="24"/>
          <w:szCs w:val="24"/>
        </w:rPr>
        <w:t>C, C</w:t>
      </w:r>
    </w:p>
    <w:p w:rsidR="002A5AE1" w:rsidRPr="00BC4B60" w:rsidRDefault="002A5AE1" w:rsidP="002A5AE1">
      <w:pPr>
        <w:widowControl/>
        <w:shd w:val="clear" w:color="auto" w:fill="FFFFFF"/>
        <w:snapToGrid w:val="0"/>
        <w:spacing w:line="360" w:lineRule="auto"/>
        <w:rPr>
          <w:rFonts w:ascii="Book Antiqua" w:hAnsi="Book Antiqua" w:cs="Helvetica"/>
          <w:kern w:val="0"/>
          <w:sz w:val="24"/>
          <w:szCs w:val="24"/>
        </w:rPr>
      </w:pPr>
      <w:r w:rsidRPr="00BC4B60">
        <w:rPr>
          <w:rFonts w:ascii="Book Antiqua" w:hAnsi="Book Antiqua" w:cs="Helvetica"/>
          <w:kern w:val="0"/>
          <w:sz w:val="24"/>
          <w:szCs w:val="24"/>
        </w:rPr>
        <w:t>Grade D (Fair): D</w:t>
      </w:r>
    </w:p>
    <w:p w:rsidR="002A5AE1" w:rsidRPr="00BC4B60" w:rsidRDefault="002A5AE1" w:rsidP="002A5AE1">
      <w:pPr>
        <w:widowControl/>
        <w:shd w:val="clear" w:color="auto" w:fill="FFFFFF"/>
        <w:snapToGrid w:val="0"/>
        <w:spacing w:line="360" w:lineRule="auto"/>
        <w:rPr>
          <w:rFonts w:ascii="Book Antiqua" w:hAnsi="Book Antiqua" w:cs="Helvetica"/>
          <w:kern w:val="0"/>
          <w:sz w:val="24"/>
          <w:szCs w:val="24"/>
        </w:rPr>
      </w:pPr>
      <w:r w:rsidRPr="00BC4B60">
        <w:rPr>
          <w:rFonts w:ascii="Book Antiqua" w:hAnsi="Book Antiqua" w:cs="Helvetica"/>
          <w:kern w:val="0"/>
          <w:sz w:val="24"/>
          <w:szCs w:val="24"/>
        </w:rPr>
        <w:t xml:space="preserve">Grade E (Poor): </w:t>
      </w:r>
      <w:r w:rsidRPr="00BC4B60">
        <w:rPr>
          <w:rFonts w:ascii="Book Antiqua" w:hAnsi="Book Antiqua" w:cs="Helvetica" w:hint="eastAsia"/>
          <w:kern w:val="0"/>
          <w:sz w:val="24"/>
          <w:szCs w:val="24"/>
        </w:rPr>
        <w:t>0</w:t>
      </w:r>
      <w:bookmarkEnd w:id="1"/>
      <w:bookmarkEnd w:id="2"/>
    </w:p>
    <w:bookmarkEnd w:id="3"/>
    <w:bookmarkEnd w:id="4"/>
    <w:p w:rsidR="002A5AE1" w:rsidRDefault="002A5AE1" w:rsidP="002A5AE1">
      <w:pPr>
        <w:pStyle w:val="af"/>
      </w:pPr>
      <w:r>
        <w:rPr>
          <w:rFonts w:ascii="Tahoma" w:hAnsi="Tahoma" w:cs="Tahoma"/>
          <w:lang w:val="it-IT"/>
        </w:rPr>
        <w:t>Institutional review board statement</w:t>
      </w:r>
      <w:r w:rsidRPr="00B00C3F">
        <w:rPr>
          <w:rFonts w:ascii="Tahoma" w:hAnsi="Tahoma" w:cs="Tahoma"/>
        </w:rPr>
        <w:t>:</w:t>
      </w:r>
      <w:r>
        <w:rPr>
          <w:b/>
          <w:bCs/>
        </w:rPr>
        <w:t xml:space="preserve"> </w:t>
      </w:r>
      <w:r>
        <w:t>This study was reviewed and approved by the Research Ethics Committee of Aerospace Center Hospital.</w:t>
      </w:r>
    </w:p>
    <w:p w:rsidR="002A5AE1" w:rsidRDefault="002A5AE1" w:rsidP="002A5AE1">
      <w:pPr>
        <w:pStyle w:val="af"/>
        <w:rPr>
          <w:b/>
          <w:bCs/>
        </w:rPr>
      </w:pPr>
      <w:r>
        <w:rPr>
          <w:rFonts w:ascii="Tahoma" w:hAnsi="Tahoma" w:cs="Tahoma"/>
          <w:lang w:val="it-IT"/>
        </w:rPr>
        <w:t>Informed consent statement</w:t>
      </w:r>
      <w:r w:rsidRPr="00B00C3F">
        <w:rPr>
          <w:rFonts w:ascii="Tahoma" w:hAnsi="Tahoma" w:cs="Tahoma"/>
        </w:rPr>
        <w:t>:</w:t>
      </w:r>
      <w:r>
        <w:rPr>
          <w:b/>
          <w:bCs/>
        </w:rPr>
        <w:t xml:space="preserve"> </w:t>
      </w:r>
      <w:r>
        <w:t>All study participants, or their legal guardian, provided informed written consent prior to study enrollment.</w:t>
      </w:r>
    </w:p>
    <w:p w:rsidR="002A5AE1" w:rsidRDefault="002A5AE1" w:rsidP="002A5AE1">
      <w:pPr>
        <w:pStyle w:val="af"/>
        <w:rPr>
          <w:b/>
          <w:bCs/>
          <w:spacing w:val="-4"/>
        </w:rPr>
      </w:pPr>
      <w:r>
        <w:rPr>
          <w:rFonts w:ascii="Tahoma" w:hAnsi="Tahoma" w:cs="Tahoma"/>
          <w:spacing w:val="-4"/>
          <w:lang w:val="it-IT"/>
        </w:rPr>
        <w:t>Conflict-of-interest statement</w:t>
      </w:r>
      <w:r w:rsidRPr="00B00C3F">
        <w:rPr>
          <w:rFonts w:ascii="Tahoma" w:hAnsi="Tahoma" w:cs="Tahoma"/>
          <w:spacing w:val="-4"/>
        </w:rPr>
        <w:t>:</w:t>
      </w:r>
      <w:r>
        <w:rPr>
          <w:b/>
          <w:bCs/>
          <w:spacing w:val="-4"/>
        </w:rPr>
        <w:t xml:space="preserve"> </w:t>
      </w:r>
      <w:r>
        <w:rPr>
          <w:spacing w:val="-4"/>
        </w:rPr>
        <w:t>We have no financial relationships to disclose.</w:t>
      </w:r>
    </w:p>
    <w:p w:rsidR="002A5AE1" w:rsidRDefault="002A5AE1" w:rsidP="002A5AE1">
      <w:pPr>
        <w:pStyle w:val="af"/>
      </w:pPr>
      <w:r>
        <w:rPr>
          <w:rFonts w:ascii="Tahoma" w:hAnsi="Tahoma" w:cs="Tahoma"/>
          <w:lang w:val="it-IT"/>
        </w:rPr>
        <w:t>Data sharing statement</w:t>
      </w:r>
      <w:r w:rsidRPr="00B00C3F">
        <w:rPr>
          <w:rFonts w:ascii="Tahoma" w:hAnsi="Tahoma" w:cs="Tahoma"/>
        </w:rPr>
        <w:t>:</w:t>
      </w:r>
      <w:r>
        <w:rPr>
          <w:b/>
          <w:bCs/>
        </w:rPr>
        <w:t xml:space="preserve"> </w:t>
      </w:r>
      <w:r>
        <w:t>No additional data are available in this manuscript.</w:t>
      </w:r>
    </w:p>
    <w:p w:rsidR="002A5AE1" w:rsidRDefault="002A5AE1" w:rsidP="002A5AE1">
      <w:pPr>
        <w:pStyle w:val="af"/>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lastRenderedPageBreak/>
        <w:t>terms, provided the original work is properly cited and the use is non-commercial. See: http://creativecommons.org/licenses/by-nc/4.0/</w:t>
      </w:r>
    </w:p>
    <w:p w:rsidR="002A5AE1" w:rsidRDefault="002A5AE1" w:rsidP="002A5AE1">
      <w:pPr>
        <w:pStyle w:val="af"/>
        <w:rPr>
          <w:b/>
          <w:bCs/>
        </w:rPr>
      </w:pPr>
      <w:r>
        <w:rPr>
          <w:rFonts w:ascii="Tahoma" w:hAnsi="Tahoma" w:cs="Tahoma"/>
        </w:rPr>
        <w:t>Peer-review started:</w:t>
      </w:r>
      <w:r>
        <w:rPr>
          <w:b/>
          <w:bCs/>
        </w:rPr>
        <w:t xml:space="preserve"> </w:t>
      </w:r>
      <w:r>
        <w:t>December 14, 2016</w:t>
      </w:r>
    </w:p>
    <w:p w:rsidR="002A5AE1" w:rsidRDefault="002A5AE1" w:rsidP="002A5AE1">
      <w:pPr>
        <w:pStyle w:val="af"/>
        <w:rPr>
          <w:b/>
          <w:bCs/>
        </w:rPr>
      </w:pPr>
      <w:r>
        <w:rPr>
          <w:rFonts w:ascii="Tahoma" w:hAnsi="Tahoma" w:cs="Tahoma"/>
        </w:rPr>
        <w:t>First decision:</w:t>
      </w:r>
      <w:r>
        <w:rPr>
          <w:b/>
          <w:bCs/>
        </w:rPr>
        <w:t xml:space="preserve"> </w:t>
      </w:r>
      <w:r>
        <w:t>December 29, 2016</w:t>
      </w:r>
    </w:p>
    <w:p w:rsidR="002A5AE1" w:rsidRDefault="002A5AE1" w:rsidP="002A5AE1">
      <w:pPr>
        <w:pStyle w:val="af"/>
      </w:pPr>
      <w:r>
        <w:rPr>
          <w:rFonts w:ascii="Tahoma" w:hAnsi="Tahoma" w:cs="Tahoma"/>
        </w:rPr>
        <w:t>Article in press:</w:t>
      </w:r>
      <w:r>
        <w:t xml:space="preserve"> March 15, 2017</w:t>
      </w:r>
    </w:p>
    <w:p w:rsidR="002A5AE1" w:rsidRPr="00B00C3F" w:rsidRDefault="002A5AE1" w:rsidP="002A5AE1">
      <w:pPr>
        <w:pStyle w:val="af3"/>
        <w:rPr>
          <w:rFonts w:ascii="Times New Roman" w:hAnsi="Times New Roman" w:cs="Times New Roman" w:hint="eastAsia"/>
          <w:spacing w:val="-1"/>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w:t>
      </w:r>
      <w:proofErr w:type="spellStart"/>
      <w:r>
        <w:rPr>
          <w:rFonts w:ascii="Times New Roman" w:hAnsi="Times New Roman" w:cs="Times New Roman"/>
          <w:spacing w:val="-1"/>
        </w:rPr>
        <w:t>Abenavoli</w:t>
      </w:r>
      <w:proofErr w:type="spellEnd"/>
      <w:r>
        <w:rPr>
          <w:rFonts w:ascii="Times New Roman" w:hAnsi="Times New Roman" w:cs="Times New Roman"/>
          <w:spacing w:val="-1"/>
        </w:rPr>
        <w:t xml:space="preserve"> L, </w:t>
      </w:r>
      <w:proofErr w:type="spellStart"/>
      <w:r>
        <w:rPr>
          <w:rFonts w:ascii="Times New Roman" w:hAnsi="Times New Roman" w:cs="Times New Roman"/>
          <w:spacing w:val="-1"/>
        </w:rPr>
        <w:t>Chmiela</w:t>
      </w:r>
      <w:proofErr w:type="spellEnd"/>
      <w:r>
        <w:rPr>
          <w:rFonts w:ascii="Times New Roman" w:hAnsi="Times New Roman" w:cs="Times New Roman"/>
          <w:spacing w:val="-1"/>
        </w:rPr>
        <w:t xml:space="preserve"> M, </w:t>
      </w:r>
      <w:proofErr w:type="spellStart"/>
      <w:r>
        <w:rPr>
          <w:rFonts w:ascii="Times New Roman" w:hAnsi="Times New Roman" w:cs="Times New Roman"/>
          <w:spacing w:val="-1"/>
        </w:rPr>
        <w:t>Tovey</w:t>
      </w:r>
      <w:proofErr w:type="spellEnd"/>
      <w:r>
        <w:rPr>
          <w:rFonts w:ascii="Times New Roman" w:hAnsi="Times New Roman" w:cs="Times New Roman"/>
          <w:spacing w:val="-1"/>
        </w:rPr>
        <w:t xml:space="preserve"> FI, </w:t>
      </w:r>
      <w:proofErr w:type="spellStart"/>
      <w:r>
        <w:rPr>
          <w:rFonts w:ascii="Times New Roman" w:hAnsi="Times New Roman" w:cs="Times New Roman"/>
          <w:spacing w:val="-1"/>
        </w:rPr>
        <w:t>Vorobjova</w:t>
      </w:r>
      <w:proofErr w:type="spellEnd"/>
      <w:r>
        <w:rPr>
          <w:rFonts w:ascii="Times New Roman" w:hAnsi="Times New Roman" w:cs="Times New Roman"/>
          <w:spacing w:val="-1"/>
        </w:rPr>
        <w:t xml:space="preserve"> T, Yamaoka Y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Gong ZM    </w:t>
      </w:r>
      <w:r>
        <w:rPr>
          <w:rFonts w:ascii="Times New Roman" w:hAnsi="Times New Roman" w:cs="Times New Roman"/>
          <w:b/>
          <w:bCs/>
        </w:rPr>
        <w:t>L- Editor</w:t>
      </w:r>
      <w:r>
        <w:rPr>
          <w:rFonts w:ascii="Times New Roman" w:hAnsi="Times New Roman" w:cs="Times New Roman"/>
        </w:rPr>
        <w:t xml:space="preserve">: Wang TQ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Wang CH</w:t>
      </w:r>
      <w:r>
        <w:rPr>
          <w:rFonts w:ascii="Times New Roman" w:hAnsi="Times New Roman" w:cs="Times New Roman"/>
          <w:b/>
          <w:bCs/>
        </w:rPr>
        <w:t xml:space="preserve">  </w:t>
      </w:r>
    </w:p>
    <w:p w:rsidR="002A5AE1" w:rsidRPr="00B00C3F"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Pr="00B00C3F" w:rsidRDefault="002A5AE1" w:rsidP="002A5AE1">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5953760"/>
                <wp:effectExtent l="9525" t="9525" r="12065" b="88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5953760"/>
                        </a:xfrm>
                        <a:prstGeom prst="rect">
                          <a:avLst/>
                        </a:prstGeom>
                        <a:solidFill>
                          <a:srgbClr val="FFFFFF"/>
                        </a:solidFill>
                        <a:ln w="9525">
                          <a:solidFill>
                            <a:srgbClr val="000000"/>
                          </a:solidFill>
                          <a:miter lim="800000"/>
                          <a:headEnd/>
                          <a:tailEnd/>
                        </a:ln>
                      </wps:spPr>
                      <wps:txbx>
                        <w:txbxContent>
                          <w:p w:rsidR="002A5AE1" w:rsidRPr="00B00C3F" w:rsidRDefault="002A5AE1" w:rsidP="002A5AE1">
                            <w:pPr>
                              <w:rPr>
                                <w:b/>
                                <w:bCs/>
                              </w:rPr>
                            </w:pPr>
                            <w:r w:rsidRPr="00B00C3F">
                              <w:rPr>
                                <w:b/>
                                <w:bCs/>
                              </w:rPr>
                              <w:t xml:space="preserve">Table </w:t>
                            </w:r>
                            <w:proofErr w:type="gramStart"/>
                            <w:r w:rsidRPr="00B00C3F">
                              <w:rPr>
                                <w:b/>
                                <w:bCs/>
                              </w:rPr>
                              <w:t>1  The</w:t>
                            </w:r>
                            <w:proofErr w:type="gramEnd"/>
                            <w:r w:rsidRPr="00B00C3F">
                              <w:rPr>
                                <w:b/>
                                <w:bCs/>
                              </w:rPr>
                              <w:t xml:space="preserve"> characteristics</w:t>
                            </w:r>
                            <w:r>
                              <w:rPr>
                                <w:b/>
                                <w:bCs/>
                              </w:rPr>
                              <w:t xml:space="preserve"> of subjects at study baseline </w:t>
                            </w:r>
                            <w:r w:rsidRPr="00B00C3F">
                              <w:rPr>
                                <w:b/>
                                <w:bCs/>
                                <w:i/>
                                <w:iCs/>
                              </w:rPr>
                              <w:t>n</w:t>
                            </w:r>
                            <w:r w:rsidRPr="00B00C3F">
                              <w:rPr>
                                <w:b/>
                                <w:bCs/>
                              </w:rPr>
                              <w:t xml:space="preserve"> (%)</w:t>
                            </w:r>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3204"/>
                              <w:gridCol w:w="1479"/>
                              <w:gridCol w:w="1946"/>
                              <w:gridCol w:w="1750"/>
                              <w:gridCol w:w="1123"/>
                            </w:tblGrid>
                            <w:tr w:rsidR="002A5AE1" w:rsidRPr="00B00C3F" w:rsidTr="00B00C3F">
                              <w:tblPrEx>
                                <w:tblCellMar>
                                  <w:top w:w="0" w:type="dxa"/>
                                  <w:left w:w="0" w:type="dxa"/>
                                  <w:bottom w:w="0" w:type="dxa"/>
                                  <w:right w:w="0" w:type="dxa"/>
                                </w:tblCellMar>
                              </w:tblPrEx>
                              <w:trPr>
                                <w:trHeight w:val="224"/>
                              </w:trPr>
                              <w:tc>
                                <w:tcPr>
                                  <w:tcW w:w="1686" w:type="pct"/>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Variable</w:t>
                                  </w:r>
                                </w:p>
                              </w:tc>
                              <w:tc>
                                <w:tcPr>
                                  <w:tcW w:w="778" w:type="pct"/>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Total (</w:t>
                                  </w:r>
                                  <w:r w:rsidRPr="00B00C3F">
                                    <w:rPr>
                                      <w:rFonts w:ascii="Albertus Bold Italic" w:hAnsi="Albertus Bold Italic" w:cs="Albertus Bold Italic"/>
                                      <w:b/>
                                      <w:bCs/>
                                      <w:i/>
                                      <w:iCs/>
                                      <w:color w:val="000000"/>
                                      <w:kern w:val="0"/>
                                      <w:sz w:val="14"/>
                                      <w:szCs w:val="14"/>
                                      <w:lang w:val="zh-CN"/>
                                    </w:rPr>
                                    <w:t>n</w:t>
                                  </w:r>
                                  <w:r w:rsidRPr="00B00C3F">
                                    <w:rPr>
                                      <w:rFonts w:ascii="Albertus-Bold" w:hAnsi="Albertus-Bold" w:cs="Albertus-Bold"/>
                                      <w:b/>
                                      <w:bCs/>
                                      <w:color w:val="000000"/>
                                      <w:kern w:val="0"/>
                                      <w:sz w:val="14"/>
                                      <w:szCs w:val="14"/>
                                      <w:lang w:val="zh-CN"/>
                                    </w:rPr>
                                    <w:t xml:space="preserve"> = 3039)</w:t>
                                  </w:r>
                                </w:p>
                              </w:tc>
                              <w:tc>
                                <w:tcPr>
                                  <w:tcW w:w="2536" w:type="pct"/>
                                  <w:gridSpan w:val="3"/>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Baseline data</w:t>
                                  </w:r>
                                </w:p>
                              </w:tc>
                            </w:tr>
                            <w:tr w:rsidR="002A5AE1" w:rsidRPr="00B00C3F" w:rsidTr="00B00C3F">
                              <w:tblPrEx>
                                <w:tblCellMar>
                                  <w:top w:w="0" w:type="dxa"/>
                                  <w:left w:w="0" w:type="dxa"/>
                                  <w:bottom w:w="0" w:type="dxa"/>
                                  <w:right w:w="0" w:type="dxa"/>
                                </w:tblCellMar>
                              </w:tblPrEx>
                              <w:trPr>
                                <w:trHeight w:val="252"/>
                              </w:trPr>
                              <w:tc>
                                <w:tcPr>
                                  <w:tcW w:w="1686" w:type="pct"/>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778" w:type="pct"/>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1024" w:type="pct"/>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H. pylori</w:t>
                                  </w:r>
                                  <w:r w:rsidRPr="00B00C3F">
                                    <w:rPr>
                                      <w:rFonts w:ascii="Albertus-Bold" w:hAnsi="Albertus-Bold" w:cs="Albertus-Bold"/>
                                      <w:b/>
                                      <w:bCs/>
                                      <w:color w:val="000000"/>
                                      <w:kern w:val="0"/>
                                      <w:sz w:val="14"/>
                                      <w:szCs w:val="14"/>
                                      <w:lang w:val="zh-CN"/>
                                    </w:rPr>
                                    <w:t xml:space="preserve"> (+)</w:t>
                                  </w:r>
                                </w:p>
                              </w:tc>
                              <w:tc>
                                <w:tcPr>
                                  <w:tcW w:w="921" w:type="pct"/>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H. pylori</w:t>
                                  </w:r>
                                  <w:r w:rsidRPr="00B00C3F">
                                    <w:rPr>
                                      <w:rFonts w:ascii="Albertus-Bold" w:hAnsi="Albertus-Bold" w:cs="Albertus-Bold"/>
                                      <w:b/>
                                      <w:bCs/>
                                      <w:color w:val="000000"/>
                                      <w:kern w:val="0"/>
                                      <w:sz w:val="14"/>
                                      <w:szCs w:val="14"/>
                                      <w:lang w:val="zh-CN"/>
                                    </w:rPr>
                                    <w:t xml:space="preserve"> (-)</w:t>
                                  </w:r>
                                </w:p>
                              </w:tc>
                              <w:tc>
                                <w:tcPr>
                                  <w:tcW w:w="590" w:type="pct"/>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r>
                            <w:tr w:rsidR="002A5AE1" w:rsidRPr="00B00C3F" w:rsidTr="00B00C3F">
                              <w:tblPrEx>
                                <w:tblCellMar>
                                  <w:top w:w="0" w:type="dxa"/>
                                  <w:left w:w="0" w:type="dxa"/>
                                  <w:bottom w:w="0" w:type="dxa"/>
                                  <w:right w:w="0" w:type="dxa"/>
                                </w:tblCellMar>
                              </w:tblPrEx>
                              <w:trPr>
                                <w:trHeight w:val="60"/>
                              </w:trPr>
                              <w:tc>
                                <w:tcPr>
                                  <w:tcW w:w="1686" w:type="pct"/>
                                  <w:tcBorders>
                                    <w:top w:val="single" w:sz="6" w:space="0" w:color="000000"/>
                                    <w:bottom w:val="nil"/>
                                  </w:tcBorders>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Age (</w:t>
                                  </w:r>
                                  <w:proofErr w:type="spellStart"/>
                                  <w:r w:rsidRPr="002A5AE1">
                                    <w:rPr>
                                      <w:rFonts w:ascii="Book Antiqua" w:hAnsi="Book Antiqua" w:cs="Book Antiqua"/>
                                      <w:bCs/>
                                      <w:color w:val="000000"/>
                                      <w:kern w:val="0"/>
                                      <w:sz w:val="14"/>
                                      <w:szCs w:val="14"/>
                                    </w:rPr>
                                    <w:t>yr</w:t>
                                  </w:r>
                                  <w:proofErr w:type="spellEnd"/>
                                  <w:r w:rsidRPr="002A5AE1">
                                    <w:rPr>
                                      <w:rFonts w:ascii="Book Antiqua" w:hAnsi="Book Antiqua" w:cs="Book Antiqua"/>
                                      <w:bCs/>
                                      <w:color w:val="000000"/>
                                      <w:kern w:val="0"/>
                                      <w:sz w:val="14"/>
                                      <w:szCs w:val="14"/>
                                    </w:rPr>
                                    <w:t>), mean ± SD</w:t>
                                  </w:r>
                                </w:p>
                              </w:tc>
                              <w:tc>
                                <w:tcPr>
                                  <w:tcW w:w="778"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5AE1">
                                    <w:rPr>
                                      <w:rFonts w:ascii="Book Antiqua" w:hAnsi="Book Antiqua" w:cs="Book Antiqua"/>
                                      <w:bCs/>
                                      <w:color w:val="000000"/>
                                      <w:kern w:val="0"/>
                                      <w:sz w:val="14"/>
                                      <w:szCs w:val="14"/>
                                    </w:rPr>
                                    <w:t xml:space="preserve">  </w:t>
                                  </w:r>
                                  <w:r w:rsidRPr="00B00C3F">
                                    <w:rPr>
                                      <w:rFonts w:ascii="Book Antiqua" w:hAnsi="Book Antiqua" w:cs="Book Antiqua"/>
                                      <w:bCs/>
                                      <w:color w:val="000000"/>
                                      <w:kern w:val="0"/>
                                      <w:sz w:val="14"/>
                                      <w:szCs w:val="14"/>
                                      <w:lang w:val="zh-CN"/>
                                    </w:rPr>
                                    <w:t>49 ± 19</w:t>
                                  </w:r>
                                </w:p>
                              </w:tc>
                              <w:tc>
                                <w:tcPr>
                                  <w:tcW w:w="1024"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50 ± 19</w:t>
                                  </w:r>
                                </w:p>
                              </w:tc>
                              <w:tc>
                                <w:tcPr>
                                  <w:tcW w:w="921"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47 ± 19</w:t>
                                  </w:r>
                                </w:p>
                              </w:tc>
                              <w:tc>
                                <w:tcPr>
                                  <w:tcW w:w="590"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r>
                            <w:tr w:rsidR="002A5AE1" w:rsidRPr="00B00C3F" w:rsidTr="00B00C3F">
                              <w:tblPrEx>
                                <w:tblCellMar>
                                  <w:top w:w="0" w:type="dxa"/>
                                  <w:left w:w="0" w:type="dxa"/>
                                  <w:bottom w:w="0" w:type="dxa"/>
                                  <w:right w:w="0" w:type="dxa"/>
                                </w:tblCellMar>
                              </w:tblPrEx>
                              <w:trPr>
                                <w:trHeight w:val="60"/>
                              </w:trPr>
                              <w:tc>
                                <w:tcPr>
                                  <w:tcW w:w="1686"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w:t>
                                  </w:r>
                                  <w:r w:rsidRPr="00B00C3F">
                                    <w:rPr>
                                      <w:rFonts w:ascii="宋体" w:hAnsi="Book Antiqua" w:cs="宋体" w:hint="eastAsia"/>
                                      <w:color w:val="000000"/>
                                      <w:kern w:val="0"/>
                                      <w:sz w:val="12"/>
                                      <w:szCs w:val="12"/>
                                    </w:rPr>
                                    <w:t>≤</w:t>
                                  </w:r>
                                  <w:r w:rsidRPr="00B00C3F">
                                    <w:rPr>
                                      <w:rFonts w:ascii="Book Antiqua" w:hAnsi="Book Antiqua" w:cs="Book Antiqua"/>
                                      <w:bCs/>
                                      <w:color w:val="000000"/>
                                      <w:kern w:val="0"/>
                                      <w:sz w:val="14"/>
                                      <w:szCs w:val="14"/>
                                      <w:lang w:val="zh-CN"/>
                                    </w:rPr>
                                    <w:t xml:space="preserve"> 45</w:t>
                                  </w:r>
                                </w:p>
                              </w:tc>
                              <w:tc>
                                <w:tcPr>
                                  <w:tcW w:w="778"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1513 (49.8)</w:t>
                                  </w:r>
                                </w:p>
                              </w:tc>
                              <w:tc>
                                <w:tcPr>
                                  <w:tcW w:w="1024"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737 (48.7)</w:t>
                                  </w:r>
                                </w:p>
                              </w:tc>
                              <w:tc>
                                <w:tcPr>
                                  <w:tcW w:w="921"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776 (51.3)</w:t>
                                  </w:r>
                                </w:p>
                              </w:tc>
                              <w:tc>
                                <w:tcPr>
                                  <w:tcW w:w="590"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45-60</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523 (17.2)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319 (61.0)</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204 (39.0)</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&gt; 60</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1003 (33.0)</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583 (58.1)</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420 (41.9)</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Sex, female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248 (8.2)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137 (55.4)</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111 (44.6)</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0.662</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Marriage, single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734 (24.2)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358 (48.8)</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376 (51.2)</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0.001</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Underlying disease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770 (25.4)</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446 (57.9)</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324 (42.1)</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0.010</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Diabetes</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207 (6.8)</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121 (58.5)</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86 (41.6)</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0.175</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Hypertension</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642 (21.1)</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369 (57.5)</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273 (42.5)</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0.042</w:t>
                                  </w:r>
                                </w:p>
                              </w:tc>
                            </w:tr>
                            <w:tr w:rsidR="002A5AE1" w:rsidRPr="00B00C3F" w:rsidTr="00B00C3F">
                              <w:tblPrEx>
                                <w:tblCellMar>
                                  <w:top w:w="0" w:type="dxa"/>
                                  <w:left w:w="0" w:type="dxa"/>
                                  <w:bottom w:w="0" w:type="dxa"/>
                                  <w:right w:w="0" w:type="dxa"/>
                                </w:tblCellMar>
                              </w:tblPrEx>
                              <w:trPr>
                                <w:trHeight w:val="196"/>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w:t>
                                  </w:r>
                                  <w:r w:rsidRPr="00B00C3F">
                                    <w:rPr>
                                      <w:rFonts w:ascii="Book Antiqua" w:hAnsi="Book Antiqua" w:cs="Book Antiqua"/>
                                      <w:bCs/>
                                      <w:color w:val="000000"/>
                                      <w:spacing w:val="-3"/>
                                      <w:kern w:val="0"/>
                                      <w:sz w:val="14"/>
                                      <w:szCs w:val="14"/>
                                      <w:lang w:val="zh-CN"/>
                                    </w:rPr>
                                    <w:t>Coronary heart disease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177 (5.8)</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99 (55.9)</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78 (44.1)</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0.579</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LDL &gt; 3.1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816 (28.1)</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465 (57.0)</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351 (43.0)</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0.092</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HDL &lt; 0.83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823 (28.4)</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469 (57.0)</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354 (43.0)</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0.090</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TG &gt; 1.71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861 (28.3)</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488 (56.7)</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373 (43.3)</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0.056</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TC &gt; 5.7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614 (20.2)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336 (54.7)</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278 (45.3)</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0.660</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FBG &gt; 6.1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439 (14.5)</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258 (58.8)</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181 (41.2)</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0.028</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BMI, kg/m</w:t>
                                  </w:r>
                                  <w:r w:rsidRPr="00B00C3F">
                                    <w:rPr>
                                      <w:rFonts w:ascii="Book Antiqua" w:hAnsi="Book Antiqua" w:cs="Book Antiqua"/>
                                      <w:bCs/>
                                      <w:color w:val="000000"/>
                                      <w:kern w:val="0"/>
                                      <w:sz w:val="14"/>
                                      <w:szCs w:val="14"/>
                                      <w:vertAlign w:val="superscript"/>
                                      <w:lang w:val="zh-CN"/>
                                    </w:rPr>
                                    <w:t>2</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24.5 ± 3.3</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24.5 ± 3.2</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24.4 ± 3.3</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0.221</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Underweight</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62 (2.0)</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34 (54.8)</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28 (45.2)</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0.146</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Normal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1342 (44.2)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693 (51.6)</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649 (48.4)</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Overweight</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1247 (41.0)</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700 (56.1)</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547 (43.9)</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Obese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388 (12.8)</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212 (54.6)</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176 (45.4)</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bl>
                          <w:p w:rsidR="002A5AE1" w:rsidRPr="002A5AE1" w:rsidRDefault="002A5AE1" w:rsidP="002A5AE1">
                            <w:pPr>
                              <w:pStyle w:val="af4"/>
                              <w:rPr>
                                <w:lang w:val="en-US"/>
                              </w:rPr>
                            </w:pPr>
                            <w:r w:rsidRPr="00B00C3F">
                              <w:rPr>
                                <w:b w:val="0"/>
                                <w:lang w:val="en-US"/>
                              </w:rPr>
                              <w:t xml:space="preserve">BMI: Body mass index; LDL: Low density lipoprotein; HDL: High density lipoprotein; FBG: Fasting blood glucose; TG: Triglycerides; TC: Total cholesterol; </w:t>
                            </w:r>
                            <w:r w:rsidRPr="00B00C3F">
                              <w:rPr>
                                <w:b w:val="0"/>
                                <w:bCs w:val="0"/>
                                <w:i/>
                                <w:iCs/>
                                <w:lang w:val="en-US"/>
                              </w:rPr>
                              <w:t>H. pylori</w:t>
                            </w:r>
                            <w:r w:rsidRPr="00B00C3F">
                              <w:rPr>
                                <w:b w:val="0"/>
                                <w:lang w:val="en-US"/>
                              </w:rPr>
                              <w:t xml:space="preserve">: </w:t>
                            </w:r>
                            <w:r w:rsidRPr="00B00C3F">
                              <w:rPr>
                                <w:b w:val="0"/>
                                <w:bCs w:val="0"/>
                                <w:i/>
                                <w:iCs/>
                                <w:lang w:val="en-US"/>
                              </w:rPr>
                              <w:t>Helicobacter pylori</w:t>
                            </w:r>
                            <w:r w:rsidRPr="00B00C3F">
                              <w:rPr>
                                <w:b w:val="0"/>
                                <w:lang w:val="en-US"/>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46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">
                <v:textbox style="mso-fit-shape-to-text:t">
                  <w:txbxContent>
                    <w:p w:rsidR="002A5AE1" w:rsidRPr="00B00C3F" w:rsidRDefault="002A5AE1" w:rsidP="002A5AE1">
                      <w:pPr>
                        <w:rPr>
                          <w:b/>
                          <w:bCs/>
                        </w:rPr>
                      </w:pPr>
                      <w:r w:rsidRPr="00B00C3F">
                        <w:rPr>
                          <w:b/>
                          <w:bCs/>
                        </w:rPr>
                        <w:t xml:space="preserve">Table </w:t>
                      </w:r>
                      <w:proofErr w:type="gramStart"/>
                      <w:r w:rsidRPr="00B00C3F">
                        <w:rPr>
                          <w:b/>
                          <w:bCs/>
                        </w:rPr>
                        <w:t>1  The</w:t>
                      </w:r>
                      <w:proofErr w:type="gramEnd"/>
                      <w:r w:rsidRPr="00B00C3F">
                        <w:rPr>
                          <w:b/>
                          <w:bCs/>
                        </w:rPr>
                        <w:t xml:space="preserve"> characteristics</w:t>
                      </w:r>
                      <w:r>
                        <w:rPr>
                          <w:b/>
                          <w:bCs/>
                        </w:rPr>
                        <w:t xml:space="preserve"> of subjects at study baseline </w:t>
                      </w:r>
                      <w:r w:rsidRPr="00B00C3F">
                        <w:rPr>
                          <w:b/>
                          <w:bCs/>
                          <w:i/>
                          <w:iCs/>
                        </w:rPr>
                        <w:t>n</w:t>
                      </w:r>
                      <w:r w:rsidRPr="00B00C3F">
                        <w:rPr>
                          <w:b/>
                          <w:bCs/>
                        </w:rPr>
                        <w:t xml:space="preserve"> (%)</w:t>
                      </w:r>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3204"/>
                        <w:gridCol w:w="1479"/>
                        <w:gridCol w:w="1946"/>
                        <w:gridCol w:w="1750"/>
                        <w:gridCol w:w="1123"/>
                      </w:tblGrid>
                      <w:tr w:rsidR="002A5AE1" w:rsidRPr="00B00C3F" w:rsidTr="00B00C3F">
                        <w:tblPrEx>
                          <w:tblCellMar>
                            <w:top w:w="0" w:type="dxa"/>
                            <w:left w:w="0" w:type="dxa"/>
                            <w:bottom w:w="0" w:type="dxa"/>
                            <w:right w:w="0" w:type="dxa"/>
                          </w:tblCellMar>
                        </w:tblPrEx>
                        <w:trPr>
                          <w:trHeight w:val="224"/>
                        </w:trPr>
                        <w:tc>
                          <w:tcPr>
                            <w:tcW w:w="1686" w:type="pct"/>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Variable</w:t>
                            </w:r>
                          </w:p>
                        </w:tc>
                        <w:tc>
                          <w:tcPr>
                            <w:tcW w:w="778" w:type="pct"/>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Total (</w:t>
                            </w:r>
                            <w:r w:rsidRPr="00B00C3F">
                              <w:rPr>
                                <w:rFonts w:ascii="Albertus Bold Italic" w:hAnsi="Albertus Bold Italic" w:cs="Albertus Bold Italic"/>
                                <w:b/>
                                <w:bCs/>
                                <w:i/>
                                <w:iCs/>
                                <w:color w:val="000000"/>
                                <w:kern w:val="0"/>
                                <w:sz w:val="14"/>
                                <w:szCs w:val="14"/>
                                <w:lang w:val="zh-CN"/>
                              </w:rPr>
                              <w:t>n</w:t>
                            </w:r>
                            <w:r w:rsidRPr="00B00C3F">
                              <w:rPr>
                                <w:rFonts w:ascii="Albertus-Bold" w:hAnsi="Albertus-Bold" w:cs="Albertus-Bold"/>
                                <w:b/>
                                <w:bCs/>
                                <w:color w:val="000000"/>
                                <w:kern w:val="0"/>
                                <w:sz w:val="14"/>
                                <w:szCs w:val="14"/>
                                <w:lang w:val="zh-CN"/>
                              </w:rPr>
                              <w:t xml:space="preserve"> = 3039)</w:t>
                            </w:r>
                          </w:p>
                        </w:tc>
                        <w:tc>
                          <w:tcPr>
                            <w:tcW w:w="2536" w:type="pct"/>
                            <w:gridSpan w:val="3"/>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Baseline data</w:t>
                            </w:r>
                          </w:p>
                        </w:tc>
                      </w:tr>
                      <w:tr w:rsidR="002A5AE1" w:rsidRPr="00B00C3F" w:rsidTr="00B00C3F">
                        <w:tblPrEx>
                          <w:tblCellMar>
                            <w:top w:w="0" w:type="dxa"/>
                            <w:left w:w="0" w:type="dxa"/>
                            <w:bottom w:w="0" w:type="dxa"/>
                            <w:right w:w="0" w:type="dxa"/>
                          </w:tblCellMar>
                        </w:tblPrEx>
                        <w:trPr>
                          <w:trHeight w:val="252"/>
                        </w:trPr>
                        <w:tc>
                          <w:tcPr>
                            <w:tcW w:w="1686" w:type="pct"/>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778" w:type="pct"/>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1024" w:type="pct"/>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H. pylori</w:t>
                            </w:r>
                            <w:r w:rsidRPr="00B00C3F">
                              <w:rPr>
                                <w:rFonts w:ascii="Albertus-Bold" w:hAnsi="Albertus-Bold" w:cs="Albertus-Bold"/>
                                <w:b/>
                                <w:bCs/>
                                <w:color w:val="000000"/>
                                <w:kern w:val="0"/>
                                <w:sz w:val="14"/>
                                <w:szCs w:val="14"/>
                                <w:lang w:val="zh-CN"/>
                              </w:rPr>
                              <w:t xml:space="preserve"> (+)</w:t>
                            </w:r>
                          </w:p>
                        </w:tc>
                        <w:tc>
                          <w:tcPr>
                            <w:tcW w:w="921" w:type="pct"/>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H. pylori</w:t>
                            </w:r>
                            <w:r w:rsidRPr="00B00C3F">
                              <w:rPr>
                                <w:rFonts w:ascii="Albertus-Bold" w:hAnsi="Albertus-Bold" w:cs="Albertus-Bold"/>
                                <w:b/>
                                <w:bCs/>
                                <w:color w:val="000000"/>
                                <w:kern w:val="0"/>
                                <w:sz w:val="14"/>
                                <w:szCs w:val="14"/>
                                <w:lang w:val="zh-CN"/>
                              </w:rPr>
                              <w:t xml:space="preserve"> (-)</w:t>
                            </w:r>
                          </w:p>
                        </w:tc>
                        <w:tc>
                          <w:tcPr>
                            <w:tcW w:w="590" w:type="pct"/>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r>
                      <w:tr w:rsidR="002A5AE1" w:rsidRPr="00B00C3F" w:rsidTr="00B00C3F">
                        <w:tblPrEx>
                          <w:tblCellMar>
                            <w:top w:w="0" w:type="dxa"/>
                            <w:left w:w="0" w:type="dxa"/>
                            <w:bottom w:w="0" w:type="dxa"/>
                            <w:right w:w="0" w:type="dxa"/>
                          </w:tblCellMar>
                        </w:tblPrEx>
                        <w:trPr>
                          <w:trHeight w:val="60"/>
                        </w:trPr>
                        <w:tc>
                          <w:tcPr>
                            <w:tcW w:w="1686" w:type="pct"/>
                            <w:tcBorders>
                              <w:top w:val="single" w:sz="6" w:space="0" w:color="000000"/>
                              <w:bottom w:val="nil"/>
                            </w:tcBorders>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Age (</w:t>
                            </w:r>
                            <w:proofErr w:type="spellStart"/>
                            <w:r w:rsidRPr="002A5AE1">
                              <w:rPr>
                                <w:rFonts w:ascii="Book Antiqua" w:hAnsi="Book Antiqua" w:cs="Book Antiqua"/>
                                <w:bCs/>
                                <w:color w:val="000000"/>
                                <w:kern w:val="0"/>
                                <w:sz w:val="14"/>
                                <w:szCs w:val="14"/>
                              </w:rPr>
                              <w:t>yr</w:t>
                            </w:r>
                            <w:proofErr w:type="spellEnd"/>
                            <w:r w:rsidRPr="002A5AE1">
                              <w:rPr>
                                <w:rFonts w:ascii="Book Antiqua" w:hAnsi="Book Antiqua" w:cs="Book Antiqua"/>
                                <w:bCs/>
                                <w:color w:val="000000"/>
                                <w:kern w:val="0"/>
                                <w:sz w:val="14"/>
                                <w:szCs w:val="14"/>
                              </w:rPr>
                              <w:t>), mean ± SD</w:t>
                            </w:r>
                          </w:p>
                        </w:tc>
                        <w:tc>
                          <w:tcPr>
                            <w:tcW w:w="778"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5AE1">
                              <w:rPr>
                                <w:rFonts w:ascii="Book Antiqua" w:hAnsi="Book Antiqua" w:cs="Book Antiqua"/>
                                <w:bCs/>
                                <w:color w:val="000000"/>
                                <w:kern w:val="0"/>
                                <w:sz w:val="14"/>
                                <w:szCs w:val="14"/>
                              </w:rPr>
                              <w:t xml:space="preserve">  </w:t>
                            </w:r>
                            <w:r w:rsidRPr="00B00C3F">
                              <w:rPr>
                                <w:rFonts w:ascii="Book Antiqua" w:hAnsi="Book Antiqua" w:cs="Book Antiqua"/>
                                <w:bCs/>
                                <w:color w:val="000000"/>
                                <w:kern w:val="0"/>
                                <w:sz w:val="14"/>
                                <w:szCs w:val="14"/>
                                <w:lang w:val="zh-CN"/>
                              </w:rPr>
                              <w:t>49 ± 19</w:t>
                            </w:r>
                          </w:p>
                        </w:tc>
                        <w:tc>
                          <w:tcPr>
                            <w:tcW w:w="1024"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50 ± 19</w:t>
                            </w:r>
                          </w:p>
                        </w:tc>
                        <w:tc>
                          <w:tcPr>
                            <w:tcW w:w="921"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47 ± 19</w:t>
                            </w:r>
                          </w:p>
                        </w:tc>
                        <w:tc>
                          <w:tcPr>
                            <w:tcW w:w="590" w:type="pct"/>
                            <w:tcBorders>
                              <w:top w:val="single" w:sz="6" w:space="0" w:color="000000"/>
                              <w:bottom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r>
                      <w:tr w:rsidR="002A5AE1" w:rsidRPr="00B00C3F" w:rsidTr="00B00C3F">
                        <w:tblPrEx>
                          <w:tblCellMar>
                            <w:top w:w="0" w:type="dxa"/>
                            <w:left w:w="0" w:type="dxa"/>
                            <w:bottom w:w="0" w:type="dxa"/>
                            <w:right w:w="0" w:type="dxa"/>
                          </w:tblCellMar>
                        </w:tblPrEx>
                        <w:trPr>
                          <w:trHeight w:val="60"/>
                        </w:trPr>
                        <w:tc>
                          <w:tcPr>
                            <w:tcW w:w="1686"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w:t>
                            </w:r>
                            <w:r w:rsidRPr="00B00C3F">
                              <w:rPr>
                                <w:rFonts w:ascii="宋体" w:hAnsi="Book Antiqua" w:cs="宋体" w:hint="eastAsia"/>
                                <w:color w:val="000000"/>
                                <w:kern w:val="0"/>
                                <w:sz w:val="12"/>
                                <w:szCs w:val="12"/>
                              </w:rPr>
                              <w:t>≤</w:t>
                            </w:r>
                            <w:r w:rsidRPr="00B00C3F">
                              <w:rPr>
                                <w:rFonts w:ascii="Book Antiqua" w:hAnsi="Book Antiqua" w:cs="Book Antiqua"/>
                                <w:bCs/>
                                <w:color w:val="000000"/>
                                <w:kern w:val="0"/>
                                <w:sz w:val="14"/>
                                <w:szCs w:val="14"/>
                                <w:lang w:val="zh-CN"/>
                              </w:rPr>
                              <w:t xml:space="preserve"> 45</w:t>
                            </w:r>
                          </w:p>
                        </w:tc>
                        <w:tc>
                          <w:tcPr>
                            <w:tcW w:w="778"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1513 (49.8)</w:t>
                            </w:r>
                          </w:p>
                        </w:tc>
                        <w:tc>
                          <w:tcPr>
                            <w:tcW w:w="1024"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737 (48.7)</w:t>
                            </w:r>
                          </w:p>
                        </w:tc>
                        <w:tc>
                          <w:tcPr>
                            <w:tcW w:w="921"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776 (51.3)</w:t>
                            </w:r>
                          </w:p>
                        </w:tc>
                        <w:tc>
                          <w:tcPr>
                            <w:tcW w:w="590" w:type="pct"/>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45-60</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523 (17.2)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319 (61.0)</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204 (39.0)</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&gt; 60</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1003 (33.0)</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583 (58.1)</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420 (41.9)</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Sex, female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248 (8.2)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137 (55.4)</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111 (44.6)</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0.662</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Marriage, single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734 (24.2)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358 (48.8)</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376 (51.2)</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0.001</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Underlying disease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770 (25.4)</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446 (57.9)</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324 (42.1)</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0.010</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Diabetes</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207 (6.8)</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121 (58.5)</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86 (41.6)</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0.175</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Hypertension</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642 (21.1)</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369 (57.5)</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273 (42.5)</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0.042</w:t>
                            </w:r>
                          </w:p>
                        </w:tc>
                      </w:tr>
                      <w:tr w:rsidR="002A5AE1" w:rsidRPr="00B00C3F" w:rsidTr="00B00C3F">
                        <w:tblPrEx>
                          <w:tblCellMar>
                            <w:top w:w="0" w:type="dxa"/>
                            <w:left w:w="0" w:type="dxa"/>
                            <w:bottom w:w="0" w:type="dxa"/>
                            <w:right w:w="0" w:type="dxa"/>
                          </w:tblCellMar>
                        </w:tblPrEx>
                        <w:trPr>
                          <w:trHeight w:val="196"/>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w:t>
                            </w:r>
                            <w:r w:rsidRPr="00B00C3F">
                              <w:rPr>
                                <w:rFonts w:ascii="Book Antiqua" w:hAnsi="Book Antiqua" w:cs="Book Antiqua"/>
                                <w:bCs/>
                                <w:color w:val="000000"/>
                                <w:spacing w:val="-3"/>
                                <w:kern w:val="0"/>
                                <w:sz w:val="14"/>
                                <w:szCs w:val="14"/>
                                <w:lang w:val="zh-CN"/>
                              </w:rPr>
                              <w:t>Coronary heart disease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177 (5.8)</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99 (55.9)</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78 (44.1)</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0.579</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LDL &gt; 3.1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816 (28.1)</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465 (57.0)</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351 (43.0)</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0.092</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HDL &lt; 0.83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823 (28.4)</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469 (57.0)</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354 (43.0)</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0.090</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TG &gt; 1.71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861 (28.3)</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488 (56.7)</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373 (43.3)</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0.056</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TC &gt; 5.7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614 (20.2)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336 (54.7)</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278 (45.3)</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0.660</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FBG &gt; 6.1 mmol/L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439 (14.5)</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258 (58.8)</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181 (41.2)</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0.028</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BMI, kg/m</w:t>
                            </w:r>
                            <w:r w:rsidRPr="00B00C3F">
                              <w:rPr>
                                <w:rFonts w:ascii="Book Antiqua" w:hAnsi="Book Antiqua" w:cs="Book Antiqua"/>
                                <w:bCs/>
                                <w:color w:val="000000"/>
                                <w:kern w:val="0"/>
                                <w:sz w:val="14"/>
                                <w:szCs w:val="14"/>
                                <w:vertAlign w:val="superscript"/>
                                <w:lang w:val="zh-CN"/>
                              </w:rPr>
                              <w:t>2</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24.5 ± 3.3</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24.5 ± 3.2</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24.4 ± 3.3</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0.221</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Underweight</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62 (2.0)</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34 (54.8)</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28 (45.2)</w:t>
                            </w:r>
                          </w:p>
                        </w:tc>
                        <w:tc>
                          <w:tcPr>
                            <w:tcW w:w="590"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0.146</w:t>
                            </w: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Normal</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1342 (44.2)</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693 (51.6)</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649 (48.4)</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Overweight</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1247 (41.0)</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700 (56.1)</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547 (43.9)</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1686"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Obese</w:t>
                            </w:r>
                          </w:p>
                        </w:tc>
                        <w:tc>
                          <w:tcPr>
                            <w:tcW w:w="778"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388 (12.8)</w:t>
                            </w:r>
                          </w:p>
                        </w:tc>
                        <w:tc>
                          <w:tcPr>
                            <w:tcW w:w="1024"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212 (54.6)</w:t>
                            </w:r>
                          </w:p>
                        </w:tc>
                        <w:tc>
                          <w:tcPr>
                            <w:tcW w:w="921" w:type="pct"/>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176 (45.4)</w:t>
                            </w:r>
                          </w:p>
                        </w:tc>
                        <w:tc>
                          <w:tcPr>
                            <w:tcW w:w="590" w:type="pct"/>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bl>
                    <w:p w:rsidR="002A5AE1" w:rsidRPr="002A5AE1" w:rsidRDefault="002A5AE1" w:rsidP="002A5AE1">
                      <w:pPr>
                        <w:pStyle w:val="af4"/>
                        <w:rPr>
                          <w:lang w:val="en-US"/>
                        </w:rPr>
                      </w:pPr>
                      <w:r w:rsidRPr="00B00C3F">
                        <w:rPr>
                          <w:b w:val="0"/>
                          <w:lang w:val="en-US"/>
                        </w:rPr>
                        <w:t xml:space="preserve">BMI: Body mass index; LDL: Low density lipoprotein; HDL: High density lipoprotein; FBG: Fasting blood glucose; TG: Triglycerides; TC: Total cholesterol; </w:t>
                      </w:r>
                      <w:r w:rsidRPr="00B00C3F">
                        <w:rPr>
                          <w:b w:val="0"/>
                          <w:bCs w:val="0"/>
                          <w:i/>
                          <w:iCs/>
                          <w:lang w:val="en-US"/>
                        </w:rPr>
                        <w:t>H. pylori</w:t>
                      </w:r>
                      <w:r w:rsidRPr="00B00C3F">
                        <w:rPr>
                          <w:b w:val="0"/>
                          <w:lang w:val="en-US"/>
                        </w:rPr>
                        <w:t xml:space="preserve">: </w:t>
                      </w:r>
                      <w:r w:rsidRPr="00B00C3F">
                        <w:rPr>
                          <w:b w:val="0"/>
                          <w:bCs w:val="0"/>
                          <w:i/>
                          <w:iCs/>
                          <w:lang w:val="en-US"/>
                        </w:rPr>
                        <w:t>Helicobacter pylori</w:t>
                      </w:r>
                      <w:r w:rsidRPr="00B00C3F">
                        <w:rPr>
                          <w:b w:val="0"/>
                          <w:lang w:val="en-US"/>
                        </w:rPr>
                        <w:t xml:space="preserve">. </w:t>
                      </w:r>
                    </w:p>
                  </w:txbxContent>
                </v:textbox>
                <w10:wrap type="square"/>
              </v:shape>
            </w:pict>
          </mc:Fallback>
        </mc:AlternateContent>
      </w:r>
    </w:p>
    <w:p w:rsidR="002A5AE1" w:rsidRDefault="002A5AE1" w:rsidP="002A5AE1">
      <w:pPr>
        <w:rPr>
          <w:rFonts w:hint="eastAsia"/>
        </w:rPr>
      </w:pPr>
    </w:p>
    <w:p w:rsidR="002A5AE1" w:rsidRDefault="002A5AE1" w:rsidP="002A5AE1">
      <w:pPr>
        <w:rPr>
          <w:rFonts w:hint="eastAsia"/>
        </w:rPr>
      </w:pPr>
    </w:p>
    <w:p w:rsidR="002A5AE1" w:rsidRPr="00B00C3F"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Pr="00B00C3F" w:rsidRDefault="002A5AE1" w:rsidP="002A5AE1">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3886200"/>
                <wp:effectExtent l="9525" t="9525" r="1206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886200"/>
                        </a:xfrm>
                        <a:prstGeom prst="rect">
                          <a:avLst/>
                        </a:prstGeom>
                        <a:solidFill>
                          <a:srgbClr val="FFFFFF"/>
                        </a:solidFill>
                        <a:ln w="9525">
                          <a:solidFill>
                            <a:srgbClr val="000000"/>
                          </a:solidFill>
                          <a:miter lim="800000"/>
                          <a:headEnd/>
                          <a:tailEnd/>
                        </a:ln>
                      </wps:spPr>
                      <wps:txbx>
                        <w:txbxContent>
                          <w:p w:rsidR="002A5AE1" w:rsidRPr="00B00C3F" w:rsidRDefault="002A5AE1" w:rsidP="002A5AE1">
                            <w:pPr>
                              <w:rPr>
                                <w:b/>
                                <w:bCs/>
                              </w:rPr>
                            </w:pPr>
                            <w:r w:rsidRPr="00B00C3F">
                              <w:rPr>
                                <w:b/>
                                <w:bCs/>
                              </w:rPr>
                              <w:t xml:space="preserve">Table </w:t>
                            </w:r>
                            <w:proofErr w:type="gramStart"/>
                            <w:r w:rsidRPr="00B00C3F">
                              <w:rPr>
                                <w:b/>
                                <w:bCs/>
                              </w:rPr>
                              <w:t>2  The</w:t>
                            </w:r>
                            <w:proofErr w:type="gramEnd"/>
                            <w:r w:rsidRPr="00B00C3F">
                              <w:rPr>
                                <w:b/>
                                <w:bCs/>
                              </w:rPr>
                              <w:t xml:space="preserve"> association between </w:t>
                            </w:r>
                            <w:r w:rsidRPr="00B00C3F">
                              <w:rPr>
                                <w:b/>
                                <w:bCs/>
                                <w:i/>
                                <w:iCs/>
                              </w:rPr>
                              <w:t>Helicobacter pylori</w:t>
                            </w:r>
                            <w:r w:rsidRPr="00B00C3F">
                              <w:rPr>
                                <w:b/>
                                <w:bCs/>
                              </w:rPr>
                              <w:t xml:space="preserve"> and body mass index in the study</w:t>
                            </w:r>
                          </w:p>
                          <w:tbl>
                            <w:tblPr>
                              <w:tblW w:w="954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557"/>
                              <w:gridCol w:w="960"/>
                              <w:gridCol w:w="723"/>
                              <w:gridCol w:w="1437"/>
                              <w:gridCol w:w="722"/>
                              <w:gridCol w:w="1397"/>
                              <w:gridCol w:w="745"/>
                            </w:tblGrid>
                            <w:tr w:rsidR="002A5AE1" w:rsidRPr="00B00C3F" w:rsidTr="00B00C3F">
                              <w:tblPrEx>
                                <w:tblCellMar>
                                  <w:top w:w="0" w:type="dxa"/>
                                  <w:left w:w="0" w:type="dxa"/>
                                  <w:bottom w:w="0" w:type="dxa"/>
                                  <w:right w:w="0" w:type="dxa"/>
                                </w:tblCellMar>
                              </w:tblPrEx>
                              <w:trPr>
                                <w:trHeight w:val="242"/>
                              </w:trPr>
                              <w:tc>
                                <w:tcPr>
                                  <w:tcW w:w="3557" w:type="dxa"/>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Group</w:t>
                                  </w:r>
                                </w:p>
                              </w:tc>
                              <w:tc>
                                <w:tcPr>
                                  <w:tcW w:w="1683"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Change in BMI</w:t>
                                  </w:r>
                                </w:p>
                              </w:tc>
                              <w:tc>
                                <w:tcPr>
                                  <w:tcW w:w="2159"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Crude</w:t>
                                  </w:r>
                                </w:p>
                              </w:tc>
                              <w:tc>
                                <w:tcPr>
                                  <w:tcW w:w="2142"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Adjusted</w:t>
                                  </w:r>
                                </w:p>
                              </w:tc>
                            </w:tr>
                            <w:tr w:rsidR="002A5AE1" w:rsidRPr="00B00C3F" w:rsidTr="00B00C3F">
                              <w:tblPrEx>
                                <w:tblCellMar>
                                  <w:top w:w="0" w:type="dxa"/>
                                  <w:left w:w="0" w:type="dxa"/>
                                  <w:bottom w:w="0" w:type="dxa"/>
                                  <w:right w:w="0" w:type="dxa"/>
                                </w:tblCellMar>
                              </w:tblPrEx>
                              <w:trPr>
                                <w:trHeight w:val="249"/>
                              </w:trPr>
                              <w:tc>
                                <w:tcPr>
                                  <w:tcW w:w="3557" w:type="dxa"/>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Value</w:t>
                                  </w:r>
                                </w:p>
                              </w:tc>
                              <w:tc>
                                <w:tcPr>
                                  <w:tcW w:w="723"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c>
                                <w:tcPr>
                                  <w:tcW w:w="1437"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722"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c>
                                <w:tcPr>
                                  <w:tcW w:w="1397"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745"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r>
                            <w:tr w:rsidR="002A5AE1" w:rsidRPr="00B00C3F" w:rsidTr="00B00C3F">
                              <w:tblPrEx>
                                <w:tblCellMar>
                                  <w:top w:w="0" w:type="dxa"/>
                                  <w:left w:w="0" w:type="dxa"/>
                                  <w:bottom w:w="0" w:type="dxa"/>
                                  <w:right w:w="0" w:type="dxa"/>
                                </w:tblCellMar>
                              </w:tblPrEx>
                              <w:trPr>
                                <w:trHeight w:val="60"/>
                              </w:trPr>
                              <w:tc>
                                <w:tcPr>
                                  <w:tcW w:w="3557" w:type="dxa"/>
                                  <w:tcBorders>
                                    <w:top w:val="single" w:sz="6" w:space="0" w:color="000000"/>
                                    <w:bottom w:val="nil"/>
                                  </w:tcBorders>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Model 1 in all the subjects</w:t>
                                  </w: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A5AE1">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-0.118</w:t>
                                  </w:r>
                                </w:p>
                              </w:tc>
                              <w:tc>
                                <w:tcPr>
                                  <w:tcW w:w="723"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0.963 (0.901-1.029)</w:t>
                                  </w:r>
                                </w:p>
                              </w:tc>
                              <w:tc>
                                <w:tcPr>
                                  <w:tcW w:w="722"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0.264</w:t>
                                  </w:r>
                                </w:p>
                              </w:tc>
                              <w:tc>
                                <w:tcPr>
                                  <w:tcW w:w="139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0.988 (0.924-1.057)</w:t>
                                  </w:r>
                                </w:p>
                              </w:tc>
                              <w:tc>
                                <w:tcPr>
                                  <w:tcW w:w="745"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0.729</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-0.080</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2 in the subjects with obesity</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-0.431</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1.020 (0.791-1.317)</w:t>
                                  </w:r>
                                </w:p>
                              </w:tc>
                              <w:tc>
                                <w:tcPr>
                                  <w:tcW w:w="722"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0.876</w:t>
                                  </w: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1.038 (0.794-1.357)</w:t>
                                  </w:r>
                                </w:p>
                              </w:tc>
                              <w:tc>
                                <w:tcPr>
                                  <w:tcW w:w="745"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0.786</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-0.411</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3 in the subjects with overweight</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-0.136</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0.942 (0.852-1.042)</w:t>
                                  </w:r>
                                </w:p>
                              </w:tc>
                              <w:tc>
                                <w:tcPr>
                                  <w:tcW w:w="722"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0.245</w:t>
                                  </w: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0.968 (0.874, 1.072)</w:t>
                                  </w:r>
                                </w:p>
                              </w:tc>
                              <w:tc>
                                <w:tcPr>
                                  <w:tcW w:w="745"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0.529</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-0.196</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4 in the subjects with normal and underweight</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0.0563</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0.159</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0.987 (0.908-1.074)</w:t>
                                  </w:r>
                                </w:p>
                              </w:tc>
                              <w:tc>
                                <w:tcPr>
                                  <w:tcW w:w="722"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0.764</w:t>
                                  </w: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1.009 (0.926-1.1)</w:t>
                                  </w:r>
                                </w:p>
                              </w:tc>
                              <w:tc>
                                <w:tcPr>
                                  <w:tcW w:w="745"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0.835</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0.0435</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0.057</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bl>
                          <w:p w:rsidR="002A5AE1" w:rsidRPr="00D62B2E" w:rsidRDefault="002A5AE1" w:rsidP="002A5AE1">
                            <w:pPr>
                              <w:pStyle w:val="af4"/>
                              <w:rPr>
                                <w:i/>
                                <w:iCs/>
                              </w:rPr>
                            </w:pPr>
                            <w:r w:rsidRPr="00B00C3F">
                              <w:rPr>
                                <w:b w:val="0"/>
                                <w:bCs w:val="0"/>
                                <w:i/>
                                <w:iCs/>
                                <w:lang w:val="en-US"/>
                              </w:rPr>
                              <w:t>H. pylori</w:t>
                            </w:r>
                            <w:r w:rsidRPr="00B00C3F">
                              <w:rPr>
                                <w:b w:val="0"/>
                                <w:lang w:val="en-US"/>
                              </w:rPr>
                              <w:t xml:space="preserve">: </w:t>
                            </w:r>
                            <w:r w:rsidRPr="00B00C3F">
                              <w:rPr>
                                <w:b w:val="0"/>
                                <w:bCs w:val="0"/>
                                <w:i/>
                                <w:iCs/>
                                <w:lang w:val="en-US"/>
                              </w:rPr>
                              <w:t>Helicobacter pylori</w:t>
                            </w:r>
                            <w:r w:rsidRPr="00B00C3F">
                              <w:rPr>
                                <w:b w:val="0"/>
                                <w:lang w:val="en-US"/>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30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">
                <v:textbox style="mso-fit-shape-to-text:t">
                  <w:txbxContent>
                    <w:p w:rsidR="002A5AE1" w:rsidRPr="00B00C3F" w:rsidRDefault="002A5AE1" w:rsidP="002A5AE1">
                      <w:pPr>
                        <w:rPr>
                          <w:b/>
                          <w:bCs/>
                        </w:rPr>
                      </w:pPr>
                      <w:r w:rsidRPr="00B00C3F">
                        <w:rPr>
                          <w:b/>
                          <w:bCs/>
                        </w:rPr>
                        <w:t xml:space="preserve">Table </w:t>
                      </w:r>
                      <w:proofErr w:type="gramStart"/>
                      <w:r w:rsidRPr="00B00C3F">
                        <w:rPr>
                          <w:b/>
                          <w:bCs/>
                        </w:rPr>
                        <w:t>2  The</w:t>
                      </w:r>
                      <w:proofErr w:type="gramEnd"/>
                      <w:r w:rsidRPr="00B00C3F">
                        <w:rPr>
                          <w:b/>
                          <w:bCs/>
                        </w:rPr>
                        <w:t xml:space="preserve"> association between </w:t>
                      </w:r>
                      <w:r w:rsidRPr="00B00C3F">
                        <w:rPr>
                          <w:b/>
                          <w:bCs/>
                          <w:i/>
                          <w:iCs/>
                        </w:rPr>
                        <w:t>Helicobacter pylori</w:t>
                      </w:r>
                      <w:r w:rsidRPr="00B00C3F">
                        <w:rPr>
                          <w:b/>
                          <w:bCs/>
                        </w:rPr>
                        <w:t xml:space="preserve"> and body mass index in the study</w:t>
                      </w:r>
                    </w:p>
                    <w:tbl>
                      <w:tblPr>
                        <w:tblW w:w="954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557"/>
                        <w:gridCol w:w="960"/>
                        <w:gridCol w:w="723"/>
                        <w:gridCol w:w="1437"/>
                        <w:gridCol w:w="722"/>
                        <w:gridCol w:w="1397"/>
                        <w:gridCol w:w="745"/>
                      </w:tblGrid>
                      <w:tr w:rsidR="002A5AE1" w:rsidRPr="00B00C3F" w:rsidTr="00B00C3F">
                        <w:tblPrEx>
                          <w:tblCellMar>
                            <w:top w:w="0" w:type="dxa"/>
                            <w:left w:w="0" w:type="dxa"/>
                            <w:bottom w:w="0" w:type="dxa"/>
                            <w:right w:w="0" w:type="dxa"/>
                          </w:tblCellMar>
                        </w:tblPrEx>
                        <w:trPr>
                          <w:trHeight w:val="242"/>
                        </w:trPr>
                        <w:tc>
                          <w:tcPr>
                            <w:tcW w:w="3557" w:type="dxa"/>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Group</w:t>
                            </w:r>
                          </w:p>
                        </w:tc>
                        <w:tc>
                          <w:tcPr>
                            <w:tcW w:w="1683"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Change in BMI</w:t>
                            </w:r>
                          </w:p>
                        </w:tc>
                        <w:tc>
                          <w:tcPr>
                            <w:tcW w:w="2159"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Crude</w:t>
                            </w:r>
                          </w:p>
                        </w:tc>
                        <w:tc>
                          <w:tcPr>
                            <w:tcW w:w="2142"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Adjusted</w:t>
                            </w:r>
                          </w:p>
                        </w:tc>
                      </w:tr>
                      <w:tr w:rsidR="002A5AE1" w:rsidRPr="00B00C3F" w:rsidTr="00B00C3F">
                        <w:tblPrEx>
                          <w:tblCellMar>
                            <w:top w:w="0" w:type="dxa"/>
                            <w:left w:w="0" w:type="dxa"/>
                            <w:bottom w:w="0" w:type="dxa"/>
                            <w:right w:w="0" w:type="dxa"/>
                          </w:tblCellMar>
                        </w:tblPrEx>
                        <w:trPr>
                          <w:trHeight w:val="249"/>
                        </w:trPr>
                        <w:tc>
                          <w:tcPr>
                            <w:tcW w:w="3557" w:type="dxa"/>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Value</w:t>
                            </w:r>
                          </w:p>
                        </w:tc>
                        <w:tc>
                          <w:tcPr>
                            <w:tcW w:w="723"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c>
                          <w:tcPr>
                            <w:tcW w:w="1437"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722"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c>
                          <w:tcPr>
                            <w:tcW w:w="1397"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745"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r>
                      <w:tr w:rsidR="002A5AE1" w:rsidRPr="00B00C3F" w:rsidTr="00B00C3F">
                        <w:tblPrEx>
                          <w:tblCellMar>
                            <w:top w:w="0" w:type="dxa"/>
                            <w:left w:w="0" w:type="dxa"/>
                            <w:bottom w:w="0" w:type="dxa"/>
                            <w:right w:w="0" w:type="dxa"/>
                          </w:tblCellMar>
                        </w:tblPrEx>
                        <w:trPr>
                          <w:trHeight w:val="60"/>
                        </w:trPr>
                        <w:tc>
                          <w:tcPr>
                            <w:tcW w:w="3557" w:type="dxa"/>
                            <w:tcBorders>
                              <w:top w:val="single" w:sz="6" w:space="0" w:color="000000"/>
                              <w:bottom w:val="nil"/>
                            </w:tcBorders>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Model 1 in all the subjects</w:t>
                            </w: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A5AE1">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-0.118</w:t>
                            </w:r>
                          </w:p>
                        </w:tc>
                        <w:tc>
                          <w:tcPr>
                            <w:tcW w:w="723"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0.963 (0.901-1.029)</w:t>
                            </w:r>
                          </w:p>
                        </w:tc>
                        <w:tc>
                          <w:tcPr>
                            <w:tcW w:w="722"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0.264</w:t>
                            </w:r>
                          </w:p>
                        </w:tc>
                        <w:tc>
                          <w:tcPr>
                            <w:tcW w:w="139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0.988 (0.924-1.057)</w:t>
                            </w:r>
                          </w:p>
                        </w:tc>
                        <w:tc>
                          <w:tcPr>
                            <w:tcW w:w="745"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0.729</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-0.080</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2 in the subjects with obesity</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-0.431</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1.020 (0.791-1.317)</w:t>
                            </w:r>
                          </w:p>
                        </w:tc>
                        <w:tc>
                          <w:tcPr>
                            <w:tcW w:w="722"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0.876</w:t>
                            </w: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1.038 (0.794-1.357)</w:t>
                            </w:r>
                          </w:p>
                        </w:tc>
                        <w:tc>
                          <w:tcPr>
                            <w:tcW w:w="745"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0.786</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-0.411</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3 in the subjects with overweight</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-0.136</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0.942 (0.852-1.042)</w:t>
                            </w:r>
                          </w:p>
                        </w:tc>
                        <w:tc>
                          <w:tcPr>
                            <w:tcW w:w="722"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0.245</w:t>
                            </w: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0.968 (0.874, 1.072)</w:t>
                            </w:r>
                          </w:p>
                        </w:tc>
                        <w:tc>
                          <w:tcPr>
                            <w:tcW w:w="745"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0.529</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-0.196</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&lt; 0.001</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4 in the subjects with normal and underweight</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3"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3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0.0563</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0.159</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0.987 (0.908-1.074)</w:t>
                            </w:r>
                          </w:p>
                        </w:tc>
                        <w:tc>
                          <w:tcPr>
                            <w:tcW w:w="722"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0.764</w:t>
                            </w: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1.009 (0.926-1.1)</w:t>
                            </w:r>
                          </w:p>
                        </w:tc>
                        <w:tc>
                          <w:tcPr>
                            <w:tcW w:w="745"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0.835</w:t>
                            </w:r>
                          </w:p>
                        </w:tc>
                      </w:tr>
                      <w:tr w:rsidR="002A5AE1" w:rsidRPr="00B00C3F" w:rsidTr="00B00C3F">
                        <w:tblPrEx>
                          <w:tblCellMar>
                            <w:top w:w="0" w:type="dxa"/>
                            <w:left w:w="0" w:type="dxa"/>
                            <w:bottom w:w="0" w:type="dxa"/>
                            <w:right w:w="0" w:type="dxa"/>
                          </w:tblCellMar>
                        </w:tblPrEx>
                        <w:trPr>
                          <w:trHeight w:val="60"/>
                        </w:trPr>
                        <w:tc>
                          <w:tcPr>
                            <w:tcW w:w="355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0.0435</w:t>
                            </w:r>
                          </w:p>
                        </w:tc>
                        <w:tc>
                          <w:tcPr>
                            <w:tcW w:w="723"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0.057</w:t>
                            </w:r>
                          </w:p>
                        </w:tc>
                        <w:tc>
                          <w:tcPr>
                            <w:tcW w:w="143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22"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39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45"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bl>
                    <w:p w:rsidR="002A5AE1" w:rsidRPr="00D62B2E" w:rsidRDefault="002A5AE1" w:rsidP="002A5AE1">
                      <w:pPr>
                        <w:pStyle w:val="af4"/>
                        <w:rPr>
                          <w:i/>
                          <w:iCs/>
                        </w:rPr>
                      </w:pPr>
                      <w:r w:rsidRPr="00B00C3F">
                        <w:rPr>
                          <w:b w:val="0"/>
                          <w:bCs w:val="0"/>
                          <w:i/>
                          <w:iCs/>
                          <w:lang w:val="en-US"/>
                        </w:rPr>
                        <w:t>H. pylori</w:t>
                      </w:r>
                      <w:r w:rsidRPr="00B00C3F">
                        <w:rPr>
                          <w:b w:val="0"/>
                          <w:lang w:val="en-US"/>
                        </w:rPr>
                        <w:t xml:space="preserve">: </w:t>
                      </w:r>
                      <w:r w:rsidRPr="00B00C3F">
                        <w:rPr>
                          <w:b w:val="0"/>
                          <w:bCs w:val="0"/>
                          <w:i/>
                          <w:iCs/>
                          <w:lang w:val="en-US"/>
                        </w:rPr>
                        <w:t>Helicobacter pylori</w:t>
                      </w:r>
                      <w:r w:rsidRPr="00B00C3F">
                        <w:rPr>
                          <w:b w:val="0"/>
                          <w:lang w:val="en-US"/>
                        </w:rPr>
                        <w:t>.</w:t>
                      </w:r>
                    </w:p>
                  </w:txbxContent>
                </v:textbox>
                <w10:wrap type="square"/>
              </v:shape>
            </w:pict>
          </mc:Fallback>
        </mc:AlternateContent>
      </w: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Pr="00B00C3F" w:rsidRDefault="002A5AE1" w:rsidP="002A5AE1">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3185160"/>
                <wp:effectExtent l="9525" t="9525" r="12065" b="571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185160"/>
                        </a:xfrm>
                        <a:prstGeom prst="rect">
                          <a:avLst/>
                        </a:prstGeom>
                        <a:solidFill>
                          <a:srgbClr val="FFFFFF"/>
                        </a:solidFill>
                        <a:ln w="9525">
                          <a:solidFill>
                            <a:srgbClr val="000000"/>
                          </a:solidFill>
                          <a:miter lim="800000"/>
                          <a:headEnd/>
                          <a:tailEnd/>
                        </a:ln>
                      </wps:spPr>
                      <wps:txbx>
                        <w:txbxContent>
                          <w:p w:rsidR="002A5AE1" w:rsidRPr="00B00C3F" w:rsidRDefault="002A5AE1" w:rsidP="002A5AE1">
                            <w:pPr>
                              <w:rPr>
                                <w:b/>
                                <w:bCs/>
                              </w:rPr>
                            </w:pPr>
                            <w:r w:rsidRPr="00B00C3F">
                              <w:rPr>
                                <w:b/>
                                <w:bCs/>
                              </w:rPr>
                              <w:t xml:space="preserve">Table </w:t>
                            </w:r>
                            <w:proofErr w:type="gramStart"/>
                            <w:r w:rsidRPr="00B00C3F">
                              <w:rPr>
                                <w:b/>
                                <w:bCs/>
                              </w:rPr>
                              <w:t>3  The</w:t>
                            </w:r>
                            <w:proofErr w:type="gramEnd"/>
                            <w:r w:rsidRPr="00B00C3F">
                              <w:rPr>
                                <w:b/>
                                <w:bCs/>
                              </w:rPr>
                              <w:t xml:space="preserve"> association between </w:t>
                            </w:r>
                            <w:r w:rsidRPr="00B00C3F">
                              <w:rPr>
                                <w:b/>
                                <w:bCs/>
                                <w:i/>
                                <w:iCs/>
                              </w:rPr>
                              <w:t>Helicobacter pylori</w:t>
                            </w:r>
                            <w:r w:rsidRPr="00B00C3F">
                              <w:rPr>
                                <w:b/>
                                <w:bCs/>
                              </w:rPr>
                              <w:t xml:space="preserve"> and obesity in the study</w:t>
                            </w:r>
                          </w:p>
                          <w:tbl>
                            <w:tblPr>
                              <w:tblW w:w="950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26"/>
                              <w:gridCol w:w="960"/>
                              <w:gridCol w:w="960"/>
                              <w:gridCol w:w="960"/>
                              <w:gridCol w:w="1447"/>
                              <w:gridCol w:w="701"/>
                              <w:gridCol w:w="1484"/>
                              <w:gridCol w:w="671"/>
                            </w:tblGrid>
                            <w:tr w:rsidR="002A5AE1" w:rsidRPr="00B00C3F" w:rsidTr="00B00C3F">
                              <w:tblPrEx>
                                <w:tblCellMar>
                                  <w:top w:w="0" w:type="dxa"/>
                                  <w:left w:w="0" w:type="dxa"/>
                                  <w:bottom w:w="0" w:type="dxa"/>
                                  <w:right w:w="0" w:type="dxa"/>
                                </w:tblCellMar>
                              </w:tblPrEx>
                              <w:trPr>
                                <w:trHeight w:val="229"/>
                              </w:trPr>
                              <w:tc>
                                <w:tcPr>
                                  <w:tcW w:w="2326" w:type="dxa"/>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Group</w:t>
                                  </w:r>
                                </w:p>
                              </w:tc>
                              <w:tc>
                                <w:tcPr>
                                  <w:tcW w:w="2880" w:type="dxa"/>
                                  <w:gridSpan w:val="3"/>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Event</w:t>
                                  </w:r>
                                </w:p>
                              </w:tc>
                              <w:tc>
                                <w:tcPr>
                                  <w:tcW w:w="2148"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Crude</w:t>
                                  </w:r>
                                </w:p>
                              </w:tc>
                              <w:tc>
                                <w:tcPr>
                                  <w:tcW w:w="2155"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Adjusted</w:t>
                                  </w:r>
                                </w:p>
                              </w:tc>
                            </w:tr>
                            <w:tr w:rsidR="002A5AE1" w:rsidRPr="00B00C3F" w:rsidTr="00B00C3F">
                              <w:tblPrEx>
                                <w:tblCellMar>
                                  <w:top w:w="0" w:type="dxa"/>
                                  <w:left w:w="0" w:type="dxa"/>
                                  <w:bottom w:w="0" w:type="dxa"/>
                                  <w:right w:w="0" w:type="dxa"/>
                                </w:tblCellMar>
                              </w:tblPrEx>
                              <w:trPr>
                                <w:trHeight w:val="254"/>
                              </w:trPr>
                              <w:tc>
                                <w:tcPr>
                                  <w:tcW w:w="2326" w:type="dxa"/>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Baseline</w:t>
                                  </w: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1 yr</w:t>
                                  </w: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Incidence (%)</w:t>
                                  </w:r>
                                </w:p>
                              </w:tc>
                              <w:tc>
                                <w:tcPr>
                                  <w:tcW w:w="1447"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701"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c>
                                <w:tcPr>
                                  <w:tcW w:w="1484"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671"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r>
                            <w:tr w:rsidR="002A5AE1" w:rsidRPr="00B00C3F" w:rsidTr="00B00C3F">
                              <w:tblPrEx>
                                <w:tblCellMar>
                                  <w:top w:w="0" w:type="dxa"/>
                                  <w:left w:w="0" w:type="dxa"/>
                                  <w:bottom w:w="0" w:type="dxa"/>
                                  <w:right w:w="0" w:type="dxa"/>
                                </w:tblCellMar>
                              </w:tblPrEx>
                              <w:trPr>
                                <w:trHeight w:val="60"/>
                              </w:trPr>
                              <w:tc>
                                <w:tcPr>
                                  <w:tcW w:w="2326" w:type="dxa"/>
                                  <w:tcBorders>
                                    <w:top w:val="single" w:sz="6" w:space="0" w:color="000000"/>
                                    <w:bottom w:val="nil"/>
                                  </w:tcBorders>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Model 1 in all the subjects</w:t>
                                  </w: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47"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01"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671"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A5AE1">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212 (12.9)</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194 (11.8)</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18 (1.1)</w:t>
                                  </w:r>
                                </w:p>
                              </w:tc>
                              <w:tc>
                                <w:tcPr>
                                  <w:tcW w:w="144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0.890 (0.626-1.267)</w:t>
                                  </w:r>
                                </w:p>
                              </w:tc>
                              <w:tc>
                                <w:tcPr>
                                  <w:tcW w:w="701"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0.519</w:t>
                                  </w:r>
                                </w:p>
                              </w:tc>
                              <w:tc>
                                <w:tcPr>
                                  <w:tcW w:w="1484"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0.831 (0.577-1.197)</w:t>
                                  </w:r>
                                </w:p>
                              </w:tc>
                              <w:tc>
                                <w:tcPr>
                                  <w:tcW w:w="671"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0.321</w:t>
                                  </w: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176 (12.6)</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169 (12.1)</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 (0.5)</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Model 2 in the obese subjects</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4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A5AE1">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212 (100)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170 (80.2)</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42 (19.8)</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0.995 (0.603-1.642)</w:t>
                                  </w:r>
                                </w:p>
                              </w:tc>
                              <w:tc>
                                <w:tcPr>
                                  <w:tcW w:w="70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0.985</w:t>
                                  </w: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0.931 (0.547-1.585)</w:t>
                                  </w:r>
                                </w:p>
                              </w:tc>
                              <w:tc>
                                <w:tcPr>
                                  <w:tcW w:w="67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0.792</w:t>
                                  </w: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176 (100)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141 (80.1)</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 (19.1)</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3 in the non-obese subjects</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4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 (1.7)</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 (1.7)</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0.731 (0.422-1.268)</w:t>
                                  </w:r>
                                </w:p>
                              </w:tc>
                              <w:tc>
                                <w:tcPr>
                                  <w:tcW w:w="70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0.265</w:t>
                                  </w: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0.673 (0.382-1.186)</w:t>
                                  </w:r>
                                </w:p>
                              </w:tc>
                              <w:tc>
                                <w:tcPr>
                                  <w:tcW w:w="67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0.170</w:t>
                                  </w: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28 (2.3)</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28 (2.3)</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bl>
                          <w:p w:rsidR="002A5AE1" w:rsidRPr="000733C0" w:rsidRDefault="002A5AE1" w:rsidP="002A5AE1">
                            <w:pPr>
                              <w:pStyle w:val="af4"/>
                            </w:pPr>
                            <w:r w:rsidRPr="00B00C3F">
                              <w:rPr>
                                <w:b w:val="0"/>
                                <w:lang w:val="en-US"/>
                              </w:rPr>
                              <w:t xml:space="preserve">Note: The population is the same as that in Table 2. </w:t>
                            </w:r>
                            <w:r w:rsidRPr="00B00C3F">
                              <w:rPr>
                                <w:b w:val="0"/>
                                <w:bCs w:val="0"/>
                                <w:i/>
                                <w:iCs/>
                              </w:rPr>
                              <w:t>H. pylori</w:t>
                            </w:r>
                            <w:r w:rsidRPr="00B00C3F">
                              <w:rPr>
                                <w:b w:val="0"/>
                              </w:rPr>
                              <w:t xml:space="preserve">: </w:t>
                            </w:r>
                            <w:r w:rsidRPr="00B00C3F">
                              <w:rPr>
                                <w:b w:val="0"/>
                                <w:bCs w:val="0"/>
                                <w:i/>
                                <w:iCs/>
                              </w:rPr>
                              <w:t>Helicobacter pylori</w:t>
                            </w:r>
                            <w:r w:rsidRPr="00B00C3F">
                              <w:rPr>
                                <w:b w:val="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8" type="#_x0000_t202" style="position:absolute;left:0;text-align:left;margin-left:0;margin-top:0;width:416.05pt;height:250.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">
                <v:textbox style="mso-fit-shape-to-text:t">
                  <w:txbxContent>
                    <w:p w:rsidR="002A5AE1" w:rsidRPr="00B00C3F" w:rsidRDefault="002A5AE1" w:rsidP="002A5AE1">
                      <w:pPr>
                        <w:rPr>
                          <w:b/>
                          <w:bCs/>
                        </w:rPr>
                      </w:pPr>
                      <w:r w:rsidRPr="00B00C3F">
                        <w:rPr>
                          <w:b/>
                          <w:bCs/>
                        </w:rPr>
                        <w:t xml:space="preserve">Table </w:t>
                      </w:r>
                      <w:proofErr w:type="gramStart"/>
                      <w:r w:rsidRPr="00B00C3F">
                        <w:rPr>
                          <w:b/>
                          <w:bCs/>
                        </w:rPr>
                        <w:t>3  The</w:t>
                      </w:r>
                      <w:proofErr w:type="gramEnd"/>
                      <w:r w:rsidRPr="00B00C3F">
                        <w:rPr>
                          <w:b/>
                          <w:bCs/>
                        </w:rPr>
                        <w:t xml:space="preserve"> association between </w:t>
                      </w:r>
                      <w:r w:rsidRPr="00B00C3F">
                        <w:rPr>
                          <w:b/>
                          <w:bCs/>
                          <w:i/>
                          <w:iCs/>
                        </w:rPr>
                        <w:t>Helicobacter pylori</w:t>
                      </w:r>
                      <w:r w:rsidRPr="00B00C3F">
                        <w:rPr>
                          <w:b/>
                          <w:bCs/>
                        </w:rPr>
                        <w:t xml:space="preserve"> and obesity in the study</w:t>
                      </w:r>
                    </w:p>
                    <w:tbl>
                      <w:tblPr>
                        <w:tblW w:w="950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26"/>
                        <w:gridCol w:w="960"/>
                        <w:gridCol w:w="960"/>
                        <w:gridCol w:w="960"/>
                        <w:gridCol w:w="1447"/>
                        <w:gridCol w:w="701"/>
                        <w:gridCol w:w="1484"/>
                        <w:gridCol w:w="671"/>
                      </w:tblGrid>
                      <w:tr w:rsidR="002A5AE1" w:rsidRPr="00B00C3F" w:rsidTr="00B00C3F">
                        <w:tblPrEx>
                          <w:tblCellMar>
                            <w:top w:w="0" w:type="dxa"/>
                            <w:left w:w="0" w:type="dxa"/>
                            <w:bottom w:w="0" w:type="dxa"/>
                            <w:right w:w="0" w:type="dxa"/>
                          </w:tblCellMar>
                        </w:tblPrEx>
                        <w:trPr>
                          <w:trHeight w:val="229"/>
                        </w:trPr>
                        <w:tc>
                          <w:tcPr>
                            <w:tcW w:w="2326" w:type="dxa"/>
                            <w:vMerge w:val="restart"/>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Group</w:t>
                            </w:r>
                          </w:p>
                        </w:tc>
                        <w:tc>
                          <w:tcPr>
                            <w:tcW w:w="2880" w:type="dxa"/>
                            <w:gridSpan w:val="3"/>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Event</w:t>
                            </w:r>
                          </w:p>
                        </w:tc>
                        <w:tc>
                          <w:tcPr>
                            <w:tcW w:w="2148"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Crude</w:t>
                            </w:r>
                          </w:p>
                        </w:tc>
                        <w:tc>
                          <w:tcPr>
                            <w:tcW w:w="2155" w:type="dxa"/>
                            <w:gridSpan w:val="2"/>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Adjusted</w:t>
                            </w:r>
                          </w:p>
                        </w:tc>
                      </w:tr>
                      <w:tr w:rsidR="002A5AE1" w:rsidRPr="00B00C3F" w:rsidTr="00B00C3F">
                        <w:tblPrEx>
                          <w:tblCellMar>
                            <w:top w:w="0" w:type="dxa"/>
                            <w:left w:w="0" w:type="dxa"/>
                            <w:bottom w:w="0" w:type="dxa"/>
                            <w:right w:w="0" w:type="dxa"/>
                          </w:tblCellMar>
                        </w:tblPrEx>
                        <w:trPr>
                          <w:trHeight w:val="254"/>
                        </w:trPr>
                        <w:tc>
                          <w:tcPr>
                            <w:tcW w:w="2326" w:type="dxa"/>
                            <w:vMerge/>
                            <w:tcBorders>
                              <w:bottom w:val="single" w:sz="6" w:space="0" w:color="000000"/>
                            </w:tcBorders>
                          </w:tcPr>
                          <w:p w:rsidR="002A5AE1" w:rsidRPr="00B00C3F" w:rsidRDefault="002A5AE1" w:rsidP="00B00C3F">
                            <w:pPr>
                              <w:autoSpaceDE w:val="0"/>
                              <w:autoSpaceDN w:val="0"/>
                              <w:adjustRightInd w:val="0"/>
                              <w:jc w:val="left"/>
                              <w:rPr>
                                <w:rFonts w:ascii="Albertus Bold Italic" w:hAnsi="Albertus Bold Italic"/>
                                <w:b/>
                                <w:kern w:val="0"/>
                                <w:sz w:val="24"/>
                                <w:szCs w:val="24"/>
                              </w:rPr>
                            </w:pP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Baseline</w:t>
                            </w: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1 yr</w:t>
                            </w:r>
                          </w:p>
                        </w:tc>
                        <w:tc>
                          <w:tcPr>
                            <w:tcW w:w="960"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Incidence (%)</w:t>
                            </w:r>
                          </w:p>
                        </w:tc>
                        <w:tc>
                          <w:tcPr>
                            <w:tcW w:w="1447"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701"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c>
                          <w:tcPr>
                            <w:tcW w:w="1484"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Bold" w:hAnsi="Albertus-Bold" w:cs="Albertus-Bold"/>
                                <w:b/>
                                <w:bCs/>
                                <w:color w:val="000000"/>
                                <w:kern w:val="0"/>
                                <w:sz w:val="14"/>
                                <w:szCs w:val="14"/>
                                <w:lang w:val="zh-CN"/>
                              </w:rPr>
                              <w:t>RR (95%CI)</w:t>
                            </w:r>
                          </w:p>
                        </w:tc>
                        <w:tc>
                          <w:tcPr>
                            <w:tcW w:w="671" w:type="dxa"/>
                            <w:tcBorders>
                              <w:top w:val="single" w:sz="6" w:space="0" w:color="000000"/>
                              <w:bottom w:val="single" w:sz="6" w:space="0" w:color="000000"/>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B00C3F">
                              <w:rPr>
                                <w:rFonts w:ascii="Albertus Bold Italic" w:hAnsi="Albertus Bold Italic" w:cs="Albertus Bold Italic"/>
                                <w:b/>
                                <w:bCs/>
                                <w:i/>
                                <w:iCs/>
                                <w:color w:val="000000"/>
                                <w:kern w:val="0"/>
                                <w:sz w:val="14"/>
                                <w:szCs w:val="14"/>
                                <w:lang w:val="zh-CN"/>
                              </w:rPr>
                              <w:t>P</w:t>
                            </w:r>
                            <w:r w:rsidRPr="00B00C3F">
                              <w:rPr>
                                <w:rFonts w:ascii="Albertus-Bold" w:hAnsi="Albertus-Bold" w:cs="Albertus-Bold"/>
                                <w:b/>
                                <w:bCs/>
                                <w:color w:val="000000"/>
                                <w:kern w:val="0"/>
                                <w:sz w:val="14"/>
                                <w:szCs w:val="14"/>
                                <w:lang w:val="zh-CN"/>
                              </w:rPr>
                              <w:t xml:space="preserve"> value</w:t>
                            </w:r>
                          </w:p>
                        </w:tc>
                      </w:tr>
                      <w:tr w:rsidR="002A5AE1" w:rsidRPr="00B00C3F" w:rsidTr="00B00C3F">
                        <w:tblPrEx>
                          <w:tblCellMar>
                            <w:top w:w="0" w:type="dxa"/>
                            <w:left w:w="0" w:type="dxa"/>
                            <w:bottom w:w="0" w:type="dxa"/>
                            <w:right w:w="0" w:type="dxa"/>
                          </w:tblCellMar>
                        </w:tblPrEx>
                        <w:trPr>
                          <w:trHeight w:val="60"/>
                        </w:trPr>
                        <w:tc>
                          <w:tcPr>
                            <w:tcW w:w="2326" w:type="dxa"/>
                            <w:tcBorders>
                              <w:top w:val="single" w:sz="6" w:space="0" w:color="000000"/>
                              <w:bottom w:val="nil"/>
                            </w:tcBorders>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Model 1 in all the subjects</w:t>
                            </w: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47"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01"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671" w:type="dxa"/>
                            <w:tcBorders>
                              <w:top w:val="single" w:sz="6" w:space="0" w:color="000000"/>
                              <w:bottom w:val="nil"/>
                            </w:tcBorders>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A5AE1">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212 (12.9)</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194 (11.8)</w:t>
                            </w:r>
                          </w:p>
                        </w:tc>
                        <w:tc>
                          <w:tcPr>
                            <w:tcW w:w="960"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18 (1.1)</w:t>
                            </w:r>
                          </w:p>
                        </w:tc>
                        <w:tc>
                          <w:tcPr>
                            <w:tcW w:w="1447"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0.890 (0.626-1.267)</w:t>
                            </w:r>
                          </w:p>
                        </w:tc>
                        <w:tc>
                          <w:tcPr>
                            <w:tcW w:w="701"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0.519</w:t>
                            </w:r>
                          </w:p>
                        </w:tc>
                        <w:tc>
                          <w:tcPr>
                            <w:tcW w:w="1484"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0.831 (0.577-1.197)</w:t>
                            </w:r>
                          </w:p>
                        </w:tc>
                        <w:tc>
                          <w:tcPr>
                            <w:tcW w:w="671" w:type="dxa"/>
                            <w:tcBorders>
                              <w:top w:val="nil"/>
                            </w:tcBorders>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0.321</w:t>
                            </w: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176 (12.6)</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169 (12.1)</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 xml:space="preserve">  7 (0.5)</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2A5AE1"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A5AE1">
                              <w:rPr>
                                <w:rFonts w:ascii="Book Antiqua" w:hAnsi="Book Antiqua" w:cs="Book Antiqua"/>
                                <w:bCs/>
                                <w:color w:val="000000"/>
                                <w:kern w:val="0"/>
                                <w:sz w:val="14"/>
                                <w:szCs w:val="14"/>
                              </w:rPr>
                              <w:t>Model 2 in the obese subjects</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4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A5AE1">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212 (100)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170 (80.2)</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42 (19.8)</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0.995 (0.603-1.642)</w:t>
                            </w:r>
                          </w:p>
                        </w:tc>
                        <w:tc>
                          <w:tcPr>
                            <w:tcW w:w="70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0.985</w:t>
                            </w: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0.931 (0.547-1.585)</w:t>
                            </w:r>
                          </w:p>
                        </w:tc>
                        <w:tc>
                          <w:tcPr>
                            <w:tcW w:w="67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0.792</w:t>
                            </w: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176 (100)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141 (80.1)</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35 (19.1)</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B00C3F">
                              <w:rPr>
                                <w:rFonts w:ascii="Book Antiqua" w:hAnsi="Book Antiqua" w:cs="Book Antiqua"/>
                                <w:bCs/>
                                <w:color w:val="000000"/>
                                <w:kern w:val="0"/>
                                <w:sz w:val="14"/>
                                <w:szCs w:val="14"/>
                              </w:rPr>
                              <w:t>Model 3 in the non-obese subjects</w:t>
                            </w: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47"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rPr>
                              <w:t xml:space="preserve">   </w:t>
                            </w:r>
                            <w:r w:rsidRPr="00B00C3F">
                              <w:rPr>
                                <w:rFonts w:ascii="Book Antiqua" w:hAnsi="Book Antiqua" w:cs="Book Antiqua"/>
                                <w:i/>
                                <w:iCs/>
                                <w:color w:val="000000"/>
                                <w:kern w:val="0"/>
                                <w:sz w:val="14"/>
                                <w:szCs w:val="14"/>
                                <w:lang w:val="zh-CN"/>
                              </w:rPr>
                              <w:t>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 (1.7)</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24 (1.7)</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0.731 (0.422-1.268)</w:t>
                            </w:r>
                          </w:p>
                        </w:tc>
                        <w:tc>
                          <w:tcPr>
                            <w:tcW w:w="70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0.265</w:t>
                            </w: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0.673 (0.382-1.186)</w:t>
                            </w:r>
                          </w:p>
                        </w:tc>
                        <w:tc>
                          <w:tcPr>
                            <w:tcW w:w="671"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0.170</w:t>
                            </w:r>
                          </w:p>
                        </w:tc>
                      </w:tr>
                      <w:tr w:rsidR="002A5AE1" w:rsidRPr="00B00C3F" w:rsidTr="00B00C3F">
                        <w:tblPrEx>
                          <w:tblCellMar>
                            <w:top w:w="0" w:type="dxa"/>
                            <w:left w:w="0" w:type="dxa"/>
                            <w:bottom w:w="0" w:type="dxa"/>
                            <w:right w:w="0" w:type="dxa"/>
                          </w:tblCellMar>
                        </w:tblPrEx>
                        <w:trPr>
                          <w:trHeight w:val="60"/>
                        </w:trPr>
                        <w:tc>
                          <w:tcPr>
                            <w:tcW w:w="2326"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B00C3F">
                              <w:rPr>
                                <w:rFonts w:ascii="Book Antiqua" w:hAnsi="Book Antiqua" w:cs="Book Antiqua"/>
                                <w:i/>
                                <w:iCs/>
                                <w:color w:val="000000"/>
                                <w:kern w:val="0"/>
                                <w:sz w:val="14"/>
                                <w:szCs w:val="14"/>
                                <w:lang w:val="zh-CN"/>
                              </w:rPr>
                              <w:t xml:space="preserve">   H. pylori</w:t>
                            </w:r>
                            <w:r w:rsidRPr="00B00C3F">
                              <w:rPr>
                                <w:rFonts w:ascii="Book Antiqua" w:hAnsi="Book Antiqua" w:cs="Book Antiqua"/>
                                <w:bCs/>
                                <w:color w:val="000000"/>
                                <w:kern w:val="0"/>
                                <w:sz w:val="14"/>
                                <w:szCs w:val="14"/>
                                <w:lang w:val="zh-CN"/>
                              </w:rPr>
                              <w:t xml:space="preserve"> (-)</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28 (2.3)</w:t>
                            </w:r>
                          </w:p>
                        </w:tc>
                        <w:tc>
                          <w:tcPr>
                            <w:tcW w:w="960"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28 (2.3)</w:t>
                            </w:r>
                          </w:p>
                        </w:tc>
                        <w:tc>
                          <w:tcPr>
                            <w:tcW w:w="1447"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70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c>
                          <w:tcPr>
                            <w:tcW w:w="1484" w:type="dxa"/>
                            <w:tcMar>
                              <w:top w:w="28" w:type="dxa"/>
                              <w:left w:w="28" w:type="dxa"/>
                              <w:bottom w:w="28" w:type="dxa"/>
                              <w:right w:w="28" w:type="dxa"/>
                            </w:tcMar>
                          </w:tcPr>
                          <w:p w:rsidR="002A5AE1" w:rsidRPr="00B00C3F" w:rsidRDefault="002A5AE1" w:rsidP="00B00C3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00C3F">
                              <w:rPr>
                                <w:rFonts w:ascii="Book Antiqua" w:hAnsi="Book Antiqua" w:cs="Book Antiqua"/>
                                <w:bCs/>
                                <w:color w:val="000000"/>
                                <w:kern w:val="0"/>
                                <w:sz w:val="14"/>
                                <w:szCs w:val="14"/>
                                <w:lang w:val="zh-CN"/>
                              </w:rPr>
                              <w:t>1.000</w:t>
                            </w:r>
                          </w:p>
                        </w:tc>
                        <w:tc>
                          <w:tcPr>
                            <w:tcW w:w="671" w:type="dxa"/>
                            <w:tcMar>
                              <w:top w:w="28" w:type="dxa"/>
                              <w:left w:w="28" w:type="dxa"/>
                              <w:bottom w:w="28" w:type="dxa"/>
                              <w:right w:w="28" w:type="dxa"/>
                            </w:tcMar>
                          </w:tcPr>
                          <w:p w:rsidR="002A5AE1" w:rsidRPr="00B00C3F" w:rsidRDefault="002A5AE1" w:rsidP="00B00C3F">
                            <w:pPr>
                              <w:autoSpaceDE w:val="0"/>
                              <w:autoSpaceDN w:val="0"/>
                              <w:adjustRightInd w:val="0"/>
                              <w:jc w:val="left"/>
                              <w:rPr>
                                <w:rFonts w:ascii="Albertus Bold Italic" w:hAnsi="Albertus Bold Italic"/>
                                <w:kern w:val="0"/>
                                <w:sz w:val="24"/>
                                <w:szCs w:val="24"/>
                              </w:rPr>
                            </w:pPr>
                          </w:p>
                        </w:tc>
                      </w:tr>
                    </w:tbl>
                    <w:p w:rsidR="002A5AE1" w:rsidRPr="000733C0" w:rsidRDefault="002A5AE1" w:rsidP="002A5AE1">
                      <w:pPr>
                        <w:pStyle w:val="af4"/>
                      </w:pPr>
                      <w:r w:rsidRPr="00B00C3F">
                        <w:rPr>
                          <w:b w:val="0"/>
                          <w:lang w:val="en-US"/>
                        </w:rPr>
                        <w:t xml:space="preserve">Note: The population is the same as that in Table 2. </w:t>
                      </w:r>
                      <w:r w:rsidRPr="00B00C3F">
                        <w:rPr>
                          <w:b w:val="0"/>
                          <w:bCs w:val="0"/>
                          <w:i/>
                          <w:iCs/>
                        </w:rPr>
                        <w:t>H. pylori</w:t>
                      </w:r>
                      <w:r w:rsidRPr="00B00C3F">
                        <w:rPr>
                          <w:b w:val="0"/>
                        </w:rPr>
                        <w:t xml:space="preserve">: </w:t>
                      </w:r>
                      <w:r w:rsidRPr="00B00C3F">
                        <w:rPr>
                          <w:b w:val="0"/>
                          <w:bCs w:val="0"/>
                          <w:i/>
                          <w:iCs/>
                        </w:rPr>
                        <w:t>Helicobacter pylori</w:t>
                      </w:r>
                      <w:r w:rsidRPr="00B00C3F">
                        <w:rPr>
                          <w:b w:val="0"/>
                        </w:rPr>
                        <w:t>.</w:t>
                      </w:r>
                    </w:p>
                  </w:txbxContent>
                </v:textbox>
                <w10:wrap type="square"/>
              </v:shape>
            </w:pict>
          </mc:Fallback>
        </mc:AlternateContent>
      </w: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2A5AE1" w:rsidRDefault="002A5AE1" w:rsidP="002A5AE1">
      <w:pPr>
        <w:rPr>
          <w:rFonts w:hint="eastAsia"/>
        </w:rPr>
      </w:pPr>
    </w:p>
    <w:p w:rsidR="00894903" w:rsidRPr="002A5AE1" w:rsidRDefault="00894903" w:rsidP="00F50781"/>
    <w:p w:rsidR="00894903" w:rsidRDefault="00894903" w:rsidP="00F50781"/>
    <w:p w:rsidR="00894903" w:rsidRPr="000B0D85" w:rsidRDefault="00894903" w:rsidP="00F50781"/>
    <w:sectPr w:rsidR="00894903" w:rsidRPr="000B0D85">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035" w:rsidRDefault="001A3035">
      <w:r>
        <w:separator/>
      </w:r>
    </w:p>
  </w:endnote>
  <w:endnote w:type="continuationSeparator" w:id="0">
    <w:p w:rsidR="001A3035" w:rsidRDefault="001A3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lbertus-Bold">
    <w:altName w:val="Times New Roman"/>
    <w:panose1 w:val="00000000000000000000"/>
    <w:charset w:val="00"/>
    <w:family w:val="auto"/>
    <w:notTrueType/>
    <w:pitch w:val="default"/>
    <w:sig w:usb0="00000003" w:usb1="00000000" w:usb2="00000000" w:usb3="00000000" w:csb0="00000001"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035" w:rsidRDefault="001A3035">
      <w:r>
        <w:separator/>
      </w:r>
    </w:p>
  </w:footnote>
  <w:footnote w:type="continuationSeparator" w:id="0">
    <w:p w:rsidR="001A3035" w:rsidRDefault="001A30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B0D85"/>
    <w:rsid w:val="001551FF"/>
    <w:rsid w:val="001666C0"/>
    <w:rsid w:val="0019357C"/>
    <w:rsid w:val="001A3035"/>
    <w:rsid w:val="001B1951"/>
    <w:rsid w:val="00200B22"/>
    <w:rsid w:val="002107CC"/>
    <w:rsid w:val="002956C9"/>
    <w:rsid w:val="00295C5F"/>
    <w:rsid w:val="002A32A1"/>
    <w:rsid w:val="002A5AE1"/>
    <w:rsid w:val="002B75DF"/>
    <w:rsid w:val="002D2A10"/>
    <w:rsid w:val="002F45F1"/>
    <w:rsid w:val="00323671"/>
    <w:rsid w:val="003577BA"/>
    <w:rsid w:val="00424866"/>
    <w:rsid w:val="00455B0F"/>
    <w:rsid w:val="00476DB2"/>
    <w:rsid w:val="004D6FBC"/>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894903"/>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2A5AE1"/>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2A5AE1"/>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2A5AE1"/>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uiPriority w:val="99"/>
    <w:rsid w:val="002A5AE1"/>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2A5AE1"/>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2A5AE1"/>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2A5AE1"/>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2A5AE1"/>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2A5AE1"/>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2A5AE1"/>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4">
    <w:name w:val="表格中文字"/>
    <w:basedOn w:val="a"/>
    <w:uiPriority w:val="99"/>
    <w:rsid w:val="002A5AE1"/>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2A5AE1"/>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2A5AE1"/>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2A5AE1"/>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uiPriority w:val="99"/>
    <w:rsid w:val="002A5AE1"/>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2A5AE1"/>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2A5AE1"/>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2A5AE1"/>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2A5AE1"/>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2A5AE1"/>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2A5AE1"/>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4">
    <w:name w:val="表格中文字"/>
    <w:basedOn w:val="a"/>
    <w:uiPriority w:val="99"/>
    <w:rsid w:val="002A5AE1"/>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14</Pages>
  <Words>4300</Words>
  <Characters>24511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9</cp:revision>
  <dcterms:created xsi:type="dcterms:W3CDTF">2016-01-15T04:02:00Z</dcterms:created>
  <dcterms:modified xsi:type="dcterms:W3CDTF">2017-04-20T02:46:00Z</dcterms:modified>
</cp:coreProperties>
</file>