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DD477B" w:rsidRPr="00C12111" w:rsidRDefault="00C12111">
            <w:pPr>
              <w:spacing w:line="360" w:lineRule="auto"/>
              <w:rPr>
                <w:rFonts w:ascii="Book Antiqua" w:hAnsi="Book Antiqua"/>
                <w:bCs/>
                <w:color w:val="000000"/>
                <w:sz w:val="24"/>
                <w:szCs w:val="24"/>
              </w:rPr>
            </w:pPr>
            <w:r w:rsidRPr="00C12111">
              <w:rPr>
                <w:rFonts w:ascii="Book Antiqua" w:hAnsi="Book Antiqua"/>
                <w:bCs/>
                <w:color w:val="000000"/>
                <w:sz w:val="24"/>
                <w:szCs w:val="24"/>
              </w:rPr>
              <w:t xml:space="preserve">Predictors of esophageal varices and first variceal bleeding in liver cirrhosis patients </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DD477B" w:rsidRPr="00C12111" w:rsidRDefault="00C12111">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C12111">
              <w:rPr>
                <w:rFonts w:ascii="Book Antiqua" w:hAnsi="Book Antiqua" w:cs="Book Antiqua"/>
                <w:color w:val="000000"/>
                <w:sz w:val="24"/>
                <w:szCs w:val="24"/>
              </w:rPr>
              <w:t>Bledar Kraja, Iris Mone, Ilir Akshija, Adea Koçollari, Skerdi Prifti, Genc Burazeri</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DD477B" w:rsidRPr="00C12111" w:rsidRDefault="00C12111">
            <w:pPr>
              <w:pStyle w:val="a9"/>
              <w:spacing w:line="360" w:lineRule="auto"/>
              <w:rPr>
                <w:rFonts w:ascii="Book Antiqua" w:hAnsi="Book Antiqua"/>
                <w:sz w:val="24"/>
                <w:szCs w:val="24"/>
              </w:rPr>
            </w:pPr>
            <w:r w:rsidRPr="00C12111">
              <w:rPr>
                <w:rFonts w:ascii="Book Antiqua" w:hAnsi="Book Antiqua"/>
                <w:sz w:val="24"/>
                <w:szCs w:val="24"/>
              </w:rPr>
              <w:t xml:space="preserve">Kraja B, Mone I, Akshija I, Koçollari A, Prifti S, Burazeri G. Predictors of esophageal varices and first variceal bleeding in liver cirrhosis patients. </w:t>
            </w:r>
            <w:r w:rsidRPr="00C12111">
              <w:rPr>
                <w:rFonts w:ascii="Book Antiqua" w:hAnsi="Book Antiqua"/>
                <w:i/>
                <w:iCs/>
                <w:sz w:val="24"/>
                <w:szCs w:val="24"/>
              </w:rPr>
              <w:t>World J Gastroenterol</w:t>
            </w:r>
            <w:r>
              <w:rPr>
                <w:rFonts w:ascii="Book Antiqua" w:hAnsi="Book Antiqua"/>
                <w:sz w:val="24"/>
                <w:szCs w:val="24"/>
              </w:rPr>
              <w:t xml:space="preserve"> 2017; 23(26): 4806-4814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C12111" w:rsidRDefault="00C12111" w:rsidP="003577BA">
            <w:pPr>
              <w:pStyle w:val="a8"/>
              <w:spacing w:line="360" w:lineRule="auto"/>
              <w:rPr>
                <w:rFonts w:ascii="Book Antiqua" w:hAnsi="Book Antiqua"/>
                <w:b w:val="0"/>
                <w:sz w:val="24"/>
                <w:szCs w:val="24"/>
                <w:lang w:val="en-US"/>
              </w:rPr>
            </w:pPr>
            <w:r w:rsidRPr="00C12111">
              <w:rPr>
                <w:rFonts w:ascii="Book Antiqua" w:hAnsi="Book Antiqua"/>
                <w:b w:val="0"/>
                <w:sz w:val="24"/>
                <w:szCs w:val="24"/>
                <w:lang w:val="en-US"/>
              </w:rPr>
              <w:t>http://www.wjgnet.com/1007-9327/full/v23/i26/4806.htm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C12111" w:rsidRDefault="00C12111" w:rsidP="003577BA">
            <w:pPr>
              <w:pStyle w:val="a8"/>
              <w:spacing w:line="360" w:lineRule="auto"/>
              <w:rPr>
                <w:rFonts w:ascii="Book Antiqua" w:hAnsi="Book Antiqua"/>
                <w:b w:val="0"/>
                <w:sz w:val="24"/>
                <w:szCs w:val="24"/>
                <w:lang w:val="en-US"/>
              </w:rPr>
            </w:pPr>
            <w:r w:rsidRPr="00C12111">
              <w:rPr>
                <w:rFonts w:ascii="Book Antiqua" w:hAnsi="Book Antiqua"/>
                <w:b w:val="0"/>
                <w:sz w:val="24"/>
                <w:szCs w:val="24"/>
                <w:lang w:val="en-US"/>
              </w:rPr>
              <w:t>http://dx.doi.org/10.3748/wjg.v23.i26.4806</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DD477B" w:rsidRDefault="00BC53EC">
            <w:pPr>
              <w:pStyle w:val="aa"/>
              <w:spacing w:line="360" w:lineRule="auto"/>
              <w:rPr>
                <w:rFonts w:ascii="Book Antiqua" w:hAnsi="Book Antiqua"/>
                <w:color w:val="000000"/>
                <w:sz w:val="24"/>
                <w:szCs w:val="24"/>
                <w:lang w:val="zh-CN"/>
              </w:rPr>
            </w:pPr>
            <w:r w:rsidRPr="00C12111">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DD477B" w:rsidRPr="00C12111" w:rsidRDefault="00C12111">
            <w:pPr>
              <w:pStyle w:val="E-1"/>
              <w:spacing w:line="360" w:lineRule="auto"/>
              <w:rPr>
                <w:rFonts w:ascii="Book Antiqua" w:hAnsi="Book Antiqua"/>
                <w:sz w:val="24"/>
                <w:szCs w:val="24"/>
              </w:rPr>
            </w:pPr>
            <w:r w:rsidRPr="00C12111">
              <w:rPr>
                <w:rFonts w:ascii="Book Antiqua" w:hAnsi="Book Antiqua"/>
                <w:sz w:val="24"/>
                <w:szCs w:val="24"/>
              </w:rPr>
              <w:t>Non-invasive markers of liver fibrosis con</w:t>
            </w:r>
            <w:r w:rsidRPr="00C12111">
              <w:rPr>
                <w:rFonts w:ascii="Book Antiqua" w:hAnsi="Book Antiqua"/>
                <w:sz w:val="24"/>
                <w:szCs w:val="24"/>
              </w:rPr>
              <w:softHyphen/>
              <w:t xml:space="preserve">stitute a simple and practical alternative to predict the presence of esophageal varices in cirrhotic patients. However, no single or a combination of non-invasive markers has been widely evaluated for predicting the variceal bleeding, to date. Our </w:t>
            </w:r>
            <w:r w:rsidRPr="00C12111">
              <w:rPr>
                <w:rFonts w:ascii="Book Antiqua" w:hAnsi="Book Antiqua"/>
                <w:sz w:val="24"/>
                <w:szCs w:val="24"/>
              </w:rPr>
              <w:lastRenderedPageBreak/>
              <w:t xml:space="preserve">findings from a study conducted in Albania indicate that, despite the low diagnostic accuracy, ﬁbrosis-4-index appears the most efficient non-invasive marker which can be used as an initial screening tool for cirrhotic patients in the areas with lacking endoscopy facilities. Yet, none of the non-invasive markers was a useful predictor of esophageal variceal bleeding </w:t>
            </w:r>
            <w:r>
              <w:rPr>
                <w:rFonts w:ascii="Book Antiqua" w:hAnsi="Book Antiqua"/>
                <w:sz w:val="24"/>
                <w:szCs w:val="24"/>
              </w:rPr>
              <w:t>in Albanian cirrhotic patients.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DD477B" w:rsidRPr="00C12111" w:rsidRDefault="00C12111">
            <w:pPr>
              <w:pStyle w:val="E-1"/>
              <w:spacing w:line="360" w:lineRule="auto"/>
              <w:rPr>
                <w:rFonts w:ascii="Book Antiqua" w:hAnsi="Book Antiqua"/>
                <w:sz w:val="24"/>
                <w:szCs w:val="24"/>
              </w:rPr>
            </w:pPr>
            <w:r w:rsidRPr="00C12111">
              <w:rPr>
                <w:rFonts w:ascii="Book Antiqua" w:hAnsi="Book Antiqua"/>
                <w:sz w:val="24"/>
                <w:szCs w:val="24"/>
              </w:rPr>
              <w:t>Albania; Esophageal varices; Liver cirrhosis; Non-invasiv</w:t>
            </w:r>
            <w:r>
              <w:rPr>
                <w:rFonts w:ascii="Book Antiqua" w:hAnsi="Book Antiqua"/>
                <w:sz w:val="24"/>
                <w:szCs w:val="24"/>
              </w:rPr>
              <w:t>e biomarkers; Variceal bleeding</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DD477B" w:rsidRPr="00C12111" w:rsidRDefault="00C12111">
            <w:pPr>
              <w:pStyle w:val="a8"/>
              <w:spacing w:line="360" w:lineRule="auto"/>
              <w:rPr>
                <w:rFonts w:ascii="Book Antiqua" w:hAnsi="Book Antiqua"/>
                <w:sz w:val="24"/>
                <w:szCs w:val="24"/>
                <w:lang w:val="en-US"/>
              </w:rPr>
            </w:pPr>
            <w:r w:rsidRPr="00C12111">
              <w:rPr>
                <w:rFonts w:ascii="Book Antiqua" w:hAnsi="Book Antiqua"/>
                <w:sz w:val="24"/>
                <w:szCs w:val="24"/>
                <w:lang w:val="en-US"/>
              </w:rPr>
              <w:t xml:space="preserve">© The Author(s) 2017. </w:t>
            </w:r>
            <w:r w:rsidRPr="00C12111">
              <w:rPr>
                <w:rFonts w:ascii="Book Antiqua" w:hAnsi="Book Antiqua"/>
                <w:b w:val="0"/>
                <w:sz w:val="24"/>
                <w:szCs w:val="24"/>
                <w:lang w:val="en-US"/>
              </w:rPr>
              <w:t>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DD477B" w:rsidRDefault="00BC53EC">
            <w:pPr>
              <w:pStyle w:val="a8"/>
              <w:spacing w:line="360" w:lineRule="auto"/>
              <w:rPr>
                <w:rFonts w:ascii="Book Antiqua" w:hAnsi="Book Antiqua"/>
                <w:b w:val="0"/>
                <w:i/>
                <w:sz w:val="24"/>
                <w:szCs w:val="24"/>
                <w:lang w:val="en-US"/>
              </w:rPr>
            </w:pPr>
            <w:r w:rsidRPr="00C12111">
              <w:rPr>
                <w:rFonts w:ascii="Book Antiqua" w:hAnsi="Book Antiqua"/>
                <w:b w:val="0"/>
                <w:sz w:val="24"/>
                <w:szCs w:val="24"/>
                <w:lang w:val="en-US"/>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DD477B" w:rsidRDefault="00BC53EC">
            <w:pPr>
              <w:pStyle w:val="a8"/>
              <w:spacing w:line="360" w:lineRule="auto"/>
              <w:rPr>
                <w:rFonts w:ascii="Book Antiqua" w:hAnsi="Book Antiqua"/>
                <w:b w:val="0"/>
                <w:sz w:val="24"/>
                <w:szCs w:val="24"/>
                <w:lang w:val="en-US"/>
              </w:rPr>
            </w:pPr>
            <w:r w:rsidRPr="00C12111">
              <w:rPr>
                <w:rFonts w:ascii="Book Antiqua" w:hAnsi="Book Antiqua"/>
                <w:b w:val="0"/>
                <w:sz w:val="24"/>
                <w:szCs w:val="24"/>
                <w:lang w:val="en-US"/>
              </w:rPr>
              <w:t>1007-9327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DD477B" w:rsidRDefault="00BC53EC">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DD477B" w:rsidRDefault="00BC53EC">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F50781"/>
    <w:p w:rsidR="00C12111" w:rsidRDefault="00C12111" w:rsidP="006C55C4">
      <w:pPr>
        <w:pStyle w:val="8BF4"/>
        <w:ind w:firstLineChars="3300" w:firstLine="7288"/>
        <w:rPr>
          <w:rFonts w:ascii="Tw Cen MT" w:hAnsi="Tw Cen MT" w:cs="Tw Cen MT"/>
          <w:b/>
          <w:bCs/>
          <w:sz w:val="22"/>
          <w:szCs w:val="22"/>
        </w:rPr>
      </w:pPr>
      <w:bookmarkStart w:id="0" w:name="_GoBack"/>
      <w:bookmarkEnd w:id="0"/>
      <w:r>
        <w:rPr>
          <w:rFonts w:ascii="Tw Cen MT" w:hAnsi="Tw Cen MT" w:cs="Tw Cen MT"/>
          <w:b/>
          <w:bCs/>
          <w:sz w:val="22"/>
          <w:szCs w:val="22"/>
        </w:rPr>
        <w:lastRenderedPageBreak/>
        <w:t>Observational Study</w:t>
      </w:r>
    </w:p>
    <w:p w:rsidR="00C12111" w:rsidRDefault="00C12111" w:rsidP="00C12111"/>
    <w:p w:rsidR="00C12111" w:rsidRPr="00574F1B" w:rsidRDefault="00C12111" w:rsidP="00C12111">
      <w:pPr>
        <w:pStyle w:val="a8"/>
        <w:rPr>
          <w:lang w:val="en-US"/>
        </w:rPr>
      </w:pPr>
      <w:r w:rsidRPr="00574F1B">
        <w:rPr>
          <w:lang w:val="en-US"/>
        </w:rPr>
        <w:t xml:space="preserve">Predictors of esophageal varices and first variceal bleeding in liver cirrhosis patients </w:t>
      </w:r>
    </w:p>
    <w:p w:rsidR="00C12111" w:rsidRDefault="00C12111" w:rsidP="00C12111"/>
    <w:p w:rsidR="00C12111" w:rsidRPr="00574F1B" w:rsidRDefault="00C12111" w:rsidP="00C12111">
      <w:pPr>
        <w:pStyle w:val="ae"/>
        <w:rPr>
          <w:lang w:val="en-US"/>
        </w:rPr>
      </w:pPr>
      <w:r w:rsidRPr="00574F1B">
        <w:rPr>
          <w:lang w:val="en-US"/>
        </w:rPr>
        <w:t>Bledar Kraja, Iris Mone, Ilir Akshija, Adea Koçollari, Skerdi Prifti, Genc Burazeri</w:t>
      </w:r>
    </w:p>
    <w:p w:rsidR="00C12111" w:rsidRDefault="00C12111" w:rsidP="00C12111"/>
    <w:p w:rsidR="00C12111" w:rsidRDefault="00C12111" w:rsidP="00C12111">
      <w:pPr>
        <w:pStyle w:val="af"/>
      </w:pPr>
      <w:r>
        <w:rPr>
          <w:rFonts w:ascii="Tahoma" w:hAnsi="Tahoma" w:cs="Tahoma"/>
        </w:rPr>
        <w:t>Bledar Kraja, Iris Mone,</w:t>
      </w:r>
      <w:r>
        <w:rPr>
          <w:b/>
          <w:bCs/>
        </w:rPr>
        <w:t xml:space="preserve"> </w:t>
      </w:r>
      <w:r>
        <w:t xml:space="preserve">Department of Biomedical Sciences, </w:t>
      </w:r>
      <w:r>
        <w:rPr>
          <w:spacing w:val="-4"/>
        </w:rPr>
        <w:t xml:space="preserve">Faculty of Medicine, University of Medicine, 1001 Tirana, </w:t>
      </w:r>
      <w:r>
        <w:t>Albania</w:t>
      </w:r>
    </w:p>
    <w:p w:rsidR="00C12111" w:rsidRDefault="00C12111" w:rsidP="00C12111">
      <w:pPr>
        <w:pStyle w:val="af"/>
      </w:pPr>
      <w:r>
        <w:rPr>
          <w:rFonts w:ascii="Tahoma" w:hAnsi="Tahoma" w:cs="Tahoma"/>
        </w:rPr>
        <w:t>Bledar Kraja, Adea Koçollari, Skerdi Prifti,</w:t>
      </w:r>
      <w:r>
        <w:rPr>
          <w:b/>
          <w:bCs/>
        </w:rPr>
        <w:t xml:space="preserve"> </w:t>
      </w:r>
      <w:r>
        <w:t>University Clinic of Gastrohepatology, University Hospital Center Mother Teresa, 1001 Tirana, Albania</w:t>
      </w:r>
    </w:p>
    <w:p w:rsidR="00C12111" w:rsidRDefault="00C12111" w:rsidP="00C12111">
      <w:pPr>
        <w:pStyle w:val="af"/>
      </w:pPr>
      <w:r>
        <w:rPr>
          <w:rFonts w:ascii="Tahoma" w:hAnsi="Tahoma" w:cs="Tahoma"/>
        </w:rPr>
        <w:t>Iris Mone,</w:t>
      </w:r>
      <w:r>
        <w:rPr>
          <w:b/>
          <w:bCs/>
        </w:rPr>
        <w:t xml:space="preserve"> </w:t>
      </w:r>
      <w:r>
        <w:t>Department of Laboratory, University Hospital Center Mother Teresa, 1001 Tirana, Albania</w:t>
      </w:r>
    </w:p>
    <w:p w:rsidR="00C12111" w:rsidRDefault="00C12111" w:rsidP="00C12111">
      <w:pPr>
        <w:pStyle w:val="af"/>
      </w:pPr>
      <w:r>
        <w:rPr>
          <w:rFonts w:ascii="Tahoma" w:hAnsi="Tahoma" w:cs="Tahoma"/>
        </w:rPr>
        <w:t>Ilir Akshija,</w:t>
      </w:r>
      <w:r>
        <w:t xml:space="preserve"> Department of Statistics, University Hospital Center Mother Teresa, 1001 Tirana, Albania</w:t>
      </w:r>
    </w:p>
    <w:p w:rsidR="00C12111" w:rsidRDefault="00C12111" w:rsidP="00C12111">
      <w:pPr>
        <w:pStyle w:val="af"/>
      </w:pPr>
      <w:r>
        <w:rPr>
          <w:rFonts w:ascii="Tahoma" w:hAnsi="Tahoma" w:cs="Tahoma"/>
        </w:rPr>
        <w:t>Genc Burazeri,</w:t>
      </w:r>
      <w:r>
        <w:rPr>
          <w:b/>
          <w:bCs/>
        </w:rPr>
        <w:t xml:space="preserve"> </w:t>
      </w:r>
      <w:r>
        <w:t>Department Department of International Health, School CAPHRI, Care and Public Health Research Institute, Maastricht University, 6200 Maastricht, the Netherlands</w:t>
      </w:r>
    </w:p>
    <w:p w:rsidR="00C12111" w:rsidRDefault="00C12111" w:rsidP="00C12111">
      <w:pPr>
        <w:pStyle w:val="af"/>
      </w:pPr>
      <w:r w:rsidRPr="00574F1B">
        <w:rPr>
          <w:rFonts w:ascii="Tahoma" w:hAnsi="Tahoma" w:cs="Tahoma"/>
          <w:spacing w:val="0"/>
        </w:rPr>
        <w:t>Author contributions:</w:t>
      </w:r>
      <w:r>
        <w:t xml:space="preserve"> Kraja B, Mone I, Prifti S and Burazeri G contributed to the study conceptualization and design, analysis and interpretation of the data and writing of the article; Akshija I and Koçollari A commented comprehensively on the manuscript; all authors have read and approved the submitted manuscript.</w:t>
      </w:r>
    </w:p>
    <w:p w:rsidR="00C12111" w:rsidRDefault="00C12111" w:rsidP="00C12111">
      <w:pPr>
        <w:pStyle w:val="af"/>
        <w:rPr>
          <w:spacing w:val="-4"/>
        </w:rPr>
      </w:pPr>
      <w:r w:rsidRPr="00574F1B">
        <w:rPr>
          <w:rFonts w:ascii="Tahoma" w:hAnsi="Tahoma" w:cs="Tahoma"/>
          <w:spacing w:val="0"/>
        </w:rPr>
        <w:t>Correspondence to:</w:t>
      </w:r>
      <w:r>
        <w:rPr>
          <w:b/>
          <w:bCs/>
        </w:rPr>
        <w:t xml:space="preserve"> </w:t>
      </w:r>
      <w:r>
        <w:rPr>
          <w:rFonts w:ascii="Tahoma" w:hAnsi="Tahoma" w:cs="Tahoma"/>
          <w:spacing w:val="-4"/>
        </w:rPr>
        <w:t>Bledar Kraja, MD, PhD,</w:t>
      </w:r>
      <w:r>
        <w:rPr>
          <w:b/>
          <w:bCs/>
          <w:spacing w:val="-4"/>
        </w:rPr>
        <w:t xml:space="preserve"> </w:t>
      </w:r>
      <w:r>
        <w:t xml:space="preserve">Department of Biomedical Sciences, Faculty of Medicine, University of </w:t>
      </w:r>
      <w:r>
        <w:rPr>
          <w:spacing w:val="-4"/>
        </w:rPr>
        <w:t>Medicine, Dibra Street 371, 1001 Tirana, Albania. bledarkraja@yahoo.com</w:t>
      </w:r>
    </w:p>
    <w:p w:rsidR="00C12111" w:rsidRDefault="00C12111" w:rsidP="00C12111">
      <w:pPr>
        <w:pStyle w:val="af"/>
      </w:pPr>
      <w:r w:rsidRPr="00574F1B">
        <w:rPr>
          <w:rFonts w:ascii="Tahoma" w:hAnsi="Tahoma" w:cs="Tahoma"/>
          <w:spacing w:val="0"/>
        </w:rPr>
        <w:t>Telephone:</w:t>
      </w:r>
      <w:r>
        <w:t xml:space="preserve"> +355-67-2058760  </w:t>
      </w:r>
    </w:p>
    <w:p w:rsidR="00C12111" w:rsidRPr="00574F1B" w:rsidRDefault="00C12111" w:rsidP="00C12111">
      <w:pPr>
        <w:pStyle w:val="af"/>
        <w:rPr>
          <w:b/>
          <w:bCs/>
        </w:rPr>
      </w:pPr>
      <w:r>
        <w:rPr>
          <w:rFonts w:ascii="Tahoma" w:hAnsi="Tahoma" w:cs="Tahoma"/>
        </w:rPr>
        <w:t>Received:</w:t>
      </w:r>
      <w:r>
        <w:rPr>
          <w:b/>
          <w:bCs/>
        </w:rPr>
        <w:t xml:space="preserve"> </w:t>
      </w:r>
      <w:r>
        <w:t>February 26, 2017</w:t>
      </w:r>
      <w:r>
        <w:rPr>
          <w:rFonts w:hint="eastAsia"/>
          <w:b/>
          <w:bCs/>
        </w:rPr>
        <w:t xml:space="preserve">   </w:t>
      </w:r>
      <w:r>
        <w:rPr>
          <w:rFonts w:ascii="Tahoma" w:hAnsi="Tahoma" w:cs="Tahoma"/>
        </w:rPr>
        <w:t>Revised:</w:t>
      </w:r>
      <w:r>
        <w:t xml:space="preserve"> April 23, 2017</w:t>
      </w:r>
      <w:r>
        <w:rPr>
          <w:rFonts w:hint="eastAsia"/>
          <w:b/>
          <w:bCs/>
        </w:rPr>
        <w:t xml:space="preserve">   </w:t>
      </w:r>
      <w:r>
        <w:rPr>
          <w:rFonts w:ascii="Tahoma" w:hAnsi="Tahoma" w:cs="Tahoma"/>
        </w:rPr>
        <w:t>Accepted:</w:t>
      </w:r>
      <w:r>
        <w:t xml:space="preserve"> June 1, 2017</w:t>
      </w:r>
      <w:r>
        <w:rPr>
          <w:b/>
          <w:bCs/>
        </w:rPr>
        <w:t xml:space="preserve">  </w:t>
      </w:r>
    </w:p>
    <w:p w:rsidR="00C12111" w:rsidRPr="00574F1B" w:rsidRDefault="00C12111" w:rsidP="00C12111">
      <w:pPr>
        <w:pStyle w:val="NormalParagraphStyle"/>
        <w:suppressAutoHyphens/>
        <w:rPr>
          <w:rFonts w:ascii="宋体 Bold" w:eastAsia="宋体 Bold" w:cs="宋体 Bold"/>
          <w:b/>
          <w:bCs/>
          <w:lang w:val="en-US"/>
        </w:rPr>
      </w:pPr>
      <w:r w:rsidRPr="00574F1B">
        <w:rPr>
          <w:rFonts w:ascii="Tahoma" w:hAnsi="Tahoma" w:cs="Tahoma"/>
          <w:sz w:val="18"/>
          <w:szCs w:val="18"/>
          <w:lang w:val="en-US"/>
        </w:rPr>
        <w:t xml:space="preserve">Published online: </w:t>
      </w:r>
      <w:r w:rsidRPr="00574F1B">
        <w:rPr>
          <w:rFonts w:ascii="Times New Roman" w:hAnsi="Times New Roman" w:cs="Times New Roman"/>
          <w:sz w:val="18"/>
          <w:szCs w:val="18"/>
          <w:lang w:val="en-US"/>
        </w:rPr>
        <w:t>July 14, 2017</w:t>
      </w:r>
    </w:p>
    <w:p w:rsidR="00C12111" w:rsidRPr="00574F1B" w:rsidRDefault="00C12111" w:rsidP="00C12111">
      <w:pPr>
        <w:pStyle w:val="NormalParagraphStyle"/>
        <w:rPr>
          <w:rFonts w:ascii="Century Gothic" w:hAnsi="Century Gothic" w:cs="Century Gothic"/>
          <w:b/>
          <w:bCs/>
          <w:spacing w:val="12"/>
          <w:lang w:val="en-US"/>
        </w:rPr>
      </w:pPr>
    </w:p>
    <w:p w:rsidR="00C12111" w:rsidRPr="00574F1B" w:rsidRDefault="00C12111" w:rsidP="00C12111">
      <w:pPr>
        <w:pStyle w:val="NormalParagraphStyle"/>
        <w:rPr>
          <w:rFonts w:ascii="Century Gothic" w:hAnsi="Century Gothic" w:cs="Century Gothic"/>
          <w:b/>
          <w:bCs/>
          <w:spacing w:val="12"/>
          <w:lang w:val="en-US"/>
        </w:rPr>
      </w:pPr>
      <w:r w:rsidRPr="00574F1B">
        <w:rPr>
          <w:rFonts w:ascii="Century Gothic" w:hAnsi="Century Gothic" w:cs="Century Gothic"/>
          <w:b/>
          <w:bCs/>
          <w:spacing w:val="12"/>
          <w:lang w:val="en-US"/>
        </w:rPr>
        <w:t>Abstract</w:t>
      </w:r>
    </w:p>
    <w:p w:rsidR="00C12111" w:rsidRPr="00574F1B" w:rsidRDefault="00C12111" w:rsidP="00C12111">
      <w:pPr>
        <w:pStyle w:val="E-1"/>
        <w:rPr>
          <w:rFonts w:ascii="Tahoma Bold Italic" w:hAnsi="Tahoma Bold Italic" w:cs="Tahoma Bold Italic"/>
          <w:b/>
          <w:bCs/>
        </w:rPr>
      </w:pPr>
      <w:r w:rsidRPr="00574F1B">
        <w:rPr>
          <w:rFonts w:ascii="Times New Roman" w:hAnsi="Times New Roman" w:cs="Times New Roman"/>
          <w:b/>
          <w:bCs/>
        </w:rPr>
        <w:t>AIM</w:t>
      </w:r>
    </w:p>
    <w:p w:rsidR="00C12111" w:rsidRDefault="00C12111" w:rsidP="00C12111">
      <w:pPr>
        <w:pStyle w:val="E-1"/>
        <w:rPr>
          <w:spacing w:val="-2"/>
        </w:rPr>
      </w:pPr>
      <w:r>
        <w:rPr>
          <w:spacing w:val="-2"/>
        </w:rPr>
        <w:t>To assess “predictors” of esophageal varices (EV) and variceal bleeding using non-invasive markers in Albanian patients diagnosed with liver cirrhosis.</w:t>
      </w:r>
    </w:p>
    <w:p w:rsidR="00C12111" w:rsidRPr="00574F1B" w:rsidRDefault="00C12111" w:rsidP="00C12111">
      <w:pPr>
        <w:pStyle w:val="E-1"/>
        <w:rPr>
          <w:rFonts w:ascii="Tahoma Bold Italic" w:hAnsi="Tahoma Bold Italic" w:cs="Tahoma Bold Italic"/>
          <w:b/>
          <w:bCs/>
        </w:rPr>
      </w:pPr>
      <w:r w:rsidRPr="00574F1B">
        <w:rPr>
          <w:rFonts w:ascii="Times New Roman" w:hAnsi="Times New Roman" w:cs="Times New Roman"/>
          <w:b/>
          <w:bCs/>
        </w:rPr>
        <w:t>METHODS</w:t>
      </w:r>
    </w:p>
    <w:p w:rsidR="00C12111" w:rsidRDefault="00C12111" w:rsidP="00C12111">
      <w:pPr>
        <w:pStyle w:val="E-1"/>
      </w:pPr>
      <w:r>
        <w:t xml:space="preserve">One hundred thirty-nine newly diagnosed cirrhotic patients without variceal bleeding were included in this analysis. Model for end-stage liver disease (MELD), aspartate aminotransferase (AST) to alanine aminotransferase (ALT) ratio (AST/ALT), AST to platelet ratio index (APRI), platelet count to spleen diameter (PC/SD), ﬁbrosis-4-index (FIB-4), fibrosis index (FI) and King’s Score were measured for all participants. All patients underwent endoscopic assessment within two days of hospitalization. The major end point was the first esophageal variceal bleeding (EVB) event. The diagnostic performance of “predictors” for the presence of EV and EVB were assessed by sensitivity and specificity values obtained from the receiver operating characteristics procedure. </w:t>
      </w:r>
    </w:p>
    <w:p w:rsidR="00C12111" w:rsidRPr="00574F1B" w:rsidRDefault="00C12111" w:rsidP="00C12111">
      <w:pPr>
        <w:pStyle w:val="E-1"/>
        <w:rPr>
          <w:rFonts w:ascii="Tahoma Bold Italic" w:hAnsi="Tahoma Bold Italic" w:cs="Tahoma Bold Italic"/>
          <w:b/>
          <w:bCs/>
        </w:rPr>
      </w:pPr>
      <w:r w:rsidRPr="00574F1B">
        <w:rPr>
          <w:rFonts w:ascii="Times New Roman" w:hAnsi="Times New Roman" w:cs="Times New Roman"/>
          <w:b/>
          <w:bCs/>
        </w:rPr>
        <w:t>RESULTS</w:t>
      </w:r>
    </w:p>
    <w:p w:rsidR="00C12111" w:rsidRDefault="00C12111" w:rsidP="00C12111">
      <w:pPr>
        <w:pStyle w:val="E-1"/>
      </w:pPr>
      <w:r>
        <w:t xml:space="preserve">FIB-4 was the only strong and significant “predictor” </w:t>
      </w:r>
      <w:r>
        <w:rPr>
          <w:spacing w:val="-2"/>
        </w:rPr>
        <w:t>of esophageal varices (multivariable-adjusted OR = 1.57 for one unit increment; 95%CI: 1.15-2.14). Further</w:t>
      </w:r>
      <w:r>
        <w:rPr>
          <w:spacing w:val="-2"/>
        </w:rPr>
        <w:softHyphen/>
        <w:t xml:space="preserve">more, a cut-off value of 3.23 for FIB-4 was a significant predictor of esophageal varices, with a sensitivity of 72%, a specificity of 58% and a proportion of area under the curve (AUC) of 66% </w:t>
      </w:r>
      <w:r>
        <w:t>(</w:t>
      </w:r>
      <w:r>
        <w:rPr>
          <w:rFonts w:ascii="Tahoma Italic" w:hAnsi="Tahoma Italic" w:cs="Tahoma Italic"/>
          <w:i/>
          <w:iCs/>
        </w:rPr>
        <w:t>P</w:t>
      </w:r>
      <w:r>
        <w:t xml:space="preserve"> = 0.01). During the follow-up (median: 31.5 mo; interquartile range: 11-59 mo), 34 patients (24%) experienced a first EVB. FIB-4 was a poor predictor of EVB (the AUC was only 51%) for a cut-off value of 5.02. Furthermore, the AUC of AST/ALT, APRI, PC/SD, FI, MELD and King's Score ranged from 45% to 55%. None of the non-invasive markers turned out to be a useful predictor of EVB.</w:t>
      </w:r>
    </w:p>
    <w:p w:rsidR="00C12111" w:rsidRPr="00574F1B" w:rsidRDefault="00C12111" w:rsidP="00C12111">
      <w:pPr>
        <w:pStyle w:val="E-1"/>
        <w:rPr>
          <w:rFonts w:ascii="Tahoma Bold Italic" w:hAnsi="Tahoma Bold Italic" w:cs="Tahoma Bold Italic"/>
          <w:b/>
          <w:bCs/>
        </w:rPr>
      </w:pPr>
      <w:r w:rsidRPr="00574F1B">
        <w:rPr>
          <w:rFonts w:ascii="Times New Roman" w:hAnsi="Times New Roman" w:cs="Times New Roman"/>
          <w:b/>
          <w:bCs/>
        </w:rPr>
        <w:lastRenderedPageBreak/>
        <w:t>CONCLUSION</w:t>
      </w:r>
    </w:p>
    <w:p w:rsidR="00C12111" w:rsidRDefault="00C12111" w:rsidP="00C12111">
      <w:pPr>
        <w:pStyle w:val="E-1"/>
      </w:pPr>
      <w:r>
        <w:t>Despite the low diagnostic accuracy, FIB-4 appears the most efficient non-invasive liver fibrosis marker which can be used as an initial screening tool for cirrhotic patients.</w:t>
      </w:r>
    </w:p>
    <w:p w:rsidR="00C12111" w:rsidRDefault="00C12111" w:rsidP="00C12111">
      <w:pPr>
        <w:pStyle w:val="E-1"/>
        <w:rPr>
          <w:rFonts w:ascii="Times New Roman" w:hAnsi="Times New Roman" w:cs="Times New Roman"/>
          <w:b/>
          <w:bCs/>
        </w:rPr>
      </w:pPr>
    </w:p>
    <w:p w:rsidR="00C12111" w:rsidRDefault="00C12111" w:rsidP="00C12111">
      <w:pPr>
        <w:pStyle w:val="E-1"/>
      </w:pPr>
      <w:r>
        <w:rPr>
          <w:rFonts w:ascii="Times New Roman" w:hAnsi="Times New Roman" w:cs="Times New Roman"/>
          <w:b/>
          <w:bCs/>
        </w:rPr>
        <w:t>Key words:</w:t>
      </w:r>
      <w:r>
        <w:rPr>
          <w:b/>
          <w:bCs/>
        </w:rPr>
        <w:t xml:space="preserve"> </w:t>
      </w:r>
      <w:r>
        <w:t xml:space="preserve">Albania; Esophageal varices; Liver cirrhosis; Non-invasive biomarkers; </w:t>
      </w:r>
      <w:proofErr w:type="gramStart"/>
      <w:r>
        <w:t>Variceal</w:t>
      </w:r>
      <w:proofErr w:type="gramEnd"/>
      <w:r>
        <w:t xml:space="preserve"> bleeding</w:t>
      </w:r>
    </w:p>
    <w:p w:rsidR="00C12111" w:rsidRDefault="00C12111" w:rsidP="00C12111">
      <w:pPr>
        <w:pStyle w:val="E-1"/>
        <w:rPr>
          <w:b/>
          <w:bCs/>
          <w:sz w:val="17"/>
          <w:szCs w:val="17"/>
        </w:rPr>
      </w:pPr>
    </w:p>
    <w:p w:rsidR="00C12111" w:rsidRPr="00476ED0" w:rsidRDefault="00C12111" w:rsidP="00C12111">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476ED0">
        <w:rPr>
          <w:rFonts w:ascii="Tahoma" w:hAnsi="Tahoma" w:cs="Tahoma"/>
          <w:b/>
          <w:bCs/>
          <w:color w:val="000000"/>
          <w:spacing w:val="-1"/>
          <w:kern w:val="0"/>
          <w:sz w:val="17"/>
          <w:szCs w:val="17"/>
        </w:rPr>
        <w:t>© The Author(s) 2017.</w:t>
      </w:r>
      <w:proofErr w:type="gramEnd"/>
      <w:r w:rsidRPr="00476ED0">
        <w:rPr>
          <w:rFonts w:ascii="Tahoma" w:hAnsi="Tahoma" w:cs="Tahoma"/>
          <w:color w:val="000000"/>
          <w:spacing w:val="-1"/>
          <w:kern w:val="0"/>
          <w:sz w:val="17"/>
          <w:szCs w:val="17"/>
        </w:rPr>
        <w:t xml:space="preserve"> </w:t>
      </w:r>
      <w:proofErr w:type="gramStart"/>
      <w:r w:rsidRPr="00476ED0">
        <w:rPr>
          <w:rFonts w:ascii="Tahoma" w:hAnsi="Tahoma" w:cs="Tahoma"/>
          <w:color w:val="000000"/>
          <w:spacing w:val="-1"/>
          <w:kern w:val="0"/>
          <w:sz w:val="17"/>
          <w:szCs w:val="17"/>
        </w:rPr>
        <w:t>Published by Baishideng Publishing Group Inc.</w:t>
      </w:r>
      <w:proofErr w:type="gramEnd"/>
      <w:r w:rsidRPr="00476ED0">
        <w:rPr>
          <w:rFonts w:ascii="Tahoma" w:hAnsi="Tahoma" w:cs="Tahoma"/>
          <w:color w:val="000000"/>
          <w:spacing w:val="-1"/>
          <w:kern w:val="0"/>
          <w:sz w:val="17"/>
          <w:szCs w:val="17"/>
        </w:rPr>
        <w:t xml:space="preserve"> All rights reserved.</w:t>
      </w:r>
    </w:p>
    <w:p w:rsidR="00C12111" w:rsidRDefault="00C12111" w:rsidP="00C12111">
      <w:pPr>
        <w:pStyle w:val="a9"/>
      </w:pPr>
    </w:p>
    <w:p w:rsidR="00C12111" w:rsidRDefault="00C12111" w:rsidP="00C12111">
      <w:pPr>
        <w:pStyle w:val="a9"/>
      </w:pPr>
      <w:r>
        <w:t xml:space="preserve">Kraja B, Mone I, Akshija I, Koçollari A, Prifti S, Burazeri G. Predictors of esophageal varices and first variceal bleeding in liver cirrhosis patients. </w:t>
      </w:r>
      <w:r>
        <w:rPr>
          <w:i/>
          <w:iCs/>
        </w:rPr>
        <w:t>World J Gastroenterol</w:t>
      </w:r>
      <w:r>
        <w:t xml:space="preserve"> 2017; 23(26): 4806-</w:t>
      </w:r>
      <w:proofErr w:type="gramStart"/>
      <w:r>
        <w:t>4814  Available</w:t>
      </w:r>
      <w:proofErr w:type="gramEnd"/>
      <w:r>
        <w:t xml:space="preserve"> from: URL: http://www.wjgnet.com/1007-9327/full/v23/i26/4806.htm  DOI: http://dx.doi.org/10.3748/wjg.v23.i26.4806</w:t>
      </w:r>
    </w:p>
    <w:p w:rsidR="00C12111" w:rsidRPr="00574F1B" w:rsidRDefault="00C12111" w:rsidP="00C12111">
      <w:pPr>
        <w:pStyle w:val="af0"/>
        <w:rPr>
          <w:lang w:val="en-US"/>
        </w:rPr>
      </w:pPr>
    </w:p>
    <w:p w:rsidR="00C12111" w:rsidRDefault="00C12111" w:rsidP="00C12111">
      <w:pPr>
        <w:pStyle w:val="E-1"/>
        <w:rPr>
          <w:b/>
          <w:bCs/>
        </w:rPr>
      </w:pPr>
      <w:r>
        <w:rPr>
          <w:rFonts w:ascii="Times New Roman" w:hAnsi="Times New Roman" w:cs="Times New Roman"/>
          <w:b/>
          <w:bCs/>
          <w:spacing w:val="-3"/>
        </w:rPr>
        <w:t>Core tip:</w:t>
      </w:r>
      <w:r>
        <w:rPr>
          <w:b/>
          <w:bCs/>
        </w:rPr>
        <w:t xml:space="preserve"> </w:t>
      </w:r>
      <w:r>
        <w:t>Non-invasive markers of liver fibrosis con</w:t>
      </w:r>
      <w:r>
        <w:softHyphen/>
        <w:t>stitute a simple and practical alternative to predict the presence of esophageal varices in cirrhotic patients. However, no single or a combination of non-invasive markers has been widely evaluated for predicting the variceal bleeding, to date. Our findings from a study conducted in Albania indicate that, despite the low diagnostic accuracy, ﬁbrosis-4-index appears the most efficient non-invasive marker which can be used as an initial screening tool for cirrhotic patients in the areas with lacking endoscopy facilities. Yet, none of the non-invasive markers was a useful predictor of esophageal variceal bleeding in Albanian cirrhotic patients.</w:t>
      </w:r>
    </w:p>
    <w:p w:rsidR="00C12111" w:rsidRPr="00574F1B" w:rsidRDefault="00C12111" w:rsidP="00C12111">
      <w:pPr>
        <w:pStyle w:val="af0"/>
        <w:rPr>
          <w:lang w:val="en-US"/>
        </w:rPr>
      </w:pPr>
    </w:p>
    <w:p w:rsidR="00C12111" w:rsidRPr="00574F1B" w:rsidRDefault="00C12111" w:rsidP="00C12111">
      <w:pPr>
        <w:pStyle w:val="af0"/>
        <w:rPr>
          <w:u w:val="single"/>
          <w:lang w:val="en-US"/>
        </w:rPr>
      </w:pPr>
      <w:r w:rsidRPr="00574F1B">
        <w:rPr>
          <w:u w:val="single"/>
          <w:lang w:val="en-US"/>
        </w:rPr>
        <w:t>INTRODUCTION</w:t>
      </w:r>
    </w:p>
    <w:p w:rsidR="00C12111" w:rsidRDefault="00C12111" w:rsidP="00C12111">
      <w:pPr>
        <w:pStyle w:val="af1"/>
      </w:pPr>
      <w:r>
        <w:t>Liver cirrhosis is the 13</w:t>
      </w:r>
      <w:r>
        <w:rPr>
          <w:vertAlign w:val="superscript"/>
        </w:rPr>
        <w:t>th</w:t>
      </w:r>
      <w:r>
        <w:t xml:space="preserve"> leading cause of death globally, with increasing mortality rate </w:t>
      </w:r>
      <w:proofErr w:type="gramStart"/>
      <w:r>
        <w:t>worldwide</w:t>
      </w:r>
      <w:r>
        <w:rPr>
          <w:vertAlign w:val="superscript"/>
        </w:rPr>
        <w:t>[</w:t>
      </w:r>
      <w:proofErr w:type="gramEnd"/>
      <w:r>
        <w:rPr>
          <w:vertAlign w:val="superscript"/>
        </w:rPr>
        <w:t>1]</w:t>
      </w:r>
      <w:r>
        <w:t xml:space="preserve">. Portal hypertension is a frequent consequence in the progression of liver cirrhosis and plays a crucial role in the clinical manifestations of </w:t>
      </w:r>
      <w:proofErr w:type="gramStart"/>
      <w:r>
        <w:t>disease</w:t>
      </w:r>
      <w:r>
        <w:rPr>
          <w:vertAlign w:val="superscript"/>
        </w:rPr>
        <w:t>[</w:t>
      </w:r>
      <w:proofErr w:type="gramEnd"/>
      <w:r>
        <w:rPr>
          <w:vertAlign w:val="superscript"/>
        </w:rPr>
        <w:t>2,3]</w:t>
      </w:r>
      <w:r>
        <w:t xml:space="preserve">. One of the most serious complications of portal hypertension is the development of esophageal varices (EV) caused by increased hepatic vascular resistance related to hepatic fibrosis and regenerative </w:t>
      </w:r>
      <w:proofErr w:type="gramStart"/>
      <w:r>
        <w:t>nodules</w:t>
      </w:r>
      <w:r>
        <w:rPr>
          <w:vertAlign w:val="superscript"/>
        </w:rPr>
        <w:t>[</w:t>
      </w:r>
      <w:proofErr w:type="gramEnd"/>
      <w:r>
        <w:rPr>
          <w:vertAlign w:val="superscript"/>
        </w:rPr>
        <w:t>3]</w:t>
      </w:r>
      <w:r>
        <w:t xml:space="preserve">. In addition, the variceal bleeding due to the rupture of varices is still the most common lethal complication of </w:t>
      </w:r>
      <w:proofErr w:type="gramStart"/>
      <w:r>
        <w:t>cirrhosis</w:t>
      </w:r>
      <w:r>
        <w:rPr>
          <w:vertAlign w:val="superscript"/>
        </w:rPr>
        <w:t>[</w:t>
      </w:r>
      <w:proofErr w:type="gramEnd"/>
      <w:r>
        <w:rPr>
          <w:vertAlign w:val="superscript"/>
        </w:rPr>
        <w:t>4]</w:t>
      </w:r>
      <w:r>
        <w:t xml:space="preserve">. Therefore, assessing the presence of esophageal varices in cirrhotic patients is clinically important in prevention of their bleeding. To date, the upper gastrointestinal endoscopy remains the golden diagnostic methods for EV and the recent Baveno VI Meeting Consensus recommends the endoscopy screening for all cirrhotic patients at the time of their diagnosis and periodical endoscopy examination in patients with </w:t>
      </w:r>
      <w:proofErr w:type="gramStart"/>
      <w:r>
        <w:t>EV</w:t>
      </w:r>
      <w:r>
        <w:rPr>
          <w:vertAlign w:val="superscript"/>
        </w:rPr>
        <w:t>[</w:t>
      </w:r>
      <w:proofErr w:type="gramEnd"/>
      <w:r>
        <w:rPr>
          <w:vertAlign w:val="superscript"/>
        </w:rPr>
        <w:t>4]</w:t>
      </w:r>
      <w:r>
        <w:t xml:space="preserve">. However, routine endoscopy screening may not be cost-effective, as less than 50% of all patients with cirrhosis have </w:t>
      </w:r>
      <w:proofErr w:type="gramStart"/>
      <w:r>
        <w:t>EV</w:t>
      </w:r>
      <w:r>
        <w:rPr>
          <w:vertAlign w:val="superscript"/>
        </w:rPr>
        <w:t>[</w:t>
      </w:r>
      <w:proofErr w:type="gramEnd"/>
      <w:r>
        <w:rPr>
          <w:vertAlign w:val="superscript"/>
        </w:rPr>
        <w:t>5]</w:t>
      </w:r>
      <w:r>
        <w:t xml:space="preserve">. Furthermore, there is a low prevalence of varices which requires primary </w:t>
      </w:r>
      <w:proofErr w:type="gramStart"/>
      <w:r>
        <w:t>prophylaxis</w:t>
      </w:r>
      <w:r>
        <w:rPr>
          <w:vertAlign w:val="superscript"/>
        </w:rPr>
        <w:t>[</w:t>
      </w:r>
      <w:proofErr w:type="gramEnd"/>
      <w:r>
        <w:rPr>
          <w:vertAlign w:val="superscript"/>
        </w:rPr>
        <w:t>5]</w:t>
      </w:r>
      <w:r>
        <w:t xml:space="preserve">. Also, the upper endoscopy is an invasive and uncomfortable procedure which may not be acceptable for the patients. Hence, predicting the presence of EV through non-endoscopic and non-invasive markers is important in order to identify the patients who benefit from routine endoscopy screening and may reduce considerably the number of avoidable </w:t>
      </w:r>
      <w:proofErr w:type="gramStart"/>
      <w:r>
        <w:t>endoscopies</w:t>
      </w:r>
      <w:r>
        <w:rPr>
          <w:vertAlign w:val="superscript"/>
        </w:rPr>
        <w:t>[</w:t>
      </w:r>
      <w:proofErr w:type="gramEnd"/>
      <w:r>
        <w:rPr>
          <w:vertAlign w:val="superscript"/>
        </w:rPr>
        <w:t>6]</w:t>
      </w:r>
      <w:r>
        <w:t>.</w:t>
      </w:r>
    </w:p>
    <w:p w:rsidR="00C12111" w:rsidRDefault="00C12111" w:rsidP="00C12111">
      <w:pPr>
        <w:pStyle w:val="1"/>
        <w:rPr>
          <w:spacing w:val="-9"/>
        </w:rPr>
      </w:pPr>
      <w:r>
        <w:rPr>
          <w:spacing w:val="-9"/>
        </w:rPr>
        <w:t>Recently, various non-invasive markers, such as model for end-stage liver disease (MELD), aspartate aminotransferase (AST) to alanine aminotransferase (ALT) ratio (AST/ALT), AST to platelet ratio index (APRI), platelet count to spleen diameter (PC/SD), ﬁbrosis-4-index (FIB-4), fibrosis index (FI) and King’s score, have been demonstrated as a simple, non-invasive and easier practical alternative to predict the presence of EV in cirrhotic patients</w:t>
      </w:r>
      <w:r>
        <w:rPr>
          <w:spacing w:val="-9"/>
          <w:vertAlign w:val="superscript"/>
        </w:rPr>
        <w:t>[7-14]</w:t>
      </w:r>
      <w:r>
        <w:rPr>
          <w:spacing w:val="-9"/>
        </w:rPr>
        <w:t xml:space="preserve">. However, the findings of these previous studies are controversial and their utility in clinical practice is </w:t>
      </w:r>
      <w:r>
        <w:rPr>
          <w:spacing w:val="-9"/>
        </w:rPr>
        <w:lastRenderedPageBreak/>
        <w:t xml:space="preserve">uncertain. The conclusions of these studies vary in different populations and in different etiologies of liver </w:t>
      </w:r>
      <w:proofErr w:type="gramStart"/>
      <w:r>
        <w:rPr>
          <w:spacing w:val="-9"/>
        </w:rPr>
        <w:t>cirrhosis</w:t>
      </w:r>
      <w:r>
        <w:rPr>
          <w:spacing w:val="-9"/>
          <w:vertAlign w:val="superscript"/>
        </w:rPr>
        <w:t>[</w:t>
      </w:r>
      <w:proofErr w:type="gramEnd"/>
      <w:r>
        <w:rPr>
          <w:spacing w:val="-9"/>
          <w:vertAlign w:val="superscript"/>
        </w:rPr>
        <w:t>13-16]</w:t>
      </w:r>
      <w:r>
        <w:rPr>
          <w:spacing w:val="-9"/>
        </w:rPr>
        <w:t xml:space="preserve">. In this context, our prospective study aimed to assess the non-invasive markers, composed on routine laboratory parameters that could predict the presence of EV in liver cirrhosis patients in Albania, an endemic area of hepatitis B virus infection in Southeastern Europe and a Mediterranean country with a high consumption of domestic alcoholic </w:t>
      </w:r>
      <w:proofErr w:type="gramStart"/>
      <w:r>
        <w:rPr>
          <w:spacing w:val="-9"/>
        </w:rPr>
        <w:t>beverages</w:t>
      </w:r>
      <w:r>
        <w:rPr>
          <w:spacing w:val="-9"/>
          <w:vertAlign w:val="superscript"/>
        </w:rPr>
        <w:t>[</w:t>
      </w:r>
      <w:proofErr w:type="gramEnd"/>
      <w:r>
        <w:rPr>
          <w:spacing w:val="-9"/>
          <w:vertAlign w:val="superscript"/>
        </w:rPr>
        <w:t>17,18]</w:t>
      </w:r>
      <w:r>
        <w:rPr>
          <w:spacing w:val="-9"/>
        </w:rPr>
        <w:t>.</w:t>
      </w:r>
    </w:p>
    <w:p w:rsidR="00C12111" w:rsidRDefault="00C12111" w:rsidP="00C12111">
      <w:pPr>
        <w:pStyle w:val="1"/>
      </w:pPr>
      <w:r>
        <w:t xml:space="preserve">Despite the large number of studies, to date, no single or combination of non-invasive markers has been widely evaluated for predicting the first variceal bleeding in patients with </w:t>
      </w:r>
      <w:proofErr w:type="gramStart"/>
      <w:r>
        <w:t>cirrhosis</w:t>
      </w:r>
      <w:r>
        <w:rPr>
          <w:vertAlign w:val="superscript"/>
        </w:rPr>
        <w:t>[</w:t>
      </w:r>
      <w:proofErr w:type="gramEnd"/>
      <w:r>
        <w:rPr>
          <w:vertAlign w:val="superscript"/>
        </w:rPr>
        <w:t>19,20]</w:t>
      </w:r>
      <w:r>
        <w:t xml:space="preserve">. Therefore, the second objective of our study was to identify the cirrhotic patients with a high risk for variceal bleeding using non-invasive markers.  </w:t>
      </w:r>
    </w:p>
    <w:p w:rsidR="00C12111" w:rsidRPr="00574F1B" w:rsidRDefault="00C12111" w:rsidP="00C12111">
      <w:pPr>
        <w:pStyle w:val="af0"/>
        <w:rPr>
          <w:lang w:val="en-US"/>
        </w:rPr>
      </w:pPr>
    </w:p>
    <w:p w:rsidR="00C12111" w:rsidRPr="00574F1B" w:rsidRDefault="00C12111" w:rsidP="00C12111">
      <w:pPr>
        <w:pStyle w:val="af0"/>
        <w:rPr>
          <w:w w:val="90"/>
          <w:u w:val="single"/>
          <w:lang w:val="en-US"/>
        </w:rPr>
      </w:pPr>
      <w:r w:rsidRPr="00574F1B">
        <w:rPr>
          <w:u w:val="single"/>
          <w:lang w:val="en-US"/>
        </w:rPr>
        <w:t>MATERIALS AND METHODS</w:t>
      </w:r>
    </w:p>
    <w:p w:rsidR="00C12111" w:rsidRPr="00574F1B" w:rsidRDefault="00C12111" w:rsidP="00C12111">
      <w:pPr>
        <w:pStyle w:val="af2"/>
        <w:rPr>
          <w:lang w:val="en-US"/>
        </w:rPr>
      </w:pPr>
      <w:r w:rsidRPr="00574F1B">
        <w:rPr>
          <w:lang w:val="en-US"/>
        </w:rPr>
        <w:t>Study design</w:t>
      </w:r>
    </w:p>
    <w:p w:rsidR="00C12111" w:rsidRDefault="00C12111" w:rsidP="00C12111">
      <w:pPr>
        <w:pStyle w:val="af1"/>
      </w:pPr>
      <w:r>
        <w:t>This was a prospective study conducted at the University Hospital Center “Mother Teresa” in Tirana, which constitutes the only academic and tertiary hospital center in Albania. Our study included all consecutive patients newly diagnosed (first time hospitalized) with liver cirrhosis hospitalized at the University Clinic of Gastro-Hepatology during 2005-2007 who were followed-up for five years (or, until an adverse event occurred during the follow-up period). The study was approved by the Department of Internal Medicine of the University of Medicine, Tirana, Albania; all participants gave written informed consent after being explained in detail the aim and procedures of the study.</w:t>
      </w:r>
    </w:p>
    <w:p w:rsidR="00C12111" w:rsidRPr="00574F1B" w:rsidRDefault="00C12111" w:rsidP="00C12111">
      <w:pPr>
        <w:pStyle w:val="af2"/>
        <w:rPr>
          <w:lang w:val="en-US"/>
        </w:rPr>
      </w:pPr>
    </w:p>
    <w:p w:rsidR="00C12111" w:rsidRPr="00574F1B" w:rsidRDefault="00C12111" w:rsidP="00C12111">
      <w:pPr>
        <w:pStyle w:val="af2"/>
        <w:rPr>
          <w:lang w:val="en-US"/>
        </w:rPr>
      </w:pPr>
      <w:r w:rsidRPr="00574F1B">
        <w:rPr>
          <w:lang w:val="en-US"/>
        </w:rPr>
        <w:t>Study population and patients’ follow-up</w:t>
      </w:r>
    </w:p>
    <w:p w:rsidR="00C12111" w:rsidRDefault="00C12111" w:rsidP="00C12111">
      <w:pPr>
        <w:pStyle w:val="af1"/>
      </w:pPr>
      <w:r>
        <w:t>One hundred and thirty-nine newly diagnosed cirrhotic patients (Child-Turcotte-Pugh of at least 5-13) aged 18-70 years without variceal bleeding were enrolled in the study. Liver cirrhosis was diagnosed based on clinical data, laboratory test, liver imaging and/or histological criteria.</w:t>
      </w:r>
    </w:p>
    <w:p w:rsidR="00C12111" w:rsidRDefault="00C12111" w:rsidP="00C12111">
      <w:pPr>
        <w:pStyle w:val="1"/>
      </w:pPr>
      <w:r>
        <w:t xml:space="preserve">The exclusion criteria were as follows: (1) previous upper gastrointestinal hemorrhage; (2) using beta blockers or nitrates therapy; (3) current or past history </w:t>
      </w:r>
      <w:r>
        <w:rPr>
          <w:spacing w:val="-9"/>
        </w:rPr>
        <w:t>of treatment for chronic B or C hepatitis (because these conditions may alter the hematological and biochemical parameters); (4) previous portosystemic shunt; (5) presence of gastric varices at endoscopy; (6) history of gastrointestinal surgery and/or gastrointestinal malignancies including hepatocellular carcinoma (HCC); (7) thrombosis of portal or splenic vein; (8) current or previous history of lympho-</w:t>
      </w:r>
      <w:r>
        <w:t xml:space="preserve">proliferative diseases; and (9) severe diseases of other organs or infections that could affect liver or spleen size. </w:t>
      </w:r>
    </w:p>
    <w:p w:rsidR="00C12111" w:rsidRDefault="00C12111" w:rsidP="00C12111">
      <w:pPr>
        <w:pStyle w:val="1"/>
      </w:pPr>
      <w:r>
        <w:rPr>
          <w:spacing w:val="-9"/>
        </w:rPr>
        <w:t xml:space="preserve">After enrollment, all patients were treated </w:t>
      </w:r>
      <w:r>
        <w:t xml:space="preserve">according to the recent </w:t>
      </w:r>
      <w:proofErr w:type="gramStart"/>
      <w:r>
        <w:t>recommendations</w:t>
      </w:r>
      <w:r>
        <w:rPr>
          <w:vertAlign w:val="superscript"/>
        </w:rPr>
        <w:t>[</w:t>
      </w:r>
      <w:proofErr w:type="gramEnd"/>
      <w:r>
        <w:rPr>
          <w:vertAlign w:val="superscript"/>
        </w:rPr>
        <w:t>21]</w:t>
      </w:r>
      <w:r>
        <w:t xml:space="preserve">. Patients with high risk EV (large, medium or small varices with red signs or in Child-Pugh class C) were administered non-selective beta blockers (propranolol), if not </w:t>
      </w:r>
      <w:proofErr w:type="gramStart"/>
      <w:r>
        <w:t>con</w:t>
      </w:r>
      <w:r>
        <w:softHyphen/>
        <w:t>traindicated</w:t>
      </w:r>
      <w:r>
        <w:rPr>
          <w:vertAlign w:val="superscript"/>
        </w:rPr>
        <w:t>[</w:t>
      </w:r>
      <w:proofErr w:type="gramEnd"/>
      <w:r>
        <w:rPr>
          <w:vertAlign w:val="superscript"/>
        </w:rPr>
        <w:t>4]</w:t>
      </w:r>
      <w:r>
        <w:t>. Treatment compliance of the patients was monitored by measuring the resting pulse rate and interviewing them periodically if any side effects occurred. During the follow-up period, none of the patients were prescribed antiplatelet or anticoagulant agents. All patients were followed up for five years (or, until an adverse event occurred during the follow-up period). Adverse events were considered one of the following complications: the occurrence of severe ascites or hepatic encephalopathy requiring hospitalization (</w:t>
      </w:r>
      <w:r>
        <w:rPr>
          <w:i/>
          <w:iCs/>
        </w:rPr>
        <w:t>n</w:t>
      </w:r>
      <w:r>
        <w:t xml:space="preserve"> = 5), a diagnosis of HCC (</w:t>
      </w:r>
      <w:r>
        <w:rPr>
          <w:i/>
          <w:iCs/>
        </w:rPr>
        <w:t>n</w:t>
      </w:r>
      <w:r>
        <w:t xml:space="preserve"> = 9), upper gastrointestinal hemorrhage from variceal </w:t>
      </w:r>
      <w:r>
        <w:lastRenderedPageBreak/>
        <w:t>bleeding confirmed by endoscopy (</w:t>
      </w:r>
      <w:r>
        <w:rPr>
          <w:i/>
          <w:iCs/>
        </w:rPr>
        <w:t>n</w:t>
      </w:r>
      <w:r>
        <w:t xml:space="preserve"> = 34), as well as deaths (</w:t>
      </w:r>
      <w:r>
        <w:rPr>
          <w:i/>
          <w:iCs/>
        </w:rPr>
        <w:t>n</w:t>
      </w:r>
      <w:r>
        <w:t xml:space="preserve"> = 2). Ten patients were lost during the follow-up period. The outcome of interest was the occurrence of upper gastrointestinal hemorrhage from variceal bleeding confirmed by endoscopy and requiring hospitalization. We aimed to assess whether the non-invasive markers could predict the risk of first variceal bleeding. </w:t>
      </w:r>
    </w:p>
    <w:p w:rsidR="00C12111" w:rsidRPr="00574F1B" w:rsidRDefault="00C12111" w:rsidP="00C12111">
      <w:pPr>
        <w:pStyle w:val="af2"/>
        <w:rPr>
          <w:lang w:val="en-US"/>
        </w:rPr>
      </w:pPr>
    </w:p>
    <w:p w:rsidR="00C12111" w:rsidRPr="00574F1B" w:rsidRDefault="00C12111" w:rsidP="00C12111">
      <w:pPr>
        <w:pStyle w:val="af2"/>
        <w:rPr>
          <w:lang w:val="en-US"/>
        </w:rPr>
      </w:pPr>
      <w:r w:rsidRPr="00574F1B">
        <w:rPr>
          <w:lang w:val="en-US"/>
        </w:rPr>
        <w:t>Laboratory and endoscopic evaluation</w:t>
      </w:r>
    </w:p>
    <w:p w:rsidR="00C12111" w:rsidRDefault="00C12111" w:rsidP="00C12111">
      <w:pPr>
        <w:pStyle w:val="af1"/>
      </w:pPr>
      <w:r>
        <w:t>All patients underwent detailed clinical and laboratory evaluation, ultrasonography and endoscopic assess</w:t>
      </w:r>
      <w:r>
        <w:softHyphen/>
        <w:t>ment within two days of hospitalization. For each patient, data on age, sex, medical history, and use of medication, etiology of cirrhosis, and presence or absence of ascites, pedal edema, jaundice and hepatic encephalopathy were collected. Laboratory data included hemoglobin, platelet count, AST and ALT level, serum albumin, total serum bilirubin, gamma glutamyltranspeptidase (GGT), gamma globulin, pro</w:t>
      </w:r>
      <w:r>
        <w:softHyphen/>
        <w:t xml:space="preserve">thrombin time with international normalized ratio (INR) and serum creatinine. In addition, all patients were </w:t>
      </w:r>
      <w:r>
        <w:rPr>
          <w:spacing w:val="-9"/>
        </w:rPr>
        <w:t xml:space="preserve">classified according the Child-Turcotte-Pugh (CTP) </w:t>
      </w:r>
      <w:r>
        <w:t xml:space="preserve">class. </w:t>
      </w:r>
    </w:p>
    <w:p w:rsidR="00C12111" w:rsidRDefault="00C12111" w:rsidP="00C12111">
      <w:pPr>
        <w:pStyle w:val="1"/>
      </w:pPr>
      <w:r>
        <w:t xml:space="preserve">Also, the following non-invasive markers were calculated for each patient: AST/ALT, APRI, PC/SD, FIB-4, FI and King’s </w:t>
      </w:r>
      <w:proofErr w:type="gramStart"/>
      <w:r>
        <w:t>score</w:t>
      </w:r>
      <w:r>
        <w:rPr>
          <w:vertAlign w:val="superscript"/>
        </w:rPr>
        <w:t>[</w:t>
      </w:r>
      <w:proofErr w:type="gramEnd"/>
      <w:r>
        <w:rPr>
          <w:vertAlign w:val="superscript"/>
        </w:rPr>
        <w:t>9,12]</w:t>
      </w:r>
      <w:r>
        <w:t xml:space="preserve">. MELD score was determined by using the UNOS Internet site MELD calculator (http://www.unos.org/). At endoscopy, the presence and size of varices were classified as large, medium or small according to the proposed guidelines by a single experienced endoscopist who was unaware (blinded) of the values of non-invasive </w:t>
      </w:r>
      <w:proofErr w:type="gramStart"/>
      <w:r>
        <w:t>markers</w:t>
      </w:r>
      <w:r>
        <w:rPr>
          <w:vertAlign w:val="superscript"/>
        </w:rPr>
        <w:t>[</w:t>
      </w:r>
      <w:proofErr w:type="gramEnd"/>
      <w:r>
        <w:rPr>
          <w:vertAlign w:val="superscript"/>
        </w:rPr>
        <w:t>5]</w:t>
      </w:r>
      <w:r>
        <w:t>. Presence of red signs was also recorded in all patients.</w:t>
      </w:r>
    </w:p>
    <w:p w:rsidR="00C12111" w:rsidRPr="00574F1B" w:rsidRDefault="00C12111" w:rsidP="00C12111">
      <w:pPr>
        <w:pStyle w:val="af2"/>
        <w:rPr>
          <w:lang w:val="en-US"/>
        </w:rPr>
      </w:pPr>
    </w:p>
    <w:p w:rsidR="00C12111" w:rsidRPr="00574F1B" w:rsidRDefault="00C12111" w:rsidP="00C12111">
      <w:pPr>
        <w:pStyle w:val="af2"/>
        <w:rPr>
          <w:lang w:val="en-US"/>
        </w:rPr>
      </w:pPr>
      <w:r w:rsidRPr="00574F1B">
        <w:rPr>
          <w:lang w:val="en-US"/>
        </w:rPr>
        <w:t>Statistical analyses</w:t>
      </w:r>
    </w:p>
    <w:p w:rsidR="00C12111" w:rsidRDefault="00C12111" w:rsidP="00C12111">
      <w:pPr>
        <w:pStyle w:val="af1"/>
      </w:pPr>
      <w:r>
        <w:t>Fisher’s exact test was used to compare the distribution of sex, etiology of cirrhosis, type of disease and CTP between patients with and without esophageal varices and, subsequently, between patients with and without esophageal variceal bleeding.</w:t>
      </w:r>
    </w:p>
    <w:p w:rsidR="00C12111" w:rsidRDefault="00C12111" w:rsidP="00C12111">
      <w:pPr>
        <w:pStyle w:val="1"/>
      </w:pPr>
      <w:r>
        <w:t xml:space="preserve">Conversely, Mann-Whitney </w:t>
      </w:r>
      <w:r>
        <w:rPr>
          <w:i/>
          <w:iCs/>
        </w:rPr>
        <w:t>U</w:t>
      </w:r>
      <w:r>
        <w:t>-test was employed to compare mean values of age, biochemical parameters (hemoglobin, creatinine, AST, ALT, GGT, gamma-globulin, INR and albumin) and “predictors” of esoph</w:t>
      </w:r>
      <w:r>
        <w:softHyphen/>
        <w:t>ageal varices and esophageal variceal bleeding (FIB-4, fibrosis index, APRI, PL/SD, AST/ALT, King’s score and MELD).</w:t>
      </w:r>
    </w:p>
    <w:p w:rsidR="00C12111" w:rsidRDefault="00C12111" w:rsidP="00C12111">
      <w:pPr>
        <w:pStyle w:val="1"/>
      </w:pPr>
      <w:r>
        <w:rPr>
          <w:spacing w:val="-9"/>
        </w:rPr>
        <w:t>Binary logistic regression was used to assess the association between non-invasive markers and esoph</w:t>
      </w:r>
      <w:r>
        <w:rPr>
          <w:spacing w:val="-9"/>
        </w:rPr>
        <w:softHyphen/>
        <w:t xml:space="preserve">ageal varices. Initially, crude (unadjusted) models were run. Crude ORs, their respective 95%CI and </w:t>
      </w:r>
      <w:r>
        <w:rPr>
          <w:i/>
          <w:iCs/>
          <w:spacing w:val="-9"/>
        </w:rPr>
        <w:t>P</w:t>
      </w:r>
      <w:r>
        <w:rPr>
          <w:spacing w:val="-9"/>
        </w:rPr>
        <w:t xml:space="preserve">-values were calculated. Subsequently, multivariable-adjusted logistic regression were run, with demographic characteristics (age and sex), </w:t>
      </w:r>
      <w:r>
        <w:t xml:space="preserve">etiology of cirrhosis, type of disease, CTP, biochemical parameters (hemoglobin, creatinine, AST, ALT, GGT, gamma-globulin, INR and albumin) and “predictors” of esophageal varices (FIB-4, fibrosis index, APRI, PL/SD, AST/ALT, King’s score and MELD) introduced all in a backward stepwise elimination procedure with a </w:t>
      </w:r>
      <w:r>
        <w:rPr>
          <w:i/>
          <w:iCs/>
        </w:rPr>
        <w:t>P</w:t>
      </w:r>
      <w:r>
        <w:t>-value to exit set at &gt; 0.10. Multivariable-adjusted ORs and their respective 95%CIs were calculated.</w:t>
      </w:r>
    </w:p>
    <w:p w:rsidR="00C12111" w:rsidRDefault="00C12111" w:rsidP="00C12111">
      <w:pPr>
        <w:pStyle w:val="1"/>
      </w:pPr>
      <w:r>
        <w:t xml:space="preserve">The diagnostic performance of “predictors” (FIB-4, fibrosis index, APRI, PL/SD, AST/ALT, King’s score and </w:t>
      </w:r>
      <w:r>
        <w:rPr>
          <w:spacing w:val="-11"/>
        </w:rPr>
        <w:t xml:space="preserve">MELD) for the absence or presence of esophageal varices and/or esophageal variceal bleeding was </w:t>
      </w:r>
      <w:r>
        <w:t xml:space="preserve">assessed by sensitivity and specificity values and area under the </w:t>
      </w:r>
      <w:r>
        <w:rPr>
          <w:spacing w:val="-9"/>
        </w:rPr>
        <w:t xml:space="preserve">curve (AUC) obtained from the receiver operating </w:t>
      </w:r>
      <w:r>
        <w:t>chara</w:t>
      </w:r>
      <w:r>
        <w:softHyphen/>
        <w:t xml:space="preserve">cteristics procedure (ROC curve). </w:t>
      </w:r>
    </w:p>
    <w:p w:rsidR="00C12111" w:rsidRDefault="00C12111" w:rsidP="00C12111">
      <w:pPr>
        <w:pStyle w:val="1"/>
      </w:pPr>
      <w:r>
        <w:t xml:space="preserve">In all cases, a </w:t>
      </w:r>
      <w:r>
        <w:rPr>
          <w:i/>
          <w:iCs/>
        </w:rPr>
        <w:t>P</w:t>
      </w:r>
      <w:r>
        <w:t xml:space="preserve">-value </w:t>
      </w:r>
      <w:r>
        <w:rPr>
          <w:rFonts w:ascii="宋体" w:cs="宋体" w:hint="eastAsia"/>
          <w:spacing w:val="0"/>
          <w:sz w:val="19"/>
          <w:szCs w:val="19"/>
        </w:rPr>
        <w:t>≤</w:t>
      </w:r>
      <w:r>
        <w:t xml:space="preserve"> 0.05 was considered as statistically significant. All the statistical analyses were conducted in SPSS (Statistical Package for Social Sciences), version 19.0. The statistical review of the study was </w:t>
      </w:r>
      <w:r>
        <w:lastRenderedPageBreak/>
        <w:t>performed by a biomedical statistician (GB, the senior author of this article).</w:t>
      </w:r>
    </w:p>
    <w:p w:rsidR="00C12111" w:rsidRDefault="00C12111" w:rsidP="00C12111">
      <w:pPr>
        <w:pStyle w:val="af0"/>
        <w:rPr>
          <w:lang w:val="en-US"/>
        </w:rPr>
      </w:pPr>
    </w:p>
    <w:p w:rsidR="00C12111" w:rsidRPr="00574F1B" w:rsidRDefault="00C12111" w:rsidP="00C12111">
      <w:pPr>
        <w:pStyle w:val="af0"/>
        <w:rPr>
          <w:u w:val="single"/>
          <w:lang w:val="en-US"/>
        </w:rPr>
      </w:pPr>
      <w:r w:rsidRPr="00574F1B">
        <w:rPr>
          <w:u w:val="single"/>
          <w:lang w:val="en-US"/>
        </w:rPr>
        <w:t>RESULTS</w:t>
      </w:r>
    </w:p>
    <w:p w:rsidR="00C12111" w:rsidRDefault="00C12111" w:rsidP="00C12111">
      <w:pPr>
        <w:pStyle w:val="af1"/>
      </w:pPr>
      <w:r>
        <w:t>Table 1 presents the distribution of baseline chara</w:t>
      </w:r>
      <w:r>
        <w:softHyphen/>
        <w:t>cteristics in patients with (</w:t>
      </w:r>
      <w:r>
        <w:rPr>
          <w:i/>
          <w:iCs/>
        </w:rPr>
        <w:t>n</w:t>
      </w:r>
      <w:r>
        <w:t xml:space="preserve"> = 113) and without (</w:t>
      </w:r>
      <w:r>
        <w:rPr>
          <w:i/>
          <w:iCs/>
        </w:rPr>
        <w:t>n</w:t>
      </w:r>
      <w:r>
        <w:t xml:space="preserve"> = 26) esophageal varices. Among patients with esophageal varices, 19 (17%) presented red signs compared with 94 (83%) patients without red signs. There was no sex-difference in the prevalence of esophageal varices between the two groups (upper panel). An alcoholic and/or viral etiology of cirrhosis was significantly more prevalent among patients with esophageal varices compared with their counterparts without esophageal varices. Conversely, grade A of CTP was significantly more prevalent among patients without varices than those with esophageal varices (50% </w:t>
      </w:r>
      <w:r>
        <w:rPr>
          <w:i/>
          <w:iCs/>
        </w:rPr>
        <w:t>vs</w:t>
      </w:r>
      <w:r>
        <w:t xml:space="preserve"> 27%, respectively). </w:t>
      </w:r>
    </w:p>
    <w:p w:rsidR="00C12111" w:rsidRDefault="00C12111" w:rsidP="00C12111">
      <w:pPr>
        <w:pStyle w:val="1"/>
      </w:pPr>
      <w:r>
        <w:t xml:space="preserve">Mean age was not significantly different between patients with and without esophageal varices (Table 1 - lower panel). Likewise, there were no group differences regarding mean levels of hemoglobin, creatinine, AST and ALT, GGT and gamma globulin. Conversely, mean value of INR was significantly higher among patients with varices than in those without varices (1.7 </w:t>
      </w:r>
      <w:r>
        <w:rPr>
          <w:i/>
          <w:iCs/>
        </w:rPr>
        <w:t>vs</w:t>
      </w:r>
      <w:r>
        <w:t xml:space="preserve"> 1.4, respectively; </w:t>
      </w:r>
      <w:r>
        <w:rPr>
          <w:i/>
          <w:iCs/>
        </w:rPr>
        <w:t>P</w:t>
      </w:r>
      <w:r>
        <w:t xml:space="preserve"> &lt; 0.001). Similarly, mean levels of most of the non-invasive markers were significantly higher in patients with varices than in those without variances (FIB-4: 6.3</w:t>
      </w:r>
      <w:r>
        <w:rPr>
          <w:i/>
          <w:iCs/>
        </w:rPr>
        <w:t xml:space="preserve"> vs</w:t>
      </w:r>
      <w:r>
        <w:t xml:space="preserve"> 4.0, respectively; fibrosis index: 3.2 </w:t>
      </w:r>
      <w:r>
        <w:rPr>
          <w:i/>
          <w:iCs/>
        </w:rPr>
        <w:t>vs</w:t>
      </w:r>
      <w:r>
        <w:t xml:space="preserve"> 2.8, respectively; King’s score: 87 </w:t>
      </w:r>
      <w:r>
        <w:rPr>
          <w:i/>
          <w:iCs/>
        </w:rPr>
        <w:t>vs</w:t>
      </w:r>
      <w:r>
        <w:t xml:space="preserve"> 67, respectively; APRI: 2.7 </w:t>
      </w:r>
      <w:r>
        <w:rPr>
          <w:i/>
          <w:iCs/>
        </w:rPr>
        <w:t>vs</w:t>
      </w:r>
      <w:r>
        <w:t xml:space="preserve"> 2.5, respectively; and MELD index: 16.1 </w:t>
      </w:r>
      <w:r>
        <w:rPr>
          <w:i/>
          <w:iCs/>
        </w:rPr>
        <w:t>vs</w:t>
      </w:r>
      <w:r>
        <w:t xml:space="preserve"> 13.6, respectively). On the other hand, mean level of PL/SD was lower in patient with varices than in those without varices (1089 </w:t>
      </w:r>
      <w:r>
        <w:rPr>
          <w:i/>
          <w:iCs/>
        </w:rPr>
        <w:t>vs</w:t>
      </w:r>
      <w:r>
        <w:t xml:space="preserve"> 1395, respectively; </w:t>
      </w:r>
      <w:r>
        <w:rPr>
          <w:i/>
          <w:iCs/>
        </w:rPr>
        <w:t>P</w:t>
      </w:r>
      <w:r>
        <w:t xml:space="preserve"> = 0.03) (Table 1 - lower panel).  </w:t>
      </w:r>
    </w:p>
    <w:p w:rsidR="00C12111" w:rsidRDefault="00C12111" w:rsidP="00C12111">
      <w:pPr>
        <w:pStyle w:val="1"/>
      </w:pPr>
      <w:r>
        <w:t>In crude (unadjusted) binary logistic regression models (Table 2 - left panel), there was a significant association between esophageal varices and FIB 4 (OR = 1.18 for one unit increment; 95%CI: 1.01-1.38), and MELD score (OR = 1.11 for one unit increment; 95%CI: 1.01-1.22). On the other hand, there was no evidence of any significant association of esophageal varices with the other non-invasive markers (fibrosis index, King’s score, APRI, PL/SD and AST/ALT). Upon adjustment for demographic characteristics, clinical parameters and all the biomarkers in a backward step</w:t>
      </w:r>
      <w:r>
        <w:softHyphen/>
        <w:t>wise elimination procedure (right panel), FIB 4 was the only strong and significant “predictor” of esophageal varices (OR = 1.57 for one unit increment; 95%CI: 1.15-2.14). Furthermore, a cut-off value of 3.23 for FIB 4 was a significant predictor of esophageal varices (Table 3), with a sensitivity of 72%, a specificity of 58% and a proportion of area under the curve of 66% (</w:t>
      </w:r>
      <w:r>
        <w:rPr>
          <w:i/>
          <w:iCs/>
        </w:rPr>
        <w:t>P</w:t>
      </w:r>
      <w:r>
        <w:t xml:space="preserve"> = 0.01).</w:t>
      </w:r>
    </w:p>
    <w:p w:rsidR="00C12111" w:rsidRDefault="00C12111" w:rsidP="00C12111">
      <w:pPr>
        <w:pStyle w:val="1"/>
      </w:pPr>
      <w:r>
        <w:t>During follow-up (median: 31.5 mo; interquartile range: 11-59 mo), 34 patients (24%) experienced first esophageal variceal bleeding. Of these, 4 (11.8%) patients were without EV upon enrollment, but ex</w:t>
      </w:r>
      <w:r>
        <w:softHyphen/>
        <w:t>perienced EV in the course of the follow-up. There was no evidence of any significant differences in the distribution of baseline characteristics in patients with (</w:t>
      </w:r>
      <w:r>
        <w:rPr>
          <w:i/>
          <w:iCs/>
        </w:rPr>
        <w:t>n</w:t>
      </w:r>
      <w:r>
        <w:t xml:space="preserve"> = 34) and those without (</w:t>
      </w:r>
      <w:r>
        <w:rPr>
          <w:i/>
          <w:iCs/>
        </w:rPr>
        <w:t>n</w:t>
      </w:r>
      <w:r>
        <w:t xml:space="preserve"> = 105) hemorrhagic events (Table 4).</w:t>
      </w:r>
    </w:p>
    <w:p w:rsidR="00C12111" w:rsidRDefault="00C12111" w:rsidP="00C12111">
      <w:pPr>
        <w:pStyle w:val="1"/>
      </w:pPr>
      <w:r>
        <w:t xml:space="preserve">The performance of the non-invasive markers for prediction of esophageal variceal bleeding is presented in Table 5, as an additional objective of our analysis was to identify the cirrhotic patients with high risk for variceal bleeding employing these non-invasive markers. Yet, none of the non-invasive markers turned out to be a useful predictor of esophageal variceal bleeding in this sample of Albanian patients. The area under the curve was pretty close to 50% for all of the non-invasive markers. For PL/SD there was evidence of a poorer prediction than even by chance (the area under the curve was 45%). FIB-4, which was shown a powerful predictor of esophageal varices, was nevertheless a very poor predictor of esophageal variceal bleeding (the </w:t>
      </w:r>
      <w:r>
        <w:lastRenderedPageBreak/>
        <w:t xml:space="preserve">area under the curve was only 51%) for a cut-off value of 5.02. The analysis was also restricted to individuals with variceal prophylactic </w:t>
      </w:r>
      <w:r>
        <w:rPr>
          <w:spacing w:val="-9"/>
        </w:rPr>
        <w:t>therapy (VPT) (</w:t>
      </w:r>
      <w:r>
        <w:rPr>
          <w:i/>
          <w:iCs/>
          <w:spacing w:val="-9"/>
        </w:rPr>
        <w:t>n</w:t>
      </w:r>
      <w:r>
        <w:rPr>
          <w:spacing w:val="-9"/>
        </w:rPr>
        <w:t xml:space="preserve"> = 83); similarly though, none of the non-invasive markers appeared to be a useful </w:t>
      </w:r>
      <w:r>
        <w:t>predictor of esophageal variceal bleeding (Table 6).</w:t>
      </w:r>
    </w:p>
    <w:p w:rsidR="00C12111" w:rsidRPr="00574F1B" w:rsidRDefault="00C12111" w:rsidP="00C12111">
      <w:pPr>
        <w:pStyle w:val="af0"/>
        <w:rPr>
          <w:lang w:val="en-US"/>
        </w:rPr>
      </w:pPr>
    </w:p>
    <w:p w:rsidR="00C12111" w:rsidRPr="00574F1B" w:rsidRDefault="00C12111" w:rsidP="00C12111">
      <w:pPr>
        <w:pStyle w:val="af0"/>
        <w:rPr>
          <w:u w:val="single"/>
          <w:lang w:val="en-US"/>
        </w:rPr>
      </w:pPr>
      <w:r w:rsidRPr="00574F1B">
        <w:rPr>
          <w:u w:val="single"/>
          <w:lang w:val="en-US"/>
        </w:rPr>
        <w:t>DISCUSSION</w:t>
      </w:r>
    </w:p>
    <w:p w:rsidR="00C12111" w:rsidRDefault="00C12111" w:rsidP="00C12111">
      <w:pPr>
        <w:pStyle w:val="af1"/>
      </w:pPr>
      <w:r>
        <w:t>Nowadays, clinicians are interested to identify some “ideal” non-invasive biochemical markers which may be cheaper and easy to obtain, but with a high sensitivity and specificity for reducing the number of upper endoscopy needed for screening and mana</w:t>
      </w:r>
      <w:r>
        <w:softHyphen/>
        <w:t>gement of EV in patients with liver cirrhosis. Such non-invasive tools are especially needed in developing countries with shortage of endoscopy, limited resources and a strong appeal for rationalization of funding. Therefore, we tried to explore whether any of the non-invasive markers (including AST/ALT, APRI, PC/SD, FIB-4, FI and King’s Score) could predict the presence of EV in cirrhotic patients in Albanian, a transitional Mediterranean country. We found that among all clinical and biochemical features assessed in univariate analyses, FIB-4 and MELD score significantly correlated with the presence of EV. However, in multivariable-adjusted logistic regression models, only FIB-4 re</w:t>
      </w:r>
      <w:r>
        <w:softHyphen/>
        <w:t>mained a significant independent predictor of EV. It is interesting that only FIB-4, a fibrosis marker based on parameters linked to liver dysfunction or advanced diseases (AST and ALT), linked to portal hypertension (platelet count) and age could predict the EV despite the non-invasive markers that we included in our analysis. One plausible explanation for the lack of prediction of the other markers may consist of the age of the patients included in our study. Considering that liver fibrosis is a dynamic process and there is a close relationship between liver fibrosis, portal hypertension and development of EV, older patients are more likely to have EV. Indeed, mean age of our patients was relatively high and most of the patients were admitted in an advanced liver failure stage. Furthermore, previous studies investigating FIB-4 as a predictor of EV in liver cirrhosis patients showed similar results. In another prospective studies, for a cut-off value of 3.98 and 2.8, the AUC for predicting the EV was 62% and 78%, respectively</w:t>
      </w:r>
      <w:r>
        <w:rPr>
          <w:vertAlign w:val="superscript"/>
        </w:rPr>
        <w:t>[22,23]</w:t>
      </w:r>
      <w:r>
        <w:t xml:space="preserve">, whereas Sebastiani </w:t>
      </w:r>
      <w:r>
        <w:rPr>
          <w:i/>
          <w:iCs/>
        </w:rPr>
        <w:t>et al</w:t>
      </w:r>
      <w:r>
        <w:rPr>
          <w:vertAlign w:val="superscript"/>
        </w:rPr>
        <w:t>[10]</w:t>
      </w:r>
      <w:r>
        <w:t xml:space="preserve"> showed an AUC of 64% for the prediction of EV at a cut-off value of 3.5 in a retrospective study. However, their sensitivities and specificities were relatively low, ranging from 66% to 76% and from 54% to 80%, respectively. Similarly, a recent meta-analysis demonstrated that AUC of FIB-4 for prediction the presence of EV was 77</w:t>
      </w:r>
      <w:proofErr w:type="gramStart"/>
      <w:r>
        <w:t>%</w:t>
      </w:r>
      <w:r>
        <w:rPr>
          <w:vertAlign w:val="superscript"/>
        </w:rPr>
        <w:t>[</w:t>
      </w:r>
      <w:proofErr w:type="gramEnd"/>
      <w:r>
        <w:rPr>
          <w:vertAlign w:val="superscript"/>
        </w:rPr>
        <w:t>24]</w:t>
      </w:r>
      <w:r>
        <w:t xml:space="preserve">. In our study, a cut-off value of 3.23 of FIB-4 was proposed for diagnosis of esophageal varices. At this cut-off, the sensitivity was 72%, specificity was 58%, PPV was 88%, NPV was 32% and the AUC was 66%. </w:t>
      </w:r>
    </w:p>
    <w:p w:rsidR="00C12111" w:rsidRDefault="00C12111" w:rsidP="00C12111">
      <w:pPr>
        <w:pStyle w:val="1"/>
      </w:pPr>
      <w:r>
        <w:t xml:space="preserve">Esophageal variceal bleeding is the most important complication of liver cirrhosis and the major cause of death in cirrhotic patients. Therefore, prevention of esophageal variceal bleeding by using prophylactic treatment is an important goal to be achieved in cirrhotic patients with high risk esophageal varices. In our study, the prophylactic treatment with non-selective beta blockers was introduced in almost 60% of cirrhotic patients based on endoscopic criteria and liver dysfunction. Nonetheless, during the five years of follow-up, 11 patients (20%) among 56 cases without VPT and 23 patients (28%) among 83 cases who underwent VPT experienced upper gastrointestinal hemorrhage from variceal bleeding confirmed by endoscopy. Thus, these patients may require other prophylactic treatments such as band ligations of esophageal varices. Furthermore, identifying the non-invasive markers to predict EVB during the follow-up may be an important tool for a better management of cirrhotic patients. From this point of view, we conducted the present study under the </w:t>
      </w:r>
      <w:r>
        <w:lastRenderedPageBreak/>
        <w:t>assumption that progression of EV and ultimately EVB is caused directly by portal hypertension which correlates with liver fibrosis and may be assessed by non-invasive markers. Our study demonstrated insufficient accuracy of AST/ALT, APRI, PC/SD, FIB-4, FI and King’s score for the prediction of EVB which ranged from 0.45 to 0.55. These findings suggest that none of the non-invasive markers is a useful predictor of esophageal variceal bleeding in this sample of Albanian patients.</w:t>
      </w:r>
    </w:p>
    <w:p w:rsidR="00C12111" w:rsidRDefault="00C12111" w:rsidP="00C12111">
      <w:pPr>
        <w:pStyle w:val="1"/>
      </w:pPr>
      <w:r>
        <w:t xml:space="preserve">To our knowledge, this is the first study exploring the role of non-invasive biomarkers as predictors of EVB in a longitudinal study. These non-invasive biomarkers are based on regular laboratory data, require no extra cost, specialized devices or additional biochemical tests and differ from other noninvasive markers which may not be easily </w:t>
      </w:r>
      <w:proofErr w:type="gramStart"/>
      <w:r>
        <w:t>accessible</w:t>
      </w:r>
      <w:r>
        <w:rPr>
          <w:vertAlign w:val="superscript"/>
        </w:rPr>
        <w:t>[</w:t>
      </w:r>
      <w:proofErr w:type="gramEnd"/>
      <w:r>
        <w:rPr>
          <w:vertAlign w:val="superscript"/>
        </w:rPr>
        <w:t>25]</w:t>
      </w:r>
      <w:r>
        <w:t xml:space="preserve">. This fact may be very important in developing and transitional countries with rather limited resources. However, only FIB-4 turned out to be a useful predictor in this sample of Albanian patients and, therefore, the usefulness and applicability of these noninvasive markers should be considered cautiously. Furthermore, our data were collected at a single center in which the standard of care did not change substantially during the period under study. Also, the study participants were representative of the population of cirrhotic patients with different etiologies of liver cirrhosis avoiding selection bias pertinent to different etiologies or subgroups. In addition, the relatively large number of participants and the reasonable follow-up period constitute other strength of this study. </w:t>
      </w:r>
    </w:p>
    <w:p w:rsidR="00C12111" w:rsidRDefault="00C12111" w:rsidP="00C12111">
      <w:pPr>
        <w:pStyle w:val="1"/>
      </w:pPr>
      <w:r>
        <w:t xml:space="preserve">Multivariate modeling is frequently used to predict </w:t>
      </w:r>
      <w:r>
        <w:rPr>
          <w:spacing w:val="-9"/>
        </w:rPr>
        <w:t>the risk or prognosis of diseases and treatment’</w:t>
      </w:r>
      <w:r>
        <w:t xml:space="preserve">s </w:t>
      </w:r>
      <w:r>
        <w:br/>
      </w:r>
      <w:r>
        <w:rPr>
          <w:spacing w:val="-9"/>
        </w:rPr>
        <w:t>response. In our study, the multivariate model allowed us to assess important variables most of which, nevertheless, did not predict the presence of EV and the risk of first variceal bleeding in cirrhotic patients. However, multi-center prospective studies are needed to confirm our findings and ensure</w:t>
      </w:r>
      <w:r>
        <w:t xml:space="preserve"> that they are applicable to diverse populations with different etiologies of liver cirrhosis. In addition, we cannot exclude the possibility that other predictors could induce hematological changes such as antiviral treatment or continued consumption of alcohol during the follow-up period - factors which were not accounted for in our analysis. Also, assessment of the sensitivity and specificity upon a second-time measurement would have provided an additional insight into the predictive power of the non-invasive parameters included in our analysis.</w:t>
      </w:r>
    </w:p>
    <w:p w:rsidR="00C12111" w:rsidRDefault="00C12111" w:rsidP="00C12111">
      <w:pPr>
        <w:pStyle w:val="1"/>
      </w:pPr>
      <w:r>
        <w:rPr>
          <w:spacing w:val="-9"/>
        </w:rPr>
        <w:t xml:space="preserve">In conclusion, our results, based on cirrhotic </w:t>
      </w:r>
      <w:r>
        <w:t xml:space="preserve">patients with different etiologies, suggest that the FIB-4 is the most reliable predictor of esophageal varices in liver cirrhosis patients. Despite the low diagnostic accuracy, FIB-4 is the most efficient non-invasive liver fibrosis marker which can be used as an initial screening tool for cirrhotic patients in the areas with lack of endoscopy facilities. However, none of the non-invasive markers assessed in this sample of Albanian patients was a useful predictor of esophageal variceal bleeding. Thus, these markers may not be adequate for the replacement of upper endoscopy. Future large prospective studies are warranted to further define the diagnostic accuracy of non-invasive markers in the diagnosis of EV and prediction of EVB in countries where there is a shortage of endoscopy. </w:t>
      </w:r>
    </w:p>
    <w:p w:rsidR="00C12111" w:rsidRPr="00574F1B" w:rsidRDefault="00C12111" w:rsidP="00C12111">
      <w:pPr>
        <w:pStyle w:val="af0"/>
        <w:rPr>
          <w:lang w:val="en-US"/>
        </w:rPr>
      </w:pPr>
    </w:p>
    <w:p w:rsidR="00C12111" w:rsidRPr="00574F1B" w:rsidRDefault="00C12111" w:rsidP="00C12111">
      <w:pPr>
        <w:pStyle w:val="af0"/>
        <w:rPr>
          <w:u w:val="single"/>
          <w:lang w:val="en-US"/>
        </w:rPr>
      </w:pPr>
      <w:r w:rsidRPr="00574F1B">
        <w:rPr>
          <w:u w:val="single"/>
          <w:lang w:val="en-US"/>
        </w:rPr>
        <w:t>COMMENTS</w:t>
      </w:r>
    </w:p>
    <w:p w:rsidR="00C12111" w:rsidRPr="00574F1B" w:rsidRDefault="00C12111" w:rsidP="00C12111">
      <w:pPr>
        <w:pStyle w:val="af2"/>
        <w:rPr>
          <w:lang w:val="en-US"/>
        </w:rPr>
      </w:pPr>
      <w:r w:rsidRPr="00574F1B">
        <w:rPr>
          <w:lang w:val="en-US"/>
        </w:rPr>
        <w:t>Background</w:t>
      </w:r>
    </w:p>
    <w:p w:rsidR="00C12111" w:rsidRDefault="00C12111" w:rsidP="00C12111">
      <w:pPr>
        <w:pStyle w:val="8BF4"/>
      </w:pPr>
      <w:r>
        <w:t>Portal hypertension is a frequent consequence in the progression of liver cirrhosis. Esophageal varices are one of the most serious complications of portal hypertension and variceal bleeding is the most common lethal complication. For this reason, assessing the presence of esophageal varices in cirrhotic patients is clinically important in order to prevent bleeding. This study aimed to assess the non-invasive markers, based on routine laboratory parameters, which could predict the presence of esophageal varices and first variceal bleeding in liver cirrhosis patients in Albania.</w:t>
      </w:r>
    </w:p>
    <w:p w:rsidR="00C12111" w:rsidRPr="00574F1B" w:rsidRDefault="00C12111" w:rsidP="00C12111">
      <w:pPr>
        <w:pStyle w:val="af2"/>
        <w:rPr>
          <w:lang w:val="en-US"/>
        </w:rPr>
      </w:pPr>
      <w:r w:rsidRPr="00574F1B">
        <w:rPr>
          <w:lang w:val="en-US"/>
        </w:rPr>
        <w:lastRenderedPageBreak/>
        <w:t>Research frontiers</w:t>
      </w:r>
    </w:p>
    <w:p w:rsidR="00C12111" w:rsidRDefault="00C12111" w:rsidP="00C12111">
      <w:pPr>
        <w:pStyle w:val="8BF4"/>
      </w:pPr>
      <w:r>
        <w:t>Endoscopy screening for esophageal varices is currently recommended for all cirrhotic patients. On the other hand, the upper endoscopy is an invasive and uncomfortable procedure which may not be acceptable for the patients. Therefore, various non-invasive markers have been demonstrated as a simple and easier practical alternative to predict the presence of esophageal varices in cirrhotic patients. However, the findings of previous studies are controversial and their utility in clinical practice is uncertain. Furthermore, no single or a combination of non-invasive markers has been widely evaluated for predicting the variceal bleeding, to date.</w:t>
      </w:r>
    </w:p>
    <w:p w:rsidR="00C12111" w:rsidRPr="00574F1B" w:rsidRDefault="00C12111" w:rsidP="00C12111">
      <w:pPr>
        <w:pStyle w:val="af2"/>
        <w:rPr>
          <w:lang w:val="en-US"/>
        </w:rPr>
      </w:pPr>
      <w:r w:rsidRPr="00574F1B">
        <w:rPr>
          <w:lang w:val="en-US"/>
        </w:rPr>
        <w:t>Innovations and breakthroughs</w:t>
      </w:r>
    </w:p>
    <w:p w:rsidR="00C12111" w:rsidRDefault="00C12111" w:rsidP="00C12111">
      <w:pPr>
        <w:pStyle w:val="8BF4"/>
        <w:rPr>
          <w:b/>
          <w:bCs/>
        </w:rPr>
      </w:pPr>
      <w:r>
        <w:t>They findings from a study conducted in Albania indicate that, despite the low diagnostic accuracy, ﬁbrosis-4-index (FIB-4) appears the most efficient non-invasive marker which can be used as an initial screening tool for cirrhotic patients in the areas with lacking endoscopy facilities. Yet, none of the non-invasive markers was a useful predictor of esophageal variceal bleeding in Albanian cirrhotic patients.</w:t>
      </w:r>
    </w:p>
    <w:p w:rsidR="00C12111" w:rsidRPr="00574F1B" w:rsidRDefault="00C12111" w:rsidP="00C12111">
      <w:pPr>
        <w:pStyle w:val="af2"/>
        <w:rPr>
          <w:lang w:val="en-US"/>
        </w:rPr>
      </w:pPr>
      <w:r w:rsidRPr="00574F1B">
        <w:rPr>
          <w:lang w:val="en-US"/>
        </w:rPr>
        <w:t>Applications</w:t>
      </w:r>
    </w:p>
    <w:p w:rsidR="00C12111" w:rsidRDefault="00C12111" w:rsidP="00C12111">
      <w:pPr>
        <w:pStyle w:val="8BF4"/>
      </w:pPr>
      <w:r>
        <w:t>These non-invasive biomarkers are based on regular laboratory data, require no extra cost, specialized devices or additional biochemical tests and differ from other noninvasive markers which may not be easily accessible. This fact may be very important in developing and transitional countries with rather limited resources. Nevertheless, future large prospective studies are warranted to further define the diagnostic accuracy of non-invasive markers in the diagnosis of esophageal varices and prediction of esophageal variceal bleeding in countries where there is a shortage of endoscopy.</w:t>
      </w:r>
    </w:p>
    <w:p w:rsidR="00C12111" w:rsidRPr="00574F1B" w:rsidRDefault="00C12111" w:rsidP="00C12111">
      <w:pPr>
        <w:pStyle w:val="af3"/>
        <w:rPr>
          <w:rFonts w:ascii="Arial Narrow" w:hAnsi="Arial Narrow" w:cs="Arial Narrow"/>
          <w:b/>
          <w:bCs/>
          <w:i/>
          <w:iCs/>
        </w:rPr>
      </w:pPr>
      <w:r w:rsidRPr="00574F1B">
        <w:rPr>
          <w:rFonts w:ascii="Arial Narrow" w:hAnsi="Arial Narrow" w:cs="Arial Narrow"/>
          <w:b/>
          <w:bCs/>
          <w:i/>
          <w:iCs/>
        </w:rPr>
        <w:t>Peer-review</w:t>
      </w:r>
    </w:p>
    <w:p w:rsidR="00C12111" w:rsidRDefault="00C12111" w:rsidP="00C12111">
      <w:pPr>
        <w:pStyle w:val="8BF4"/>
        <w:rPr>
          <w:b/>
          <w:bCs/>
          <w:i/>
          <w:iCs/>
        </w:rPr>
      </w:pPr>
      <w:r>
        <w:t>The paper by Kraja Bledar</w:t>
      </w:r>
      <w:r>
        <w:rPr>
          <w:i/>
          <w:iCs/>
        </w:rPr>
        <w:t xml:space="preserve"> et al </w:t>
      </w:r>
      <w:r>
        <w:t xml:space="preserve">demonstrated FIB-4 was strong predictor of EV in patients with liver cirrhosis; however, there was no association between FIB-4 and esophageal variceal bleeding. They concluded that FIB-4 is useful for initial screening tool for cirrhotic patients in the areas with lack of endoscopy facilities. </w:t>
      </w:r>
    </w:p>
    <w:p w:rsidR="00C12111" w:rsidRPr="00574F1B" w:rsidRDefault="00C12111" w:rsidP="00C12111">
      <w:pPr>
        <w:pStyle w:val="af0"/>
        <w:rPr>
          <w:lang w:val="en-US"/>
        </w:rPr>
      </w:pPr>
    </w:p>
    <w:p w:rsidR="00C12111" w:rsidRPr="00574F1B" w:rsidRDefault="00C12111" w:rsidP="00C12111">
      <w:pPr>
        <w:pStyle w:val="af0"/>
        <w:rPr>
          <w:lang w:val="en-US"/>
        </w:rPr>
      </w:pPr>
      <w:r w:rsidRPr="00574F1B">
        <w:rPr>
          <w:lang w:val="en-US"/>
        </w:rPr>
        <w:t>REFERENCES</w:t>
      </w:r>
    </w:p>
    <w:p w:rsidR="00C12111" w:rsidRDefault="00C12111" w:rsidP="00C12111">
      <w:pPr>
        <w:pStyle w:val="-1"/>
      </w:pPr>
      <w:r>
        <w:t>1</w:t>
      </w:r>
      <w:r>
        <w:tab/>
      </w:r>
      <w:r>
        <w:rPr>
          <w:b/>
          <w:bCs/>
        </w:rPr>
        <w:t>GBD 2013 Mortality and Causes of Death Collaborators.</w:t>
      </w:r>
      <w:r>
        <w:t xml:space="preserve"> Global, regional, and national age-sex specific all-cause and cause-specific mortality for 240 causes of death, 1990-2013: a systematic analysis for the Global Burden of Disease Study 2013. </w:t>
      </w:r>
      <w:r>
        <w:rPr>
          <w:i/>
          <w:iCs/>
        </w:rPr>
        <w:t>Lancet</w:t>
      </w:r>
      <w:r>
        <w:t xml:space="preserve"> 2015; </w:t>
      </w:r>
      <w:r>
        <w:rPr>
          <w:b/>
          <w:bCs/>
        </w:rPr>
        <w:t>385</w:t>
      </w:r>
      <w:r>
        <w:t>: 117-171 [PMID: 25530442 DOI: 10.1016/S0140-6736(14)61682-2]</w:t>
      </w:r>
    </w:p>
    <w:p w:rsidR="00C12111" w:rsidRDefault="00C12111" w:rsidP="00C12111">
      <w:pPr>
        <w:pStyle w:val="-1"/>
      </w:pPr>
      <w:r>
        <w:t>2</w:t>
      </w:r>
      <w:r>
        <w:tab/>
      </w:r>
      <w:r>
        <w:rPr>
          <w:b/>
          <w:bCs/>
        </w:rPr>
        <w:t>D’Amico G</w:t>
      </w:r>
      <w:r>
        <w:t xml:space="preserve">, Garcia-Tsao G, Pagliaro L. Natural history and prognostic indicators of survival in cirrhosis: a systematic review of 118 studies. </w:t>
      </w:r>
      <w:r>
        <w:rPr>
          <w:i/>
          <w:iCs/>
        </w:rPr>
        <w:t>J Hepatol</w:t>
      </w:r>
      <w:r>
        <w:t xml:space="preserve"> 2006; </w:t>
      </w:r>
      <w:r>
        <w:rPr>
          <w:b/>
          <w:bCs/>
        </w:rPr>
        <w:t>44</w:t>
      </w:r>
      <w:r>
        <w:t>: 217-231 [PMID: 16298014 DOI: 10.1016/j.jhep.2005.10.013]</w:t>
      </w:r>
    </w:p>
    <w:p w:rsidR="00C12111" w:rsidRDefault="00C12111" w:rsidP="00C12111">
      <w:pPr>
        <w:pStyle w:val="-1"/>
      </w:pPr>
      <w:r>
        <w:t>3</w:t>
      </w:r>
      <w:r>
        <w:tab/>
      </w:r>
      <w:r>
        <w:rPr>
          <w:b/>
          <w:bCs/>
        </w:rPr>
        <w:t>Rahimi RS</w:t>
      </w:r>
      <w:r>
        <w:t xml:space="preserve">, Rockey DC. </w:t>
      </w:r>
      <w:proofErr w:type="gramStart"/>
      <w:r>
        <w:t>Complications and outcomes in chronic liver disease.</w:t>
      </w:r>
      <w:proofErr w:type="gramEnd"/>
      <w:r>
        <w:t xml:space="preserve"> </w:t>
      </w:r>
      <w:r>
        <w:rPr>
          <w:i/>
          <w:iCs/>
        </w:rPr>
        <w:t>Curr Opin Gastroenterol</w:t>
      </w:r>
      <w:r>
        <w:t xml:space="preserve"> 2011; </w:t>
      </w:r>
      <w:r>
        <w:rPr>
          <w:b/>
          <w:bCs/>
        </w:rPr>
        <w:t>27</w:t>
      </w:r>
      <w:r>
        <w:t>: 204-209 [PMID: 21451410 DOI: 10.1097/MOG.0b013e3283460c7d]</w:t>
      </w:r>
    </w:p>
    <w:p w:rsidR="00C12111" w:rsidRDefault="00C12111" w:rsidP="00C12111">
      <w:pPr>
        <w:pStyle w:val="-1"/>
      </w:pPr>
      <w:r>
        <w:t>4</w:t>
      </w:r>
      <w:r>
        <w:tab/>
      </w:r>
      <w:r>
        <w:rPr>
          <w:b/>
          <w:bCs/>
        </w:rPr>
        <w:t>de Franchis R</w:t>
      </w:r>
      <w:r>
        <w:t xml:space="preserve">. Expanding consensus in portal hypertension: Report of the Baveno VI Consensus Workshop: Stratifying risk and individualizing care for portal hypertension. </w:t>
      </w:r>
      <w:r>
        <w:rPr>
          <w:i/>
          <w:iCs/>
        </w:rPr>
        <w:t>J Hepatol</w:t>
      </w:r>
      <w:r>
        <w:t xml:space="preserve"> 2015; </w:t>
      </w:r>
      <w:r>
        <w:rPr>
          <w:b/>
          <w:bCs/>
        </w:rPr>
        <w:t>63</w:t>
      </w:r>
      <w:r>
        <w:t>: 743-752 [PMID: 26047908 DOI: 10.1016/j.jhep.2015.05.022]</w:t>
      </w:r>
    </w:p>
    <w:p w:rsidR="00C12111" w:rsidRDefault="00C12111" w:rsidP="00C12111">
      <w:pPr>
        <w:pStyle w:val="-1"/>
      </w:pPr>
      <w:r>
        <w:t>5</w:t>
      </w:r>
      <w:r>
        <w:tab/>
      </w:r>
      <w:r>
        <w:rPr>
          <w:b/>
          <w:bCs/>
        </w:rPr>
        <w:t>Garcia-Tsao G</w:t>
      </w:r>
      <w:r>
        <w:t xml:space="preserve">, Sanyal AJ, Grace ND, Carey WD. Prevention and management of gastroesophageal varices and variceal hemorrhage in cirrhosis. </w:t>
      </w:r>
      <w:r>
        <w:rPr>
          <w:i/>
          <w:iCs/>
        </w:rPr>
        <w:t>Am J Gastroenterol</w:t>
      </w:r>
      <w:r>
        <w:t xml:space="preserve"> 2007; </w:t>
      </w:r>
      <w:r>
        <w:rPr>
          <w:b/>
          <w:bCs/>
        </w:rPr>
        <w:t>102</w:t>
      </w:r>
      <w:r>
        <w:t>: 2086-2102 [PMID: 17727436 DOI: 10.1111/j.1572-0241.2007.01481.x]</w:t>
      </w:r>
    </w:p>
    <w:p w:rsidR="00C12111" w:rsidRDefault="00C12111" w:rsidP="00C12111">
      <w:pPr>
        <w:pStyle w:val="-1"/>
      </w:pPr>
      <w:r>
        <w:t>6</w:t>
      </w:r>
      <w:r>
        <w:tab/>
      </w:r>
      <w:r>
        <w:rPr>
          <w:b/>
          <w:bCs/>
        </w:rPr>
        <w:t>de Franchis R</w:t>
      </w:r>
      <w:r>
        <w:t xml:space="preserve">. Noninvasive diagnosis of esophageal varices: is it feasible? </w:t>
      </w:r>
      <w:r>
        <w:rPr>
          <w:i/>
          <w:iCs/>
        </w:rPr>
        <w:t>Am J Gastroenterol</w:t>
      </w:r>
      <w:r>
        <w:t xml:space="preserve"> 2006; </w:t>
      </w:r>
      <w:r>
        <w:rPr>
          <w:b/>
          <w:bCs/>
        </w:rPr>
        <w:t>101</w:t>
      </w:r>
      <w:r>
        <w:t>: 2520-2522 [PMID: 17090281 DOI: 10.1111/j.1572-0241.2006.00880.x]</w:t>
      </w:r>
    </w:p>
    <w:p w:rsidR="00C12111" w:rsidRDefault="00C12111" w:rsidP="00C12111">
      <w:pPr>
        <w:pStyle w:val="-1"/>
      </w:pPr>
      <w:r>
        <w:t>7</w:t>
      </w:r>
      <w:r>
        <w:tab/>
      </w:r>
      <w:r>
        <w:rPr>
          <w:b/>
          <w:bCs/>
        </w:rPr>
        <w:t>Madhotra R</w:t>
      </w:r>
      <w:r>
        <w:t xml:space="preserve">, Mulcahy HE, Willner I, Reuben A. Prediction of esophageal varices in patients with cirrhosis. </w:t>
      </w:r>
      <w:r>
        <w:rPr>
          <w:i/>
          <w:iCs/>
        </w:rPr>
        <w:t>J Clin Gastroenterol</w:t>
      </w:r>
      <w:r>
        <w:t xml:space="preserve"> 2002; </w:t>
      </w:r>
      <w:r>
        <w:rPr>
          <w:b/>
          <w:bCs/>
        </w:rPr>
        <w:t>34</w:t>
      </w:r>
      <w:r>
        <w:t>: 81-85 [PMID: 11743252]</w:t>
      </w:r>
    </w:p>
    <w:p w:rsidR="00C12111" w:rsidRDefault="00C12111" w:rsidP="00C12111">
      <w:pPr>
        <w:pStyle w:val="-1"/>
      </w:pPr>
      <w:r>
        <w:t>8</w:t>
      </w:r>
      <w:r>
        <w:tab/>
      </w:r>
      <w:r>
        <w:rPr>
          <w:b/>
          <w:bCs/>
        </w:rPr>
        <w:t>Giannini E</w:t>
      </w:r>
      <w:r>
        <w:t xml:space="preserve">, Botta F, Borro P, Risso D, Romagnoli P, Fasoli A, Mele MR, Testa E, Mansi C, Savarino V, Testa R. Platelet count/spleen diameter ratio: proposal and validation of a non-invasive parameter to predict the presence of oesophageal varices in patients with liver cirrhosis. </w:t>
      </w:r>
      <w:r>
        <w:rPr>
          <w:i/>
          <w:iCs/>
        </w:rPr>
        <w:t>Gut</w:t>
      </w:r>
      <w:r>
        <w:t xml:space="preserve"> 2003; </w:t>
      </w:r>
      <w:r>
        <w:rPr>
          <w:b/>
          <w:bCs/>
        </w:rPr>
        <w:t>52</w:t>
      </w:r>
      <w:r>
        <w:t>: 1200-1205 [PMID: 12865282]</w:t>
      </w:r>
    </w:p>
    <w:p w:rsidR="00C12111" w:rsidRDefault="00C12111" w:rsidP="00C12111">
      <w:pPr>
        <w:pStyle w:val="-1"/>
        <w:rPr>
          <w:spacing w:val="-2"/>
        </w:rPr>
      </w:pPr>
      <w:r>
        <w:t>9</w:t>
      </w:r>
      <w:r>
        <w:tab/>
      </w:r>
      <w:r>
        <w:rPr>
          <w:b/>
          <w:bCs/>
          <w:spacing w:val="-2"/>
        </w:rPr>
        <w:t>Giannini EG</w:t>
      </w:r>
      <w:r>
        <w:rPr>
          <w:spacing w:val="-2"/>
        </w:rPr>
        <w:t xml:space="preserve">, Zaman A, Kreil A, Floreani A, Dulbecco P, Testa E, Sohaey R, Verhey P, Peck-Radosavljevic M, Mansi C, Savarino V, </w:t>
      </w:r>
      <w:proofErr w:type="gramStart"/>
      <w:r>
        <w:rPr>
          <w:spacing w:val="-2"/>
        </w:rPr>
        <w:t>Testa</w:t>
      </w:r>
      <w:proofErr w:type="gramEnd"/>
      <w:r>
        <w:rPr>
          <w:spacing w:val="-2"/>
        </w:rPr>
        <w:t xml:space="preserve"> R. Platelet count/spleen diameter ratio for the noninvasive diagnosis of esophageal varices: results of a multicenter, prospective, validation study. </w:t>
      </w:r>
      <w:r>
        <w:rPr>
          <w:i/>
          <w:iCs/>
          <w:spacing w:val="-2"/>
        </w:rPr>
        <w:t>Am J Gastroenterol</w:t>
      </w:r>
      <w:r>
        <w:rPr>
          <w:spacing w:val="-2"/>
        </w:rPr>
        <w:t xml:space="preserve"> 2006; </w:t>
      </w:r>
      <w:r>
        <w:rPr>
          <w:b/>
          <w:bCs/>
          <w:spacing w:val="-2"/>
        </w:rPr>
        <w:t>101</w:t>
      </w:r>
      <w:r>
        <w:rPr>
          <w:spacing w:val="-2"/>
        </w:rPr>
        <w:t>: 2511-2519 [PMID: 17029607 DOI: 10.1111/j.1572-0241.2006.00874.x]</w:t>
      </w:r>
    </w:p>
    <w:p w:rsidR="00C12111" w:rsidRDefault="00C12111" w:rsidP="00C12111">
      <w:pPr>
        <w:pStyle w:val="-1"/>
      </w:pPr>
      <w:r>
        <w:t>10</w:t>
      </w:r>
      <w:r>
        <w:tab/>
      </w:r>
      <w:r>
        <w:rPr>
          <w:b/>
          <w:bCs/>
        </w:rPr>
        <w:t>Sebastiani G</w:t>
      </w:r>
      <w:r>
        <w:t xml:space="preserve">, Tempesta D, Fattovich G, Castera L, Halfon P, Bourliere M, Noventa F, Angeli P, Saggioro A, Alberti A. Prediction of oesophageal varices in hepatic cirrhosis by simple serum non-invasive markers: Results of a multicenter, large-scale study. </w:t>
      </w:r>
      <w:r>
        <w:rPr>
          <w:i/>
          <w:iCs/>
        </w:rPr>
        <w:t>J Hepatol</w:t>
      </w:r>
      <w:r>
        <w:t xml:space="preserve"> 2010; </w:t>
      </w:r>
      <w:r>
        <w:rPr>
          <w:b/>
          <w:bCs/>
        </w:rPr>
        <w:t>53</w:t>
      </w:r>
      <w:r>
        <w:t>: 630-638 [PMID: 20615567 DOI: 10.1016/j.jhep.2010.04.019]</w:t>
      </w:r>
    </w:p>
    <w:p w:rsidR="00C12111" w:rsidRDefault="00C12111" w:rsidP="00C12111">
      <w:pPr>
        <w:pStyle w:val="-1"/>
      </w:pPr>
      <w:r>
        <w:t>11</w:t>
      </w:r>
      <w:r>
        <w:tab/>
      </w:r>
      <w:r>
        <w:rPr>
          <w:b/>
          <w:bCs/>
        </w:rPr>
        <w:t>Tafarel JR</w:t>
      </w:r>
      <w:r>
        <w:t xml:space="preserve">, Tolentino LH, Correa LM, Bonilha DR, Piauilino P, Martins FP, Rodrigues RA, Nakao FS, Libera ED, Ferrari AP, da Silveira Röhr MR. Prediction of esophageal varices in hepatic cirrhosis by noninvasive markers. </w:t>
      </w:r>
      <w:r>
        <w:rPr>
          <w:i/>
          <w:iCs/>
        </w:rPr>
        <w:t>Eur J Gastroenterol Hepatol</w:t>
      </w:r>
      <w:r>
        <w:t xml:space="preserve"> 2011; </w:t>
      </w:r>
      <w:r>
        <w:rPr>
          <w:b/>
          <w:bCs/>
        </w:rPr>
        <w:t>23</w:t>
      </w:r>
      <w:r>
        <w:t xml:space="preserve">: 754-758 </w:t>
      </w:r>
      <w:r>
        <w:lastRenderedPageBreak/>
        <w:t>[PMID: 21691209 DOI: 10.1097/MEG.0b013e3283488a88]</w:t>
      </w:r>
    </w:p>
    <w:p w:rsidR="00C12111" w:rsidRDefault="00C12111" w:rsidP="00C12111">
      <w:pPr>
        <w:pStyle w:val="-1"/>
      </w:pPr>
      <w:r>
        <w:t>12</w:t>
      </w:r>
      <w:r>
        <w:tab/>
      </w:r>
      <w:r>
        <w:rPr>
          <w:b/>
          <w:bCs/>
        </w:rPr>
        <w:t>Deng H</w:t>
      </w:r>
      <w:r>
        <w:t xml:space="preserve">, Qi X, Peng Y, Li J, Li H, Zhang Y, Liu X, Sun X, Guo X. Diagnostic Accuracy of APRI, AAR, FIB-4, FI, and King Scores for Diagnosis of Esophageal Varices in Liver Cirrhosis: A Retrospective Study. </w:t>
      </w:r>
      <w:r>
        <w:rPr>
          <w:i/>
          <w:iCs/>
        </w:rPr>
        <w:t>Med Sci Monit</w:t>
      </w:r>
      <w:r>
        <w:t xml:space="preserve"> 2015; </w:t>
      </w:r>
      <w:r>
        <w:rPr>
          <w:b/>
          <w:bCs/>
        </w:rPr>
        <w:t>21</w:t>
      </w:r>
      <w:r>
        <w:t>: 3961-3977 [PMID: 26687574 DOI: 10.12659/MSM.895005]</w:t>
      </w:r>
    </w:p>
    <w:p w:rsidR="00C12111" w:rsidRDefault="00C12111" w:rsidP="00C12111">
      <w:pPr>
        <w:pStyle w:val="-1"/>
      </w:pPr>
      <w:r>
        <w:t>13</w:t>
      </w:r>
      <w:r>
        <w:tab/>
      </w:r>
      <w:r>
        <w:rPr>
          <w:b/>
          <w:bCs/>
        </w:rPr>
        <w:t>Hong WD</w:t>
      </w:r>
      <w:r>
        <w:t xml:space="preserve">, Zhu QH, Huang ZM, Chen XR, Jiang ZC, Xu SH, Jin K. Predictors of esophageal varices in patients with HBV-related cirrhosis: a retrospective study. </w:t>
      </w:r>
      <w:r>
        <w:rPr>
          <w:i/>
          <w:iCs/>
        </w:rPr>
        <w:t>BMC Gastroenterol</w:t>
      </w:r>
      <w:r>
        <w:t xml:space="preserve"> 2009; </w:t>
      </w:r>
      <w:r>
        <w:rPr>
          <w:b/>
          <w:bCs/>
        </w:rPr>
        <w:t>9</w:t>
      </w:r>
      <w:r>
        <w:t>: 11 [PMID: 19196464 DOI: 10.1186/1471-230X-9-11]</w:t>
      </w:r>
    </w:p>
    <w:p w:rsidR="00C12111" w:rsidRDefault="00C12111" w:rsidP="00C12111">
      <w:pPr>
        <w:pStyle w:val="-1"/>
      </w:pPr>
      <w:r>
        <w:t>14</w:t>
      </w:r>
      <w:r>
        <w:tab/>
      </w:r>
      <w:r>
        <w:rPr>
          <w:b/>
          <w:bCs/>
        </w:rPr>
        <w:t>González-Ojeda A</w:t>
      </w:r>
      <w:r>
        <w:t xml:space="preserve">, Cervantes-Guevara G, Chávez-Sánchez M, Dávalos-Cobián C, Ornelas-Cázares S, Macías-Amezcua MD, Chávez-Tostado M, Ramírez-Campos KM, Ramírez-Arce Adel R, Fuentes-Orozco C. Platelet count/spleen diameter ratio to predict esophageal varices in Mexican patients with hepatic cirrhosis. </w:t>
      </w:r>
      <w:r>
        <w:rPr>
          <w:i/>
          <w:iCs/>
        </w:rPr>
        <w:t>World J Gastroenterol</w:t>
      </w:r>
      <w:r>
        <w:t xml:space="preserve"> 2014; </w:t>
      </w:r>
      <w:r>
        <w:rPr>
          <w:b/>
          <w:bCs/>
        </w:rPr>
        <w:t>20</w:t>
      </w:r>
      <w:r>
        <w:t>: 2079-2084 [PMID: 24616574 DOI: 10.3748/wjg.v20.i8.2079]</w:t>
      </w:r>
    </w:p>
    <w:p w:rsidR="00C12111" w:rsidRDefault="00C12111" w:rsidP="00C12111">
      <w:pPr>
        <w:pStyle w:val="-1"/>
      </w:pPr>
      <w:r>
        <w:t>15</w:t>
      </w:r>
      <w:r>
        <w:tab/>
      </w:r>
      <w:r>
        <w:rPr>
          <w:b/>
          <w:bCs/>
        </w:rPr>
        <w:t>Sen S</w:t>
      </w:r>
      <w:r>
        <w:t xml:space="preserve">, Griffiths WJ. </w:t>
      </w:r>
      <w:proofErr w:type="gramStart"/>
      <w:r>
        <w:t>Non-invasive prediction of oesophageal varices in cirrhosis.</w:t>
      </w:r>
      <w:proofErr w:type="gramEnd"/>
      <w:r>
        <w:t xml:space="preserve"> </w:t>
      </w:r>
      <w:r>
        <w:rPr>
          <w:i/>
          <w:iCs/>
        </w:rPr>
        <w:t>World J Gastroenterol</w:t>
      </w:r>
      <w:r>
        <w:t xml:space="preserve"> 2008; </w:t>
      </w:r>
      <w:r>
        <w:rPr>
          <w:b/>
          <w:bCs/>
        </w:rPr>
        <w:t>14</w:t>
      </w:r>
      <w:r>
        <w:t>: 2454-2455 [PMID: 18416480 DOI: 10.3748/wjg.14.2454]</w:t>
      </w:r>
    </w:p>
    <w:p w:rsidR="00C12111" w:rsidRDefault="00C12111" w:rsidP="00C12111">
      <w:pPr>
        <w:pStyle w:val="-1"/>
      </w:pPr>
      <w:r>
        <w:t>16</w:t>
      </w:r>
      <w:r>
        <w:tab/>
      </w:r>
      <w:r>
        <w:rPr>
          <w:b/>
          <w:bCs/>
        </w:rPr>
        <w:t>Alempijevic T</w:t>
      </w:r>
      <w:r>
        <w:t xml:space="preserve">, Sokic-Milutinovic A, Milicic B, Jesic R, Balovic A, Popovic D, Krstic M. Noninvasive assessment of portal hypertension in patients with alcoholic cirrhosis. </w:t>
      </w:r>
      <w:r>
        <w:rPr>
          <w:i/>
          <w:iCs/>
        </w:rPr>
        <w:t>Turk J Gastroenterol</w:t>
      </w:r>
      <w:r>
        <w:t xml:space="preserve"> 2012; </w:t>
      </w:r>
      <w:r>
        <w:rPr>
          <w:b/>
          <w:bCs/>
        </w:rPr>
        <w:t>23</w:t>
      </w:r>
      <w:r>
        <w:t>: 239-246 [PMID: 22798113 DOI: 10.4318/tjg.2012.0463]</w:t>
      </w:r>
    </w:p>
    <w:p w:rsidR="00C12111" w:rsidRDefault="00C12111" w:rsidP="00C12111">
      <w:pPr>
        <w:pStyle w:val="-1"/>
      </w:pPr>
      <w:r>
        <w:t>17</w:t>
      </w:r>
      <w:r>
        <w:tab/>
      </w:r>
      <w:r>
        <w:rPr>
          <w:b/>
          <w:bCs/>
        </w:rPr>
        <w:t>Resuli B</w:t>
      </w:r>
      <w:r>
        <w:t xml:space="preserve">, Prifti S, Kraja B, Nurka T, Basho M, Sadiku E. Epidemiology of hepatitis B virus infection in Albania. </w:t>
      </w:r>
      <w:r>
        <w:rPr>
          <w:i/>
          <w:iCs/>
        </w:rPr>
        <w:t>World J Gastroenterol</w:t>
      </w:r>
      <w:r>
        <w:t xml:space="preserve"> 2009; </w:t>
      </w:r>
      <w:r>
        <w:rPr>
          <w:b/>
          <w:bCs/>
        </w:rPr>
        <w:t>15</w:t>
      </w:r>
      <w:r>
        <w:t>: 849-852 [PMID: 19230046 DOI: 10.3748/wjg.15.849]</w:t>
      </w:r>
    </w:p>
    <w:p w:rsidR="00C12111" w:rsidRDefault="00C12111" w:rsidP="00C12111">
      <w:pPr>
        <w:pStyle w:val="-1"/>
      </w:pPr>
      <w:r>
        <w:t>18</w:t>
      </w:r>
      <w:r>
        <w:tab/>
      </w:r>
      <w:r>
        <w:rPr>
          <w:b/>
          <w:bCs/>
        </w:rPr>
        <w:t>Burazeri G</w:t>
      </w:r>
      <w:r>
        <w:t>, Bregu A, Qirjako G, Roshi E, Petrela K, Bukli M, Peter Achterberg. National Health Report: Health Status of the Albanian Population 2014. Available from: URL: http://www.ishp.gov.al/wp-content/uploads/2015/01/Health-report-English-version.pdf</w:t>
      </w:r>
    </w:p>
    <w:p w:rsidR="00C12111" w:rsidRDefault="00C12111" w:rsidP="00C12111">
      <w:pPr>
        <w:pStyle w:val="-1"/>
      </w:pPr>
      <w:r>
        <w:t>19</w:t>
      </w:r>
      <w:r>
        <w:tab/>
      </w:r>
      <w:r>
        <w:rPr>
          <w:b/>
          <w:bCs/>
        </w:rPr>
        <w:t>Tacke F</w:t>
      </w:r>
      <w:r>
        <w:t xml:space="preserve">, Fiedler K, Trautwein C. A simple clinical score predicts high risk for upper gastrointestinal hemorrhages from varices in patients with chronic liver disease. </w:t>
      </w:r>
      <w:r>
        <w:rPr>
          <w:i/>
          <w:iCs/>
        </w:rPr>
        <w:t>Scand J Gastroenterol</w:t>
      </w:r>
      <w:r>
        <w:t xml:space="preserve"> 2007; </w:t>
      </w:r>
      <w:r>
        <w:rPr>
          <w:b/>
          <w:bCs/>
        </w:rPr>
        <w:t>42</w:t>
      </w:r>
      <w:r>
        <w:t>: 374-382 [PMID: 17354118 DOI: 10.1080/00365520600930826]</w:t>
      </w:r>
    </w:p>
    <w:p w:rsidR="00C12111" w:rsidRDefault="00C12111" w:rsidP="00C12111">
      <w:pPr>
        <w:pStyle w:val="-1"/>
      </w:pPr>
      <w:r>
        <w:t>20</w:t>
      </w:r>
      <w:r>
        <w:tab/>
      </w:r>
      <w:r>
        <w:rPr>
          <w:b/>
          <w:bCs/>
        </w:rPr>
        <w:t>Xu XD</w:t>
      </w:r>
      <w:r>
        <w:t xml:space="preserve">, Dai JJ, Qian JQ, Pin X, Wang WJ. </w:t>
      </w:r>
      <w:proofErr w:type="gramStart"/>
      <w:r>
        <w:t>New index to predict esophageal variceal bleeding in cirrhotic patients.</w:t>
      </w:r>
      <w:proofErr w:type="gramEnd"/>
      <w:r>
        <w:t xml:space="preserve"> </w:t>
      </w:r>
      <w:r>
        <w:rPr>
          <w:i/>
          <w:iCs/>
        </w:rPr>
        <w:t>World J Gastroenterol</w:t>
      </w:r>
      <w:r>
        <w:t xml:space="preserve"> 2014; </w:t>
      </w:r>
      <w:r>
        <w:rPr>
          <w:b/>
          <w:bCs/>
        </w:rPr>
        <w:t>20</w:t>
      </w:r>
      <w:r>
        <w:t>: 6989-6994 [PMID: 24944493 DOI: 10.3748/wjg.v20.i22.6989]</w:t>
      </w:r>
    </w:p>
    <w:p w:rsidR="00C12111" w:rsidRDefault="00C12111" w:rsidP="00C12111">
      <w:pPr>
        <w:pStyle w:val="-1"/>
      </w:pPr>
      <w:r>
        <w:t>21</w:t>
      </w:r>
      <w:r>
        <w:tab/>
      </w:r>
      <w:r>
        <w:rPr>
          <w:b/>
          <w:bCs/>
        </w:rPr>
        <w:t>Ge PS</w:t>
      </w:r>
      <w:r>
        <w:t xml:space="preserve">, Runyon BA. </w:t>
      </w:r>
      <w:proofErr w:type="gramStart"/>
      <w:r>
        <w:t>Treatment of Patients with Cirrhosis.</w:t>
      </w:r>
      <w:proofErr w:type="gramEnd"/>
      <w:r>
        <w:t xml:space="preserve"> </w:t>
      </w:r>
      <w:r>
        <w:rPr>
          <w:i/>
          <w:iCs/>
        </w:rPr>
        <w:t>N Engl J Med</w:t>
      </w:r>
      <w:r>
        <w:t xml:space="preserve"> 2016; </w:t>
      </w:r>
      <w:r>
        <w:rPr>
          <w:b/>
          <w:bCs/>
        </w:rPr>
        <w:t>375</w:t>
      </w:r>
      <w:r>
        <w:t>: 767-777 [PMID: 27557303 DOI: 10.1056/NEJMra1504367]</w:t>
      </w:r>
    </w:p>
    <w:p w:rsidR="00C12111" w:rsidRDefault="00C12111" w:rsidP="00C12111">
      <w:pPr>
        <w:pStyle w:val="-1"/>
      </w:pPr>
      <w:r>
        <w:t>22</w:t>
      </w:r>
      <w:r>
        <w:tab/>
      </w:r>
      <w:r>
        <w:rPr>
          <w:b/>
          <w:bCs/>
        </w:rPr>
        <w:t>Stefanescu H</w:t>
      </w:r>
      <w:r>
        <w:t xml:space="preserve">, Grigorescu M, Lupsor M, Maniu A, Crisan D, Procopet B, Feier D, Badea R. </w:t>
      </w:r>
      <w:proofErr w:type="gramStart"/>
      <w:r>
        <w:t>A new and simple algorithm for the noninvasive assessment of esophageal varices in cirrhotic patients using serum fibrosis markers and transient elastography.</w:t>
      </w:r>
      <w:proofErr w:type="gramEnd"/>
      <w:r>
        <w:t xml:space="preserve"> </w:t>
      </w:r>
      <w:r>
        <w:rPr>
          <w:i/>
          <w:iCs/>
        </w:rPr>
        <w:t>J Gastrointestin Liver Dis</w:t>
      </w:r>
      <w:r>
        <w:t xml:space="preserve"> 2011; </w:t>
      </w:r>
      <w:r>
        <w:rPr>
          <w:b/>
          <w:bCs/>
        </w:rPr>
        <w:t>20</w:t>
      </w:r>
      <w:r>
        <w:t>: 57-64 [PMID: 21451799]</w:t>
      </w:r>
    </w:p>
    <w:p w:rsidR="00C12111" w:rsidRDefault="00C12111" w:rsidP="00C12111">
      <w:pPr>
        <w:pStyle w:val="-1"/>
      </w:pPr>
      <w:r>
        <w:t>23</w:t>
      </w:r>
      <w:r>
        <w:tab/>
      </w:r>
      <w:r>
        <w:rPr>
          <w:b/>
          <w:bCs/>
        </w:rPr>
        <w:t>Hassan EM</w:t>
      </w:r>
      <w:r>
        <w:t xml:space="preserve">, Omran DA, El Beshlawey ML, Abdo M, El Askary A. Can transient elastography, Fib-4, Forns Index, and Lok Score predict esophageal varices in HCV-related cirrhotic patients? </w:t>
      </w:r>
      <w:r>
        <w:rPr>
          <w:i/>
          <w:iCs/>
        </w:rPr>
        <w:t>Gastroenterol Hepatol</w:t>
      </w:r>
      <w:r>
        <w:t xml:space="preserve"> 2014; </w:t>
      </w:r>
      <w:r>
        <w:rPr>
          <w:b/>
          <w:bCs/>
        </w:rPr>
        <w:t>37</w:t>
      </w:r>
      <w:r>
        <w:t>: 58-65 [PMID: 24365388 DOI: 10.1016/j.gastrohep.2013.09.008]</w:t>
      </w:r>
    </w:p>
    <w:p w:rsidR="00C12111" w:rsidRDefault="00C12111" w:rsidP="00C12111">
      <w:pPr>
        <w:pStyle w:val="-1"/>
      </w:pPr>
      <w:r>
        <w:t>24</w:t>
      </w:r>
      <w:r>
        <w:tab/>
      </w:r>
      <w:r>
        <w:rPr>
          <w:b/>
          <w:bCs/>
        </w:rPr>
        <w:t>Deng H</w:t>
      </w:r>
      <w:r>
        <w:t xml:space="preserve">, Qi X, Guo X. Diagnostic Accuracy of APRI, AAR, FIB-4, FI, King, Lok, Forns, and FibroIndex Scores in Predicting the Presence of Esophageal Varices in Liver Cirrhosis: A Systematic Review and Meta-Analysis. </w:t>
      </w:r>
      <w:r>
        <w:rPr>
          <w:i/>
          <w:iCs/>
        </w:rPr>
        <w:t xml:space="preserve">Medicine </w:t>
      </w:r>
      <w:r>
        <w:t xml:space="preserve">(Baltimore) 2015; </w:t>
      </w:r>
      <w:r>
        <w:rPr>
          <w:b/>
          <w:bCs/>
        </w:rPr>
        <w:t>94</w:t>
      </w:r>
      <w:r>
        <w:t>: e1795 [PMID: 26496312 DOI: 10.1097/MD.0000000000001795]</w:t>
      </w:r>
    </w:p>
    <w:p w:rsidR="00C12111" w:rsidRDefault="00C12111" w:rsidP="00C12111">
      <w:pPr>
        <w:pStyle w:val="-1"/>
      </w:pPr>
      <w:r>
        <w:t>25</w:t>
      </w:r>
      <w:r>
        <w:tab/>
      </w:r>
      <w:r>
        <w:rPr>
          <w:b/>
          <w:bCs/>
        </w:rPr>
        <w:t>Procopet B</w:t>
      </w:r>
      <w:r>
        <w:t xml:space="preserve">, Berzigotti A. </w:t>
      </w:r>
      <w:proofErr w:type="gramStart"/>
      <w:r>
        <w:t>New Tools for the Noninvasive Assessment of Cirrhosis.</w:t>
      </w:r>
      <w:proofErr w:type="gramEnd"/>
      <w:r>
        <w:t xml:space="preserve"> Curr Hepatology Rep 2014; </w:t>
      </w:r>
      <w:r>
        <w:rPr>
          <w:b/>
          <w:bCs/>
        </w:rPr>
        <w:t>13</w:t>
      </w:r>
      <w:r>
        <w:t>: 14 [DOI: 10.1007/s11901-014-0210-1]</w:t>
      </w:r>
    </w:p>
    <w:p w:rsidR="00C12111" w:rsidRDefault="00C12111" w:rsidP="00C12111">
      <w:pPr>
        <w:pStyle w:val="af4"/>
        <w:rPr>
          <w:rFonts w:ascii="Times New Roman" w:hAnsi="Times New Roman" w:cs="Times New Roman"/>
          <w:b/>
          <w:bCs/>
          <w:spacing w:val="-1"/>
        </w:rPr>
      </w:pPr>
    </w:p>
    <w:p w:rsidR="00C12111" w:rsidRDefault="00C12111" w:rsidP="00C12111">
      <w:r>
        <w:t>Footnotes</w:t>
      </w:r>
    </w:p>
    <w:p w:rsidR="00C12111" w:rsidRDefault="00C12111" w:rsidP="00C12111">
      <w:pPr>
        <w:pStyle w:val="af"/>
      </w:pPr>
      <w:r>
        <w:rPr>
          <w:rFonts w:ascii="Tahoma" w:hAnsi="Tahoma" w:cs="Tahoma"/>
        </w:rPr>
        <w:t>Manuscript source:</w:t>
      </w:r>
      <w:r>
        <w:t xml:space="preserve"> Invited manuscript</w:t>
      </w:r>
    </w:p>
    <w:p w:rsidR="00C12111" w:rsidRPr="00827C7B" w:rsidRDefault="00C12111" w:rsidP="00C12111">
      <w:pPr>
        <w:pStyle w:val="af"/>
        <w:rPr>
          <w:rFonts w:ascii="Tahoma" w:hAnsi="Tahoma" w:cs="Tahoma"/>
          <w:b/>
        </w:rPr>
      </w:pPr>
      <w:r w:rsidRPr="00827C7B">
        <w:rPr>
          <w:rFonts w:ascii="Tahoma" w:hAnsi="Tahoma" w:cs="Tahoma"/>
          <w:b/>
        </w:rPr>
        <w:t xml:space="preserve">Specialty type: </w:t>
      </w:r>
      <w:r w:rsidRPr="00827C7B">
        <w:rPr>
          <w:rFonts w:ascii="Tahoma" w:hAnsi="Tahoma" w:cs="Tahoma"/>
        </w:rPr>
        <w:t>Gastroenterology and</w:t>
      </w:r>
      <w:r w:rsidRPr="00827C7B">
        <w:rPr>
          <w:rFonts w:ascii="Tahoma" w:hAnsi="Tahoma" w:cs="Tahoma" w:hint="eastAsia"/>
        </w:rPr>
        <w:t xml:space="preserve"> </w:t>
      </w:r>
      <w:r w:rsidRPr="00827C7B">
        <w:rPr>
          <w:rFonts w:ascii="Tahoma" w:hAnsi="Tahoma" w:cs="Tahoma"/>
        </w:rPr>
        <w:t>hepatology</w:t>
      </w:r>
    </w:p>
    <w:p w:rsidR="00C12111" w:rsidRPr="00827C7B" w:rsidRDefault="00C12111" w:rsidP="00C12111">
      <w:pPr>
        <w:pStyle w:val="af"/>
        <w:rPr>
          <w:rFonts w:ascii="Tahoma" w:hAnsi="Tahoma" w:cs="Tahoma"/>
          <w:b/>
        </w:rPr>
      </w:pPr>
      <w:r w:rsidRPr="00827C7B">
        <w:rPr>
          <w:rFonts w:ascii="Tahoma" w:hAnsi="Tahoma" w:cs="Tahoma"/>
          <w:b/>
        </w:rPr>
        <w:t xml:space="preserve">Country of origin: </w:t>
      </w:r>
      <w:r w:rsidRPr="00827C7B">
        <w:rPr>
          <w:rFonts w:ascii="Tahoma" w:hAnsi="Tahoma" w:cs="Tahoma"/>
        </w:rPr>
        <w:t>Albania</w:t>
      </w:r>
    </w:p>
    <w:p w:rsidR="00C12111" w:rsidRPr="00827C7B" w:rsidRDefault="00C12111" w:rsidP="00C12111">
      <w:pPr>
        <w:pStyle w:val="af"/>
        <w:rPr>
          <w:rFonts w:ascii="Tahoma" w:hAnsi="Tahoma" w:cs="Tahoma"/>
          <w:b/>
        </w:rPr>
      </w:pPr>
      <w:r w:rsidRPr="00827C7B">
        <w:rPr>
          <w:rFonts w:ascii="Tahoma" w:hAnsi="Tahoma" w:cs="Tahoma"/>
          <w:b/>
        </w:rPr>
        <w:t>Peer-review report classification</w:t>
      </w:r>
    </w:p>
    <w:p w:rsidR="00C12111" w:rsidRPr="00827C7B" w:rsidRDefault="00C12111" w:rsidP="00C12111">
      <w:pPr>
        <w:pStyle w:val="af"/>
        <w:rPr>
          <w:rFonts w:ascii="Tahoma" w:hAnsi="Tahoma" w:cs="Tahoma"/>
        </w:rPr>
      </w:pPr>
      <w:r w:rsidRPr="00827C7B">
        <w:rPr>
          <w:rFonts w:ascii="Tahoma" w:hAnsi="Tahoma" w:cs="Tahoma"/>
        </w:rPr>
        <w:t xml:space="preserve">Grade </w:t>
      </w:r>
      <w:proofErr w:type="gramStart"/>
      <w:r w:rsidRPr="00827C7B">
        <w:rPr>
          <w:rFonts w:ascii="Tahoma" w:hAnsi="Tahoma" w:cs="Tahoma"/>
        </w:rPr>
        <w:t>A</w:t>
      </w:r>
      <w:proofErr w:type="gramEnd"/>
      <w:r w:rsidRPr="00827C7B">
        <w:rPr>
          <w:rFonts w:ascii="Tahoma" w:hAnsi="Tahoma" w:cs="Tahoma"/>
        </w:rPr>
        <w:t xml:space="preserve"> (Excellent): </w:t>
      </w:r>
      <w:r w:rsidRPr="00827C7B">
        <w:rPr>
          <w:rFonts w:ascii="Tahoma" w:hAnsi="Tahoma" w:cs="Tahoma" w:hint="eastAsia"/>
        </w:rPr>
        <w:t>0</w:t>
      </w:r>
    </w:p>
    <w:p w:rsidR="00C12111" w:rsidRPr="00827C7B" w:rsidRDefault="00C12111" w:rsidP="00C12111">
      <w:pPr>
        <w:pStyle w:val="af"/>
        <w:rPr>
          <w:rFonts w:ascii="Tahoma" w:hAnsi="Tahoma" w:cs="Tahoma"/>
        </w:rPr>
      </w:pPr>
      <w:r w:rsidRPr="00827C7B">
        <w:rPr>
          <w:rFonts w:ascii="Tahoma" w:hAnsi="Tahoma" w:cs="Tahoma"/>
        </w:rPr>
        <w:t xml:space="preserve">Grade B (Very good): </w:t>
      </w:r>
      <w:r w:rsidRPr="00827C7B">
        <w:rPr>
          <w:rFonts w:ascii="Tahoma" w:hAnsi="Tahoma" w:cs="Tahoma" w:hint="eastAsia"/>
        </w:rPr>
        <w:t>B, B</w:t>
      </w:r>
    </w:p>
    <w:p w:rsidR="00C12111" w:rsidRPr="00827C7B" w:rsidRDefault="00C12111" w:rsidP="00C12111">
      <w:pPr>
        <w:pStyle w:val="af"/>
        <w:rPr>
          <w:rFonts w:ascii="Tahoma" w:hAnsi="Tahoma" w:cs="Tahoma"/>
        </w:rPr>
      </w:pPr>
      <w:r w:rsidRPr="00827C7B">
        <w:rPr>
          <w:rFonts w:ascii="Tahoma" w:hAnsi="Tahoma" w:cs="Tahoma"/>
        </w:rPr>
        <w:t xml:space="preserve">Grade C (Good): </w:t>
      </w:r>
      <w:r w:rsidRPr="00827C7B">
        <w:rPr>
          <w:rFonts w:ascii="Tahoma" w:hAnsi="Tahoma" w:cs="Tahoma" w:hint="eastAsia"/>
        </w:rPr>
        <w:t>C</w:t>
      </w:r>
    </w:p>
    <w:p w:rsidR="00C12111" w:rsidRPr="00827C7B" w:rsidRDefault="00C12111" w:rsidP="00C12111">
      <w:pPr>
        <w:pStyle w:val="af"/>
        <w:rPr>
          <w:rFonts w:ascii="Tahoma" w:hAnsi="Tahoma" w:cs="Tahoma"/>
        </w:rPr>
      </w:pPr>
      <w:r w:rsidRPr="00827C7B">
        <w:rPr>
          <w:rFonts w:ascii="Tahoma" w:hAnsi="Tahoma" w:cs="Tahoma"/>
        </w:rPr>
        <w:t xml:space="preserve">Grade D (Fair): </w:t>
      </w:r>
      <w:r w:rsidRPr="00827C7B">
        <w:rPr>
          <w:rFonts w:ascii="Tahoma" w:hAnsi="Tahoma" w:cs="Tahoma" w:hint="eastAsia"/>
        </w:rPr>
        <w:t>0</w:t>
      </w:r>
    </w:p>
    <w:p w:rsidR="00C12111" w:rsidRPr="00827C7B" w:rsidRDefault="00C12111" w:rsidP="00C12111">
      <w:pPr>
        <w:pStyle w:val="af"/>
        <w:rPr>
          <w:rFonts w:ascii="Tahoma" w:hAnsi="Tahoma" w:cs="Tahoma"/>
        </w:rPr>
      </w:pPr>
      <w:r w:rsidRPr="00827C7B">
        <w:rPr>
          <w:rFonts w:ascii="Tahoma" w:hAnsi="Tahoma" w:cs="Tahoma"/>
        </w:rPr>
        <w:t xml:space="preserve">Grade E (Poor): </w:t>
      </w:r>
      <w:r w:rsidRPr="00827C7B">
        <w:rPr>
          <w:rFonts w:ascii="Tahoma" w:hAnsi="Tahoma" w:cs="Tahoma" w:hint="eastAsia"/>
        </w:rPr>
        <w:t>0</w:t>
      </w:r>
    </w:p>
    <w:p w:rsidR="00C12111" w:rsidRDefault="00C12111" w:rsidP="00C12111">
      <w:pPr>
        <w:pStyle w:val="af"/>
        <w:rPr>
          <w:rFonts w:ascii="Tahoma" w:hAnsi="Tahoma" w:cs="Tahoma"/>
        </w:rPr>
      </w:pPr>
      <w:r>
        <w:rPr>
          <w:rFonts w:ascii="Tahoma" w:hAnsi="Tahoma" w:cs="Tahoma"/>
          <w:lang w:val="it-IT"/>
        </w:rPr>
        <w:t>Conflict-of-interest statement</w:t>
      </w:r>
      <w:r w:rsidRPr="00574F1B">
        <w:rPr>
          <w:rFonts w:ascii="Tahoma" w:hAnsi="Tahoma" w:cs="Tahoma"/>
        </w:rPr>
        <w:t>:</w:t>
      </w:r>
      <w:r>
        <w:rPr>
          <w:rFonts w:ascii="Tahoma" w:hAnsi="Tahoma" w:cs="Tahoma"/>
        </w:rPr>
        <w:t xml:space="preserve"> </w:t>
      </w:r>
      <w:r>
        <w:t>None of the authors have declared any conflict of interest.</w:t>
      </w:r>
    </w:p>
    <w:p w:rsidR="00C12111" w:rsidRDefault="00C12111" w:rsidP="00C12111">
      <w:pPr>
        <w:pStyle w:val="af"/>
      </w:pPr>
      <w:r>
        <w:rPr>
          <w:rFonts w:ascii="Tahoma" w:hAnsi="Tahoma" w:cs="Tahoma"/>
        </w:rPr>
        <w:lastRenderedPageBreak/>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12111" w:rsidRDefault="00C12111" w:rsidP="00C12111">
      <w:pPr>
        <w:pStyle w:val="af"/>
        <w:rPr>
          <w:b/>
          <w:bCs/>
        </w:rPr>
      </w:pPr>
      <w:r>
        <w:rPr>
          <w:rFonts w:ascii="Tahoma" w:hAnsi="Tahoma" w:cs="Tahoma"/>
        </w:rPr>
        <w:t>Peer-review started:</w:t>
      </w:r>
      <w:r>
        <w:t xml:space="preserve"> February 28, 2017</w:t>
      </w:r>
    </w:p>
    <w:p w:rsidR="00C12111" w:rsidRDefault="00C12111" w:rsidP="00C12111">
      <w:pPr>
        <w:pStyle w:val="af"/>
        <w:rPr>
          <w:b/>
          <w:bCs/>
        </w:rPr>
      </w:pPr>
      <w:r>
        <w:rPr>
          <w:rFonts w:ascii="Tahoma" w:hAnsi="Tahoma" w:cs="Tahoma"/>
        </w:rPr>
        <w:t>First decision:</w:t>
      </w:r>
      <w:r>
        <w:rPr>
          <w:b/>
          <w:bCs/>
        </w:rPr>
        <w:t xml:space="preserve"> </w:t>
      </w:r>
      <w:r>
        <w:t>April 7, 2017</w:t>
      </w:r>
    </w:p>
    <w:p w:rsidR="00C12111" w:rsidRDefault="00C12111" w:rsidP="00C12111">
      <w:pPr>
        <w:pStyle w:val="af"/>
      </w:pPr>
      <w:r>
        <w:rPr>
          <w:rFonts w:ascii="Tahoma" w:hAnsi="Tahoma" w:cs="Tahoma"/>
        </w:rPr>
        <w:t>Article in press:</w:t>
      </w:r>
      <w:r>
        <w:t xml:space="preserve"> June 1, 2017</w:t>
      </w:r>
    </w:p>
    <w:p w:rsidR="00C12111" w:rsidRPr="00574F1B" w:rsidRDefault="00C12111" w:rsidP="00C12111">
      <w:r>
        <w:rPr>
          <w:b/>
          <w:bCs/>
          <w:spacing w:val="-1"/>
        </w:rPr>
        <w:t>P- Reviewer</w:t>
      </w:r>
      <w:r>
        <w:t>:</w:t>
      </w:r>
      <w:r>
        <w:rPr>
          <w:spacing w:val="-1"/>
        </w:rPr>
        <w:t xml:space="preserve"> Kollmann D, Montalto G, Plentz RR    </w:t>
      </w:r>
      <w:r>
        <w:rPr>
          <w:b/>
          <w:bCs/>
        </w:rPr>
        <w:t>S- Editor</w:t>
      </w:r>
      <w:r>
        <w:t>:</w:t>
      </w:r>
      <w:r>
        <w:rPr>
          <w:b/>
          <w:bCs/>
        </w:rPr>
        <w:t xml:space="preserve"> </w:t>
      </w:r>
      <w:r>
        <w:t xml:space="preserve">Qi Y    </w:t>
      </w:r>
      <w:r>
        <w:rPr>
          <w:b/>
          <w:bCs/>
        </w:rPr>
        <w:t>L- Editor</w:t>
      </w:r>
      <w:r>
        <w:t xml:space="preserve">: A    </w:t>
      </w:r>
      <w:r>
        <w:rPr>
          <w:b/>
          <w:bCs/>
        </w:rPr>
        <w:t>E- Editor</w:t>
      </w:r>
      <w:r>
        <w:t>:</w:t>
      </w:r>
      <w:r>
        <w:rPr>
          <w:b/>
          <w:bCs/>
        </w:rPr>
        <w:t xml:space="preserve"> </w:t>
      </w:r>
      <w:r>
        <w:t>Li D</w:t>
      </w:r>
      <w:r>
        <w:rPr>
          <w:b/>
          <w:bCs/>
        </w:rPr>
        <w:t xml:space="preserve">  </w:t>
      </w:r>
    </w:p>
    <w:p w:rsidR="00C12111" w:rsidRDefault="00C12111" w:rsidP="00C12111"/>
    <w:p w:rsidR="00C12111" w:rsidRDefault="00C12111" w:rsidP="00C12111">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19410045"/>
                <wp:effectExtent l="8255" t="9525" r="10795" b="1143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9410045"/>
                        </a:xfrm>
                        <a:prstGeom prst="rect">
                          <a:avLst/>
                        </a:prstGeom>
                        <a:solidFill>
                          <a:srgbClr val="FFFFFF"/>
                        </a:solidFill>
                        <a:ln w="9525">
                          <a:solidFill>
                            <a:srgbClr val="000000"/>
                          </a:solidFill>
                          <a:miter lim="800000"/>
                          <a:headEnd/>
                          <a:tailEnd/>
                        </a:ln>
                      </wps:spPr>
                      <wps:txbx>
                        <w:txbxContent>
                          <w:p w:rsidR="00C12111" w:rsidRPr="00574F1B" w:rsidRDefault="00C12111" w:rsidP="00C12111">
                            <w:pPr>
                              <w:rPr>
                                <w:b/>
                                <w:bCs/>
                              </w:rPr>
                            </w:pPr>
                            <w:r w:rsidRPr="00574F1B">
                              <w:rPr>
                                <w:b/>
                                <w:bCs/>
                              </w:rPr>
                              <w:t xml:space="preserve">Table </w:t>
                            </w:r>
                            <w:proofErr w:type="gramStart"/>
                            <w:r w:rsidRPr="00574F1B">
                              <w:rPr>
                                <w:b/>
                                <w:bCs/>
                              </w:rPr>
                              <w:t>1  Distribution</w:t>
                            </w:r>
                            <w:proofErr w:type="gramEnd"/>
                            <w:r w:rsidRPr="00574F1B">
                              <w:rPr>
                                <w:b/>
                                <w:bCs/>
                              </w:rPr>
                              <w:t xml:space="preserve"> of baseline characteristics by esophageal variceal status</w:t>
                            </w:r>
                          </w:p>
                          <w:tbl>
                            <w:tblPr>
                              <w:tblW w:w="954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030"/>
                              <w:gridCol w:w="1872"/>
                              <w:gridCol w:w="1861"/>
                              <w:gridCol w:w="1621"/>
                              <w:gridCol w:w="1164"/>
                            </w:tblGrid>
                            <w:tr w:rsidR="00C12111" w:rsidRPr="00574F1B" w:rsidTr="00574F1B">
                              <w:trPr>
                                <w:trHeight w:hRule="exact" w:val="966"/>
                              </w:trPr>
                              <w:tc>
                                <w:tcPr>
                                  <w:tcW w:w="3030" w:type="dxa"/>
                                  <w:tcBorders>
                                    <w:top w:val="single" w:sz="6" w:space="0" w:color="000000"/>
                                    <w:bottom w:val="single" w:sz="6" w:space="0" w:color="000000"/>
                                  </w:tcBorders>
                                  <w:tcMar>
                                    <w:top w:w="28" w:type="dxa"/>
                                    <w:left w:w="28" w:type="dxa"/>
                                    <w:bottom w:w="28" w:type="dxa"/>
                                    <w:right w:w="28" w:type="dxa"/>
                                  </w:tcMar>
                                </w:tcPr>
                                <w:p w:rsidR="00C12111" w:rsidRPr="00574F1B" w:rsidRDefault="00C12111">
                                  <w:pPr>
                                    <w:pStyle w:val="af5"/>
                                  </w:pPr>
                                  <w:r w:rsidRPr="00574F1B">
                                    <w:t>Variable</w:t>
                                  </w:r>
                                </w:p>
                                <w:p w:rsidR="00C12111" w:rsidRPr="00574F1B" w:rsidRDefault="00C12111">
                                  <w:pPr>
                                    <w:pStyle w:val="af5"/>
                                  </w:pPr>
                                </w:p>
                              </w:tc>
                              <w:tc>
                                <w:tcPr>
                                  <w:tcW w:w="1872" w:type="dxa"/>
                                  <w:tcBorders>
                                    <w:top w:val="single" w:sz="6" w:space="0" w:color="000000"/>
                                    <w:bottom w:val="single" w:sz="6" w:space="0" w:color="000000"/>
                                  </w:tcBorders>
                                  <w:tcMar>
                                    <w:top w:w="28" w:type="dxa"/>
                                    <w:left w:w="28" w:type="dxa"/>
                                    <w:bottom w:w="28" w:type="dxa"/>
                                    <w:right w:w="28" w:type="dxa"/>
                                  </w:tcMar>
                                </w:tcPr>
                                <w:p w:rsidR="00C12111" w:rsidRPr="00574F1B" w:rsidRDefault="00C12111">
                                  <w:pPr>
                                    <w:pStyle w:val="af5"/>
                                    <w:jc w:val="center"/>
                                  </w:pPr>
                                  <w:r w:rsidRPr="00574F1B">
                                    <w:t>Total (</w:t>
                                  </w:r>
                                  <w:r w:rsidRPr="00574F1B">
                                    <w:rPr>
                                      <w:rFonts w:ascii="Albertus Bold Italic" w:hAnsi="Albertus Bold Italic" w:cs="Albertus Bold Italic"/>
                                      <w:i/>
                                      <w:iCs/>
                                    </w:rPr>
                                    <w:t>n</w:t>
                                  </w:r>
                                  <w:r w:rsidRPr="00574F1B">
                                    <w:t xml:space="preserve"> = 139)</w:t>
                                  </w:r>
                                </w:p>
                                <w:p w:rsidR="00C12111" w:rsidRPr="00574F1B" w:rsidRDefault="00C12111">
                                  <w:pPr>
                                    <w:pStyle w:val="af5"/>
                                    <w:jc w:val="center"/>
                                  </w:pPr>
                                </w:p>
                              </w:tc>
                              <w:tc>
                                <w:tcPr>
                                  <w:tcW w:w="1861" w:type="dxa"/>
                                  <w:tcBorders>
                                    <w:top w:val="single" w:sz="6" w:space="0" w:color="000000"/>
                                    <w:bottom w:val="single" w:sz="6" w:space="0" w:color="000000"/>
                                  </w:tcBorders>
                                  <w:tcMar>
                                    <w:top w:w="28" w:type="dxa"/>
                                    <w:left w:w="28" w:type="dxa"/>
                                    <w:bottom w:w="28" w:type="dxa"/>
                                    <w:right w:w="28" w:type="dxa"/>
                                  </w:tcMar>
                                </w:tcPr>
                                <w:p w:rsidR="00C12111" w:rsidRPr="00574F1B" w:rsidRDefault="00C12111">
                                  <w:pPr>
                                    <w:pStyle w:val="af5"/>
                                    <w:jc w:val="center"/>
                                  </w:pPr>
                                  <w:r w:rsidRPr="00574F1B">
                                    <w:t>Without EV (</w:t>
                                  </w:r>
                                  <w:r w:rsidRPr="00574F1B">
                                    <w:rPr>
                                      <w:rFonts w:ascii="Albertus Bold Italic" w:hAnsi="Albertus Bold Italic" w:cs="Albertus Bold Italic"/>
                                      <w:i/>
                                      <w:iCs/>
                                    </w:rPr>
                                    <w:t>n</w:t>
                                  </w:r>
                                  <w:r w:rsidRPr="00574F1B">
                                    <w:t xml:space="preserve"> = 26)</w:t>
                                  </w:r>
                                </w:p>
                                <w:p w:rsidR="00C12111" w:rsidRPr="00574F1B" w:rsidRDefault="00C12111">
                                  <w:pPr>
                                    <w:pStyle w:val="af5"/>
                                    <w:jc w:val="center"/>
                                  </w:pPr>
                                </w:p>
                              </w:tc>
                              <w:tc>
                                <w:tcPr>
                                  <w:tcW w:w="1621" w:type="dxa"/>
                                  <w:tcBorders>
                                    <w:top w:val="single" w:sz="6" w:space="0" w:color="000000"/>
                                    <w:bottom w:val="single" w:sz="6" w:space="0" w:color="000000"/>
                                  </w:tcBorders>
                                  <w:tcMar>
                                    <w:top w:w="28" w:type="dxa"/>
                                    <w:left w:w="28" w:type="dxa"/>
                                    <w:bottom w:w="28" w:type="dxa"/>
                                    <w:right w:w="28" w:type="dxa"/>
                                  </w:tcMar>
                                </w:tcPr>
                                <w:p w:rsidR="00C12111" w:rsidRPr="00574F1B" w:rsidRDefault="00C12111">
                                  <w:pPr>
                                    <w:pStyle w:val="af5"/>
                                    <w:jc w:val="center"/>
                                  </w:pPr>
                                  <w:r w:rsidRPr="00574F1B">
                                    <w:rPr>
                                      <w:lang w:val="en-GB"/>
                                    </w:rPr>
                                    <w:t xml:space="preserve">With EV </w:t>
                                  </w:r>
                                  <w:r w:rsidRPr="00574F1B">
                                    <w:t>(</w:t>
                                  </w:r>
                                  <w:r w:rsidRPr="00574F1B">
                                    <w:rPr>
                                      <w:rFonts w:ascii="Albertus Bold Italic" w:hAnsi="Albertus Bold Italic" w:cs="Albertus Bold Italic"/>
                                      <w:i/>
                                      <w:iCs/>
                                    </w:rPr>
                                    <w:t>n</w:t>
                                  </w:r>
                                  <w:r w:rsidRPr="00574F1B">
                                    <w:t xml:space="preserve"> = 113)</w:t>
                                  </w:r>
                                </w:p>
                                <w:p w:rsidR="00C12111" w:rsidRPr="00574F1B" w:rsidRDefault="00C12111">
                                  <w:pPr>
                                    <w:pStyle w:val="af5"/>
                                    <w:jc w:val="center"/>
                                  </w:pPr>
                                </w:p>
                              </w:tc>
                              <w:tc>
                                <w:tcPr>
                                  <w:tcW w:w="1164" w:type="dxa"/>
                                  <w:tcBorders>
                                    <w:top w:val="single" w:sz="6" w:space="0" w:color="000000"/>
                                    <w:bottom w:val="single" w:sz="6" w:space="0" w:color="000000"/>
                                  </w:tcBorders>
                                  <w:tcMar>
                                    <w:top w:w="28" w:type="dxa"/>
                                    <w:left w:w="28" w:type="dxa"/>
                                    <w:bottom w:w="28" w:type="dxa"/>
                                    <w:right w:w="28" w:type="dxa"/>
                                  </w:tcMar>
                                </w:tcPr>
                                <w:p w:rsidR="00C12111" w:rsidRPr="00574F1B" w:rsidRDefault="00C12111">
                                  <w:pPr>
                                    <w:pStyle w:val="af5"/>
                                    <w:jc w:val="center"/>
                                    <w:rPr>
                                      <w:vertAlign w:val="superscript"/>
                                    </w:rPr>
                                  </w:pPr>
                                  <w:r w:rsidRPr="00574F1B">
                                    <w:rPr>
                                      <w:rFonts w:ascii="Albertus Bold Italic" w:hAnsi="Albertus Bold Italic" w:cs="Albertus Bold Italic"/>
                                      <w:i/>
                                      <w:iCs/>
                                    </w:rPr>
                                    <w:t>P</w:t>
                                  </w:r>
                                  <w:r w:rsidRPr="00574F1B">
                                    <w:t xml:space="preserve"> value</w:t>
                                  </w:r>
                                  <w:r w:rsidRPr="00574F1B">
                                    <w:rPr>
                                      <w:vertAlign w:val="superscript"/>
                                    </w:rPr>
                                    <w:t xml:space="preserve"> </w:t>
                                  </w:r>
                                </w:p>
                                <w:p w:rsidR="00C12111" w:rsidRPr="00574F1B" w:rsidRDefault="00C12111">
                                  <w:pPr>
                                    <w:pStyle w:val="af5"/>
                                    <w:jc w:val="center"/>
                                  </w:pPr>
                                </w:p>
                              </w:tc>
                            </w:tr>
                            <w:tr w:rsidR="00C12111" w:rsidRPr="00574F1B" w:rsidTr="00574F1B">
                              <w:trPr>
                                <w:trHeight w:val="60"/>
                              </w:trPr>
                              <w:tc>
                                <w:tcPr>
                                  <w:tcW w:w="9548" w:type="dxa"/>
                                  <w:gridSpan w:val="5"/>
                                  <w:tcBorders>
                                    <w:top w:val="single" w:sz="6" w:space="0" w:color="000000"/>
                                  </w:tcBorders>
                                  <w:tcMar>
                                    <w:top w:w="28" w:type="dxa"/>
                                    <w:left w:w="28" w:type="dxa"/>
                                    <w:bottom w:w="28" w:type="dxa"/>
                                    <w:right w:w="28" w:type="dxa"/>
                                  </w:tcMar>
                                </w:tcPr>
                                <w:p w:rsidR="00C12111" w:rsidRPr="00574F1B" w:rsidRDefault="00C12111">
                                  <w:pPr>
                                    <w:pStyle w:val="af6"/>
                                    <w:rPr>
                                      <w:b w:val="0"/>
                                      <w:bCs w:val="0"/>
                                      <w:vertAlign w:val="superscript"/>
                                    </w:rPr>
                                  </w:pPr>
                                  <w:r w:rsidRPr="00574F1B">
                                    <w:rPr>
                                      <w:b w:val="0"/>
                                      <w:bCs w:val="0"/>
                                    </w:rPr>
                                    <w:t>Upper panel: Categorical variables</w:t>
                                  </w:r>
                                  <w:r w:rsidRPr="00574F1B">
                                    <w:rPr>
                                      <w:b w:val="0"/>
                                      <w:bCs w:val="0"/>
                                      <w:vertAlign w:val="superscript"/>
                                    </w:rPr>
                                    <w:t>2</w:t>
                                  </w:r>
                                </w:p>
                                <w:p w:rsidR="00C12111" w:rsidRPr="00574F1B" w:rsidRDefault="00C12111">
                                  <w:pPr>
                                    <w:pStyle w:val="af6"/>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Sex</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86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62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Men</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vertAlign w:val="superscript"/>
                                    </w:rPr>
                                  </w:pPr>
                                  <w:r w:rsidRPr="00574F1B">
                                    <w:rPr>
                                      <w:b w:val="0"/>
                                      <w:bCs w:val="0"/>
                                    </w:rPr>
                                    <w:t xml:space="preserve"> 109 (78.4)</w:t>
                                  </w:r>
                                  <w:r w:rsidRPr="00574F1B">
                                    <w:rPr>
                                      <w:b w:val="0"/>
                                      <w:bCs w:val="0"/>
                                      <w:vertAlign w:val="superscript"/>
                                    </w:rPr>
                                    <w:t>1</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18 (69.2)</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91 (80.5)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0.289</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 xml:space="preserve">Women </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30 (21.6)</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8 (30.8)</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22 (19.5)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Etiology of cirrhosis</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86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62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0.005</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Alcoholic</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67 (48.2)</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10 (38.5)</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57 (50.4)</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HBV</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32 (23.0)</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5 (19.2)</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27 (23.9)</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HCV</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8 (5.8)</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8 (7.1)</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 xml:space="preserve">Alcoholic + viral </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11 (7.9)</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 (3.8)</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10 (8.8)</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 xml:space="preserve">Other  </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21 (15.1)</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10 (38.5)</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11 (9.7)</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 xml:space="preserve">EV </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86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62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None</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 (18.7)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 (100.0)</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SEV</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44 (31.7)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44 (38.9)</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MEV</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39 (28.1)</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39 (34.5)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LEV</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30 (21.6)</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30 (26.5)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lang w:val="en-GB"/>
                                    </w:rPr>
                                  </w:pPr>
                                  <w:r w:rsidRPr="00574F1B">
                                    <w:rPr>
                                      <w:b w:val="0"/>
                                      <w:bCs w:val="0"/>
                                      <w:lang w:val="en-GB"/>
                                    </w:rPr>
                                    <w:t>Red signs</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86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62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164"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rPr>
                                    <w:t xml:space="preserve">   </w:t>
                                  </w:r>
                                  <w:r w:rsidRPr="00574F1B">
                                    <w:rPr>
                                      <w:b w:val="0"/>
                                      <w:bCs w:val="0"/>
                                      <w:lang w:val="en-GB"/>
                                    </w:rPr>
                                    <w:t>0.034</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lang w:val="en-GB"/>
                                    </w:rPr>
                                  </w:pPr>
                                  <w:r w:rsidRPr="00574F1B">
                                    <w:rPr>
                                      <w:b w:val="0"/>
                                      <w:bCs w:val="0"/>
                                      <w:lang w:val="en-GB"/>
                                    </w:rPr>
                                    <w:t>Without varices</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26 (18.7)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22 (21.0)</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4 (11.8)</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lang w:val="en-GB"/>
                                    </w:rPr>
                                  </w:pPr>
                                  <w:r w:rsidRPr="00574F1B">
                                    <w:rPr>
                                      <w:b w:val="0"/>
                                      <w:bCs w:val="0"/>
                                      <w:lang w:val="en-GB"/>
                                    </w:rPr>
                                    <w:t>Yes</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19 (13.7)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10 (9.5)</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9 (26.5)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lang w:val="en-GB"/>
                                    </w:rPr>
                                  </w:pPr>
                                  <w:r w:rsidRPr="00574F1B">
                                    <w:rPr>
                                      <w:b w:val="0"/>
                                      <w:bCs w:val="0"/>
                                      <w:lang w:val="en-GB"/>
                                    </w:rPr>
                                    <w:t xml:space="preserve">No  </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94 (67.6)</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73 (69.5)</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21 (61.8)</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CTP</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86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62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0.047</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 xml:space="preserve">A (5-6) </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43 (30.9)</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13 (50.0)</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30 (26.5)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B (7-9)</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63 (45.3)</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10 (38.5)</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53 (46.9)</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 xml:space="preserve">C (10-15)   </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33 (23.7)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 (11.5)</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30 (26.5)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9548" w:type="dxa"/>
                                  <w:gridSpan w:val="5"/>
                                  <w:tcMar>
                                    <w:top w:w="28" w:type="dxa"/>
                                    <w:left w:w="28" w:type="dxa"/>
                                    <w:bottom w:w="28" w:type="dxa"/>
                                    <w:right w:w="28" w:type="dxa"/>
                                  </w:tcMar>
                                </w:tcPr>
                                <w:p w:rsidR="00C12111" w:rsidRPr="00574F1B" w:rsidRDefault="00C12111">
                                  <w:pPr>
                                    <w:pStyle w:val="af6"/>
                                    <w:rPr>
                                      <w:b w:val="0"/>
                                      <w:bCs w:val="0"/>
                                      <w:vertAlign w:val="superscript"/>
                                    </w:rPr>
                                  </w:pPr>
                                  <w:r w:rsidRPr="00574F1B">
                                    <w:rPr>
                                      <w:b w:val="0"/>
                                      <w:bCs w:val="0"/>
                                    </w:rPr>
                                    <w:t>Lower panel: Numerical variables</w:t>
                                  </w:r>
                                  <w:r w:rsidRPr="00574F1B">
                                    <w:rPr>
                                      <w:b w:val="0"/>
                                      <w:bCs w:val="0"/>
                                      <w:vertAlign w:val="superscript"/>
                                    </w:rPr>
                                    <w:t>3</w:t>
                                  </w:r>
                                </w:p>
                                <w:p w:rsidR="00C12111" w:rsidRPr="00574F1B" w:rsidRDefault="00C12111">
                                  <w:pPr>
                                    <w:pStyle w:val="af6"/>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Age (yr)</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51.5 ± 13.1</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47.6 ± 15.4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52.3 ± 12.4</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0.106</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 xml:space="preserve">Hemoglobin (mg/dL) </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11.8 ± 2.3</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11.6 ± 2.4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11.8 ± 2.3</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0.916</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Creatinine (mg/dL)</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0.89 ± 0.34</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0.89 ± 0.44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0.89 ± 0.31</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0.141</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AST (UI/L)</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107.6 ± 156.1</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153.5 ± 331.6</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97.0 ± 69.9</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0.412</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ALT (UI/L)</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73.1 ± 161.9</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125.5 ± 336.7</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61.0 ± 78.9</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0.742</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GGT (UI/L)</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264.9 ± 302.7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282.0 ± 389.7</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261.0 ± 280.9</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0.709</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 xml:space="preserve">Gama globulin (g/L) </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27.1 ± 10.3</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26.9 ± 15.3</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27.2 ± 8.8</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0.310</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INR</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1.65 ± 0.47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1.38 ± 0.34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1.71 ± 0.47</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&lt; 0.001</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 xml:space="preserve">Albumin </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3.19 ± 0.65</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3.27 ± 0.71 </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3.17 ± 0.64</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0.058</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FIB-4</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5.83 ± 5.33</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3.98 ± 3.06</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6.26 ± 5.64</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0.011</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 xml:space="preserve">Fibrosis index </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3.15 ± 1.30</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2.83 ± 1.08</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3.22 ± 1.33</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0.012</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 xml:space="preserve">King score </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82.9 ± 135.2</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66.5 ± 137.4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86.7 ± 135.1</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0.002</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APRI</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2.63 ± 3.79</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2.52 ± 4.74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2.66 ± 3.57</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0.014</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PL/SD</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1146 ± 780</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1395 ± 784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1089 ± 771</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0.028</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AST/ALT</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2.18 ± 1.62</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1.93 ± 1.47</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2.23 ± 1.66</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0.339</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MELD</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15.7 ± 5.2</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13.6 ± 4.8</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16.1 ± 5.2</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0.027</w:t>
                                  </w:r>
                                </w:p>
                                <w:p w:rsidR="00C12111" w:rsidRPr="00574F1B" w:rsidRDefault="00C12111">
                                  <w:pPr>
                                    <w:pStyle w:val="af6"/>
                                    <w:jc w:val="center"/>
                                    <w:rPr>
                                      <w:b w:val="0"/>
                                      <w:bCs w:val="0"/>
                                    </w:rPr>
                                  </w:pPr>
                                </w:p>
                              </w:tc>
                            </w:tr>
                          </w:tbl>
                          <w:p w:rsidR="00C12111" w:rsidRPr="00E02506" w:rsidRDefault="00C12111" w:rsidP="00C12111">
                            <w:pPr>
                              <w:pStyle w:val="af7"/>
                              <w:rPr>
                                <w:vertAlign w:val="superscript"/>
                              </w:rPr>
                            </w:pPr>
                            <w:proofErr w:type="gramStart"/>
                            <w:r w:rsidRPr="00574F1B">
                              <w:rPr>
                                <w:b w:val="0"/>
                                <w:bCs w:val="0"/>
                                <w:vertAlign w:val="superscript"/>
                              </w:rPr>
                              <w:t>1</w:t>
                            </w:r>
                            <w:r w:rsidRPr="00574F1B">
                              <w:rPr>
                                <w:b w:val="0"/>
                                <w:bCs w:val="0"/>
                              </w:rPr>
                              <w:t xml:space="preserve">Absolute numbers and </w:t>
                            </w:r>
                            <w:r w:rsidRPr="00574F1B">
                              <w:rPr>
                                <w:b w:val="0"/>
                                <w:bCs w:val="0"/>
                                <w:i/>
                                <w:iCs/>
                              </w:rPr>
                              <w:t>column</w:t>
                            </w:r>
                            <w:r w:rsidRPr="00574F1B">
                              <w:rPr>
                                <w:b w:val="0"/>
                                <w:bCs w:val="0"/>
                              </w:rPr>
                              <w:t xml:space="preserve"> percentages (in parentheses); </w:t>
                            </w:r>
                            <w:r w:rsidRPr="00574F1B">
                              <w:rPr>
                                <w:b w:val="0"/>
                                <w:bCs w:val="0"/>
                                <w:vertAlign w:val="superscript"/>
                              </w:rPr>
                              <w:t>2</w:t>
                            </w:r>
                            <w:r w:rsidRPr="00574F1B">
                              <w:rPr>
                                <w:b w:val="0"/>
                                <w:bCs w:val="0"/>
                                <w:i/>
                                <w:iCs/>
                              </w:rPr>
                              <w:t>P</w:t>
                            </w:r>
                            <w:r w:rsidRPr="00574F1B">
                              <w:rPr>
                                <w:b w:val="0"/>
                                <w:bCs w:val="0"/>
                              </w:rPr>
                              <w:t xml:space="preserve"> values from Fisher’s exact test; </w:t>
                            </w:r>
                            <w:r w:rsidRPr="00574F1B">
                              <w:rPr>
                                <w:b w:val="0"/>
                                <w:bCs w:val="0"/>
                                <w:vertAlign w:val="superscript"/>
                              </w:rPr>
                              <w:t>3</w:t>
                            </w:r>
                            <w:r w:rsidRPr="00574F1B">
                              <w:rPr>
                                <w:b w:val="0"/>
                                <w:bCs w:val="0"/>
                                <w:i/>
                                <w:iCs/>
                              </w:rPr>
                              <w:t>P</w:t>
                            </w:r>
                            <w:r w:rsidRPr="00574F1B">
                              <w:rPr>
                                <w:b w:val="0"/>
                                <w:bCs w:val="0"/>
                              </w:rPr>
                              <w:t xml:space="preserve"> values from Mann-Whitney’s </w:t>
                            </w:r>
                            <w:r w:rsidRPr="00574F1B">
                              <w:rPr>
                                <w:b w:val="0"/>
                                <w:bCs w:val="0"/>
                                <w:i/>
                                <w:iCs/>
                              </w:rPr>
                              <w:t>U</w:t>
                            </w:r>
                            <w:r w:rsidRPr="00574F1B">
                              <w:rPr>
                                <w:b w:val="0"/>
                                <w:bCs w:val="0"/>
                              </w:rPr>
                              <w:t>-test.</w:t>
                            </w:r>
                            <w:proofErr w:type="gramEnd"/>
                            <w:r w:rsidRPr="00574F1B">
                              <w:rPr>
                                <w:b w:val="0"/>
                                <w:bCs w:val="0"/>
                              </w:rPr>
                              <w:t xml:space="preserve"> AST/ALT: Aspartate aminotransferase (AST) to alanine aminotransferase (ALT) ratio; APRI: AST to platelet ratio index; CTP: Child-Turcotte-Pugh score; EV: Esophageal varices; FIB-4: Fibrosis-4-index; GGT: Gamma glutamyltranspeptidase; HBV: Hepatitis B virus; HCV: Hepatitis C virus; INR: International normalized ratio; LEV: Large esophageal varices; MEV: Medium esophageal varices; MELD: Model for end-stage liver disease; PC/SD: Platelet count to spleen diameter; SEV: Small esophageal varices.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420.75pt;height:1528.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">
                <v:textbox style="mso-fit-shape-to-text:t">
                  <w:txbxContent>
                    <w:p w:rsidR="00C12111" w:rsidRPr="00574F1B" w:rsidRDefault="00C12111" w:rsidP="00C12111">
                      <w:pPr>
                        <w:rPr>
                          <w:b/>
                          <w:bCs/>
                        </w:rPr>
                      </w:pPr>
                      <w:r w:rsidRPr="00574F1B">
                        <w:rPr>
                          <w:b/>
                          <w:bCs/>
                        </w:rPr>
                        <w:t xml:space="preserve">Table </w:t>
                      </w:r>
                      <w:proofErr w:type="gramStart"/>
                      <w:r w:rsidRPr="00574F1B">
                        <w:rPr>
                          <w:b/>
                          <w:bCs/>
                        </w:rPr>
                        <w:t>1  Distribution</w:t>
                      </w:r>
                      <w:proofErr w:type="gramEnd"/>
                      <w:r w:rsidRPr="00574F1B">
                        <w:rPr>
                          <w:b/>
                          <w:bCs/>
                        </w:rPr>
                        <w:t xml:space="preserve"> of baseline characteristics by esophageal variceal status</w:t>
                      </w:r>
                    </w:p>
                    <w:tbl>
                      <w:tblPr>
                        <w:tblW w:w="954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030"/>
                        <w:gridCol w:w="1872"/>
                        <w:gridCol w:w="1861"/>
                        <w:gridCol w:w="1621"/>
                        <w:gridCol w:w="1164"/>
                      </w:tblGrid>
                      <w:tr w:rsidR="00C12111" w:rsidRPr="00574F1B" w:rsidTr="00574F1B">
                        <w:trPr>
                          <w:trHeight w:hRule="exact" w:val="966"/>
                        </w:trPr>
                        <w:tc>
                          <w:tcPr>
                            <w:tcW w:w="3030" w:type="dxa"/>
                            <w:tcBorders>
                              <w:top w:val="single" w:sz="6" w:space="0" w:color="000000"/>
                              <w:bottom w:val="single" w:sz="6" w:space="0" w:color="000000"/>
                            </w:tcBorders>
                            <w:tcMar>
                              <w:top w:w="28" w:type="dxa"/>
                              <w:left w:w="28" w:type="dxa"/>
                              <w:bottom w:w="28" w:type="dxa"/>
                              <w:right w:w="28" w:type="dxa"/>
                            </w:tcMar>
                          </w:tcPr>
                          <w:p w:rsidR="00C12111" w:rsidRPr="00574F1B" w:rsidRDefault="00C12111">
                            <w:pPr>
                              <w:pStyle w:val="af5"/>
                            </w:pPr>
                            <w:r w:rsidRPr="00574F1B">
                              <w:t>Variable</w:t>
                            </w:r>
                          </w:p>
                          <w:p w:rsidR="00C12111" w:rsidRPr="00574F1B" w:rsidRDefault="00C12111">
                            <w:pPr>
                              <w:pStyle w:val="af5"/>
                            </w:pPr>
                          </w:p>
                        </w:tc>
                        <w:tc>
                          <w:tcPr>
                            <w:tcW w:w="1872" w:type="dxa"/>
                            <w:tcBorders>
                              <w:top w:val="single" w:sz="6" w:space="0" w:color="000000"/>
                              <w:bottom w:val="single" w:sz="6" w:space="0" w:color="000000"/>
                            </w:tcBorders>
                            <w:tcMar>
                              <w:top w:w="28" w:type="dxa"/>
                              <w:left w:w="28" w:type="dxa"/>
                              <w:bottom w:w="28" w:type="dxa"/>
                              <w:right w:w="28" w:type="dxa"/>
                            </w:tcMar>
                          </w:tcPr>
                          <w:p w:rsidR="00C12111" w:rsidRPr="00574F1B" w:rsidRDefault="00C12111">
                            <w:pPr>
                              <w:pStyle w:val="af5"/>
                              <w:jc w:val="center"/>
                            </w:pPr>
                            <w:r w:rsidRPr="00574F1B">
                              <w:t>Total (</w:t>
                            </w:r>
                            <w:r w:rsidRPr="00574F1B">
                              <w:rPr>
                                <w:rFonts w:ascii="Albertus Bold Italic" w:hAnsi="Albertus Bold Italic" w:cs="Albertus Bold Italic"/>
                                <w:i/>
                                <w:iCs/>
                              </w:rPr>
                              <w:t>n</w:t>
                            </w:r>
                            <w:r w:rsidRPr="00574F1B">
                              <w:t xml:space="preserve"> = 139)</w:t>
                            </w:r>
                          </w:p>
                          <w:p w:rsidR="00C12111" w:rsidRPr="00574F1B" w:rsidRDefault="00C12111">
                            <w:pPr>
                              <w:pStyle w:val="af5"/>
                              <w:jc w:val="center"/>
                            </w:pPr>
                          </w:p>
                        </w:tc>
                        <w:tc>
                          <w:tcPr>
                            <w:tcW w:w="1861" w:type="dxa"/>
                            <w:tcBorders>
                              <w:top w:val="single" w:sz="6" w:space="0" w:color="000000"/>
                              <w:bottom w:val="single" w:sz="6" w:space="0" w:color="000000"/>
                            </w:tcBorders>
                            <w:tcMar>
                              <w:top w:w="28" w:type="dxa"/>
                              <w:left w:w="28" w:type="dxa"/>
                              <w:bottom w:w="28" w:type="dxa"/>
                              <w:right w:w="28" w:type="dxa"/>
                            </w:tcMar>
                          </w:tcPr>
                          <w:p w:rsidR="00C12111" w:rsidRPr="00574F1B" w:rsidRDefault="00C12111">
                            <w:pPr>
                              <w:pStyle w:val="af5"/>
                              <w:jc w:val="center"/>
                            </w:pPr>
                            <w:r w:rsidRPr="00574F1B">
                              <w:t>Without EV (</w:t>
                            </w:r>
                            <w:r w:rsidRPr="00574F1B">
                              <w:rPr>
                                <w:rFonts w:ascii="Albertus Bold Italic" w:hAnsi="Albertus Bold Italic" w:cs="Albertus Bold Italic"/>
                                <w:i/>
                                <w:iCs/>
                              </w:rPr>
                              <w:t>n</w:t>
                            </w:r>
                            <w:r w:rsidRPr="00574F1B">
                              <w:t xml:space="preserve"> = 26)</w:t>
                            </w:r>
                          </w:p>
                          <w:p w:rsidR="00C12111" w:rsidRPr="00574F1B" w:rsidRDefault="00C12111">
                            <w:pPr>
                              <w:pStyle w:val="af5"/>
                              <w:jc w:val="center"/>
                            </w:pPr>
                          </w:p>
                        </w:tc>
                        <w:tc>
                          <w:tcPr>
                            <w:tcW w:w="1621" w:type="dxa"/>
                            <w:tcBorders>
                              <w:top w:val="single" w:sz="6" w:space="0" w:color="000000"/>
                              <w:bottom w:val="single" w:sz="6" w:space="0" w:color="000000"/>
                            </w:tcBorders>
                            <w:tcMar>
                              <w:top w:w="28" w:type="dxa"/>
                              <w:left w:w="28" w:type="dxa"/>
                              <w:bottom w:w="28" w:type="dxa"/>
                              <w:right w:w="28" w:type="dxa"/>
                            </w:tcMar>
                          </w:tcPr>
                          <w:p w:rsidR="00C12111" w:rsidRPr="00574F1B" w:rsidRDefault="00C12111">
                            <w:pPr>
                              <w:pStyle w:val="af5"/>
                              <w:jc w:val="center"/>
                            </w:pPr>
                            <w:r w:rsidRPr="00574F1B">
                              <w:rPr>
                                <w:lang w:val="en-GB"/>
                              </w:rPr>
                              <w:t xml:space="preserve">With EV </w:t>
                            </w:r>
                            <w:r w:rsidRPr="00574F1B">
                              <w:t>(</w:t>
                            </w:r>
                            <w:r w:rsidRPr="00574F1B">
                              <w:rPr>
                                <w:rFonts w:ascii="Albertus Bold Italic" w:hAnsi="Albertus Bold Italic" w:cs="Albertus Bold Italic"/>
                                <w:i/>
                                <w:iCs/>
                              </w:rPr>
                              <w:t>n</w:t>
                            </w:r>
                            <w:r w:rsidRPr="00574F1B">
                              <w:t xml:space="preserve"> = 113)</w:t>
                            </w:r>
                          </w:p>
                          <w:p w:rsidR="00C12111" w:rsidRPr="00574F1B" w:rsidRDefault="00C12111">
                            <w:pPr>
                              <w:pStyle w:val="af5"/>
                              <w:jc w:val="center"/>
                            </w:pPr>
                          </w:p>
                        </w:tc>
                        <w:tc>
                          <w:tcPr>
                            <w:tcW w:w="1164" w:type="dxa"/>
                            <w:tcBorders>
                              <w:top w:val="single" w:sz="6" w:space="0" w:color="000000"/>
                              <w:bottom w:val="single" w:sz="6" w:space="0" w:color="000000"/>
                            </w:tcBorders>
                            <w:tcMar>
                              <w:top w:w="28" w:type="dxa"/>
                              <w:left w:w="28" w:type="dxa"/>
                              <w:bottom w:w="28" w:type="dxa"/>
                              <w:right w:w="28" w:type="dxa"/>
                            </w:tcMar>
                          </w:tcPr>
                          <w:p w:rsidR="00C12111" w:rsidRPr="00574F1B" w:rsidRDefault="00C12111">
                            <w:pPr>
                              <w:pStyle w:val="af5"/>
                              <w:jc w:val="center"/>
                              <w:rPr>
                                <w:vertAlign w:val="superscript"/>
                              </w:rPr>
                            </w:pPr>
                            <w:r w:rsidRPr="00574F1B">
                              <w:rPr>
                                <w:rFonts w:ascii="Albertus Bold Italic" w:hAnsi="Albertus Bold Italic" w:cs="Albertus Bold Italic"/>
                                <w:i/>
                                <w:iCs/>
                              </w:rPr>
                              <w:t>P</w:t>
                            </w:r>
                            <w:r w:rsidRPr="00574F1B">
                              <w:t xml:space="preserve"> value</w:t>
                            </w:r>
                            <w:r w:rsidRPr="00574F1B">
                              <w:rPr>
                                <w:vertAlign w:val="superscript"/>
                              </w:rPr>
                              <w:t xml:space="preserve"> </w:t>
                            </w:r>
                          </w:p>
                          <w:p w:rsidR="00C12111" w:rsidRPr="00574F1B" w:rsidRDefault="00C12111">
                            <w:pPr>
                              <w:pStyle w:val="af5"/>
                              <w:jc w:val="center"/>
                            </w:pPr>
                          </w:p>
                        </w:tc>
                      </w:tr>
                      <w:tr w:rsidR="00C12111" w:rsidRPr="00574F1B" w:rsidTr="00574F1B">
                        <w:trPr>
                          <w:trHeight w:val="60"/>
                        </w:trPr>
                        <w:tc>
                          <w:tcPr>
                            <w:tcW w:w="9548" w:type="dxa"/>
                            <w:gridSpan w:val="5"/>
                            <w:tcBorders>
                              <w:top w:val="single" w:sz="6" w:space="0" w:color="000000"/>
                            </w:tcBorders>
                            <w:tcMar>
                              <w:top w:w="28" w:type="dxa"/>
                              <w:left w:w="28" w:type="dxa"/>
                              <w:bottom w:w="28" w:type="dxa"/>
                              <w:right w:w="28" w:type="dxa"/>
                            </w:tcMar>
                          </w:tcPr>
                          <w:p w:rsidR="00C12111" w:rsidRPr="00574F1B" w:rsidRDefault="00C12111">
                            <w:pPr>
                              <w:pStyle w:val="af6"/>
                              <w:rPr>
                                <w:b w:val="0"/>
                                <w:bCs w:val="0"/>
                                <w:vertAlign w:val="superscript"/>
                              </w:rPr>
                            </w:pPr>
                            <w:r w:rsidRPr="00574F1B">
                              <w:rPr>
                                <w:b w:val="0"/>
                                <w:bCs w:val="0"/>
                              </w:rPr>
                              <w:t>Upper panel: Categorical variables</w:t>
                            </w:r>
                            <w:r w:rsidRPr="00574F1B">
                              <w:rPr>
                                <w:b w:val="0"/>
                                <w:bCs w:val="0"/>
                                <w:vertAlign w:val="superscript"/>
                              </w:rPr>
                              <w:t>2</w:t>
                            </w:r>
                          </w:p>
                          <w:p w:rsidR="00C12111" w:rsidRPr="00574F1B" w:rsidRDefault="00C12111">
                            <w:pPr>
                              <w:pStyle w:val="af6"/>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Sex</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86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62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Men</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vertAlign w:val="superscript"/>
                              </w:rPr>
                            </w:pPr>
                            <w:r w:rsidRPr="00574F1B">
                              <w:rPr>
                                <w:b w:val="0"/>
                                <w:bCs w:val="0"/>
                              </w:rPr>
                              <w:t xml:space="preserve"> 109 (78.4)</w:t>
                            </w:r>
                            <w:r w:rsidRPr="00574F1B">
                              <w:rPr>
                                <w:b w:val="0"/>
                                <w:bCs w:val="0"/>
                                <w:vertAlign w:val="superscript"/>
                              </w:rPr>
                              <w:t>1</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18 (69.2)</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91 (80.5)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0.289</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 xml:space="preserve">Women </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30 (21.6)</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8 (30.8)</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22 (19.5)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Etiology of cirrhosis</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86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62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0.005</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Alcoholic</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67 (48.2)</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10 (38.5)</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57 (50.4)</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HBV</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32 (23.0)</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5 (19.2)</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27 (23.9)</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HCV</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8 (5.8)</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8 (7.1)</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 xml:space="preserve">Alcoholic + viral </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11 (7.9)</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 (3.8)</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10 (8.8)</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 xml:space="preserve">Other  </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21 (15.1)</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10 (38.5)</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11 (9.7)</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 xml:space="preserve">EV </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86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62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None</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 (18.7)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 (100.0)</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SEV</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44 (31.7)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44 (38.9)</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MEV</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39 (28.1)</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39 (34.5)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LEV</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30 (21.6)</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30 (26.5)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lang w:val="en-GB"/>
                              </w:rPr>
                            </w:pPr>
                            <w:r w:rsidRPr="00574F1B">
                              <w:rPr>
                                <w:b w:val="0"/>
                                <w:bCs w:val="0"/>
                                <w:lang w:val="en-GB"/>
                              </w:rPr>
                              <w:t>Red signs</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86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62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164"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rPr>
                              <w:t xml:space="preserve">   </w:t>
                            </w:r>
                            <w:r w:rsidRPr="00574F1B">
                              <w:rPr>
                                <w:b w:val="0"/>
                                <w:bCs w:val="0"/>
                                <w:lang w:val="en-GB"/>
                              </w:rPr>
                              <w:t>0.034</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lang w:val="en-GB"/>
                              </w:rPr>
                            </w:pPr>
                            <w:r w:rsidRPr="00574F1B">
                              <w:rPr>
                                <w:b w:val="0"/>
                                <w:bCs w:val="0"/>
                                <w:lang w:val="en-GB"/>
                              </w:rPr>
                              <w:t>Without varices</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26 (18.7)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22 (21.0)</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4 (11.8)</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lang w:val="en-GB"/>
                              </w:rPr>
                            </w:pPr>
                            <w:r w:rsidRPr="00574F1B">
                              <w:rPr>
                                <w:b w:val="0"/>
                                <w:bCs w:val="0"/>
                                <w:lang w:val="en-GB"/>
                              </w:rPr>
                              <w:t>Yes</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19 (13.7)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10 (9.5)</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9 (26.5)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lang w:val="en-GB"/>
                              </w:rPr>
                            </w:pPr>
                            <w:r w:rsidRPr="00574F1B">
                              <w:rPr>
                                <w:b w:val="0"/>
                                <w:bCs w:val="0"/>
                                <w:lang w:val="en-GB"/>
                              </w:rPr>
                              <w:t xml:space="preserve">No  </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94 (67.6)</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73 (69.5)</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lang w:val="en-GB"/>
                              </w:rPr>
                            </w:pPr>
                            <w:r w:rsidRPr="00574F1B">
                              <w:rPr>
                                <w:b w:val="0"/>
                                <w:bCs w:val="0"/>
                                <w:lang w:val="en-GB"/>
                              </w:rPr>
                              <w:t xml:space="preserve">  21 (61.8)</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CTP</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86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621"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0.047</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 xml:space="preserve">A (5-6) </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43 (30.9)</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13 (50.0)</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30 (26.5)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B (7-9)</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63 (45.3)</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10 (38.5)</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53 (46.9)</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227"/>
                              <w:rPr>
                                <w:b w:val="0"/>
                                <w:bCs w:val="0"/>
                              </w:rPr>
                            </w:pPr>
                            <w:r w:rsidRPr="00574F1B">
                              <w:rPr>
                                <w:b w:val="0"/>
                                <w:bCs w:val="0"/>
                              </w:rPr>
                              <w:t xml:space="preserve">C (10-15)   </w:t>
                            </w:r>
                          </w:p>
                          <w:p w:rsidR="00C12111" w:rsidRPr="00574F1B" w:rsidRDefault="00C12111">
                            <w:pPr>
                              <w:pStyle w:val="af6"/>
                              <w:ind w:left="227"/>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33 (23.7)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 (11.5)</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30 (26.5)</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Noparagraphstyle"/>
                              <w:spacing w:line="240" w:lineRule="auto"/>
                              <w:jc w:val="left"/>
                              <w:textAlignment w:val="auto"/>
                              <w:rPr>
                                <w:color w:val="auto"/>
                                <w:lang w:val="en-US"/>
                              </w:rPr>
                            </w:pPr>
                          </w:p>
                        </w:tc>
                      </w:tr>
                      <w:tr w:rsidR="00C12111" w:rsidRPr="00574F1B" w:rsidTr="00574F1B">
                        <w:trPr>
                          <w:trHeight w:val="60"/>
                        </w:trPr>
                        <w:tc>
                          <w:tcPr>
                            <w:tcW w:w="9548" w:type="dxa"/>
                            <w:gridSpan w:val="5"/>
                            <w:tcMar>
                              <w:top w:w="28" w:type="dxa"/>
                              <w:left w:w="28" w:type="dxa"/>
                              <w:bottom w:w="28" w:type="dxa"/>
                              <w:right w:w="28" w:type="dxa"/>
                            </w:tcMar>
                          </w:tcPr>
                          <w:p w:rsidR="00C12111" w:rsidRPr="00574F1B" w:rsidRDefault="00C12111">
                            <w:pPr>
                              <w:pStyle w:val="af6"/>
                              <w:rPr>
                                <w:b w:val="0"/>
                                <w:bCs w:val="0"/>
                                <w:vertAlign w:val="superscript"/>
                              </w:rPr>
                            </w:pPr>
                            <w:r w:rsidRPr="00574F1B">
                              <w:rPr>
                                <w:b w:val="0"/>
                                <w:bCs w:val="0"/>
                              </w:rPr>
                              <w:t>Lower panel: Numerical variables</w:t>
                            </w:r>
                            <w:r w:rsidRPr="00574F1B">
                              <w:rPr>
                                <w:b w:val="0"/>
                                <w:bCs w:val="0"/>
                                <w:vertAlign w:val="superscript"/>
                              </w:rPr>
                              <w:t>3</w:t>
                            </w:r>
                          </w:p>
                          <w:p w:rsidR="00C12111" w:rsidRPr="00574F1B" w:rsidRDefault="00C12111">
                            <w:pPr>
                              <w:pStyle w:val="af6"/>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Age (yr)</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51.5 ± 13.1</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47.6 ± 15.4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52.3 ± 12.4</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0.106</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 xml:space="preserve">Hemoglobin (mg/dL) </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11.8 ± 2.3</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11.6 ± 2.4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11.8 ± 2.3</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0.916</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Creatinine (mg/dL)</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0.89 ± 0.34</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0.89 ± 0.44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0.89 ± 0.31</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0.141</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AST (UI/L)</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107.6 ± 156.1</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153.5 ± 331.6</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97.0 ± 69.9</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0.412</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ALT (UI/L)</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73.1 ± 161.9</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125.5 ± 336.7</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61.0 ± 78.9</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0.742</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GGT (UI/L)</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264.9 ± 302.7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282.0 ± 389.7</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261.0 ± 280.9</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0.709</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 xml:space="preserve">Gama globulin (g/L) </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27.1 ± 10.3</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26.9 ± 15.3</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27.2 ± 8.8</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0.310</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INR</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1.65 ± 0.47</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1.38 ± 0.34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1.71 ± 0.47</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&lt; 0.001</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 xml:space="preserve">Albumin </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3.19 ± 0.65</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3.27 ± 0.71 </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3.17 ± 0.64</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0.058</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FIB-4</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5.83 ± 5.33</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3.98 ± 3.06</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6.26 ± 5.64</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0.011</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 xml:space="preserve">Fibrosis index </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3.15 ± 1.30</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2.83 ± 1.08</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3.22 ± 1.33</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0.012</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 xml:space="preserve">King score </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82.9 ± 135.2</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66.5 ± 137.4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86.7 ± 135.1</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0.002</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APRI</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2.63 ± 3.79</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2.52 ± 4.74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2.66 ± 3.57</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0.014</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PL/SD</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1146 ± 780</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1395 ± 784</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1089 ± 771</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0.028</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AST/ALT</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2.18 ± 1.62</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1.93 ± 1.47</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2.23 ± 1.66</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0.339</w:t>
                            </w:r>
                          </w:p>
                          <w:p w:rsidR="00C12111" w:rsidRPr="00574F1B" w:rsidRDefault="00C12111">
                            <w:pPr>
                              <w:pStyle w:val="af6"/>
                              <w:jc w:val="center"/>
                              <w:rPr>
                                <w:b w:val="0"/>
                                <w:bCs w:val="0"/>
                              </w:rPr>
                            </w:pPr>
                          </w:p>
                        </w:tc>
                      </w:tr>
                      <w:tr w:rsidR="00C12111" w:rsidRPr="00574F1B" w:rsidTr="00574F1B">
                        <w:trPr>
                          <w:trHeight w:val="60"/>
                        </w:trPr>
                        <w:tc>
                          <w:tcPr>
                            <w:tcW w:w="3030" w:type="dxa"/>
                            <w:tcMar>
                              <w:top w:w="28" w:type="dxa"/>
                              <w:left w:w="28" w:type="dxa"/>
                              <w:bottom w:w="28" w:type="dxa"/>
                              <w:right w:w="28" w:type="dxa"/>
                            </w:tcMar>
                          </w:tcPr>
                          <w:p w:rsidR="00C12111" w:rsidRPr="00574F1B" w:rsidRDefault="00C12111">
                            <w:pPr>
                              <w:pStyle w:val="af6"/>
                              <w:ind w:left="113"/>
                              <w:rPr>
                                <w:b w:val="0"/>
                                <w:bCs w:val="0"/>
                              </w:rPr>
                            </w:pPr>
                            <w:r w:rsidRPr="00574F1B">
                              <w:rPr>
                                <w:b w:val="0"/>
                                <w:bCs w:val="0"/>
                              </w:rPr>
                              <w:t>MELD</w:t>
                            </w:r>
                          </w:p>
                          <w:p w:rsidR="00C12111" w:rsidRPr="00574F1B" w:rsidRDefault="00C12111">
                            <w:pPr>
                              <w:pStyle w:val="af6"/>
                              <w:ind w:left="113"/>
                              <w:rPr>
                                <w:b w:val="0"/>
                                <w:bCs w:val="0"/>
                              </w:rPr>
                            </w:pPr>
                          </w:p>
                        </w:tc>
                        <w:tc>
                          <w:tcPr>
                            <w:tcW w:w="1872"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15.7 ± 5.2</w:t>
                            </w:r>
                          </w:p>
                          <w:p w:rsidR="00C12111" w:rsidRPr="00574F1B" w:rsidRDefault="00C12111">
                            <w:pPr>
                              <w:pStyle w:val="af6"/>
                              <w:jc w:val="center"/>
                              <w:rPr>
                                <w:b w:val="0"/>
                                <w:bCs w:val="0"/>
                              </w:rPr>
                            </w:pPr>
                          </w:p>
                        </w:tc>
                        <w:tc>
                          <w:tcPr>
                            <w:tcW w:w="186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13.6 ± 4.8</w:t>
                            </w:r>
                          </w:p>
                          <w:p w:rsidR="00C12111" w:rsidRPr="00574F1B" w:rsidRDefault="00C12111">
                            <w:pPr>
                              <w:pStyle w:val="af6"/>
                              <w:jc w:val="center"/>
                              <w:rPr>
                                <w:b w:val="0"/>
                                <w:bCs w:val="0"/>
                              </w:rPr>
                            </w:pPr>
                          </w:p>
                        </w:tc>
                        <w:tc>
                          <w:tcPr>
                            <w:tcW w:w="1621"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16.1 ± 5.2</w:t>
                            </w:r>
                          </w:p>
                          <w:p w:rsidR="00C12111" w:rsidRPr="00574F1B" w:rsidRDefault="00C12111">
                            <w:pPr>
                              <w:pStyle w:val="af6"/>
                              <w:jc w:val="center"/>
                              <w:rPr>
                                <w:b w:val="0"/>
                                <w:bCs w:val="0"/>
                              </w:rPr>
                            </w:pPr>
                          </w:p>
                        </w:tc>
                        <w:tc>
                          <w:tcPr>
                            <w:tcW w:w="1164" w:type="dxa"/>
                            <w:tcMar>
                              <w:top w:w="28" w:type="dxa"/>
                              <w:left w:w="28" w:type="dxa"/>
                              <w:bottom w:w="28" w:type="dxa"/>
                              <w:right w:w="28" w:type="dxa"/>
                            </w:tcMar>
                          </w:tcPr>
                          <w:p w:rsidR="00C12111" w:rsidRPr="00574F1B" w:rsidRDefault="00C12111">
                            <w:pPr>
                              <w:pStyle w:val="af6"/>
                              <w:jc w:val="center"/>
                              <w:rPr>
                                <w:b w:val="0"/>
                                <w:bCs w:val="0"/>
                              </w:rPr>
                            </w:pPr>
                            <w:r w:rsidRPr="00574F1B">
                              <w:rPr>
                                <w:b w:val="0"/>
                                <w:bCs w:val="0"/>
                              </w:rPr>
                              <w:t xml:space="preserve">   0.027</w:t>
                            </w:r>
                          </w:p>
                          <w:p w:rsidR="00C12111" w:rsidRPr="00574F1B" w:rsidRDefault="00C12111">
                            <w:pPr>
                              <w:pStyle w:val="af6"/>
                              <w:jc w:val="center"/>
                              <w:rPr>
                                <w:b w:val="0"/>
                                <w:bCs w:val="0"/>
                              </w:rPr>
                            </w:pPr>
                          </w:p>
                        </w:tc>
                      </w:tr>
                    </w:tbl>
                    <w:p w:rsidR="00C12111" w:rsidRPr="00E02506" w:rsidRDefault="00C12111" w:rsidP="00C12111">
                      <w:pPr>
                        <w:pStyle w:val="af7"/>
                        <w:rPr>
                          <w:vertAlign w:val="superscript"/>
                        </w:rPr>
                      </w:pPr>
                      <w:proofErr w:type="gramStart"/>
                      <w:r w:rsidRPr="00574F1B">
                        <w:rPr>
                          <w:b w:val="0"/>
                          <w:bCs w:val="0"/>
                          <w:vertAlign w:val="superscript"/>
                        </w:rPr>
                        <w:t>1</w:t>
                      </w:r>
                      <w:r w:rsidRPr="00574F1B">
                        <w:rPr>
                          <w:b w:val="0"/>
                          <w:bCs w:val="0"/>
                        </w:rPr>
                        <w:t xml:space="preserve">Absolute numbers and </w:t>
                      </w:r>
                      <w:r w:rsidRPr="00574F1B">
                        <w:rPr>
                          <w:b w:val="0"/>
                          <w:bCs w:val="0"/>
                          <w:i/>
                          <w:iCs/>
                        </w:rPr>
                        <w:t>column</w:t>
                      </w:r>
                      <w:r w:rsidRPr="00574F1B">
                        <w:rPr>
                          <w:b w:val="0"/>
                          <w:bCs w:val="0"/>
                        </w:rPr>
                        <w:t xml:space="preserve"> percentages (in parentheses); </w:t>
                      </w:r>
                      <w:r w:rsidRPr="00574F1B">
                        <w:rPr>
                          <w:b w:val="0"/>
                          <w:bCs w:val="0"/>
                          <w:vertAlign w:val="superscript"/>
                        </w:rPr>
                        <w:t>2</w:t>
                      </w:r>
                      <w:r w:rsidRPr="00574F1B">
                        <w:rPr>
                          <w:b w:val="0"/>
                          <w:bCs w:val="0"/>
                          <w:i/>
                          <w:iCs/>
                        </w:rPr>
                        <w:t>P</w:t>
                      </w:r>
                      <w:r w:rsidRPr="00574F1B">
                        <w:rPr>
                          <w:b w:val="0"/>
                          <w:bCs w:val="0"/>
                        </w:rPr>
                        <w:t xml:space="preserve"> values from Fisher’s exact test; </w:t>
                      </w:r>
                      <w:r w:rsidRPr="00574F1B">
                        <w:rPr>
                          <w:b w:val="0"/>
                          <w:bCs w:val="0"/>
                          <w:vertAlign w:val="superscript"/>
                        </w:rPr>
                        <w:t>3</w:t>
                      </w:r>
                      <w:r w:rsidRPr="00574F1B">
                        <w:rPr>
                          <w:b w:val="0"/>
                          <w:bCs w:val="0"/>
                          <w:i/>
                          <w:iCs/>
                        </w:rPr>
                        <w:t>P</w:t>
                      </w:r>
                      <w:r w:rsidRPr="00574F1B">
                        <w:rPr>
                          <w:b w:val="0"/>
                          <w:bCs w:val="0"/>
                        </w:rPr>
                        <w:t xml:space="preserve"> values from Mann-Whitney’s </w:t>
                      </w:r>
                      <w:r w:rsidRPr="00574F1B">
                        <w:rPr>
                          <w:b w:val="0"/>
                          <w:bCs w:val="0"/>
                          <w:i/>
                          <w:iCs/>
                        </w:rPr>
                        <w:t>U</w:t>
                      </w:r>
                      <w:r w:rsidRPr="00574F1B">
                        <w:rPr>
                          <w:b w:val="0"/>
                          <w:bCs w:val="0"/>
                        </w:rPr>
                        <w:t>-test.</w:t>
                      </w:r>
                      <w:proofErr w:type="gramEnd"/>
                      <w:r w:rsidRPr="00574F1B">
                        <w:rPr>
                          <w:b w:val="0"/>
                          <w:bCs w:val="0"/>
                        </w:rPr>
                        <w:t xml:space="preserve"> AST/ALT: Aspartate aminotransferase (AST) to alanine aminotransferase (ALT) ratio; APRI: AST to platelet ratio index; CTP: Child-Turcotte-Pugh score; EV: Esophageal varices; FIB-4: Fibrosis-4-index; GGT: Gamma glutamyltranspeptidase; HBV: Hepatitis B virus; HCV: Hepatitis C virus; INR: International normalized ratio; LEV: Large esophageal varices; MEV: Medium esophageal varices; MELD: Model for end-stage liver disease; PC/SD: Platelet count to spleen diameter; SEV: Small esophageal varices.</w:t>
                      </w:r>
                    </w:p>
                  </w:txbxContent>
                </v:textbox>
                <w10:wrap type="square"/>
              </v:shape>
            </w:pict>
          </mc:Fallback>
        </mc:AlternateContent>
      </w:r>
    </w:p>
    <w:p w:rsidR="00C12111" w:rsidRDefault="00C12111" w:rsidP="00C12111">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43525" cy="6139180"/>
                <wp:effectExtent l="8255" t="9525" r="10795" b="1397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139180"/>
                        </a:xfrm>
                        <a:prstGeom prst="rect">
                          <a:avLst/>
                        </a:prstGeom>
                        <a:solidFill>
                          <a:srgbClr val="FFFFFF"/>
                        </a:solidFill>
                        <a:ln w="9525">
                          <a:solidFill>
                            <a:srgbClr val="000000"/>
                          </a:solidFill>
                          <a:miter lim="800000"/>
                          <a:headEnd/>
                          <a:tailEnd/>
                        </a:ln>
                      </wps:spPr>
                      <wps:txbx>
                        <w:txbxContent>
                          <w:p w:rsidR="00C12111" w:rsidRPr="00574F1B" w:rsidRDefault="00C12111" w:rsidP="00C12111">
                            <w:pPr>
                              <w:rPr>
                                <w:b/>
                                <w:bCs/>
                              </w:rPr>
                            </w:pPr>
                            <w:r w:rsidRPr="00574F1B">
                              <w:rPr>
                                <w:b/>
                                <w:bCs/>
                              </w:rPr>
                              <w:t xml:space="preserve">Table </w:t>
                            </w:r>
                            <w:proofErr w:type="gramStart"/>
                            <w:r w:rsidRPr="00574F1B">
                              <w:rPr>
                                <w:b/>
                                <w:bCs/>
                              </w:rPr>
                              <w:t>2  Association</w:t>
                            </w:r>
                            <w:proofErr w:type="gramEnd"/>
                            <w:r w:rsidRPr="00574F1B">
                              <w:rPr>
                                <w:b/>
                                <w:bCs/>
                              </w:rPr>
                              <w:t xml:space="preserve"> of non-invasive markers with presence of esophageal varices in liver cirrhosis</w:t>
                            </w:r>
                          </w:p>
                          <w:tbl>
                            <w:tblPr>
                              <w:tblW w:w="9562"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790"/>
                              <w:gridCol w:w="1890"/>
                              <w:gridCol w:w="1109"/>
                              <w:gridCol w:w="2274"/>
                              <w:gridCol w:w="1499"/>
                            </w:tblGrid>
                            <w:tr w:rsidR="00C12111" w:rsidRPr="00574F1B" w:rsidTr="00574F1B">
                              <w:trPr>
                                <w:trHeight w:hRule="exact" w:val="968"/>
                              </w:trPr>
                              <w:tc>
                                <w:tcPr>
                                  <w:tcW w:w="2790" w:type="dxa"/>
                                  <w:vMerge w:val="restart"/>
                                  <w:tcBorders>
                                    <w:top w:val="single" w:sz="6" w:space="0" w:color="000000"/>
                                    <w:bottom w:val="nil"/>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en-GB"/>
                                    </w:rPr>
                                  </w:pPr>
                                  <w:r w:rsidRPr="00574F1B">
                                    <w:rPr>
                                      <w:rFonts w:ascii="Albertus" w:hAnsi="Albertus" w:cs="Albertus"/>
                                      <w:b/>
                                      <w:bCs/>
                                      <w:color w:val="000000"/>
                                      <w:kern w:val="0"/>
                                      <w:sz w:val="14"/>
                                      <w:szCs w:val="14"/>
                                      <w:lang w:val="en-GB"/>
                                    </w:rPr>
                                    <w:t>Non-invasive markers</w:t>
                                  </w:r>
                                </w:p>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2999" w:type="dxa"/>
                                  <w:gridSpan w:val="2"/>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 xml:space="preserve">Left panel: Unadjusted models </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3773" w:type="dxa"/>
                                  <w:gridSpan w:val="2"/>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rPr>
                                  </w:pPr>
                                  <w:r w:rsidRPr="00574F1B">
                                    <w:rPr>
                                      <w:rFonts w:ascii="Albertus" w:hAnsi="Albertus" w:cs="Albertus"/>
                                      <w:b/>
                                      <w:bCs/>
                                      <w:color w:val="000000"/>
                                      <w:kern w:val="0"/>
                                      <w:sz w:val="14"/>
                                      <w:szCs w:val="14"/>
                                    </w:rPr>
                                    <w:t>Right panel: Multivariable-adjusted models</w:t>
                                  </w:r>
                                  <w:r w:rsidRPr="00574F1B">
                                    <w:rPr>
                                      <w:rFonts w:ascii="Albertus" w:hAnsi="Albertus" w:cs="Albertus"/>
                                      <w:b/>
                                      <w:bCs/>
                                      <w:color w:val="000000"/>
                                      <w:kern w:val="0"/>
                                      <w:sz w:val="14"/>
                                      <w:szCs w:val="14"/>
                                      <w:vertAlign w:val="superscript"/>
                                    </w:rPr>
                                    <w:t>2</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p>
                              </w:tc>
                            </w:tr>
                            <w:tr w:rsidR="00C12111" w:rsidRPr="00574F1B" w:rsidTr="00574F1B">
                              <w:trPr>
                                <w:trHeight w:hRule="exact" w:val="887"/>
                              </w:trPr>
                              <w:tc>
                                <w:tcPr>
                                  <w:tcW w:w="2790" w:type="dxa"/>
                                  <w:vMerge/>
                                  <w:tcBorders>
                                    <w:top w:val="nil"/>
                                    <w:bottom w:val="single" w:sz="6" w:space="0" w:color="000000"/>
                                  </w:tcBorders>
                                </w:tcPr>
                                <w:p w:rsidR="00C12111" w:rsidRPr="00574F1B" w:rsidRDefault="00C12111" w:rsidP="00574F1B">
                                  <w:pPr>
                                    <w:autoSpaceDE w:val="0"/>
                                    <w:autoSpaceDN w:val="0"/>
                                    <w:adjustRightInd w:val="0"/>
                                    <w:jc w:val="left"/>
                                    <w:rPr>
                                      <w:rFonts w:ascii="Albertus Bold Italic" w:hAnsi="Albertus Bold Italic"/>
                                      <w:b/>
                                      <w:bCs/>
                                      <w:kern w:val="0"/>
                                      <w:sz w:val="24"/>
                                    </w:rPr>
                                  </w:pPr>
                                </w:p>
                              </w:tc>
                              <w:tc>
                                <w:tcPr>
                                  <w:tcW w:w="1890"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sidRPr="00574F1B">
                                    <w:rPr>
                                      <w:rFonts w:ascii="Albertus" w:hAnsi="Albertus" w:cs="Albertus"/>
                                      <w:b/>
                                      <w:bCs/>
                                      <w:color w:val="000000"/>
                                      <w:kern w:val="0"/>
                                      <w:sz w:val="14"/>
                                      <w:szCs w:val="14"/>
                                      <w:lang w:val="zh-CN"/>
                                    </w:rPr>
                                    <w:t>OR (95%CI)</w:t>
                                  </w:r>
                                  <w:r w:rsidRPr="00574F1B">
                                    <w:rPr>
                                      <w:rFonts w:ascii="Albertus" w:hAnsi="Albertus" w:cs="Albertus"/>
                                      <w:b/>
                                      <w:bCs/>
                                      <w:color w:val="000000"/>
                                      <w:kern w:val="0"/>
                                      <w:sz w:val="14"/>
                                      <w:szCs w:val="14"/>
                                      <w:vertAlign w:val="superscript"/>
                                      <w:lang w:val="zh-CN"/>
                                    </w:rPr>
                                    <w:t>1</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109"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Bold Italic" w:hAnsi="Albertus Bold Italic" w:cs="Albertus Bold Italic"/>
                                      <w:b/>
                                      <w:bCs/>
                                      <w:i/>
                                      <w:iCs/>
                                      <w:color w:val="000000"/>
                                      <w:kern w:val="0"/>
                                      <w:sz w:val="14"/>
                                      <w:szCs w:val="14"/>
                                      <w:lang w:val="zh-CN"/>
                                    </w:rPr>
                                    <w:t>P</w:t>
                                  </w:r>
                                  <w:r w:rsidRPr="00574F1B">
                                    <w:rPr>
                                      <w:rFonts w:ascii="Albertus" w:hAnsi="Albertus" w:cs="Albertus"/>
                                      <w:b/>
                                      <w:bCs/>
                                      <w:color w:val="000000"/>
                                      <w:kern w:val="0"/>
                                      <w:sz w:val="14"/>
                                      <w:szCs w:val="14"/>
                                      <w:vertAlign w:val="superscript"/>
                                      <w:lang w:val="zh-CN"/>
                                    </w:rPr>
                                    <w:t>1</w:t>
                                  </w:r>
                                  <w:r w:rsidRPr="00574F1B">
                                    <w:rPr>
                                      <w:rFonts w:ascii="Albertus" w:hAnsi="Albertus" w:cs="Albertus"/>
                                      <w:b/>
                                      <w:bCs/>
                                      <w:color w:val="000000"/>
                                      <w:kern w:val="0"/>
                                      <w:sz w:val="14"/>
                                      <w:szCs w:val="14"/>
                                      <w:lang w:val="zh-CN"/>
                                    </w:rPr>
                                    <w:t xml:space="preserve"> vaule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274"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OR (95%CI)</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99"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Bold Italic" w:hAnsi="Albertus Bold Italic" w:cs="Albertus Bold Italic"/>
                                      <w:b/>
                                      <w:bCs/>
                                      <w:i/>
                                      <w:iCs/>
                                      <w:color w:val="000000"/>
                                      <w:kern w:val="0"/>
                                      <w:sz w:val="14"/>
                                      <w:szCs w:val="14"/>
                                      <w:lang w:val="zh-CN"/>
                                    </w:rPr>
                                    <w:t>P</w:t>
                                  </w:r>
                                  <w:r w:rsidRPr="00574F1B">
                                    <w:rPr>
                                      <w:rFonts w:ascii="Albertus" w:hAnsi="Albertus" w:cs="Albertus"/>
                                      <w:b/>
                                      <w:bCs/>
                                      <w:color w:val="000000"/>
                                      <w:kern w:val="0"/>
                                      <w:sz w:val="14"/>
                                      <w:szCs w:val="14"/>
                                      <w:lang w:val="zh-CN"/>
                                    </w:rPr>
                                    <w:t xml:space="preserve"> vaule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12111" w:rsidRPr="00574F1B" w:rsidTr="00574F1B">
                              <w:trPr>
                                <w:trHeight w:val="60"/>
                              </w:trPr>
                              <w:tc>
                                <w:tcPr>
                                  <w:tcW w:w="2790"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FIB-4</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1.18 (1.01-1.38)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0.032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1.57 (1.15-2.14)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9"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0.005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7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Fibrosis index </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1.25 (0.90-1.74)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0.177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499"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27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King score </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1.00 (0.99-1.01)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0.501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499"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27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APRI</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1.01 (0.90-1.14)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0.866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499"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27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PL/SD</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1.00 (0.99-1.00)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0.078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499"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27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AST/ALT</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1.15 (0.84-1.57)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0.395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499"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27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MELD</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1.11 (1.01-1.22)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0.026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499"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bl>
                          <w:p w:rsidR="00C12111" w:rsidRPr="00817649" w:rsidRDefault="00C12111" w:rsidP="00C12111">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r w:rsidRPr="00574F1B">
                              <w:rPr>
                                <w:rFonts w:ascii="Book Antiqua" w:hAnsi="Book Antiqua" w:cs="Book Antiqua"/>
                                <w:color w:val="000000"/>
                                <w:kern w:val="0"/>
                                <w:sz w:val="14"/>
                                <w:szCs w:val="14"/>
                                <w:vertAlign w:val="superscript"/>
                              </w:rPr>
                              <w:t>1</w:t>
                            </w:r>
                            <w:r w:rsidRPr="00574F1B">
                              <w:rPr>
                                <w:rFonts w:ascii="Book Antiqua" w:hAnsi="Book Antiqua" w:cs="Book Antiqua"/>
                                <w:color w:val="000000"/>
                                <w:kern w:val="0"/>
                                <w:sz w:val="14"/>
                                <w:szCs w:val="14"/>
                              </w:rPr>
                              <w:t xml:space="preserve">Odds ratios (OR: Esophageal varices </w:t>
                            </w:r>
                            <w:r w:rsidRPr="00574F1B">
                              <w:rPr>
                                <w:rFonts w:ascii="Book Antiqua" w:hAnsi="Book Antiqua" w:cs="Book Antiqua"/>
                                <w:i/>
                                <w:iCs/>
                                <w:color w:val="000000"/>
                                <w:kern w:val="0"/>
                                <w:sz w:val="14"/>
                                <w:szCs w:val="14"/>
                              </w:rPr>
                              <w:t>vs</w:t>
                            </w:r>
                            <w:r w:rsidRPr="00574F1B">
                              <w:rPr>
                                <w:rFonts w:ascii="Book Antiqua" w:hAnsi="Book Antiqua" w:cs="Book Antiqua"/>
                                <w:color w:val="000000"/>
                                <w:kern w:val="0"/>
                                <w:sz w:val="14"/>
                                <w:szCs w:val="14"/>
                              </w:rPr>
                              <w:t xml:space="preserve"> no esophageal varices), 95%CI and </w:t>
                            </w:r>
                            <w:r w:rsidRPr="00574F1B">
                              <w:rPr>
                                <w:rFonts w:ascii="Book Antiqua" w:hAnsi="Book Antiqua" w:cs="Book Antiqua"/>
                                <w:i/>
                                <w:iCs/>
                                <w:color w:val="000000"/>
                                <w:kern w:val="0"/>
                                <w:sz w:val="14"/>
                                <w:szCs w:val="14"/>
                              </w:rPr>
                              <w:t>P</w:t>
                            </w:r>
                            <w:r w:rsidRPr="00574F1B">
                              <w:rPr>
                                <w:rFonts w:ascii="Book Antiqua" w:hAnsi="Book Antiqua" w:cs="Book Antiqua"/>
                                <w:color w:val="000000"/>
                                <w:kern w:val="0"/>
                                <w:sz w:val="14"/>
                                <w:szCs w:val="14"/>
                              </w:rPr>
                              <w:t xml:space="preserve"> values from binary logistic regression. </w:t>
                            </w:r>
                            <w:r w:rsidRPr="00574F1B">
                              <w:rPr>
                                <w:rFonts w:ascii="Book Antiqua" w:hAnsi="Book Antiqua" w:cs="Book Antiqua"/>
                                <w:color w:val="000000"/>
                                <w:kern w:val="0"/>
                                <w:sz w:val="14"/>
                                <w:szCs w:val="14"/>
                                <w:vertAlign w:val="superscript"/>
                              </w:rPr>
                              <w:t>2</w:t>
                            </w:r>
                            <w:r w:rsidRPr="00574F1B">
                              <w:rPr>
                                <w:rFonts w:ascii="Book Antiqua" w:hAnsi="Book Antiqua" w:cs="Book Antiqua"/>
                                <w:color w:val="000000"/>
                                <w:kern w:val="0"/>
                                <w:sz w:val="14"/>
                                <w:szCs w:val="14"/>
                              </w:rPr>
                              <w:t>Models adjusted for age, sex, etiology of liver cirrhosis, CTP, VPT, hemoglobin, creatinine, AST, ALT, GGT, gama globulin, INR, albumin, FIB 4, fibrosis index, king score, APRI, PL/SD, AST/ALT and MELD. All variables were entered in a backward stepwise elimination procedure with a p-value to exit set at &gt; 0.10. Empty cells refer to the variables excluded from the multivariable-adjusted logistic regression models. AST/ALT: Aspartate aminotransferase (AST) to alanine aminotransferase (ALT) ratio; APRI: AST to platelet ratio index; FIB-4: Fibrosis-4-index; MELD: Model for end-stage liver disease; PC/SD: Platelet count to spleen diameter.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0;margin-top:0;width:420.75pt;height:483.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">
                <v:textbox style="mso-fit-shape-to-text:t">
                  <w:txbxContent>
                    <w:p w:rsidR="00C12111" w:rsidRPr="00574F1B" w:rsidRDefault="00C12111" w:rsidP="00C12111">
                      <w:pPr>
                        <w:rPr>
                          <w:b/>
                          <w:bCs/>
                        </w:rPr>
                      </w:pPr>
                      <w:r w:rsidRPr="00574F1B">
                        <w:rPr>
                          <w:b/>
                          <w:bCs/>
                        </w:rPr>
                        <w:t xml:space="preserve">Table </w:t>
                      </w:r>
                      <w:proofErr w:type="gramStart"/>
                      <w:r w:rsidRPr="00574F1B">
                        <w:rPr>
                          <w:b/>
                          <w:bCs/>
                        </w:rPr>
                        <w:t>2  Association</w:t>
                      </w:r>
                      <w:proofErr w:type="gramEnd"/>
                      <w:r w:rsidRPr="00574F1B">
                        <w:rPr>
                          <w:b/>
                          <w:bCs/>
                        </w:rPr>
                        <w:t xml:space="preserve"> of non-invasive markers with presence of esophageal varices in liver cirrhosis</w:t>
                      </w:r>
                    </w:p>
                    <w:tbl>
                      <w:tblPr>
                        <w:tblW w:w="9562"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790"/>
                        <w:gridCol w:w="1890"/>
                        <w:gridCol w:w="1109"/>
                        <w:gridCol w:w="2274"/>
                        <w:gridCol w:w="1499"/>
                      </w:tblGrid>
                      <w:tr w:rsidR="00C12111" w:rsidRPr="00574F1B" w:rsidTr="00574F1B">
                        <w:trPr>
                          <w:trHeight w:hRule="exact" w:val="968"/>
                        </w:trPr>
                        <w:tc>
                          <w:tcPr>
                            <w:tcW w:w="2790" w:type="dxa"/>
                            <w:vMerge w:val="restart"/>
                            <w:tcBorders>
                              <w:top w:val="single" w:sz="6" w:space="0" w:color="000000"/>
                              <w:bottom w:val="nil"/>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en-GB"/>
                              </w:rPr>
                            </w:pPr>
                            <w:r w:rsidRPr="00574F1B">
                              <w:rPr>
                                <w:rFonts w:ascii="Albertus" w:hAnsi="Albertus" w:cs="Albertus"/>
                                <w:b/>
                                <w:bCs/>
                                <w:color w:val="000000"/>
                                <w:kern w:val="0"/>
                                <w:sz w:val="14"/>
                                <w:szCs w:val="14"/>
                                <w:lang w:val="en-GB"/>
                              </w:rPr>
                              <w:t>Non-invasive markers</w:t>
                            </w:r>
                          </w:p>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2999" w:type="dxa"/>
                            <w:gridSpan w:val="2"/>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 xml:space="preserve">Left panel: Unadjusted models </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3773" w:type="dxa"/>
                            <w:gridSpan w:val="2"/>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rPr>
                            </w:pPr>
                            <w:r w:rsidRPr="00574F1B">
                              <w:rPr>
                                <w:rFonts w:ascii="Albertus" w:hAnsi="Albertus" w:cs="Albertus"/>
                                <w:b/>
                                <w:bCs/>
                                <w:color w:val="000000"/>
                                <w:kern w:val="0"/>
                                <w:sz w:val="14"/>
                                <w:szCs w:val="14"/>
                              </w:rPr>
                              <w:t>Right panel: Multivariable-adjusted models</w:t>
                            </w:r>
                            <w:r w:rsidRPr="00574F1B">
                              <w:rPr>
                                <w:rFonts w:ascii="Albertus" w:hAnsi="Albertus" w:cs="Albertus"/>
                                <w:b/>
                                <w:bCs/>
                                <w:color w:val="000000"/>
                                <w:kern w:val="0"/>
                                <w:sz w:val="14"/>
                                <w:szCs w:val="14"/>
                                <w:vertAlign w:val="superscript"/>
                              </w:rPr>
                              <w:t>2</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p>
                        </w:tc>
                      </w:tr>
                      <w:tr w:rsidR="00C12111" w:rsidRPr="00574F1B" w:rsidTr="00574F1B">
                        <w:trPr>
                          <w:trHeight w:hRule="exact" w:val="887"/>
                        </w:trPr>
                        <w:tc>
                          <w:tcPr>
                            <w:tcW w:w="2790" w:type="dxa"/>
                            <w:vMerge/>
                            <w:tcBorders>
                              <w:top w:val="nil"/>
                              <w:bottom w:val="single" w:sz="6" w:space="0" w:color="000000"/>
                            </w:tcBorders>
                          </w:tcPr>
                          <w:p w:rsidR="00C12111" w:rsidRPr="00574F1B" w:rsidRDefault="00C12111" w:rsidP="00574F1B">
                            <w:pPr>
                              <w:autoSpaceDE w:val="0"/>
                              <w:autoSpaceDN w:val="0"/>
                              <w:adjustRightInd w:val="0"/>
                              <w:jc w:val="left"/>
                              <w:rPr>
                                <w:rFonts w:ascii="Albertus Bold Italic" w:hAnsi="Albertus Bold Italic"/>
                                <w:b/>
                                <w:bCs/>
                                <w:kern w:val="0"/>
                                <w:sz w:val="24"/>
                              </w:rPr>
                            </w:pPr>
                          </w:p>
                        </w:tc>
                        <w:tc>
                          <w:tcPr>
                            <w:tcW w:w="1890"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sidRPr="00574F1B">
                              <w:rPr>
                                <w:rFonts w:ascii="Albertus" w:hAnsi="Albertus" w:cs="Albertus"/>
                                <w:b/>
                                <w:bCs/>
                                <w:color w:val="000000"/>
                                <w:kern w:val="0"/>
                                <w:sz w:val="14"/>
                                <w:szCs w:val="14"/>
                                <w:lang w:val="zh-CN"/>
                              </w:rPr>
                              <w:t>OR (95%CI)</w:t>
                            </w:r>
                            <w:r w:rsidRPr="00574F1B">
                              <w:rPr>
                                <w:rFonts w:ascii="Albertus" w:hAnsi="Albertus" w:cs="Albertus"/>
                                <w:b/>
                                <w:bCs/>
                                <w:color w:val="000000"/>
                                <w:kern w:val="0"/>
                                <w:sz w:val="14"/>
                                <w:szCs w:val="14"/>
                                <w:vertAlign w:val="superscript"/>
                                <w:lang w:val="zh-CN"/>
                              </w:rPr>
                              <w:t>1</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109"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Bold Italic" w:hAnsi="Albertus Bold Italic" w:cs="Albertus Bold Italic"/>
                                <w:b/>
                                <w:bCs/>
                                <w:i/>
                                <w:iCs/>
                                <w:color w:val="000000"/>
                                <w:kern w:val="0"/>
                                <w:sz w:val="14"/>
                                <w:szCs w:val="14"/>
                                <w:lang w:val="zh-CN"/>
                              </w:rPr>
                              <w:t>P</w:t>
                            </w:r>
                            <w:r w:rsidRPr="00574F1B">
                              <w:rPr>
                                <w:rFonts w:ascii="Albertus" w:hAnsi="Albertus" w:cs="Albertus"/>
                                <w:b/>
                                <w:bCs/>
                                <w:color w:val="000000"/>
                                <w:kern w:val="0"/>
                                <w:sz w:val="14"/>
                                <w:szCs w:val="14"/>
                                <w:vertAlign w:val="superscript"/>
                                <w:lang w:val="zh-CN"/>
                              </w:rPr>
                              <w:t>1</w:t>
                            </w:r>
                            <w:r w:rsidRPr="00574F1B">
                              <w:rPr>
                                <w:rFonts w:ascii="Albertus" w:hAnsi="Albertus" w:cs="Albertus"/>
                                <w:b/>
                                <w:bCs/>
                                <w:color w:val="000000"/>
                                <w:kern w:val="0"/>
                                <w:sz w:val="14"/>
                                <w:szCs w:val="14"/>
                                <w:lang w:val="zh-CN"/>
                              </w:rPr>
                              <w:t xml:space="preserve"> vaule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274"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OR (95%CI)</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99"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Bold Italic" w:hAnsi="Albertus Bold Italic" w:cs="Albertus Bold Italic"/>
                                <w:b/>
                                <w:bCs/>
                                <w:i/>
                                <w:iCs/>
                                <w:color w:val="000000"/>
                                <w:kern w:val="0"/>
                                <w:sz w:val="14"/>
                                <w:szCs w:val="14"/>
                                <w:lang w:val="zh-CN"/>
                              </w:rPr>
                              <w:t>P</w:t>
                            </w:r>
                            <w:r w:rsidRPr="00574F1B">
                              <w:rPr>
                                <w:rFonts w:ascii="Albertus" w:hAnsi="Albertus" w:cs="Albertus"/>
                                <w:b/>
                                <w:bCs/>
                                <w:color w:val="000000"/>
                                <w:kern w:val="0"/>
                                <w:sz w:val="14"/>
                                <w:szCs w:val="14"/>
                                <w:lang w:val="zh-CN"/>
                              </w:rPr>
                              <w:t xml:space="preserve"> vaule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12111" w:rsidRPr="00574F1B" w:rsidTr="00574F1B">
                        <w:trPr>
                          <w:trHeight w:val="60"/>
                        </w:trPr>
                        <w:tc>
                          <w:tcPr>
                            <w:tcW w:w="2790"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FIB-4</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1.18 (1.01-1.38)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0.032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1.57 (1.15-2.14)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9"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0.005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7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Fibrosis index </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1.25 (0.90-1.74)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0.177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499"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27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King score </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1.00 (0.99-1.01)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0.501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499"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27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APRI</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1.01 (0.90-1.14)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0.866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499"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27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PL/SD</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1.00 (0.99-1.00)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0.078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499"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27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AST/ALT</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1.15 (0.84-1.57)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0.395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499"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27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MELD</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90"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1.11 (1.01-1.22)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0.026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274"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499"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bl>
                    <w:p w:rsidR="00C12111" w:rsidRPr="00817649" w:rsidRDefault="00C12111" w:rsidP="00C12111">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r w:rsidRPr="00574F1B">
                        <w:rPr>
                          <w:rFonts w:ascii="Book Antiqua" w:hAnsi="Book Antiqua" w:cs="Book Antiqua"/>
                          <w:color w:val="000000"/>
                          <w:kern w:val="0"/>
                          <w:sz w:val="14"/>
                          <w:szCs w:val="14"/>
                          <w:vertAlign w:val="superscript"/>
                        </w:rPr>
                        <w:t>1</w:t>
                      </w:r>
                      <w:r w:rsidRPr="00574F1B">
                        <w:rPr>
                          <w:rFonts w:ascii="Book Antiqua" w:hAnsi="Book Antiqua" w:cs="Book Antiqua"/>
                          <w:color w:val="000000"/>
                          <w:kern w:val="0"/>
                          <w:sz w:val="14"/>
                          <w:szCs w:val="14"/>
                        </w:rPr>
                        <w:t xml:space="preserve">Odds ratios (OR: Esophageal varices </w:t>
                      </w:r>
                      <w:r w:rsidRPr="00574F1B">
                        <w:rPr>
                          <w:rFonts w:ascii="Book Antiqua" w:hAnsi="Book Antiqua" w:cs="Book Antiqua"/>
                          <w:i/>
                          <w:iCs/>
                          <w:color w:val="000000"/>
                          <w:kern w:val="0"/>
                          <w:sz w:val="14"/>
                          <w:szCs w:val="14"/>
                        </w:rPr>
                        <w:t>vs</w:t>
                      </w:r>
                      <w:r w:rsidRPr="00574F1B">
                        <w:rPr>
                          <w:rFonts w:ascii="Book Antiqua" w:hAnsi="Book Antiqua" w:cs="Book Antiqua"/>
                          <w:color w:val="000000"/>
                          <w:kern w:val="0"/>
                          <w:sz w:val="14"/>
                          <w:szCs w:val="14"/>
                        </w:rPr>
                        <w:t xml:space="preserve"> no esophageal varices), 95%CI and </w:t>
                      </w:r>
                      <w:r w:rsidRPr="00574F1B">
                        <w:rPr>
                          <w:rFonts w:ascii="Book Antiqua" w:hAnsi="Book Antiqua" w:cs="Book Antiqua"/>
                          <w:i/>
                          <w:iCs/>
                          <w:color w:val="000000"/>
                          <w:kern w:val="0"/>
                          <w:sz w:val="14"/>
                          <w:szCs w:val="14"/>
                        </w:rPr>
                        <w:t>P</w:t>
                      </w:r>
                      <w:r w:rsidRPr="00574F1B">
                        <w:rPr>
                          <w:rFonts w:ascii="Book Antiqua" w:hAnsi="Book Antiqua" w:cs="Book Antiqua"/>
                          <w:color w:val="000000"/>
                          <w:kern w:val="0"/>
                          <w:sz w:val="14"/>
                          <w:szCs w:val="14"/>
                        </w:rPr>
                        <w:t xml:space="preserve"> values from binary logistic regression. </w:t>
                      </w:r>
                      <w:r w:rsidRPr="00574F1B">
                        <w:rPr>
                          <w:rFonts w:ascii="Book Antiqua" w:hAnsi="Book Antiqua" w:cs="Book Antiqua"/>
                          <w:color w:val="000000"/>
                          <w:kern w:val="0"/>
                          <w:sz w:val="14"/>
                          <w:szCs w:val="14"/>
                          <w:vertAlign w:val="superscript"/>
                        </w:rPr>
                        <w:t>2</w:t>
                      </w:r>
                      <w:r w:rsidRPr="00574F1B">
                        <w:rPr>
                          <w:rFonts w:ascii="Book Antiqua" w:hAnsi="Book Antiqua" w:cs="Book Antiqua"/>
                          <w:color w:val="000000"/>
                          <w:kern w:val="0"/>
                          <w:sz w:val="14"/>
                          <w:szCs w:val="14"/>
                        </w:rPr>
                        <w:t>Models adjusted for age, sex, etiology of liver cirrhosis, CTP, VPT, hemoglobin, creatinine, AST, ALT, GGT, gama globulin, INR, albumin, FIB 4, fibrosis index, king score, APRI, PL/SD, AST/ALT and MELD. All variables were entered in a backward stepwise elimination procedure with a p-value to exit set at &gt; 0.10. Empty cells refer to the variables excluded from the multivariable-adjusted logistic regression models. AST/ALT: Aspartate aminotransferase (AST) to alanine aminotransferase (ALT) ratio; APRI: AST to platelet ratio index; FIB-4: Fibrosis-4-index; MELD: Model for end-stage liver disease; PC/SD: Platelet count to spleen diameter.</w:t>
                      </w:r>
                    </w:p>
                  </w:txbxContent>
                </v:textbox>
                <w10:wrap type="square"/>
              </v:shape>
            </w:pict>
          </mc:Fallback>
        </mc:AlternateContent>
      </w:r>
    </w:p>
    <w:p w:rsidR="00C12111" w:rsidRDefault="00C12111" w:rsidP="00C12111">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43525" cy="2211705"/>
                <wp:effectExtent l="8255" t="9525" r="10795" b="762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211705"/>
                        </a:xfrm>
                        <a:prstGeom prst="rect">
                          <a:avLst/>
                        </a:prstGeom>
                        <a:solidFill>
                          <a:srgbClr val="FFFFFF"/>
                        </a:solidFill>
                        <a:ln w="9525">
                          <a:solidFill>
                            <a:srgbClr val="000000"/>
                          </a:solidFill>
                          <a:miter lim="800000"/>
                          <a:headEnd/>
                          <a:tailEnd/>
                        </a:ln>
                      </wps:spPr>
                      <wps:txbx>
                        <w:txbxContent>
                          <w:p w:rsidR="00C12111" w:rsidRPr="00574F1B" w:rsidRDefault="00C12111" w:rsidP="00C12111">
                            <w:pPr>
                              <w:rPr>
                                <w:b/>
                                <w:bCs/>
                              </w:rPr>
                            </w:pPr>
                            <w:r w:rsidRPr="00574F1B">
                              <w:rPr>
                                <w:b/>
                                <w:bCs/>
                              </w:rPr>
                              <w:t xml:space="preserve">Table </w:t>
                            </w:r>
                            <w:proofErr w:type="gramStart"/>
                            <w:r w:rsidRPr="00574F1B">
                              <w:rPr>
                                <w:b/>
                                <w:bCs/>
                              </w:rPr>
                              <w:t>3  Performance</w:t>
                            </w:r>
                            <w:proofErr w:type="gramEnd"/>
                            <w:r w:rsidRPr="00574F1B">
                              <w:rPr>
                                <w:b/>
                                <w:bCs/>
                              </w:rPr>
                              <w:t xml:space="preserve"> of fibrosis-4-index for prediction of esophageal varices (</w:t>
                            </w:r>
                            <w:r w:rsidRPr="00574F1B">
                              <w:rPr>
                                <w:b/>
                                <w:bCs/>
                                <w:i/>
                                <w:iCs/>
                              </w:rPr>
                              <w:t>n</w:t>
                            </w:r>
                            <w:r w:rsidRPr="00574F1B">
                              <w:rPr>
                                <w:b/>
                                <w:bCs/>
                              </w:rPr>
                              <w:t xml:space="preserve"> = 139; esophageal varices: </w:t>
                            </w:r>
                            <w:r w:rsidRPr="00574F1B">
                              <w:rPr>
                                <w:b/>
                                <w:bCs/>
                                <w:i/>
                                <w:iCs/>
                              </w:rPr>
                              <w:t>n</w:t>
                            </w:r>
                            <w:r w:rsidRPr="00574F1B">
                              <w:rPr>
                                <w:b/>
                                <w:bCs/>
                              </w:rPr>
                              <w:t xml:space="preserve"> = 113)</w:t>
                            </w:r>
                          </w:p>
                          <w:tbl>
                            <w:tblPr>
                              <w:tblW w:w="957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450"/>
                              <w:gridCol w:w="1522"/>
                              <w:gridCol w:w="1440"/>
                              <w:gridCol w:w="1231"/>
                              <w:gridCol w:w="1080"/>
                              <w:gridCol w:w="1865"/>
                              <w:gridCol w:w="990"/>
                            </w:tblGrid>
                            <w:tr w:rsidR="00C12111" w:rsidRPr="00574F1B" w:rsidTr="00D30F00">
                              <w:trPr>
                                <w:trHeight w:hRule="exact" w:val="658"/>
                              </w:trPr>
                              <w:tc>
                                <w:tcPr>
                                  <w:tcW w:w="1450"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 xml:space="preserve">Cut-off </w:t>
                                  </w:r>
                                </w:p>
                                <w:p w:rsidR="00C12111" w:rsidRPr="00574F1B" w:rsidRDefault="00C12111" w:rsidP="00D30F00">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22"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Sensitivity</w:t>
                                  </w:r>
                                </w:p>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40"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 xml:space="preserve">Specificity </w:t>
                                  </w:r>
                                </w:p>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31"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PPV</w:t>
                                  </w:r>
                                </w:p>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80"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NPV</w:t>
                                  </w:r>
                                </w:p>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65"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sidRPr="00574F1B">
                                    <w:rPr>
                                      <w:rFonts w:ascii="Albertus" w:hAnsi="Albertus" w:cs="Albertus"/>
                                      <w:b/>
                                      <w:bCs/>
                                      <w:color w:val="000000"/>
                                      <w:kern w:val="0"/>
                                      <w:sz w:val="14"/>
                                      <w:szCs w:val="14"/>
                                      <w:lang w:val="zh-CN"/>
                                    </w:rPr>
                                    <w:t>AUC (95%CI)</w:t>
                                  </w:r>
                                  <w:r w:rsidRPr="00574F1B">
                                    <w:rPr>
                                      <w:rFonts w:ascii="Albertus" w:hAnsi="Albertus" w:cs="Albertus"/>
                                      <w:b/>
                                      <w:bCs/>
                                      <w:color w:val="000000"/>
                                      <w:kern w:val="0"/>
                                      <w:sz w:val="14"/>
                                      <w:szCs w:val="14"/>
                                      <w:vertAlign w:val="superscript"/>
                                      <w:lang w:val="zh-CN"/>
                                    </w:rPr>
                                    <w:t>1</w:t>
                                  </w:r>
                                </w:p>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90"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Bold Italic" w:hAnsi="Albertus Bold Italic" w:cs="Albertus Bold Italic"/>
                                      <w:b/>
                                      <w:bCs/>
                                      <w:i/>
                                      <w:iCs/>
                                      <w:color w:val="000000"/>
                                      <w:kern w:val="0"/>
                                      <w:sz w:val="14"/>
                                      <w:szCs w:val="14"/>
                                      <w:lang w:val="zh-CN"/>
                                    </w:rPr>
                                    <w:t>P</w:t>
                                  </w:r>
                                  <w:r w:rsidRPr="00574F1B">
                                    <w:rPr>
                                      <w:rFonts w:ascii="Albertus" w:hAnsi="Albertus" w:cs="Albertus"/>
                                      <w:b/>
                                      <w:bCs/>
                                      <w:color w:val="000000"/>
                                      <w:kern w:val="0"/>
                                      <w:sz w:val="14"/>
                                      <w:szCs w:val="14"/>
                                      <w:lang w:val="zh-CN"/>
                                    </w:rPr>
                                    <w:t xml:space="preserve"> value</w:t>
                                  </w:r>
                                </w:p>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12111" w:rsidRPr="00574F1B" w:rsidTr="00D30F00">
                              <w:trPr>
                                <w:trHeight w:val="60"/>
                              </w:trPr>
                              <w:tc>
                                <w:tcPr>
                                  <w:tcW w:w="1450"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3.23</w:t>
                                  </w:r>
                                </w:p>
                                <w:p w:rsidR="00C12111" w:rsidRPr="00574F1B" w:rsidRDefault="00C12111" w:rsidP="00D30F00">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22"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72%</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40"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58%</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31"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88%</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0"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32%</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5"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0.66 (0.54-0.78)</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0"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0.011</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D30F00">
                              <w:trPr>
                                <w:trHeight w:val="60"/>
                              </w:trPr>
                              <w:tc>
                                <w:tcPr>
                                  <w:tcW w:w="1450"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3.23</w:t>
                                  </w:r>
                                </w:p>
                                <w:p w:rsidR="00C12111" w:rsidRPr="00574F1B" w:rsidRDefault="00C12111" w:rsidP="00D30F00">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22"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72%</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40"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58%</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31"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88%</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0"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32%</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5"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0.66 (0.54-0.78)</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0"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0.011</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12111" w:rsidRPr="00330107" w:rsidRDefault="00C12111" w:rsidP="00C12111">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r w:rsidRPr="00574F1B">
                              <w:rPr>
                                <w:rFonts w:ascii="Book Antiqua" w:hAnsi="Book Antiqua" w:cs="Book Antiqua"/>
                                <w:color w:val="000000"/>
                                <w:kern w:val="0"/>
                                <w:sz w:val="14"/>
                                <w:szCs w:val="14"/>
                                <w:vertAlign w:val="superscript"/>
                              </w:rPr>
                              <w:t>1</w:t>
                            </w:r>
                            <w:r w:rsidRPr="00574F1B">
                              <w:rPr>
                                <w:rFonts w:ascii="Book Antiqua" w:hAnsi="Book Antiqua" w:cs="Book Antiqua"/>
                                <w:color w:val="000000"/>
                                <w:kern w:val="0"/>
                                <w:sz w:val="14"/>
                                <w:szCs w:val="14"/>
                              </w:rPr>
                              <w:t>AUC (area under the curve) obtained from the receiver operating characteristic. FIB-4: Fibrosis-4-index; NPV: Negative predictive value; PPV: Positive predictive value.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0;margin-top:0;width:420.75pt;height:174.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">
                <v:textbox style="mso-fit-shape-to-text:t">
                  <w:txbxContent>
                    <w:p w:rsidR="00C12111" w:rsidRPr="00574F1B" w:rsidRDefault="00C12111" w:rsidP="00C12111">
                      <w:pPr>
                        <w:rPr>
                          <w:b/>
                          <w:bCs/>
                        </w:rPr>
                      </w:pPr>
                      <w:r w:rsidRPr="00574F1B">
                        <w:rPr>
                          <w:b/>
                          <w:bCs/>
                        </w:rPr>
                        <w:t xml:space="preserve">Table </w:t>
                      </w:r>
                      <w:proofErr w:type="gramStart"/>
                      <w:r w:rsidRPr="00574F1B">
                        <w:rPr>
                          <w:b/>
                          <w:bCs/>
                        </w:rPr>
                        <w:t>3  Performance</w:t>
                      </w:r>
                      <w:proofErr w:type="gramEnd"/>
                      <w:r w:rsidRPr="00574F1B">
                        <w:rPr>
                          <w:b/>
                          <w:bCs/>
                        </w:rPr>
                        <w:t xml:space="preserve"> of fibrosis-4-index for prediction of esophageal varices (</w:t>
                      </w:r>
                      <w:r w:rsidRPr="00574F1B">
                        <w:rPr>
                          <w:b/>
                          <w:bCs/>
                          <w:i/>
                          <w:iCs/>
                        </w:rPr>
                        <w:t>n</w:t>
                      </w:r>
                      <w:r w:rsidRPr="00574F1B">
                        <w:rPr>
                          <w:b/>
                          <w:bCs/>
                        </w:rPr>
                        <w:t xml:space="preserve"> = 139; esophageal varices: </w:t>
                      </w:r>
                      <w:r w:rsidRPr="00574F1B">
                        <w:rPr>
                          <w:b/>
                          <w:bCs/>
                          <w:i/>
                          <w:iCs/>
                        </w:rPr>
                        <w:t>n</w:t>
                      </w:r>
                      <w:r w:rsidRPr="00574F1B">
                        <w:rPr>
                          <w:b/>
                          <w:bCs/>
                        </w:rPr>
                        <w:t xml:space="preserve"> = 113)</w:t>
                      </w:r>
                    </w:p>
                    <w:tbl>
                      <w:tblPr>
                        <w:tblW w:w="957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450"/>
                        <w:gridCol w:w="1522"/>
                        <w:gridCol w:w="1440"/>
                        <w:gridCol w:w="1231"/>
                        <w:gridCol w:w="1080"/>
                        <w:gridCol w:w="1865"/>
                        <w:gridCol w:w="990"/>
                      </w:tblGrid>
                      <w:tr w:rsidR="00C12111" w:rsidRPr="00574F1B" w:rsidTr="00D30F00">
                        <w:trPr>
                          <w:trHeight w:hRule="exact" w:val="658"/>
                        </w:trPr>
                        <w:tc>
                          <w:tcPr>
                            <w:tcW w:w="1450"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 xml:space="preserve">Cut-off </w:t>
                            </w:r>
                          </w:p>
                          <w:p w:rsidR="00C12111" w:rsidRPr="00574F1B" w:rsidRDefault="00C12111" w:rsidP="00D30F00">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22"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Sensitivity</w:t>
                            </w:r>
                          </w:p>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40"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 xml:space="preserve">Specificity </w:t>
                            </w:r>
                          </w:p>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31"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PPV</w:t>
                            </w:r>
                          </w:p>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80"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NPV</w:t>
                            </w:r>
                          </w:p>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865"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sidRPr="00574F1B">
                              <w:rPr>
                                <w:rFonts w:ascii="Albertus" w:hAnsi="Albertus" w:cs="Albertus"/>
                                <w:b/>
                                <w:bCs/>
                                <w:color w:val="000000"/>
                                <w:kern w:val="0"/>
                                <w:sz w:val="14"/>
                                <w:szCs w:val="14"/>
                                <w:lang w:val="zh-CN"/>
                              </w:rPr>
                              <w:t>AUC (95%CI)</w:t>
                            </w:r>
                            <w:r w:rsidRPr="00574F1B">
                              <w:rPr>
                                <w:rFonts w:ascii="Albertus" w:hAnsi="Albertus" w:cs="Albertus"/>
                                <w:b/>
                                <w:bCs/>
                                <w:color w:val="000000"/>
                                <w:kern w:val="0"/>
                                <w:sz w:val="14"/>
                                <w:szCs w:val="14"/>
                                <w:vertAlign w:val="superscript"/>
                                <w:lang w:val="zh-CN"/>
                              </w:rPr>
                              <w:t>1</w:t>
                            </w:r>
                          </w:p>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90"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Bold Italic" w:hAnsi="Albertus Bold Italic" w:cs="Albertus Bold Italic"/>
                                <w:b/>
                                <w:bCs/>
                                <w:i/>
                                <w:iCs/>
                                <w:color w:val="000000"/>
                                <w:kern w:val="0"/>
                                <w:sz w:val="14"/>
                                <w:szCs w:val="14"/>
                                <w:lang w:val="zh-CN"/>
                              </w:rPr>
                              <w:t>P</w:t>
                            </w:r>
                            <w:r w:rsidRPr="00574F1B">
                              <w:rPr>
                                <w:rFonts w:ascii="Albertus" w:hAnsi="Albertus" w:cs="Albertus"/>
                                <w:b/>
                                <w:bCs/>
                                <w:color w:val="000000"/>
                                <w:kern w:val="0"/>
                                <w:sz w:val="14"/>
                                <w:szCs w:val="14"/>
                                <w:lang w:val="zh-CN"/>
                              </w:rPr>
                              <w:t xml:space="preserve"> value</w:t>
                            </w:r>
                          </w:p>
                          <w:p w:rsidR="00C12111" w:rsidRPr="00574F1B" w:rsidRDefault="00C12111" w:rsidP="00D30F00">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12111" w:rsidRPr="00574F1B" w:rsidTr="00D30F00">
                        <w:trPr>
                          <w:trHeight w:val="60"/>
                        </w:trPr>
                        <w:tc>
                          <w:tcPr>
                            <w:tcW w:w="1450"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3.23</w:t>
                            </w:r>
                          </w:p>
                          <w:p w:rsidR="00C12111" w:rsidRPr="00574F1B" w:rsidRDefault="00C12111" w:rsidP="00D30F00">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22"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72%</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40"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58%</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31"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88%</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0"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32%</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5"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0.66 (0.54-0.78)</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0" w:type="dxa"/>
                            <w:tcBorders>
                              <w:top w:val="single" w:sz="6" w:space="0" w:color="000000"/>
                            </w:tcBorders>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0.011</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D30F00">
                        <w:trPr>
                          <w:trHeight w:val="60"/>
                        </w:trPr>
                        <w:tc>
                          <w:tcPr>
                            <w:tcW w:w="1450"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3.23</w:t>
                            </w:r>
                          </w:p>
                          <w:p w:rsidR="00C12111" w:rsidRPr="00574F1B" w:rsidRDefault="00C12111" w:rsidP="00D30F00">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22"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72%</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40"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58%</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31"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88%</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0"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32%</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865"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0.66 (0.54-0.78)</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0" w:type="dxa"/>
                            <w:tcMar>
                              <w:top w:w="28" w:type="dxa"/>
                              <w:left w:w="28" w:type="dxa"/>
                              <w:bottom w:w="28" w:type="dxa"/>
                              <w:right w:w="28" w:type="dxa"/>
                            </w:tcMar>
                          </w:tcPr>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0.011</w:t>
                            </w:r>
                          </w:p>
                          <w:p w:rsidR="00C12111" w:rsidRPr="00574F1B" w:rsidRDefault="00C12111" w:rsidP="00D30F00">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12111" w:rsidRPr="00330107" w:rsidRDefault="00C12111" w:rsidP="00C12111">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r w:rsidRPr="00574F1B">
                        <w:rPr>
                          <w:rFonts w:ascii="Book Antiqua" w:hAnsi="Book Antiqua" w:cs="Book Antiqua"/>
                          <w:color w:val="000000"/>
                          <w:kern w:val="0"/>
                          <w:sz w:val="14"/>
                          <w:szCs w:val="14"/>
                          <w:vertAlign w:val="superscript"/>
                        </w:rPr>
                        <w:t>1</w:t>
                      </w:r>
                      <w:r w:rsidRPr="00574F1B">
                        <w:rPr>
                          <w:rFonts w:ascii="Book Antiqua" w:hAnsi="Book Antiqua" w:cs="Book Antiqua"/>
                          <w:color w:val="000000"/>
                          <w:kern w:val="0"/>
                          <w:sz w:val="14"/>
                          <w:szCs w:val="14"/>
                        </w:rPr>
                        <w:t>AUC (area under the curve) obtained from the receiver operating characteristic. FIB-4: Fibrosis-4-index; NPV: Negative predictive value; PPV: Positive predictive value.</w:t>
                      </w:r>
                    </w:p>
                  </w:txbxContent>
                </v:textbox>
                <w10:wrap type="square"/>
              </v:shape>
            </w:pict>
          </mc:Fallback>
        </mc:AlternateContent>
      </w:r>
    </w:p>
    <w:p w:rsidR="00C12111" w:rsidRDefault="00C12111" w:rsidP="00C12111">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343525" cy="20057110"/>
                <wp:effectExtent l="8255" t="9525" r="10795" b="1206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057110"/>
                        </a:xfrm>
                        <a:prstGeom prst="rect">
                          <a:avLst/>
                        </a:prstGeom>
                        <a:solidFill>
                          <a:srgbClr val="FFFFFF"/>
                        </a:solidFill>
                        <a:ln w="9525">
                          <a:solidFill>
                            <a:srgbClr val="000000"/>
                          </a:solidFill>
                          <a:miter lim="800000"/>
                          <a:headEnd/>
                          <a:tailEnd/>
                        </a:ln>
                      </wps:spPr>
                      <wps:txbx>
                        <w:txbxContent>
                          <w:p w:rsidR="00C12111" w:rsidRPr="00574F1B" w:rsidRDefault="00C12111" w:rsidP="00C12111">
                            <w:pPr>
                              <w:rPr>
                                <w:b/>
                                <w:bCs/>
                              </w:rPr>
                            </w:pPr>
                            <w:r w:rsidRPr="00574F1B">
                              <w:rPr>
                                <w:b/>
                                <w:bCs/>
                              </w:rPr>
                              <w:t xml:space="preserve">Table </w:t>
                            </w:r>
                            <w:proofErr w:type="gramStart"/>
                            <w:r w:rsidRPr="00574F1B">
                              <w:rPr>
                                <w:b/>
                                <w:bCs/>
                              </w:rPr>
                              <w:t>4  Baseline</w:t>
                            </w:r>
                            <w:proofErr w:type="gramEnd"/>
                            <w:r w:rsidRPr="00574F1B">
                              <w:rPr>
                                <w:b/>
                                <w:bCs/>
                              </w:rPr>
                              <w:t xml:space="preserve"> characteristics of patients with esophageal variceal bleeding during follow-up  </w:t>
                            </w:r>
                            <w:r w:rsidRPr="00574F1B">
                              <w:rPr>
                                <w:b/>
                                <w:bCs/>
                                <w:i/>
                                <w:iCs/>
                              </w:rPr>
                              <w:t>n</w:t>
                            </w:r>
                            <w:r w:rsidRPr="00574F1B">
                              <w:rPr>
                                <w:b/>
                                <w:bCs/>
                              </w:rPr>
                              <w:t xml:space="preserve"> (%)</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109"/>
                              <w:gridCol w:w="1578"/>
                              <w:gridCol w:w="1982"/>
                              <w:gridCol w:w="1741"/>
                              <w:gridCol w:w="1147"/>
                            </w:tblGrid>
                            <w:tr w:rsidR="00C12111" w:rsidRPr="00574F1B" w:rsidTr="00574F1B">
                              <w:trPr>
                                <w:trHeight w:hRule="exact" w:val="993"/>
                              </w:trPr>
                              <w:tc>
                                <w:tcPr>
                                  <w:tcW w:w="3109"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 xml:space="preserve">Categorical variables </w:t>
                                  </w:r>
                                </w:p>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78"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Total (</w:t>
                                  </w:r>
                                  <w:r w:rsidRPr="00574F1B">
                                    <w:rPr>
                                      <w:rFonts w:ascii="Albertus Bold Italic" w:hAnsi="Albertus Bold Italic" w:cs="Albertus Bold Italic"/>
                                      <w:b/>
                                      <w:bCs/>
                                      <w:i/>
                                      <w:iCs/>
                                      <w:color w:val="000000"/>
                                      <w:kern w:val="0"/>
                                      <w:sz w:val="14"/>
                                      <w:szCs w:val="14"/>
                                      <w:lang w:val="zh-CN"/>
                                    </w:rPr>
                                    <w:t>n</w:t>
                                  </w:r>
                                  <w:r w:rsidRPr="00574F1B">
                                    <w:rPr>
                                      <w:rFonts w:ascii="Albertus" w:hAnsi="Albertus" w:cs="Albertus"/>
                                      <w:b/>
                                      <w:bCs/>
                                      <w:color w:val="000000"/>
                                      <w:kern w:val="0"/>
                                      <w:sz w:val="14"/>
                                      <w:szCs w:val="14"/>
                                      <w:lang w:val="zh-CN"/>
                                    </w:rPr>
                                    <w:t xml:space="preserve"> =139)</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82"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No EVB (</w:t>
                                  </w:r>
                                  <w:r w:rsidRPr="00574F1B">
                                    <w:rPr>
                                      <w:rFonts w:ascii="Albertus Bold Italic" w:hAnsi="Albertus Bold Italic" w:cs="Albertus Bold Italic"/>
                                      <w:b/>
                                      <w:bCs/>
                                      <w:i/>
                                      <w:iCs/>
                                      <w:color w:val="000000"/>
                                      <w:kern w:val="0"/>
                                      <w:sz w:val="14"/>
                                      <w:szCs w:val="14"/>
                                      <w:lang w:val="zh-CN"/>
                                    </w:rPr>
                                    <w:t>n</w:t>
                                  </w:r>
                                  <w:r w:rsidRPr="00574F1B">
                                    <w:rPr>
                                      <w:rFonts w:ascii="Albertus" w:hAnsi="Albertus" w:cs="Albertus"/>
                                      <w:b/>
                                      <w:bCs/>
                                      <w:color w:val="000000"/>
                                      <w:kern w:val="0"/>
                                      <w:sz w:val="14"/>
                                      <w:szCs w:val="14"/>
                                      <w:lang w:val="zh-CN"/>
                                    </w:rPr>
                                    <w:t xml:space="preserve"> = 105)</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41"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en-GB"/>
                                    </w:rPr>
                                    <w:t xml:space="preserve">EVB </w:t>
                                  </w:r>
                                  <w:r w:rsidRPr="00574F1B">
                                    <w:rPr>
                                      <w:rFonts w:ascii="Albertus" w:hAnsi="Albertus" w:cs="Albertus"/>
                                      <w:b/>
                                      <w:bCs/>
                                      <w:color w:val="000000"/>
                                      <w:kern w:val="0"/>
                                      <w:sz w:val="14"/>
                                      <w:szCs w:val="14"/>
                                      <w:lang w:val="zh-CN"/>
                                    </w:rPr>
                                    <w:t>(</w:t>
                                  </w:r>
                                  <w:r w:rsidRPr="00574F1B">
                                    <w:rPr>
                                      <w:rFonts w:ascii="Albertus Bold Italic" w:hAnsi="Albertus Bold Italic" w:cs="Albertus Bold Italic"/>
                                      <w:b/>
                                      <w:bCs/>
                                      <w:i/>
                                      <w:iCs/>
                                      <w:color w:val="000000"/>
                                      <w:kern w:val="0"/>
                                      <w:sz w:val="14"/>
                                      <w:szCs w:val="14"/>
                                      <w:lang w:val="zh-CN"/>
                                    </w:rPr>
                                    <w:t>n</w:t>
                                  </w:r>
                                  <w:r w:rsidRPr="00574F1B">
                                    <w:rPr>
                                      <w:rFonts w:ascii="Albertus" w:hAnsi="Albertus" w:cs="Albertus"/>
                                      <w:b/>
                                      <w:bCs/>
                                      <w:color w:val="000000"/>
                                      <w:kern w:val="0"/>
                                      <w:sz w:val="14"/>
                                      <w:szCs w:val="14"/>
                                      <w:lang w:val="zh-CN"/>
                                    </w:rPr>
                                    <w:t xml:space="preserve"> = 34)</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147"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Bold Italic" w:hAnsi="Albertus Bold Italic" w:cs="Albertus Bold Italic"/>
                                      <w:b/>
                                      <w:bCs/>
                                      <w:i/>
                                      <w:iCs/>
                                      <w:color w:val="000000"/>
                                      <w:kern w:val="0"/>
                                      <w:sz w:val="14"/>
                                      <w:szCs w:val="14"/>
                                      <w:lang w:val="zh-CN"/>
                                    </w:rPr>
                                    <w:t>P</w:t>
                                  </w:r>
                                  <w:r w:rsidRPr="00574F1B">
                                    <w:rPr>
                                      <w:rFonts w:ascii="Albertus" w:hAnsi="Albertus" w:cs="Albertus"/>
                                      <w:b/>
                                      <w:bCs/>
                                      <w:color w:val="000000"/>
                                      <w:kern w:val="0"/>
                                      <w:sz w:val="14"/>
                                      <w:szCs w:val="14"/>
                                      <w:lang w:val="zh-CN"/>
                                    </w:rPr>
                                    <w:t xml:space="preserve"> value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12111" w:rsidRPr="00574F1B" w:rsidTr="00574F1B">
                              <w:trPr>
                                <w:trHeight w:val="60"/>
                              </w:trPr>
                              <w:tc>
                                <w:tcPr>
                                  <w:tcW w:w="9557" w:type="dxa"/>
                                  <w:gridSpan w:val="5"/>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574F1B">
                                    <w:rPr>
                                      <w:rFonts w:ascii="Book Antiqua" w:hAnsi="Book Antiqua" w:cs="Book Antiqua"/>
                                      <w:color w:val="000000"/>
                                      <w:kern w:val="0"/>
                                      <w:sz w:val="14"/>
                                      <w:szCs w:val="14"/>
                                      <w:lang w:val="zh-CN"/>
                                    </w:rPr>
                                    <w:t>Upper panel: Categorical variables</w:t>
                                  </w:r>
                                  <w:r w:rsidRPr="00574F1B">
                                    <w:rPr>
                                      <w:rFonts w:ascii="Book Antiqua" w:hAnsi="Book Antiqua" w:cs="Book Antiqua"/>
                                      <w:color w:val="000000"/>
                                      <w:kern w:val="0"/>
                                      <w:sz w:val="14"/>
                                      <w:szCs w:val="14"/>
                                      <w:vertAlign w:val="superscript"/>
                                      <w:lang w:val="zh-CN"/>
                                    </w:rPr>
                                    <w:t>2</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Sex</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982"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741"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Men</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574F1B">
                                    <w:rPr>
                                      <w:rFonts w:ascii="Book Antiqua" w:hAnsi="Book Antiqua" w:cs="Book Antiqua"/>
                                      <w:color w:val="000000"/>
                                      <w:kern w:val="0"/>
                                      <w:sz w:val="14"/>
                                      <w:szCs w:val="14"/>
                                      <w:lang w:val="zh-CN"/>
                                    </w:rPr>
                                    <w:t xml:space="preserve"> 109 (78.4)</w:t>
                                  </w:r>
                                  <w:r w:rsidRPr="00574F1B">
                                    <w:rPr>
                                      <w:rFonts w:ascii="Book Antiqua" w:hAnsi="Book Antiqua" w:cs="Book Antiqua"/>
                                      <w:color w:val="000000"/>
                                      <w:kern w:val="0"/>
                                      <w:sz w:val="14"/>
                                      <w:szCs w:val="14"/>
                                      <w:vertAlign w:val="superscript"/>
                                      <w:lang w:val="zh-CN"/>
                                    </w:rPr>
                                    <w:t>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80 (76.2)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29 (85.3)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0.341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Women </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30 (21.6)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25 (23.8)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 (14.7)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Etiology of cirrhosis:</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982"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741"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0.762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Alcoholic</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67 (48.2)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49 (46.7)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18 (52.9)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HBV</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32 (23.0)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23 (21.9)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9 (26.5)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HCV</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8 (5.8)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6 (5.7)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2 (5.9)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Alcoholic + viral </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 (7.9)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9 (8.6)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2 (5.9)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Other  </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21 (15.1)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18 (17.1)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 (8.8)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EV </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982"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741"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0.176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None</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26 (18.7)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22 (21.0)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 (11.8)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SEV</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44 (31.7)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36 (34.3)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8 (23.5)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MEV</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39 (28.1)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25 (23.8)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14 (41.2)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LEV</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30 (21.6)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22 (21.0)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8 (23.5)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Red signs</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982"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741"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0.034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 xml:space="preserve">Without varices </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 xml:space="preserve">  26 (18.7)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 xml:space="preserve">  22 (21.0)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4 (11.8)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Yes</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 xml:space="preserve">  19 (13.7)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10 (9.5)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9 (26.5)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No</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 xml:space="preserve">  94 (67.6)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 xml:space="preserve">  73 (69.5)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21 (61.8)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CTP</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982"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741"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0.968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A (5-6) </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43 (30.9)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33 (31.4)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10 (29.4)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B (7-9)</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63 (45.3)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47 (44.8)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16 (47.1)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C (10-15)</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33 (23.7)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25 (23.8)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8 (23.5)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9557" w:type="dxa"/>
                                  <w:gridSpan w:val="5"/>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574F1B">
                                    <w:rPr>
                                      <w:rFonts w:ascii="Book Antiqua" w:hAnsi="Book Antiqua" w:cs="Book Antiqua"/>
                                      <w:color w:val="000000"/>
                                      <w:kern w:val="0"/>
                                      <w:sz w:val="14"/>
                                      <w:szCs w:val="14"/>
                                      <w:lang w:val="zh-CN"/>
                                    </w:rPr>
                                    <w:t>Lower panel: Numerical variables</w:t>
                                  </w:r>
                                  <w:r w:rsidRPr="00574F1B">
                                    <w:rPr>
                                      <w:rFonts w:ascii="Book Antiqua" w:hAnsi="Book Antiqua" w:cs="Book Antiqua"/>
                                      <w:color w:val="000000"/>
                                      <w:kern w:val="0"/>
                                      <w:sz w:val="14"/>
                                      <w:szCs w:val="14"/>
                                      <w:vertAlign w:val="superscript"/>
                                      <w:lang w:val="zh-CN"/>
                                    </w:rPr>
                                    <w:t>3</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i/>
                                      <w:iCs/>
                                      <w:color w:val="000000"/>
                                      <w:kern w:val="0"/>
                                      <w:sz w:val="14"/>
                                      <w:szCs w:val="14"/>
                                      <w:lang w:val="zh-CN"/>
                                    </w:rPr>
                                  </w:pPr>
                                  <w:r w:rsidRPr="00574F1B">
                                    <w:rPr>
                                      <w:rFonts w:ascii="Book Antiqua" w:hAnsi="Book Antiqua" w:cs="Book Antiqua"/>
                                      <w:color w:val="000000"/>
                                      <w:kern w:val="0"/>
                                      <w:sz w:val="14"/>
                                      <w:szCs w:val="14"/>
                                      <w:lang w:val="zh-CN"/>
                                    </w:rPr>
                                    <w:t>Age (yr</w:t>
                                  </w:r>
                                  <w:r w:rsidRPr="00574F1B">
                                    <w:rPr>
                                      <w:rFonts w:ascii="Book Antiqua" w:hAnsi="Book Antiqua" w:cs="Book Antiqua"/>
                                      <w:i/>
                                      <w:iCs/>
                                      <w:color w:val="000000"/>
                                      <w:kern w:val="0"/>
                                      <w:sz w:val="14"/>
                                      <w:szCs w:val="14"/>
                                      <w:lang w:val="zh-CN"/>
                                    </w:rPr>
                                    <w:t>)</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51.5 ± 13.1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52.1 ± 13.5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49.7 ± 11.6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0.402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Hemoglobin (mg/dL)</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11.8 ± 2.3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12.0 ± 2.2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10.9 ± 2.5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0.017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PL (n/mm</w:t>
                                  </w:r>
                                  <w:r w:rsidRPr="00574F1B">
                                    <w:rPr>
                                      <w:rFonts w:ascii="Book Antiqua" w:hAnsi="Book Antiqua" w:cs="Book Antiqua"/>
                                      <w:color w:val="000000"/>
                                      <w:kern w:val="0"/>
                                      <w:sz w:val="14"/>
                                      <w:szCs w:val="14"/>
                                      <w:vertAlign w:val="superscript"/>
                                      <w:lang w:val="zh-CN"/>
                                    </w:rPr>
                                    <w:t>3</w:t>
                                  </w:r>
                                  <w:r w:rsidRPr="00574F1B">
                                    <w:rPr>
                                      <w:rFonts w:ascii="Book Antiqua" w:hAnsi="Book Antiqua" w:cs="Book Antiqua"/>
                                      <w:color w:val="000000"/>
                                      <w:kern w:val="0"/>
                                      <w:sz w:val="14"/>
                                      <w:szCs w:val="14"/>
                                      <w:lang w:val="zh-CN"/>
                                    </w:rPr>
                                    <w:t>)</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165539 ± 101181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168742 ± 107419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155647 ± 79459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0.801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Creatinine (mg/dL)</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0.89 ± 0.34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0.88 ± 0.34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0.92 ± 0.32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0.336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AST (UI/L)</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107.6 ± 156.1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112.2 ± 175.7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93.4 ± 65.8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0.852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ALT (UI/L)</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73.1 ± 161.9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80.3 ± 189.9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50.6 ± 34.5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0.930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GGT (UI/L)</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264.9 ± 302.7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267.1 ± 311.4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258.2 ± 278.1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0.737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Gama globulin (g/L)</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27.1 ± 10.3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26.6 ± 9.0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28.6 ± 13.6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0.555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INR</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1.65 ± 0.47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1.65 ± 0.48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1.65 ± 0.43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0.862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Albumin </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3.19 ± 0.65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3.17 ± 0.72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3.25 ± 0.38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0.608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FIB-4</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5.83 ± 5.33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5.93 ± 5.80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5.50 ± 3.56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0.881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Fibrosis index </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3.15 ± 1.30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3.13 ± 1.41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3.22 ± 0.84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0.901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King score </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82.9 ± 135.2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89.6 ± 152.2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62.1 ± 53.7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0.978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APRI</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2.63 ± 3.79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2.80 ± 4.25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2.13 ± 1.70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0.550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PL/SD</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1146 ± 780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1189 ± 826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1014 ± 605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0.398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AST/ALT</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2.18 ± 1.62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2.17 ± 1.64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2.23 ± 1.57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0.628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MELD</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15.7 ± 5.2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15.5 ± 5.3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16.2 ± 4.8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0.435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12111" w:rsidRPr="007C23F4" w:rsidRDefault="00C12111" w:rsidP="00C12111">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proofErr w:type="gramStart"/>
                            <w:r w:rsidRPr="00574F1B">
                              <w:rPr>
                                <w:rFonts w:ascii="Book Antiqua" w:hAnsi="Book Antiqua" w:cs="Book Antiqua"/>
                                <w:color w:val="000000"/>
                                <w:kern w:val="0"/>
                                <w:sz w:val="14"/>
                                <w:szCs w:val="14"/>
                                <w:vertAlign w:val="superscript"/>
                              </w:rPr>
                              <w:t>1</w:t>
                            </w:r>
                            <w:r w:rsidRPr="00574F1B">
                              <w:rPr>
                                <w:rFonts w:ascii="Book Antiqua" w:hAnsi="Book Antiqua" w:cs="Book Antiqua"/>
                                <w:color w:val="000000"/>
                                <w:kern w:val="0"/>
                                <w:sz w:val="14"/>
                                <w:szCs w:val="14"/>
                              </w:rPr>
                              <w:t xml:space="preserve">Absolute numbers and </w:t>
                            </w:r>
                            <w:r w:rsidRPr="00574F1B">
                              <w:rPr>
                                <w:rFonts w:ascii="Book Antiqua" w:hAnsi="Book Antiqua" w:cs="Book Antiqua"/>
                                <w:i/>
                                <w:iCs/>
                                <w:color w:val="000000"/>
                                <w:kern w:val="0"/>
                                <w:sz w:val="14"/>
                                <w:szCs w:val="14"/>
                              </w:rPr>
                              <w:t>column</w:t>
                            </w:r>
                            <w:r w:rsidRPr="00574F1B">
                              <w:rPr>
                                <w:rFonts w:ascii="Book Antiqua" w:hAnsi="Book Antiqua" w:cs="Book Antiqua"/>
                                <w:color w:val="000000"/>
                                <w:kern w:val="0"/>
                                <w:sz w:val="14"/>
                                <w:szCs w:val="14"/>
                              </w:rPr>
                              <w:t xml:space="preserve"> percentages (in parentheses); </w:t>
                            </w:r>
                            <w:r w:rsidRPr="00574F1B">
                              <w:rPr>
                                <w:rFonts w:ascii="Book Antiqua" w:hAnsi="Book Antiqua" w:cs="Book Antiqua"/>
                                <w:color w:val="000000"/>
                                <w:kern w:val="0"/>
                                <w:sz w:val="14"/>
                                <w:szCs w:val="14"/>
                                <w:vertAlign w:val="superscript"/>
                              </w:rPr>
                              <w:t>2</w:t>
                            </w:r>
                            <w:r w:rsidRPr="00574F1B">
                              <w:rPr>
                                <w:rFonts w:ascii="Book Antiqua" w:hAnsi="Book Antiqua" w:cs="Book Antiqua"/>
                                <w:i/>
                                <w:iCs/>
                                <w:color w:val="000000"/>
                                <w:kern w:val="0"/>
                                <w:sz w:val="14"/>
                                <w:szCs w:val="14"/>
                              </w:rPr>
                              <w:t>P</w:t>
                            </w:r>
                            <w:r w:rsidRPr="00574F1B">
                              <w:rPr>
                                <w:rFonts w:ascii="Book Antiqua" w:hAnsi="Book Antiqua" w:cs="Book Antiqua"/>
                                <w:color w:val="000000"/>
                                <w:kern w:val="0"/>
                                <w:sz w:val="14"/>
                                <w:szCs w:val="14"/>
                              </w:rPr>
                              <w:t xml:space="preserve"> values from Fisher’s exact test; </w:t>
                            </w:r>
                            <w:r w:rsidRPr="00574F1B">
                              <w:rPr>
                                <w:rFonts w:ascii="Book Antiqua" w:hAnsi="Book Antiqua" w:cs="Book Antiqua"/>
                                <w:color w:val="000000"/>
                                <w:kern w:val="0"/>
                                <w:sz w:val="14"/>
                                <w:szCs w:val="14"/>
                                <w:vertAlign w:val="superscript"/>
                              </w:rPr>
                              <w:t>3</w:t>
                            </w:r>
                            <w:r w:rsidRPr="00574F1B">
                              <w:rPr>
                                <w:rFonts w:ascii="Book Antiqua" w:hAnsi="Book Antiqua" w:cs="Book Antiqua"/>
                                <w:i/>
                                <w:iCs/>
                                <w:color w:val="000000"/>
                                <w:kern w:val="0"/>
                                <w:sz w:val="14"/>
                                <w:szCs w:val="14"/>
                              </w:rPr>
                              <w:t>P</w:t>
                            </w:r>
                            <w:r w:rsidRPr="00574F1B">
                              <w:rPr>
                                <w:rFonts w:ascii="Book Antiqua" w:hAnsi="Book Antiqua" w:cs="Book Antiqua"/>
                                <w:color w:val="000000"/>
                                <w:kern w:val="0"/>
                                <w:sz w:val="14"/>
                                <w:szCs w:val="14"/>
                              </w:rPr>
                              <w:t xml:space="preserve"> values from Mann-Whitney’s </w:t>
                            </w:r>
                            <w:r w:rsidRPr="00574F1B">
                              <w:rPr>
                                <w:rFonts w:ascii="Book Antiqua" w:hAnsi="Book Antiqua" w:cs="Book Antiqua"/>
                                <w:i/>
                                <w:iCs/>
                                <w:color w:val="000000"/>
                                <w:kern w:val="0"/>
                                <w:sz w:val="14"/>
                                <w:szCs w:val="14"/>
                              </w:rPr>
                              <w:t>U</w:t>
                            </w:r>
                            <w:r w:rsidRPr="00574F1B">
                              <w:rPr>
                                <w:rFonts w:ascii="Book Antiqua" w:hAnsi="Book Antiqua" w:cs="Book Antiqua"/>
                                <w:color w:val="000000"/>
                                <w:kern w:val="0"/>
                                <w:sz w:val="14"/>
                                <w:szCs w:val="14"/>
                              </w:rPr>
                              <w:t>-test.</w:t>
                            </w:r>
                            <w:proofErr w:type="gramEnd"/>
                            <w:r w:rsidRPr="00574F1B">
                              <w:rPr>
                                <w:rFonts w:ascii="Book Antiqua" w:hAnsi="Book Antiqua" w:cs="Book Antiqua"/>
                                <w:color w:val="000000"/>
                                <w:kern w:val="0"/>
                                <w:sz w:val="14"/>
                                <w:szCs w:val="14"/>
                              </w:rPr>
                              <w:t xml:space="preserve"> AST/ALT: Aspartate aminotransferase (AST) to alanine aminotransferase (ALT) ratio; APRI: AST to platelet ratio index; CTP: Child-Turcotte-Pugh score; EV: Esophageal varices; FIB-4: Fibrosis-4-index; GGT: Gamma glutamyltranspeptidase; HBV: Hepatitis B virus; HCV: Hepatitis C virus; INR: International normalized ratio; LEV: Large esophageal varices; MEV: Medium esophageal varices; MELD: Model for end-stage liver disease; PC/SD: Platelet count to spleen diameter; SEV: Small esophageal varices.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left:0;text-align:left;margin-left:0;margin-top:0;width:420.75pt;height:1579.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">
                <v:textbox style="mso-fit-shape-to-text:t">
                  <w:txbxContent>
                    <w:p w:rsidR="00C12111" w:rsidRPr="00574F1B" w:rsidRDefault="00C12111" w:rsidP="00C12111">
                      <w:pPr>
                        <w:rPr>
                          <w:b/>
                          <w:bCs/>
                        </w:rPr>
                      </w:pPr>
                      <w:r w:rsidRPr="00574F1B">
                        <w:rPr>
                          <w:b/>
                          <w:bCs/>
                        </w:rPr>
                        <w:t xml:space="preserve">Table </w:t>
                      </w:r>
                      <w:proofErr w:type="gramStart"/>
                      <w:r w:rsidRPr="00574F1B">
                        <w:rPr>
                          <w:b/>
                          <w:bCs/>
                        </w:rPr>
                        <w:t>4  Baseline</w:t>
                      </w:r>
                      <w:proofErr w:type="gramEnd"/>
                      <w:r w:rsidRPr="00574F1B">
                        <w:rPr>
                          <w:b/>
                          <w:bCs/>
                        </w:rPr>
                        <w:t xml:space="preserve"> characteristics of patients with esophageal variceal bleeding during follow-up  </w:t>
                      </w:r>
                      <w:r w:rsidRPr="00574F1B">
                        <w:rPr>
                          <w:b/>
                          <w:bCs/>
                          <w:i/>
                          <w:iCs/>
                        </w:rPr>
                        <w:t>n</w:t>
                      </w:r>
                      <w:r w:rsidRPr="00574F1B">
                        <w:rPr>
                          <w:b/>
                          <w:bCs/>
                        </w:rPr>
                        <w:t xml:space="preserve"> (%)</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109"/>
                        <w:gridCol w:w="1578"/>
                        <w:gridCol w:w="1982"/>
                        <w:gridCol w:w="1741"/>
                        <w:gridCol w:w="1147"/>
                      </w:tblGrid>
                      <w:tr w:rsidR="00C12111" w:rsidRPr="00574F1B" w:rsidTr="00574F1B">
                        <w:trPr>
                          <w:trHeight w:hRule="exact" w:val="993"/>
                        </w:trPr>
                        <w:tc>
                          <w:tcPr>
                            <w:tcW w:w="3109"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 xml:space="preserve">Categorical variables </w:t>
                            </w:r>
                          </w:p>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78"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Total (</w:t>
                            </w:r>
                            <w:r w:rsidRPr="00574F1B">
                              <w:rPr>
                                <w:rFonts w:ascii="Albertus Bold Italic" w:hAnsi="Albertus Bold Italic" w:cs="Albertus Bold Italic"/>
                                <w:b/>
                                <w:bCs/>
                                <w:i/>
                                <w:iCs/>
                                <w:color w:val="000000"/>
                                <w:kern w:val="0"/>
                                <w:sz w:val="14"/>
                                <w:szCs w:val="14"/>
                                <w:lang w:val="zh-CN"/>
                              </w:rPr>
                              <w:t>n</w:t>
                            </w:r>
                            <w:r w:rsidRPr="00574F1B">
                              <w:rPr>
                                <w:rFonts w:ascii="Albertus" w:hAnsi="Albertus" w:cs="Albertus"/>
                                <w:b/>
                                <w:bCs/>
                                <w:color w:val="000000"/>
                                <w:kern w:val="0"/>
                                <w:sz w:val="14"/>
                                <w:szCs w:val="14"/>
                                <w:lang w:val="zh-CN"/>
                              </w:rPr>
                              <w:t xml:space="preserve"> =139)</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82"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No EVB (</w:t>
                            </w:r>
                            <w:r w:rsidRPr="00574F1B">
                              <w:rPr>
                                <w:rFonts w:ascii="Albertus Bold Italic" w:hAnsi="Albertus Bold Italic" w:cs="Albertus Bold Italic"/>
                                <w:b/>
                                <w:bCs/>
                                <w:i/>
                                <w:iCs/>
                                <w:color w:val="000000"/>
                                <w:kern w:val="0"/>
                                <w:sz w:val="14"/>
                                <w:szCs w:val="14"/>
                                <w:lang w:val="zh-CN"/>
                              </w:rPr>
                              <w:t>n</w:t>
                            </w:r>
                            <w:r w:rsidRPr="00574F1B">
                              <w:rPr>
                                <w:rFonts w:ascii="Albertus" w:hAnsi="Albertus" w:cs="Albertus"/>
                                <w:b/>
                                <w:bCs/>
                                <w:color w:val="000000"/>
                                <w:kern w:val="0"/>
                                <w:sz w:val="14"/>
                                <w:szCs w:val="14"/>
                                <w:lang w:val="zh-CN"/>
                              </w:rPr>
                              <w:t xml:space="preserve"> = 105)</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41"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en-GB"/>
                              </w:rPr>
                              <w:t xml:space="preserve">EVB </w:t>
                            </w:r>
                            <w:r w:rsidRPr="00574F1B">
                              <w:rPr>
                                <w:rFonts w:ascii="Albertus" w:hAnsi="Albertus" w:cs="Albertus"/>
                                <w:b/>
                                <w:bCs/>
                                <w:color w:val="000000"/>
                                <w:kern w:val="0"/>
                                <w:sz w:val="14"/>
                                <w:szCs w:val="14"/>
                                <w:lang w:val="zh-CN"/>
                              </w:rPr>
                              <w:t>(</w:t>
                            </w:r>
                            <w:r w:rsidRPr="00574F1B">
                              <w:rPr>
                                <w:rFonts w:ascii="Albertus Bold Italic" w:hAnsi="Albertus Bold Italic" w:cs="Albertus Bold Italic"/>
                                <w:b/>
                                <w:bCs/>
                                <w:i/>
                                <w:iCs/>
                                <w:color w:val="000000"/>
                                <w:kern w:val="0"/>
                                <w:sz w:val="14"/>
                                <w:szCs w:val="14"/>
                                <w:lang w:val="zh-CN"/>
                              </w:rPr>
                              <w:t>n</w:t>
                            </w:r>
                            <w:r w:rsidRPr="00574F1B">
                              <w:rPr>
                                <w:rFonts w:ascii="Albertus" w:hAnsi="Albertus" w:cs="Albertus"/>
                                <w:b/>
                                <w:bCs/>
                                <w:color w:val="000000"/>
                                <w:kern w:val="0"/>
                                <w:sz w:val="14"/>
                                <w:szCs w:val="14"/>
                                <w:lang w:val="zh-CN"/>
                              </w:rPr>
                              <w:t xml:space="preserve"> = 34)</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147"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Bold Italic" w:hAnsi="Albertus Bold Italic" w:cs="Albertus Bold Italic"/>
                                <w:b/>
                                <w:bCs/>
                                <w:i/>
                                <w:iCs/>
                                <w:color w:val="000000"/>
                                <w:kern w:val="0"/>
                                <w:sz w:val="14"/>
                                <w:szCs w:val="14"/>
                                <w:lang w:val="zh-CN"/>
                              </w:rPr>
                              <w:t>P</w:t>
                            </w:r>
                            <w:r w:rsidRPr="00574F1B">
                              <w:rPr>
                                <w:rFonts w:ascii="Albertus" w:hAnsi="Albertus" w:cs="Albertus"/>
                                <w:b/>
                                <w:bCs/>
                                <w:color w:val="000000"/>
                                <w:kern w:val="0"/>
                                <w:sz w:val="14"/>
                                <w:szCs w:val="14"/>
                                <w:lang w:val="zh-CN"/>
                              </w:rPr>
                              <w:t xml:space="preserve"> value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12111" w:rsidRPr="00574F1B" w:rsidTr="00574F1B">
                        <w:trPr>
                          <w:trHeight w:val="60"/>
                        </w:trPr>
                        <w:tc>
                          <w:tcPr>
                            <w:tcW w:w="9557" w:type="dxa"/>
                            <w:gridSpan w:val="5"/>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574F1B">
                              <w:rPr>
                                <w:rFonts w:ascii="Book Antiqua" w:hAnsi="Book Antiqua" w:cs="Book Antiqua"/>
                                <w:color w:val="000000"/>
                                <w:kern w:val="0"/>
                                <w:sz w:val="14"/>
                                <w:szCs w:val="14"/>
                                <w:lang w:val="zh-CN"/>
                              </w:rPr>
                              <w:t>Upper panel: Categorical variables</w:t>
                            </w:r>
                            <w:r w:rsidRPr="00574F1B">
                              <w:rPr>
                                <w:rFonts w:ascii="Book Antiqua" w:hAnsi="Book Antiqua" w:cs="Book Antiqua"/>
                                <w:color w:val="000000"/>
                                <w:kern w:val="0"/>
                                <w:sz w:val="14"/>
                                <w:szCs w:val="14"/>
                                <w:vertAlign w:val="superscript"/>
                                <w:lang w:val="zh-CN"/>
                              </w:rPr>
                              <w:t>2</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Sex</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982"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741"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Men</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574F1B">
                              <w:rPr>
                                <w:rFonts w:ascii="Book Antiqua" w:hAnsi="Book Antiqua" w:cs="Book Antiqua"/>
                                <w:color w:val="000000"/>
                                <w:kern w:val="0"/>
                                <w:sz w:val="14"/>
                                <w:szCs w:val="14"/>
                                <w:lang w:val="zh-CN"/>
                              </w:rPr>
                              <w:t xml:space="preserve"> 109 (78.4)</w:t>
                            </w:r>
                            <w:r w:rsidRPr="00574F1B">
                              <w:rPr>
                                <w:rFonts w:ascii="Book Antiqua" w:hAnsi="Book Antiqua" w:cs="Book Antiqua"/>
                                <w:color w:val="000000"/>
                                <w:kern w:val="0"/>
                                <w:sz w:val="14"/>
                                <w:szCs w:val="14"/>
                                <w:vertAlign w:val="superscript"/>
                                <w:lang w:val="zh-CN"/>
                              </w:rPr>
                              <w:t>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80 (76.2)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29 (85.3)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0.341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Women </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30 (21.6)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25 (23.8)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 (14.7)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Etiology of cirrhosis:</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982"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741"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0.762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Alcoholic</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67 (48.2)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49 (46.7)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18 (52.9)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HBV</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32 (23.0)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23 (21.9)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9 (26.5)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HCV</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8 (5.8)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6 (5.7)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2 (5.9)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Alcoholic + viral </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 (7.9)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9 (8.6)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2 (5.9)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Other  </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21 (15.1)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18 (17.1)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 (8.8)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EV </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982"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741"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0.176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None</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26 (18.7)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22 (21.0)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 (11.8)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SEV</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44 (31.7)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36 (34.3)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8 (23.5)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MEV</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39 (28.1)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25 (23.8)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14 (41.2)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LEV</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30 (21.6)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22 (21.0)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8 (23.5)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Red signs</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982"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741"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0.034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 xml:space="preserve">Without varices </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 xml:space="preserve">  26 (18.7)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 xml:space="preserve">  22 (21.0)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4 (11.8)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Yes</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 xml:space="preserve">  19 (13.7)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10 (9.5)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9 (26.5)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No</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 xml:space="preserve">  94 (67.6)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 xml:space="preserve">  73 (69.5)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74F1B">
                              <w:rPr>
                                <w:rFonts w:ascii="Book Antiqua" w:hAnsi="Book Antiqua" w:cs="Book Antiqua"/>
                                <w:color w:val="000000"/>
                                <w:kern w:val="0"/>
                                <w:sz w:val="14"/>
                                <w:szCs w:val="14"/>
                                <w:lang w:val="en-GB"/>
                              </w:rPr>
                              <w:t>21 (61.8)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CTP</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982"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741"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0.968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A (5-6) </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43 (30.9)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33 (31.4)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10 (29.4)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B (7-9)</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63 (45.3)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47 (44.8)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16 (47.1)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C (10-15)</w:t>
                            </w:r>
                          </w:p>
                          <w:p w:rsidR="00C12111" w:rsidRPr="00574F1B" w:rsidRDefault="00C12111" w:rsidP="00574F1B">
                            <w:pPr>
                              <w:suppressAutoHyphens/>
                              <w:autoSpaceDE w:val="0"/>
                              <w:autoSpaceDN w:val="0"/>
                              <w:adjustRightInd w:val="0"/>
                              <w:spacing w:line="200" w:lineRule="atLeast"/>
                              <w:ind w:left="227"/>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33 (23.7)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25 (23.8)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8 (23.5)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autoSpaceDE w:val="0"/>
                              <w:autoSpaceDN w:val="0"/>
                              <w:adjustRightInd w:val="0"/>
                              <w:jc w:val="left"/>
                              <w:rPr>
                                <w:rFonts w:ascii="Albertus Bold Italic" w:hAnsi="Albertus Bold Italic"/>
                                <w:kern w:val="0"/>
                                <w:sz w:val="24"/>
                              </w:rPr>
                            </w:pPr>
                          </w:p>
                        </w:tc>
                      </w:tr>
                      <w:tr w:rsidR="00C12111" w:rsidRPr="00574F1B" w:rsidTr="00574F1B">
                        <w:trPr>
                          <w:trHeight w:val="60"/>
                        </w:trPr>
                        <w:tc>
                          <w:tcPr>
                            <w:tcW w:w="9557" w:type="dxa"/>
                            <w:gridSpan w:val="5"/>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574F1B">
                              <w:rPr>
                                <w:rFonts w:ascii="Book Antiqua" w:hAnsi="Book Antiqua" w:cs="Book Antiqua"/>
                                <w:color w:val="000000"/>
                                <w:kern w:val="0"/>
                                <w:sz w:val="14"/>
                                <w:szCs w:val="14"/>
                                <w:lang w:val="zh-CN"/>
                              </w:rPr>
                              <w:t>Lower panel: Numerical variables</w:t>
                            </w:r>
                            <w:r w:rsidRPr="00574F1B">
                              <w:rPr>
                                <w:rFonts w:ascii="Book Antiqua" w:hAnsi="Book Antiqua" w:cs="Book Antiqua"/>
                                <w:color w:val="000000"/>
                                <w:kern w:val="0"/>
                                <w:sz w:val="14"/>
                                <w:szCs w:val="14"/>
                                <w:vertAlign w:val="superscript"/>
                                <w:lang w:val="zh-CN"/>
                              </w:rPr>
                              <w:t>3</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i/>
                                <w:iCs/>
                                <w:color w:val="000000"/>
                                <w:kern w:val="0"/>
                                <w:sz w:val="14"/>
                                <w:szCs w:val="14"/>
                                <w:lang w:val="zh-CN"/>
                              </w:rPr>
                            </w:pPr>
                            <w:r w:rsidRPr="00574F1B">
                              <w:rPr>
                                <w:rFonts w:ascii="Book Antiqua" w:hAnsi="Book Antiqua" w:cs="Book Antiqua"/>
                                <w:color w:val="000000"/>
                                <w:kern w:val="0"/>
                                <w:sz w:val="14"/>
                                <w:szCs w:val="14"/>
                                <w:lang w:val="zh-CN"/>
                              </w:rPr>
                              <w:t>Age (yr</w:t>
                            </w:r>
                            <w:r w:rsidRPr="00574F1B">
                              <w:rPr>
                                <w:rFonts w:ascii="Book Antiqua" w:hAnsi="Book Antiqua" w:cs="Book Antiqua"/>
                                <w:i/>
                                <w:iCs/>
                                <w:color w:val="000000"/>
                                <w:kern w:val="0"/>
                                <w:sz w:val="14"/>
                                <w:szCs w:val="14"/>
                                <w:lang w:val="zh-CN"/>
                              </w:rPr>
                              <w:t>)</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51.5 ± 13.1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52.1 ± 13.5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49.7 ± 11.6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0.402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Hemoglobin (mg/dL)</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11.8 ± 2.3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12.0 ± 2.2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10.9 ± 2.5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0.017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PL (n/mm</w:t>
                            </w:r>
                            <w:r w:rsidRPr="00574F1B">
                              <w:rPr>
                                <w:rFonts w:ascii="Book Antiqua" w:hAnsi="Book Antiqua" w:cs="Book Antiqua"/>
                                <w:color w:val="000000"/>
                                <w:kern w:val="0"/>
                                <w:sz w:val="14"/>
                                <w:szCs w:val="14"/>
                                <w:vertAlign w:val="superscript"/>
                                <w:lang w:val="zh-CN"/>
                              </w:rPr>
                              <w:t>3</w:t>
                            </w:r>
                            <w:r w:rsidRPr="00574F1B">
                              <w:rPr>
                                <w:rFonts w:ascii="Book Antiqua" w:hAnsi="Book Antiqua" w:cs="Book Antiqua"/>
                                <w:color w:val="000000"/>
                                <w:kern w:val="0"/>
                                <w:sz w:val="14"/>
                                <w:szCs w:val="14"/>
                                <w:lang w:val="zh-CN"/>
                              </w:rPr>
                              <w:t>)</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165539 ± 101181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168742 ± 107419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155647 ± 79459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0.801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Creatinine (mg/dL)</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0.89 ± 0.34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0.88 ± 0.34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0.92 ± 0.32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0.336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AST (UI/L)</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107.6 ± 156.1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112.2 ± 175.7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93.4 ± 65.8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0.852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ALT (UI/L)</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73.1 ± 161.9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80.3 ± 189.9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50.6 ± 34.5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0.930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GGT (UI/L)</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264.9 ± 302.7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267.1 ± 311.4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258.2 ± 278.1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0.737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Gama globulin (g/L)</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27.1 ± 10.3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26.6 ± 9.0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28.6 ± 13.6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0.555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INR</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1.65 ± 0.47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1.65 ± 0.48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1.65 ± 0.43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0.862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Albumin </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3.19 ± 0.65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3.17 ± 0.72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3.25 ± 0.38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0.608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FIB-4</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5.83 ± 5.33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5.93 ± 5.80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5.50 ± 3.56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0.881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Fibrosis index </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3.15 ± 1.30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3.13 ± 1.41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3.22 ± 0.84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0.901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King score </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82.9 ± 135.2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89.6 ± 152.2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62.1 ± 53.7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0.978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APRI</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2.63 ± 3.79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2.80 ± 4.25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2.13 ± 1.70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0.550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PL/SD</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1146 ± 780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1189 ± 826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1014 ± 605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0.398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AST/ALT</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2.18 ± 1.62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2.17 ± 1.64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2.23 ± 1.57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0.628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3109"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MELD</w:t>
                            </w:r>
                          </w:p>
                          <w:p w:rsidR="00C12111" w:rsidRPr="00574F1B" w:rsidRDefault="00C12111" w:rsidP="00574F1B">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15.7 ± 5.2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8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15.5 ± 5.3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741"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16.2 ± 4.8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14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0.435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12111" w:rsidRPr="007C23F4" w:rsidRDefault="00C12111" w:rsidP="00C12111">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proofErr w:type="gramStart"/>
                      <w:r w:rsidRPr="00574F1B">
                        <w:rPr>
                          <w:rFonts w:ascii="Book Antiqua" w:hAnsi="Book Antiqua" w:cs="Book Antiqua"/>
                          <w:color w:val="000000"/>
                          <w:kern w:val="0"/>
                          <w:sz w:val="14"/>
                          <w:szCs w:val="14"/>
                          <w:vertAlign w:val="superscript"/>
                        </w:rPr>
                        <w:t>1</w:t>
                      </w:r>
                      <w:r w:rsidRPr="00574F1B">
                        <w:rPr>
                          <w:rFonts w:ascii="Book Antiqua" w:hAnsi="Book Antiqua" w:cs="Book Antiqua"/>
                          <w:color w:val="000000"/>
                          <w:kern w:val="0"/>
                          <w:sz w:val="14"/>
                          <w:szCs w:val="14"/>
                        </w:rPr>
                        <w:t xml:space="preserve">Absolute numbers and </w:t>
                      </w:r>
                      <w:r w:rsidRPr="00574F1B">
                        <w:rPr>
                          <w:rFonts w:ascii="Book Antiqua" w:hAnsi="Book Antiqua" w:cs="Book Antiqua"/>
                          <w:i/>
                          <w:iCs/>
                          <w:color w:val="000000"/>
                          <w:kern w:val="0"/>
                          <w:sz w:val="14"/>
                          <w:szCs w:val="14"/>
                        </w:rPr>
                        <w:t>column</w:t>
                      </w:r>
                      <w:r w:rsidRPr="00574F1B">
                        <w:rPr>
                          <w:rFonts w:ascii="Book Antiqua" w:hAnsi="Book Antiqua" w:cs="Book Antiqua"/>
                          <w:color w:val="000000"/>
                          <w:kern w:val="0"/>
                          <w:sz w:val="14"/>
                          <w:szCs w:val="14"/>
                        </w:rPr>
                        <w:t xml:space="preserve"> percentages (in parentheses); </w:t>
                      </w:r>
                      <w:r w:rsidRPr="00574F1B">
                        <w:rPr>
                          <w:rFonts w:ascii="Book Antiqua" w:hAnsi="Book Antiqua" w:cs="Book Antiqua"/>
                          <w:color w:val="000000"/>
                          <w:kern w:val="0"/>
                          <w:sz w:val="14"/>
                          <w:szCs w:val="14"/>
                          <w:vertAlign w:val="superscript"/>
                        </w:rPr>
                        <w:t>2</w:t>
                      </w:r>
                      <w:r w:rsidRPr="00574F1B">
                        <w:rPr>
                          <w:rFonts w:ascii="Book Antiqua" w:hAnsi="Book Antiqua" w:cs="Book Antiqua"/>
                          <w:i/>
                          <w:iCs/>
                          <w:color w:val="000000"/>
                          <w:kern w:val="0"/>
                          <w:sz w:val="14"/>
                          <w:szCs w:val="14"/>
                        </w:rPr>
                        <w:t>P</w:t>
                      </w:r>
                      <w:r w:rsidRPr="00574F1B">
                        <w:rPr>
                          <w:rFonts w:ascii="Book Antiqua" w:hAnsi="Book Antiqua" w:cs="Book Antiqua"/>
                          <w:color w:val="000000"/>
                          <w:kern w:val="0"/>
                          <w:sz w:val="14"/>
                          <w:szCs w:val="14"/>
                        </w:rPr>
                        <w:t xml:space="preserve"> values from Fisher’s exact test; </w:t>
                      </w:r>
                      <w:r w:rsidRPr="00574F1B">
                        <w:rPr>
                          <w:rFonts w:ascii="Book Antiqua" w:hAnsi="Book Antiqua" w:cs="Book Antiqua"/>
                          <w:color w:val="000000"/>
                          <w:kern w:val="0"/>
                          <w:sz w:val="14"/>
                          <w:szCs w:val="14"/>
                          <w:vertAlign w:val="superscript"/>
                        </w:rPr>
                        <w:t>3</w:t>
                      </w:r>
                      <w:r w:rsidRPr="00574F1B">
                        <w:rPr>
                          <w:rFonts w:ascii="Book Antiqua" w:hAnsi="Book Antiqua" w:cs="Book Antiqua"/>
                          <w:i/>
                          <w:iCs/>
                          <w:color w:val="000000"/>
                          <w:kern w:val="0"/>
                          <w:sz w:val="14"/>
                          <w:szCs w:val="14"/>
                        </w:rPr>
                        <w:t>P</w:t>
                      </w:r>
                      <w:r w:rsidRPr="00574F1B">
                        <w:rPr>
                          <w:rFonts w:ascii="Book Antiqua" w:hAnsi="Book Antiqua" w:cs="Book Antiqua"/>
                          <w:color w:val="000000"/>
                          <w:kern w:val="0"/>
                          <w:sz w:val="14"/>
                          <w:szCs w:val="14"/>
                        </w:rPr>
                        <w:t xml:space="preserve"> values from Mann-Whitney’s </w:t>
                      </w:r>
                      <w:r w:rsidRPr="00574F1B">
                        <w:rPr>
                          <w:rFonts w:ascii="Book Antiqua" w:hAnsi="Book Antiqua" w:cs="Book Antiqua"/>
                          <w:i/>
                          <w:iCs/>
                          <w:color w:val="000000"/>
                          <w:kern w:val="0"/>
                          <w:sz w:val="14"/>
                          <w:szCs w:val="14"/>
                        </w:rPr>
                        <w:t>U</w:t>
                      </w:r>
                      <w:r w:rsidRPr="00574F1B">
                        <w:rPr>
                          <w:rFonts w:ascii="Book Antiqua" w:hAnsi="Book Antiqua" w:cs="Book Antiqua"/>
                          <w:color w:val="000000"/>
                          <w:kern w:val="0"/>
                          <w:sz w:val="14"/>
                          <w:szCs w:val="14"/>
                        </w:rPr>
                        <w:t>-test.</w:t>
                      </w:r>
                      <w:proofErr w:type="gramEnd"/>
                      <w:r w:rsidRPr="00574F1B">
                        <w:rPr>
                          <w:rFonts w:ascii="Book Antiqua" w:hAnsi="Book Antiqua" w:cs="Book Antiqua"/>
                          <w:color w:val="000000"/>
                          <w:kern w:val="0"/>
                          <w:sz w:val="14"/>
                          <w:szCs w:val="14"/>
                        </w:rPr>
                        <w:t xml:space="preserve"> AST/ALT: Aspartate aminotransferase (AST) to alanine aminotransferase (ALT) ratio; APRI: AST to platelet ratio index; CTP: Child-Turcotte-Pugh score; EV: Esophageal varices; FIB-4: Fibrosis-4-index; GGT: Gamma glutamyltranspeptidase; HBV: Hepatitis B virus; HCV: Hepatitis C virus; INR: International normalized ratio; LEV: Large esophageal varices; MEV: Medium esophageal varices; MELD: Model for end-stage liver disease; PC/SD: Platelet count to spleen diameter; SEV: Small esophageal varices.</w:t>
                      </w:r>
                    </w:p>
                  </w:txbxContent>
                </v:textbox>
                <w10:wrap type="square"/>
              </v:shape>
            </w:pict>
          </mc:Fallback>
        </mc:AlternateContent>
      </w:r>
    </w:p>
    <w:p w:rsidR="00C12111" w:rsidRDefault="00C12111" w:rsidP="00C12111">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343525" cy="4716780"/>
                <wp:effectExtent l="8255" t="9525" r="10795" b="762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716780"/>
                        </a:xfrm>
                        <a:prstGeom prst="rect">
                          <a:avLst/>
                        </a:prstGeom>
                        <a:solidFill>
                          <a:srgbClr val="FFFFFF"/>
                        </a:solidFill>
                        <a:ln w="9525">
                          <a:solidFill>
                            <a:srgbClr val="000000"/>
                          </a:solidFill>
                          <a:miter lim="800000"/>
                          <a:headEnd/>
                          <a:tailEnd/>
                        </a:ln>
                      </wps:spPr>
                      <wps:txbx>
                        <w:txbxContent>
                          <w:p w:rsidR="00C12111" w:rsidRPr="00574F1B" w:rsidRDefault="00C12111" w:rsidP="00C12111">
                            <w:pPr>
                              <w:rPr>
                                <w:b/>
                                <w:bCs/>
                              </w:rPr>
                            </w:pPr>
                            <w:r w:rsidRPr="00574F1B">
                              <w:rPr>
                                <w:b/>
                                <w:bCs/>
                              </w:rPr>
                              <w:t xml:space="preserve">Table </w:t>
                            </w:r>
                            <w:proofErr w:type="gramStart"/>
                            <w:r w:rsidRPr="00574F1B">
                              <w:rPr>
                                <w:b/>
                                <w:bCs/>
                              </w:rPr>
                              <w:t>5  Performance</w:t>
                            </w:r>
                            <w:proofErr w:type="gramEnd"/>
                            <w:r w:rsidRPr="00574F1B">
                              <w:rPr>
                                <w:b/>
                                <w:bCs/>
                              </w:rPr>
                              <w:t xml:space="preserve"> of non-invasive markers for prediction of esophageal variceal bleeding (</w:t>
                            </w:r>
                            <w:r w:rsidRPr="00574F1B">
                              <w:rPr>
                                <w:b/>
                                <w:bCs/>
                                <w:i/>
                                <w:iCs/>
                              </w:rPr>
                              <w:t>n</w:t>
                            </w:r>
                            <w:r w:rsidRPr="00574F1B">
                              <w:rPr>
                                <w:b/>
                                <w:bCs/>
                              </w:rPr>
                              <w:t xml:space="preserve"> = 34)</w:t>
                            </w:r>
                          </w:p>
                          <w:tbl>
                            <w:tblPr>
                              <w:tblW w:w="955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795"/>
                              <w:gridCol w:w="1553"/>
                              <w:gridCol w:w="1552"/>
                              <w:gridCol w:w="1553"/>
                              <w:gridCol w:w="1552"/>
                              <w:gridCol w:w="1553"/>
                            </w:tblGrid>
                            <w:tr w:rsidR="00C12111" w:rsidRPr="00574F1B" w:rsidTr="00574F1B">
                              <w:trPr>
                                <w:trHeight w:hRule="exact" w:val="891"/>
                              </w:trPr>
                              <w:tc>
                                <w:tcPr>
                                  <w:tcW w:w="1795"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Non-invasive markers</w:t>
                                  </w:r>
                                </w:p>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53"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Cut-off value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52"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Sensitivity</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53"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574F1B">
                                    <w:rPr>
                                      <w:rFonts w:ascii="Albertus" w:hAnsi="Albertus" w:cs="Albertus"/>
                                      <w:b/>
                                      <w:bCs/>
                                      <w:color w:val="000000"/>
                                      <w:kern w:val="0"/>
                                      <w:sz w:val="14"/>
                                      <w:szCs w:val="14"/>
                                      <w:lang w:val="en-GB"/>
                                    </w:rPr>
                                    <w:t>Specificity</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52"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sidRPr="00574F1B">
                                    <w:rPr>
                                      <w:rFonts w:ascii="Albertus" w:hAnsi="Albertus" w:cs="Albertus"/>
                                      <w:b/>
                                      <w:bCs/>
                                      <w:color w:val="000000"/>
                                      <w:kern w:val="0"/>
                                      <w:sz w:val="14"/>
                                      <w:szCs w:val="14"/>
                                      <w:lang w:val="zh-CN"/>
                                    </w:rPr>
                                    <w:t>AUC (95%CI)</w:t>
                                  </w:r>
                                  <w:r w:rsidRPr="00574F1B">
                                    <w:rPr>
                                      <w:rFonts w:ascii="Albertus" w:hAnsi="Albertus" w:cs="Albertus"/>
                                      <w:b/>
                                      <w:bCs/>
                                      <w:color w:val="000000"/>
                                      <w:kern w:val="0"/>
                                      <w:sz w:val="14"/>
                                      <w:szCs w:val="14"/>
                                      <w:vertAlign w:val="superscript"/>
                                      <w:lang w:val="zh-CN"/>
                                    </w:rPr>
                                    <w:t>1</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53"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Bold Italic" w:hAnsi="Albertus Bold Italic" w:cs="Albertus Bold Italic"/>
                                      <w:b/>
                                      <w:bCs/>
                                      <w:i/>
                                      <w:iCs/>
                                      <w:color w:val="000000"/>
                                      <w:kern w:val="0"/>
                                      <w:sz w:val="14"/>
                                      <w:szCs w:val="14"/>
                                      <w:lang w:val="zh-CN"/>
                                    </w:rPr>
                                    <w:t>P</w:t>
                                  </w:r>
                                  <w:r w:rsidRPr="00574F1B">
                                    <w:rPr>
                                      <w:rFonts w:ascii="Albertus" w:hAnsi="Albertus" w:cs="Albertus"/>
                                      <w:b/>
                                      <w:bCs/>
                                      <w:color w:val="000000"/>
                                      <w:kern w:val="0"/>
                                      <w:sz w:val="14"/>
                                      <w:szCs w:val="14"/>
                                      <w:lang w:val="zh-CN"/>
                                    </w:rPr>
                                    <w:t xml:space="preserve"> value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12111" w:rsidRPr="00574F1B" w:rsidTr="00574F1B">
                              <w:trPr>
                                <w:trHeight w:val="60"/>
                              </w:trPr>
                              <w:tc>
                                <w:tcPr>
                                  <w:tcW w:w="1795"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FIB-4</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5.02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0.51 (0.40-0.62)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0.881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1795"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Fibrosis index </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3.12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0.52 (0.40-0.61) </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0.901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1795"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King score </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37.16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0.50 (0.40-0.60)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0.978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1795"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APRI</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0.53 (0.43-0.64)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0.550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1795"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PL/SD</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828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0.45 (0.34-0.56)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0.398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1795"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AST/ALT</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1.71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0.53 (0.42-0.64)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0.628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1795"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MELD</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15.5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0.55 (0.44-0.65)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0.436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12111" w:rsidRPr="00B16554" w:rsidRDefault="00C12111" w:rsidP="00C12111">
                            <w:pPr>
                              <w:pStyle w:val="af3"/>
                              <w:rPr>
                                <w:rFonts w:ascii="Book Antiqua" w:hAnsi="Book Antiqua" w:cs="Book Antiqua"/>
                                <w:sz w:val="14"/>
                                <w:szCs w:val="14"/>
                                <w:vertAlign w:val="superscript"/>
                              </w:rPr>
                            </w:pPr>
                            <w:r w:rsidRPr="00574F1B">
                              <w:rPr>
                                <w:rFonts w:ascii="Book Antiqua" w:hAnsi="Book Antiqua" w:cs="Book Antiqua"/>
                                <w:sz w:val="14"/>
                                <w:szCs w:val="14"/>
                                <w:vertAlign w:val="superscript"/>
                              </w:rPr>
                              <w:t>1</w:t>
                            </w:r>
                            <w:r w:rsidRPr="00574F1B">
                              <w:rPr>
                                <w:rFonts w:ascii="Book Antiqua" w:hAnsi="Book Antiqua" w:cs="Book Antiqua"/>
                                <w:sz w:val="14"/>
                                <w:szCs w:val="14"/>
                              </w:rPr>
                              <w:t>AUC (area under the curve) obtained from the receiver operating characteristic. AST/ALT: Aspartate aminotransferase (AST) to alanine aminotransferase (ALT) ratio; APRI: AST to platelet ratio index; FIB-4: Fibrosis-4-index; MELD: Model for end-stage liver disease; PC/SD: Platelet count to spleen diameter.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0;margin-top:0;width:420.75pt;height:37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">
                <v:textbox style="mso-fit-shape-to-text:t">
                  <w:txbxContent>
                    <w:p w:rsidR="00C12111" w:rsidRPr="00574F1B" w:rsidRDefault="00C12111" w:rsidP="00C12111">
                      <w:pPr>
                        <w:rPr>
                          <w:b/>
                          <w:bCs/>
                        </w:rPr>
                      </w:pPr>
                      <w:r w:rsidRPr="00574F1B">
                        <w:rPr>
                          <w:b/>
                          <w:bCs/>
                        </w:rPr>
                        <w:t xml:space="preserve">Table </w:t>
                      </w:r>
                      <w:proofErr w:type="gramStart"/>
                      <w:r w:rsidRPr="00574F1B">
                        <w:rPr>
                          <w:b/>
                          <w:bCs/>
                        </w:rPr>
                        <w:t>5  Performance</w:t>
                      </w:r>
                      <w:proofErr w:type="gramEnd"/>
                      <w:r w:rsidRPr="00574F1B">
                        <w:rPr>
                          <w:b/>
                          <w:bCs/>
                        </w:rPr>
                        <w:t xml:space="preserve"> of non-invasive markers for prediction of esophageal variceal bleeding (</w:t>
                      </w:r>
                      <w:r w:rsidRPr="00574F1B">
                        <w:rPr>
                          <w:b/>
                          <w:bCs/>
                          <w:i/>
                          <w:iCs/>
                        </w:rPr>
                        <w:t>n</w:t>
                      </w:r>
                      <w:r w:rsidRPr="00574F1B">
                        <w:rPr>
                          <w:b/>
                          <w:bCs/>
                        </w:rPr>
                        <w:t xml:space="preserve"> = 34)</w:t>
                      </w:r>
                    </w:p>
                    <w:tbl>
                      <w:tblPr>
                        <w:tblW w:w="955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795"/>
                        <w:gridCol w:w="1553"/>
                        <w:gridCol w:w="1552"/>
                        <w:gridCol w:w="1553"/>
                        <w:gridCol w:w="1552"/>
                        <w:gridCol w:w="1553"/>
                      </w:tblGrid>
                      <w:tr w:rsidR="00C12111" w:rsidRPr="00574F1B" w:rsidTr="00574F1B">
                        <w:trPr>
                          <w:trHeight w:hRule="exact" w:val="891"/>
                        </w:trPr>
                        <w:tc>
                          <w:tcPr>
                            <w:tcW w:w="1795"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Non-invasive markers</w:t>
                            </w:r>
                          </w:p>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53"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Cut-off value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52"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Sensitivity</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53"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574F1B">
                              <w:rPr>
                                <w:rFonts w:ascii="Albertus" w:hAnsi="Albertus" w:cs="Albertus"/>
                                <w:b/>
                                <w:bCs/>
                                <w:color w:val="000000"/>
                                <w:kern w:val="0"/>
                                <w:sz w:val="14"/>
                                <w:szCs w:val="14"/>
                                <w:lang w:val="en-GB"/>
                              </w:rPr>
                              <w:t>Specificity</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52"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sidRPr="00574F1B">
                              <w:rPr>
                                <w:rFonts w:ascii="Albertus" w:hAnsi="Albertus" w:cs="Albertus"/>
                                <w:b/>
                                <w:bCs/>
                                <w:color w:val="000000"/>
                                <w:kern w:val="0"/>
                                <w:sz w:val="14"/>
                                <w:szCs w:val="14"/>
                                <w:lang w:val="zh-CN"/>
                              </w:rPr>
                              <w:t>AUC (95%CI)</w:t>
                            </w:r>
                            <w:r w:rsidRPr="00574F1B">
                              <w:rPr>
                                <w:rFonts w:ascii="Albertus" w:hAnsi="Albertus" w:cs="Albertus"/>
                                <w:b/>
                                <w:bCs/>
                                <w:color w:val="000000"/>
                                <w:kern w:val="0"/>
                                <w:sz w:val="14"/>
                                <w:szCs w:val="14"/>
                                <w:vertAlign w:val="superscript"/>
                                <w:lang w:val="zh-CN"/>
                              </w:rPr>
                              <w:t>1</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53"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Bold Italic" w:hAnsi="Albertus Bold Italic" w:cs="Albertus Bold Italic"/>
                                <w:b/>
                                <w:bCs/>
                                <w:i/>
                                <w:iCs/>
                                <w:color w:val="000000"/>
                                <w:kern w:val="0"/>
                                <w:sz w:val="14"/>
                                <w:szCs w:val="14"/>
                                <w:lang w:val="zh-CN"/>
                              </w:rPr>
                              <w:t>P</w:t>
                            </w:r>
                            <w:r w:rsidRPr="00574F1B">
                              <w:rPr>
                                <w:rFonts w:ascii="Albertus" w:hAnsi="Albertus" w:cs="Albertus"/>
                                <w:b/>
                                <w:bCs/>
                                <w:color w:val="000000"/>
                                <w:kern w:val="0"/>
                                <w:sz w:val="14"/>
                                <w:szCs w:val="14"/>
                                <w:lang w:val="zh-CN"/>
                              </w:rPr>
                              <w:t xml:space="preserve"> value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12111" w:rsidRPr="00574F1B" w:rsidTr="00574F1B">
                        <w:trPr>
                          <w:trHeight w:val="60"/>
                        </w:trPr>
                        <w:tc>
                          <w:tcPr>
                            <w:tcW w:w="1795"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FIB-4</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5.02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0.51 (0.40-0.62)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0.881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1795"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Fibrosis index </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3.12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0.52 (0.40-0.61) </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0.901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1795"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King score </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37.16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0.50 (0.40-0.60)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0.978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1795"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APRI</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0.53 (0.43-0.64)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0.550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1795"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PL/SD</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828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39%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0.45 (0.34-0.56)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0.398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1795"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AST/ALT</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1.71</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0.53 (0.42-0.64)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0.628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1795"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MELD</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15.5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2"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0.55 (0.44-0.65)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5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0.436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12111" w:rsidRPr="00B16554" w:rsidRDefault="00C12111" w:rsidP="00C12111">
                      <w:pPr>
                        <w:pStyle w:val="af3"/>
                        <w:rPr>
                          <w:rFonts w:ascii="Book Antiqua" w:hAnsi="Book Antiqua" w:cs="Book Antiqua"/>
                          <w:sz w:val="14"/>
                          <w:szCs w:val="14"/>
                          <w:vertAlign w:val="superscript"/>
                        </w:rPr>
                      </w:pPr>
                      <w:r w:rsidRPr="00574F1B">
                        <w:rPr>
                          <w:rFonts w:ascii="Book Antiqua" w:hAnsi="Book Antiqua" w:cs="Book Antiqua"/>
                          <w:sz w:val="14"/>
                          <w:szCs w:val="14"/>
                          <w:vertAlign w:val="superscript"/>
                        </w:rPr>
                        <w:t>1</w:t>
                      </w:r>
                      <w:r w:rsidRPr="00574F1B">
                        <w:rPr>
                          <w:rFonts w:ascii="Book Antiqua" w:hAnsi="Book Antiqua" w:cs="Book Antiqua"/>
                          <w:sz w:val="14"/>
                          <w:szCs w:val="14"/>
                        </w:rPr>
                        <w:t>AUC (area under the curve) obtained from the receiver operating characteristic. AST/ALT: Aspartate aminotransferase (AST) to alanine aminotransferase (ALT) ratio; APRI: AST to platelet ratio index; FIB-4: Fibrosis-4-index; MELD: Model for end-stage liver disease; PC/SD: Platelet count to spleen diameter.</w:t>
                      </w:r>
                    </w:p>
                  </w:txbxContent>
                </v:textbox>
                <w10:wrap type="square"/>
              </v:shape>
            </w:pict>
          </mc:Fallback>
        </mc:AlternateContent>
      </w:r>
    </w:p>
    <w:p w:rsidR="00C12111" w:rsidRPr="00574F1B" w:rsidRDefault="00C12111" w:rsidP="00C12111">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343525" cy="4912360"/>
                <wp:effectExtent l="8255" t="9525" r="10795" b="1206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912360"/>
                        </a:xfrm>
                        <a:prstGeom prst="rect">
                          <a:avLst/>
                        </a:prstGeom>
                        <a:solidFill>
                          <a:srgbClr val="FFFFFF"/>
                        </a:solidFill>
                        <a:ln w="9525">
                          <a:solidFill>
                            <a:srgbClr val="000000"/>
                          </a:solidFill>
                          <a:miter lim="800000"/>
                          <a:headEnd/>
                          <a:tailEnd/>
                        </a:ln>
                      </wps:spPr>
                      <wps:txbx>
                        <w:txbxContent>
                          <w:p w:rsidR="00C12111" w:rsidRPr="00574F1B" w:rsidRDefault="00C12111" w:rsidP="00C12111">
                            <w:pPr>
                              <w:rPr>
                                <w:b/>
                                <w:bCs/>
                              </w:rPr>
                            </w:pPr>
                            <w:r w:rsidRPr="00574F1B">
                              <w:rPr>
                                <w:b/>
                                <w:bCs/>
                              </w:rPr>
                              <w:t xml:space="preserve">Table </w:t>
                            </w:r>
                            <w:proofErr w:type="gramStart"/>
                            <w:r w:rsidRPr="00574F1B">
                              <w:rPr>
                                <w:b/>
                                <w:bCs/>
                              </w:rPr>
                              <w:t>6  Performance</w:t>
                            </w:r>
                            <w:proofErr w:type="gramEnd"/>
                            <w:r w:rsidRPr="00574F1B">
                              <w:rPr>
                                <w:b/>
                                <w:bCs/>
                              </w:rPr>
                              <w:t xml:space="preserve"> of non-invasive markers for prediction of esophageal variceal bleeding among patients with variceal prophylactic therapy (</w:t>
                            </w:r>
                            <w:r w:rsidRPr="00574F1B">
                              <w:rPr>
                                <w:b/>
                                <w:bCs/>
                                <w:i/>
                                <w:iCs/>
                              </w:rPr>
                              <w:t>n</w:t>
                            </w:r>
                            <w:r w:rsidRPr="00574F1B">
                              <w:rPr>
                                <w:b/>
                                <w:bCs/>
                              </w:rPr>
                              <w:t xml:space="preserve"> = 83; esophageal variceal bleeding: </w:t>
                            </w:r>
                            <w:r w:rsidRPr="00574F1B">
                              <w:rPr>
                                <w:b/>
                                <w:bCs/>
                                <w:i/>
                                <w:iCs/>
                              </w:rPr>
                              <w:t>n</w:t>
                            </w:r>
                            <w:r w:rsidRPr="00574F1B">
                              <w:rPr>
                                <w:b/>
                                <w:bCs/>
                              </w:rPr>
                              <w:t xml:space="preserve"> = 23)</w:t>
                            </w:r>
                          </w:p>
                          <w:tbl>
                            <w:tblPr>
                              <w:tblW w:w="955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073"/>
                              <w:gridCol w:w="1497"/>
                              <w:gridCol w:w="1497"/>
                              <w:gridCol w:w="1497"/>
                              <w:gridCol w:w="1497"/>
                              <w:gridCol w:w="1498"/>
                            </w:tblGrid>
                            <w:tr w:rsidR="00C12111" w:rsidRPr="00574F1B" w:rsidTr="00574F1B">
                              <w:trPr>
                                <w:trHeight w:hRule="exact" w:val="887"/>
                              </w:trPr>
                              <w:tc>
                                <w:tcPr>
                                  <w:tcW w:w="2073"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Non-invasive markers</w:t>
                                  </w:r>
                                </w:p>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497"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Cut-off value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97"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Sensitivity</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97"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574F1B">
                                    <w:rPr>
                                      <w:rFonts w:ascii="Albertus" w:hAnsi="Albertus" w:cs="Albertus"/>
                                      <w:b/>
                                      <w:bCs/>
                                      <w:color w:val="000000"/>
                                      <w:kern w:val="0"/>
                                      <w:sz w:val="14"/>
                                      <w:szCs w:val="14"/>
                                      <w:lang w:val="en-GB"/>
                                    </w:rPr>
                                    <w:t>Specificity</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97"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sidRPr="00574F1B">
                                    <w:rPr>
                                      <w:rFonts w:ascii="Albertus" w:hAnsi="Albertus" w:cs="Albertus"/>
                                      <w:b/>
                                      <w:bCs/>
                                      <w:color w:val="000000"/>
                                      <w:kern w:val="0"/>
                                      <w:sz w:val="14"/>
                                      <w:szCs w:val="14"/>
                                      <w:lang w:val="zh-CN"/>
                                    </w:rPr>
                                    <w:t>AUC (95%CI)</w:t>
                                  </w:r>
                                  <w:r w:rsidRPr="00574F1B">
                                    <w:rPr>
                                      <w:rFonts w:ascii="Albertus" w:hAnsi="Albertus" w:cs="Albertus"/>
                                      <w:b/>
                                      <w:bCs/>
                                      <w:color w:val="000000"/>
                                      <w:kern w:val="0"/>
                                      <w:sz w:val="14"/>
                                      <w:szCs w:val="14"/>
                                      <w:vertAlign w:val="superscript"/>
                                      <w:lang w:val="zh-CN"/>
                                    </w:rPr>
                                    <w:t>1</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98"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Bold Italic" w:hAnsi="Albertus Bold Italic" w:cs="Albertus Bold Italic"/>
                                      <w:b/>
                                      <w:bCs/>
                                      <w:i/>
                                      <w:iCs/>
                                      <w:color w:val="000000"/>
                                      <w:kern w:val="0"/>
                                      <w:sz w:val="14"/>
                                      <w:szCs w:val="14"/>
                                      <w:lang w:val="zh-CN"/>
                                    </w:rPr>
                                    <w:t>P</w:t>
                                  </w:r>
                                  <w:r w:rsidRPr="00574F1B">
                                    <w:rPr>
                                      <w:rFonts w:ascii="Albertus" w:hAnsi="Albertus" w:cs="Albertus"/>
                                      <w:b/>
                                      <w:bCs/>
                                      <w:color w:val="000000"/>
                                      <w:kern w:val="0"/>
                                      <w:sz w:val="14"/>
                                      <w:szCs w:val="14"/>
                                      <w:lang w:val="zh-CN"/>
                                    </w:rPr>
                                    <w:t xml:space="preserve"> value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12111" w:rsidRPr="00574F1B" w:rsidTr="00574F1B">
                              <w:trPr>
                                <w:trHeight w:val="60"/>
                              </w:trPr>
                              <w:tc>
                                <w:tcPr>
                                  <w:tcW w:w="2073"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FIB-4</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5.02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0.42 (0.28-0.56)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0.257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07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Fibrosis index </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3.43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0.41 (0.28-0.55) </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0.215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07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King score </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46.15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28%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0.39 (0.26-0.52)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0.112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07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APRI</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0.45 (0.32-0.57)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0.439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07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PL/SD</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736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0.49 (0.34-0.63)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0.843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07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AST/ALT</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1.79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0.53 (0.42-0.64)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0.628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07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MELD</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0.49 (0.35-0.63)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0.879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12111" w:rsidRPr="00855823" w:rsidRDefault="00C12111" w:rsidP="00C12111">
                            <w:pPr>
                              <w:pStyle w:val="af3"/>
                              <w:rPr>
                                <w:rFonts w:ascii="Book Antiqua" w:hAnsi="Book Antiqua" w:cs="Book Antiqua"/>
                                <w:sz w:val="14"/>
                                <w:szCs w:val="14"/>
                                <w:vertAlign w:val="superscript"/>
                              </w:rPr>
                            </w:pPr>
                            <w:r w:rsidRPr="00574F1B">
                              <w:rPr>
                                <w:rFonts w:ascii="Book Antiqua" w:hAnsi="Book Antiqua" w:cs="Book Antiqua"/>
                                <w:sz w:val="14"/>
                                <w:szCs w:val="14"/>
                                <w:vertAlign w:val="superscript"/>
                              </w:rPr>
                              <w:t>1</w:t>
                            </w:r>
                            <w:r w:rsidRPr="00574F1B">
                              <w:rPr>
                                <w:rFonts w:ascii="Book Antiqua" w:hAnsi="Book Antiqua" w:cs="Book Antiqua"/>
                                <w:sz w:val="14"/>
                                <w:szCs w:val="14"/>
                              </w:rPr>
                              <w:t>AUC (area under the curve) obtained from the receiver operating characteristic. AST/ALT: Aspartate aminotransferase (AST) to alanine aminotransferase (ALT) ratio; APRI: AST to platelet ratio index; FIB-4: Fibrosis-4-index; MELD: Model for end-stage liver disease; PC/SD: Platelet count to spleen diameter; VPT: Variceal prophylactic therapy.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31" type="#_x0000_t202" style="position:absolute;left:0;text-align:left;margin-left:0;margin-top:0;width:420.75pt;height:386.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">
                <v:textbox style="mso-fit-shape-to-text:t">
                  <w:txbxContent>
                    <w:p w:rsidR="00C12111" w:rsidRPr="00574F1B" w:rsidRDefault="00C12111" w:rsidP="00C12111">
                      <w:pPr>
                        <w:rPr>
                          <w:b/>
                          <w:bCs/>
                        </w:rPr>
                      </w:pPr>
                      <w:r w:rsidRPr="00574F1B">
                        <w:rPr>
                          <w:b/>
                          <w:bCs/>
                        </w:rPr>
                        <w:t xml:space="preserve">Table </w:t>
                      </w:r>
                      <w:proofErr w:type="gramStart"/>
                      <w:r w:rsidRPr="00574F1B">
                        <w:rPr>
                          <w:b/>
                          <w:bCs/>
                        </w:rPr>
                        <w:t>6  Performance</w:t>
                      </w:r>
                      <w:proofErr w:type="gramEnd"/>
                      <w:r w:rsidRPr="00574F1B">
                        <w:rPr>
                          <w:b/>
                          <w:bCs/>
                        </w:rPr>
                        <w:t xml:space="preserve"> of non-invasive markers for prediction of esophageal variceal bleeding among patients with variceal prophylactic therapy (</w:t>
                      </w:r>
                      <w:r w:rsidRPr="00574F1B">
                        <w:rPr>
                          <w:b/>
                          <w:bCs/>
                          <w:i/>
                          <w:iCs/>
                        </w:rPr>
                        <w:t>n</w:t>
                      </w:r>
                      <w:r w:rsidRPr="00574F1B">
                        <w:rPr>
                          <w:b/>
                          <w:bCs/>
                        </w:rPr>
                        <w:t xml:space="preserve"> = 83; esophageal variceal bleeding: </w:t>
                      </w:r>
                      <w:r w:rsidRPr="00574F1B">
                        <w:rPr>
                          <w:b/>
                          <w:bCs/>
                          <w:i/>
                          <w:iCs/>
                        </w:rPr>
                        <w:t>n</w:t>
                      </w:r>
                      <w:r w:rsidRPr="00574F1B">
                        <w:rPr>
                          <w:b/>
                          <w:bCs/>
                        </w:rPr>
                        <w:t xml:space="preserve"> = 23)</w:t>
                      </w:r>
                    </w:p>
                    <w:tbl>
                      <w:tblPr>
                        <w:tblW w:w="955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073"/>
                        <w:gridCol w:w="1497"/>
                        <w:gridCol w:w="1497"/>
                        <w:gridCol w:w="1497"/>
                        <w:gridCol w:w="1497"/>
                        <w:gridCol w:w="1498"/>
                      </w:tblGrid>
                      <w:tr w:rsidR="00C12111" w:rsidRPr="00574F1B" w:rsidTr="00574F1B">
                        <w:trPr>
                          <w:trHeight w:hRule="exact" w:val="887"/>
                        </w:trPr>
                        <w:tc>
                          <w:tcPr>
                            <w:tcW w:w="2073"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Non-invasive markers</w:t>
                            </w:r>
                          </w:p>
                          <w:p w:rsidR="00C12111" w:rsidRPr="00574F1B" w:rsidRDefault="00C12111" w:rsidP="00574F1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497"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Cut-off value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97"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w:hAnsi="Albertus" w:cs="Albertus"/>
                                <w:b/>
                                <w:bCs/>
                                <w:color w:val="000000"/>
                                <w:kern w:val="0"/>
                                <w:sz w:val="14"/>
                                <w:szCs w:val="14"/>
                                <w:lang w:val="zh-CN"/>
                              </w:rPr>
                              <w:t>Sensitivity</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97"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574F1B">
                              <w:rPr>
                                <w:rFonts w:ascii="Albertus" w:hAnsi="Albertus" w:cs="Albertus"/>
                                <w:b/>
                                <w:bCs/>
                                <w:color w:val="000000"/>
                                <w:kern w:val="0"/>
                                <w:sz w:val="14"/>
                                <w:szCs w:val="14"/>
                                <w:lang w:val="en-GB"/>
                              </w:rPr>
                              <w:t>Specificity</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97"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vertAlign w:val="superscript"/>
                                <w:lang w:val="zh-CN"/>
                              </w:rPr>
                            </w:pPr>
                            <w:r w:rsidRPr="00574F1B">
                              <w:rPr>
                                <w:rFonts w:ascii="Albertus" w:hAnsi="Albertus" w:cs="Albertus"/>
                                <w:b/>
                                <w:bCs/>
                                <w:color w:val="000000"/>
                                <w:kern w:val="0"/>
                                <w:sz w:val="14"/>
                                <w:szCs w:val="14"/>
                                <w:lang w:val="zh-CN"/>
                              </w:rPr>
                              <w:t>AUC (95%CI)</w:t>
                            </w:r>
                            <w:r w:rsidRPr="00574F1B">
                              <w:rPr>
                                <w:rFonts w:ascii="Albertus" w:hAnsi="Albertus" w:cs="Albertus"/>
                                <w:b/>
                                <w:bCs/>
                                <w:color w:val="000000"/>
                                <w:kern w:val="0"/>
                                <w:sz w:val="14"/>
                                <w:szCs w:val="14"/>
                                <w:vertAlign w:val="superscript"/>
                                <w:lang w:val="zh-CN"/>
                              </w:rPr>
                              <w:t>1</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98" w:type="dxa"/>
                            <w:tcBorders>
                              <w:top w:val="single" w:sz="6" w:space="0" w:color="000000"/>
                              <w:bottom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74F1B">
                              <w:rPr>
                                <w:rFonts w:ascii="Albertus Bold Italic" w:hAnsi="Albertus Bold Italic" w:cs="Albertus Bold Italic"/>
                                <w:b/>
                                <w:bCs/>
                                <w:i/>
                                <w:iCs/>
                                <w:color w:val="000000"/>
                                <w:kern w:val="0"/>
                                <w:sz w:val="14"/>
                                <w:szCs w:val="14"/>
                                <w:lang w:val="zh-CN"/>
                              </w:rPr>
                              <w:t>P</w:t>
                            </w:r>
                            <w:r w:rsidRPr="00574F1B">
                              <w:rPr>
                                <w:rFonts w:ascii="Albertus" w:hAnsi="Albertus" w:cs="Albertus"/>
                                <w:b/>
                                <w:bCs/>
                                <w:color w:val="000000"/>
                                <w:kern w:val="0"/>
                                <w:sz w:val="14"/>
                                <w:szCs w:val="14"/>
                                <w:lang w:val="zh-CN"/>
                              </w:rPr>
                              <w:t xml:space="preserve"> value</w:t>
                            </w:r>
                          </w:p>
                          <w:p w:rsidR="00C12111" w:rsidRPr="00574F1B" w:rsidRDefault="00C12111" w:rsidP="00574F1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12111" w:rsidRPr="00574F1B" w:rsidTr="00574F1B">
                        <w:trPr>
                          <w:trHeight w:val="60"/>
                        </w:trPr>
                        <w:tc>
                          <w:tcPr>
                            <w:tcW w:w="2073"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FIB-4</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5.02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0.42 (0.28-0.56)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Borders>
                              <w:top w:val="single" w:sz="6" w:space="0" w:color="000000"/>
                            </w:tcBorders>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0.257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07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Fibrosis index </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3.43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40%</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0.41 (0.28-0.55) </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0.215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07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King score </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46.15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28%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0.39 (0.26-0.52)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0.112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07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APRI</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0.45 (0.32-0.57)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0.439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07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PL/SD</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736</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52%</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43%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0.49 (0.34-0.63)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0.843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07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AST/ALT</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1.79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0.53 (0.42-0.64)</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0.628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12111" w:rsidRPr="00574F1B" w:rsidTr="00574F1B">
                        <w:trPr>
                          <w:trHeight w:val="60"/>
                        </w:trPr>
                        <w:tc>
                          <w:tcPr>
                            <w:tcW w:w="2073"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MELD</w:t>
                            </w:r>
                          </w:p>
                          <w:p w:rsidR="00C12111" w:rsidRPr="00574F1B" w:rsidRDefault="00C12111" w:rsidP="00574F1B">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 xml:space="preserve">  16.5</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57%</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58%</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7"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0.49 (0.35-0.63)</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98" w:type="dxa"/>
                            <w:tcMar>
                              <w:top w:w="28" w:type="dxa"/>
                              <w:left w:w="28" w:type="dxa"/>
                              <w:bottom w:w="28" w:type="dxa"/>
                              <w:right w:w="28" w:type="dxa"/>
                            </w:tcMar>
                          </w:tcPr>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74F1B">
                              <w:rPr>
                                <w:rFonts w:ascii="Book Antiqua" w:hAnsi="Book Antiqua" w:cs="Book Antiqua"/>
                                <w:color w:val="000000"/>
                                <w:kern w:val="0"/>
                                <w:sz w:val="14"/>
                                <w:szCs w:val="14"/>
                                <w:lang w:val="zh-CN"/>
                              </w:rPr>
                              <w:t>0.879</w:t>
                            </w:r>
                          </w:p>
                          <w:p w:rsidR="00C12111" w:rsidRPr="00574F1B" w:rsidRDefault="00C12111" w:rsidP="00574F1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12111" w:rsidRPr="00855823" w:rsidRDefault="00C12111" w:rsidP="00C12111">
                      <w:pPr>
                        <w:pStyle w:val="af3"/>
                        <w:rPr>
                          <w:rFonts w:ascii="Book Antiqua" w:hAnsi="Book Antiqua" w:cs="Book Antiqua"/>
                          <w:sz w:val="14"/>
                          <w:szCs w:val="14"/>
                          <w:vertAlign w:val="superscript"/>
                        </w:rPr>
                      </w:pPr>
                      <w:r w:rsidRPr="00574F1B">
                        <w:rPr>
                          <w:rFonts w:ascii="Book Antiqua" w:hAnsi="Book Antiqua" w:cs="Book Antiqua"/>
                          <w:sz w:val="14"/>
                          <w:szCs w:val="14"/>
                          <w:vertAlign w:val="superscript"/>
                        </w:rPr>
                        <w:t>1</w:t>
                      </w:r>
                      <w:r w:rsidRPr="00574F1B">
                        <w:rPr>
                          <w:rFonts w:ascii="Book Antiqua" w:hAnsi="Book Antiqua" w:cs="Book Antiqua"/>
                          <w:sz w:val="14"/>
                          <w:szCs w:val="14"/>
                        </w:rPr>
                        <w:t>AUC (area under the curve) obtained from the receiver operating characteristic. AST/ALT: Aspartate aminotransferase (AST) to alanine aminotransferase (ALT) ratio; APRI: AST to platelet ratio index; FIB-4: Fibrosis-4-index; MELD: Model for end-stage liver disease; PC/SD: Platelet count to spleen diameter; VPT: Variceal prophylactic therapy.</w:t>
                      </w:r>
                    </w:p>
                  </w:txbxContent>
                </v:textbox>
                <w10:wrap type="square"/>
              </v:shape>
            </w:pict>
          </mc:Fallback>
        </mc:AlternateContent>
      </w:r>
    </w:p>
    <w:p w:rsidR="00C12111" w:rsidRPr="00C12111" w:rsidRDefault="00C12111" w:rsidP="00F50781"/>
    <w:sectPr w:rsidR="00C12111" w:rsidRPr="00C12111">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4E" w:rsidRDefault="00D5384E">
      <w:r>
        <w:separator/>
      </w:r>
    </w:p>
  </w:endnote>
  <w:endnote w:type="continuationSeparator" w:id="0">
    <w:p w:rsidR="00D5384E" w:rsidRDefault="00D5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宋体 Bold">
    <w:altName w:val="FZDHT"/>
    <w:panose1 w:val="00000000000000000000"/>
    <w:charset w:val="86"/>
    <w:family w:val="auto"/>
    <w:notTrueType/>
    <w:pitch w:val="default"/>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4E" w:rsidRDefault="00D5384E">
      <w:r>
        <w:separator/>
      </w:r>
    </w:p>
  </w:footnote>
  <w:footnote w:type="continuationSeparator" w:id="0">
    <w:p w:rsidR="00D5384E" w:rsidRDefault="00D53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666C0"/>
    <w:rsid w:val="00184D2D"/>
    <w:rsid w:val="0019357C"/>
    <w:rsid w:val="00200B22"/>
    <w:rsid w:val="002107CC"/>
    <w:rsid w:val="002956C9"/>
    <w:rsid w:val="00295C5F"/>
    <w:rsid w:val="002A32A1"/>
    <w:rsid w:val="002B75DF"/>
    <w:rsid w:val="002D2A10"/>
    <w:rsid w:val="002F45F1"/>
    <w:rsid w:val="00323671"/>
    <w:rsid w:val="003577BA"/>
    <w:rsid w:val="00455B0F"/>
    <w:rsid w:val="00476DB2"/>
    <w:rsid w:val="004D6FBC"/>
    <w:rsid w:val="005C31D4"/>
    <w:rsid w:val="005E55EB"/>
    <w:rsid w:val="00631E9C"/>
    <w:rsid w:val="00695F5F"/>
    <w:rsid w:val="006C55C4"/>
    <w:rsid w:val="006E55C4"/>
    <w:rsid w:val="006F19CB"/>
    <w:rsid w:val="007218D1"/>
    <w:rsid w:val="00731FA6"/>
    <w:rsid w:val="00762110"/>
    <w:rsid w:val="00783DE1"/>
    <w:rsid w:val="00791A4E"/>
    <w:rsid w:val="007E3B2C"/>
    <w:rsid w:val="008226AD"/>
    <w:rsid w:val="008531AE"/>
    <w:rsid w:val="008548B1"/>
    <w:rsid w:val="0089485C"/>
    <w:rsid w:val="009B3A45"/>
    <w:rsid w:val="009E244B"/>
    <w:rsid w:val="009E5A72"/>
    <w:rsid w:val="009F426D"/>
    <w:rsid w:val="00A4134A"/>
    <w:rsid w:val="00A619D5"/>
    <w:rsid w:val="00A71FFD"/>
    <w:rsid w:val="00AE0EE0"/>
    <w:rsid w:val="00B002E2"/>
    <w:rsid w:val="00BC53EC"/>
    <w:rsid w:val="00BD4C39"/>
    <w:rsid w:val="00C12111"/>
    <w:rsid w:val="00C33DC9"/>
    <w:rsid w:val="00C542CD"/>
    <w:rsid w:val="00C846FE"/>
    <w:rsid w:val="00C91A79"/>
    <w:rsid w:val="00CB42A6"/>
    <w:rsid w:val="00CE1EAC"/>
    <w:rsid w:val="00D015C4"/>
    <w:rsid w:val="00D21779"/>
    <w:rsid w:val="00D34BE3"/>
    <w:rsid w:val="00D5384E"/>
    <w:rsid w:val="00D55C5E"/>
    <w:rsid w:val="00D676E0"/>
    <w:rsid w:val="00D70213"/>
    <w:rsid w:val="00D74442"/>
    <w:rsid w:val="00DD477B"/>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C12111"/>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C12111"/>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C12111"/>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
    <w:name w:val="嶌幰怣"/>
    <w:basedOn w:val="NormalParagraphStyle"/>
    <w:rsid w:val="00C12111"/>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C12111"/>
    <w:pPr>
      <w:suppressAutoHyphens/>
      <w:spacing w:line="360" w:lineRule="atLeast"/>
      <w:jc w:val="left"/>
    </w:pPr>
    <w:rPr>
      <w:rFonts w:ascii="Univers" w:hAnsi="Univers" w:cs="Univers"/>
      <w:b/>
      <w:bCs/>
      <w:spacing w:val="-2"/>
    </w:rPr>
  </w:style>
  <w:style w:type="paragraph" w:customStyle="1" w:styleId="af1">
    <w:name w:val="惓暥暥_"/>
    <w:basedOn w:val="NormalParagraphStyle"/>
    <w:rsid w:val="00C12111"/>
    <w:pPr>
      <w:suppressAutoHyphens/>
    </w:pPr>
    <w:rPr>
      <w:rFonts w:ascii="Verdana" w:hAnsi="Verdana" w:cs="Verdana"/>
      <w:spacing w:val="-7"/>
      <w:sz w:val="18"/>
      <w:szCs w:val="18"/>
      <w:lang w:val="en-US"/>
    </w:rPr>
  </w:style>
  <w:style w:type="paragraph" w:customStyle="1" w:styleId="1">
    <w:name w:val="惓暥暥_1"/>
    <w:basedOn w:val="NormalParagraphStyle"/>
    <w:rsid w:val="00C12111"/>
    <w:pPr>
      <w:suppressAutoHyphens/>
      <w:ind w:firstLine="283"/>
    </w:pPr>
    <w:rPr>
      <w:rFonts w:ascii="Verdana" w:hAnsi="Verdana" w:cs="Verdana"/>
      <w:spacing w:val="-7"/>
      <w:sz w:val="18"/>
      <w:szCs w:val="18"/>
      <w:lang w:val="en-US"/>
    </w:rPr>
  </w:style>
  <w:style w:type="paragraph" w:customStyle="1" w:styleId="af2">
    <w:name w:val="二级标题"/>
    <w:basedOn w:val="a"/>
    <w:rsid w:val="00C12111"/>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af3">
    <w:name w:val="惓暥"/>
    <w:basedOn w:val="a"/>
    <w:rsid w:val="00C12111"/>
    <w:pPr>
      <w:suppressAutoHyphens/>
      <w:autoSpaceDE w:val="0"/>
      <w:autoSpaceDN w:val="0"/>
      <w:adjustRightInd w:val="0"/>
      <w:spacing w:line="300" w:lineRule="atLeast"/>
      <w:textAlignment w:val="baseline"/>
    </w:pPr>
    <w:rPr>
      <w:color w:val="000000"/>
      <w:kern w:val="0"/>
      <w:szCs w:val="21"/>
      <w:lang w:bidi="th-TH"/>
    </w:rPr>
  </w:style>
  <w:style w:type="paragraph" w:customStyle="1" w:styleId="-1">
    <w:name w:val="嶲峫暥專-1"/>
    <w:basedOn w:val="NormalParagraphStyle"/>
    <w:rsid w:val="00C12111"/>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4">
    <w:name w:val="参考文献正文"/>
    <w:basedOn w:val="a"/>
    <w:rsid w:val="00C12111"/>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paragraph" w:customStyle="1" w:styleId="Noparagraphstyle">
    <w:name w:val="[No paragraph style]"/>
    <w:rsid w:val="00C12111"/>
    <w:pPr>
      <w:widowControl w:val="0"/>
      <w:autoSpaceDE w:val="0"/>
      <w:autoSpaceDN w:val="0"/>
      <w:adjustRightInd w:val="0"/>
      <w:spacing w:line="288" w:lineRule="auto"/>
      <w:jc w:val="both"/>
      <w:textAlignment w:val="center"/>
    </w:pPr>
    <w:rPr>
      <w:rFonts w:ascii="Albertus Bold Italic" w:hAnsi="Albertus Bold Italic" w:cs="Angsana New"/>
      <w:color w:val="000000"/>
      <w:sz w:val="24"/>
      <w:szCs w:val="24"/>
      <w:lang w:val="zh-CN" w:bidi="th-TH"/>
    </w:rPr>
  </w:style>
  <w:style w:type="paragraph" w:customStyle="1" w:styleId="af5">
    <w:name w:val="表头"/>
    <w:basedOn w:val="NormalParagraphStyle"/>
    <w:rsid w:val="00C12111"/>
    <w:pPr>
      <w:suppressAutoHyphens/>
    </w:pPr>
    <w:rPr>
      <w:rFonts w:ascii="Albertus" w:hAnsi="Albertus" w:cs="Albertus"/>
      <w:b/>
      <w:bCs/>
      <w:sz w:val="14"/>
      <w:szCs w:val="14"/>
    </w:rPr>
  </w:style>
  <w:style w:type="paragraph" w:customStyle="1" w:styleId="af6">
    <w:name w:val="表格中文字"/>
    <w:basedOn w:val="a"/>
    <w:rsid w:val="00C12111"/>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7">
    <w:name w:val="表注"/>
    <w:basedOn w:val="af6"/>
    <w:rsid w:val="00C1211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C12111"/>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C12111"/>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C12111"/>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
    <w:name w:val="嶌幰怣"/>
    <w:basedOn w:val="NormalParagraphStyle"/>
    <w:rsid w:val="00C12111"/>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C12111"/>
    <w:pPr>
      <w:suppressAutoHyphens/>
      <w:spacing w:line="360" w:lineRule="atLeast"/>
      <w:jc w:val="left"/>
    </w:pPr>
    <w:rPr>
      <w:rFonts w:ascii="Univers" w:hAnsi="Univers" w:cs="Univers"/>
      <w:b/>
      <w:bCs/>
      <w:spacing w:val="-2"/>
    </w:rPr>
  </w:style>
  <w:style w:type="paragraph" w:customStyle="1" w:styleId="af1">
    <w:name w:val="惓暥暥_"/>
    <w:basedOn w:val="NormalParagraphStyle"/>
    <w:rsid w:val="00C12111"/>
    <w:pPr>
      <w:suppressAutoHyphens/>
    </w:pPr>
    <w:rPr>
      <w:rFonts w:ascii="Verdana" w:hAnsi="Verdana" w:cs="Verdana"/>
      <w:spacing w:val="-7"/>
      <w:sz w:val="18"/>
      <w:szCs w:val="18"/>
      <w:lang w:val="en-US"/>
    </w:rPr>
  </w:style>
  <w:style w:type="paragraph" w:customStyle="1" w:styleId="1">
    <w:name w:val="惓暥暥_1"/>
    <w:basedOn w:val="NormalParagraphStyle"/>
    <w:rsid w:val="00C12111"/>
    <w:pPr>
      <w:suppressAutoHyphens/>
      <w:ind w:firstLine="283"/>
    </w:pPr>
    <w:rPr>
      <w:rFonts w:ascii="Verdana" w:hAnsi="Verdana" w:cs="Verdana"/>
      <w:spacing w:val="-7"/>
      <w:sz w:val="18"/>
      <w:szCs w:val="18"/>
      <w:lang w:val="en-US"/>
    </w:rPr>
  </w:style>
  <w:style w:type="paragraph" w:customStyle="1" w:styleId="af2">
    <w:name w:val="二级标题"/>
    <w:basedOn w:val="a"/>
    <w:rsid w:val="00C12111"/>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af3">
    <w:name w:val="惓暥"/>
    <w:basedOn w:val="a"/>
    <w:rsid w:val="00C12111"/>
    <w:pPr>
      <w:suppressAutoHyphens/>
      <w:autoSpaceDE w:val="0"/>
      <w:autoSpaceDN w:val="0"/>
      <w:adjustRightInd w:val="0"/>
      <w:spacing w:line="300" w:lineRule="atLeast"/>
      <w:textAlignment w:val="baseline"/>
    </w:pPr>
    <w:rPr>
      <w:color w:val="000000"/>
      <w:kern w:val="0"/>
      <w:szCs w:val="21"/>
      <w:lang w:bidi="th-TH"/>
    </w:rPr>
  </w:style>
  <w:style w:type="paragraph" w:customStyle="1" w:styleId="-1">
    <w:name w:val="嶲峫暥專-1"/>
    <w:basedOn w:val="NormalParagraphStyle"/>
    <w:rsid w:val="00C12111"/>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4">
    <w:name w:val="参考文献正文"/>
    <w:basedOn w:val="a"/>
    <w:rsid w:val="00C12111"/>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paragraph" w:customStyle="1" w:styleId="Noparagraphstyle">
    <w:name w:val="[No paragraph style]"/>
    <w:rsid w:val="00C12111"/>
    <w:pPr>
      <w:widowControl w:val="0"/>
      <w:autoSpaceDE w:val="0"/>
      <w:autoSpaceDN w:val="0"/>
      <w:adjustRightInd w:val="0"/>
      <w:spacing w:line="288" w:lineRule="auto"/>
      <w:jc w:val="both"/>
      <w:textAlignment w:val="center"/>
    </w:pPr>
    <w:rPr>
      <w:rFonts w:ascii="Albertus Bold Italic" w:hAnsi="Albertus Bold Italic" w:cs="Angsana New"/>
      <w:color w:val="000000"/>
      <w:sz w:val="24"/>
      <w:szCs w:val="24"/>
      <w:lang w:val="zh-CN" w:bidi="th-TH"/>
    </w:rPr>
  </w:style>
  <w:style w:type="paragraph" w:customStyle="1" w:styleId="af5">
    <w:name w:val="表头"/>
    <w:basedOn w:val="NormalParagraphStyle"/>
    <w:rsid w:val="00C12111"/>
    <w:pPr>
      <w:suppressAutoHyphens/>
    </w:pPr>
    <w:rPr>
      <w:rFonts w:ascii="Albertus" w:hAnsi="Albertus" w:cs="Albertus"/>
      <w:b/>
      <w:bCs/>
      <w:sz w:val="14"/>
      <w:szCs w:val="14"/>
    </w:rPr>
  </w:style>
  <w:style w:type="paragraph" w:customStyle="1" w:styleId="af6">
    <w:name w:val="表格中文字"/>
    <w:basedOn w:val="a"/>
    <w:rsid w:val="00C12111"/>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7">
    <w:name w:val="表注"/>
    <w:basedOn w:val="af6"/>
    <w:rsid w:val="00C121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10</cp:revision>
  <dcterms:created xsi:type="dcterms:W3CDTF">2016-01-15T04:02:00Z</dcterms:created>
  <dcterms:modified xsi:type="dcterms:W3CDTF">2017-07-12T01:44:00Z</dcterms:modified>
</cp:coreProperties>
</file>