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281D86" w:rsidRPr="00A16B9F" w:rsidRDefault="00A16B9F">
            <w:pPr>
              <w:spacing w:line="360" w:lineRule="auto"/>
              <w:rPr>
                <w:rFonts w:ascii="Book Antiqua" w:hAnsi="Book Antiqua"/>
                <w:bCs/>
                <w:color w:val="000000"/>
                <w:sz w:val="24"/>
                <w:szCs w:val="24"/>
              </w:rPr>
            </w:pPr>
            <w:r w:rsidRPr="00A16B9F">
              <w:rPr>
                <w:rFonts w:ascii="Book Antiqua" w:hAnsi="Book Antiqua"/>
                <w:bCs/>
                <w:color w:val="000000"/>
                <w:sz w:val="24"/>
                <w:szCs w:val="24"/>
              </w:rPr>
              <w:t>Fluctuation of zonulin levels in blood vs stability of antibodies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281D86" w:rsidRPr="00A16B9F" w:rsidRDefault="00A16B9F">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A16B9F">
              <w:rPr>
                <w:rFonts w:ascii="Book Antiqua" w:hAnsi="Book Antiqua" w:cs="Book Antiqua"/>
                <w:color w:val="000000"/>
                <w:sz w:val="24"/>
                <w:szCs w:val="24"/>
              </w:rPr>
              <w:t>Aristo Vojdani, Elroy Vojdani, Datis Kharrazian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281D86" w:rsidRPr="00A16B9F" w:rsidRDefault="00A16B9F">
            <w:pPr>
              <w:pStyle w:val="af4"/>
              <w:spacing w:line="360" w:lineRule="auto"/>
              <w:rPr>
                <w:rFonts w:ascii="Book Antiqua" w:hAnsi="Book Antiqua"/>
                <w:sz w:val="24"/>
                <w:szCs w:val="24"/>
              </w:rPr>
            </w:pPr>
            <w:r w:rsidRPr="00A16B9F">
              <w:rPr>
                <w:rFonts w:ascii="Book Antiqua" w:hAnsi="Book Antiqua"/>
                <w:sz w:val="24"/>
                <w:szCs w:val="24"/>
              </w:rPr>
              <w:t xml:space="preserve">Vojdani A, Vojdani E, Kharrazian D. Fluctuation of zonulin levels in blood vs stability of antibodies. </w:t>
            </w:r>
            <w:r w:rsidRPr="00A16B9F">
              <w:rPr>
                <w:rFonts w:ascii="Book Antiqua" w:hAnsi="Book Antiqua"/>
                <w:i/>
                <w:iCs/>
                <w:sz w:val="24"/>
                <w:szCs w:val="24"/>
              </w:rPr>
              <w:t>World J Gastroenterol</w:t>
            </w:r>
            <w:r w:rsidRPr="00A16B9F">
              <w:rPr>
                <w:rFonts w:ascii="Book Antiqua" w:hAnsi="Book Antiqua"/>
                <w:sz w:val="24"/>
                <w:szCs w:val="24"/>
              </w:rPr>
              <w:t xml:space="preserve"> 2017; 23(31): 5669-5679</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A16B9F" w:rsidRDefault="00A16B9F" w:rsidP="003B7833">
            <w:pPr>
              <w:pStyle w:val="af3"/>
              <w:spacing w:line="360" w:lineRule="auto"/>
              <w:rPr>
                <w:rFonts w:ascii="Book Antiqua" w:hAnsi="Book Antiqua"/>
                <w:b w:val="0"/>
                <w:sz w:val="24"/>
                <w:szCs w:val="24"/>
                <w:lang w:val="en-US"/>
              </w:rPr>
            </w:pPr>
            <w:r w:rsidRPr="00A16B9F">
              <w:rPr>
                <w:rFonts w:ascii="Book Antiqua" w:hAnsi="Book Antiqua"/>
                <w:b w:val="0"/>
                <w:sz w:val="24"/>
                <w:szCs w:val="24"/>
                <w:lang w:val="en-US"/>
              </w:rPr>
              <w:t>http://www.wjgnet.com/1007-9327/full/v23/i31/5669.htm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A16B9F" w:rsidRDefault="00A16B9F" w:rsidP="003B7833">
            <w:pPr>
              <w:pStyle w:val="af3"/>
              <w:spacing w:line="360" w:lineRule="auto"/>
              <w:rPr>
                <w:rFonts w:ascii="Book Antiqua" w:hAnsi="Book Antiqua"/>
                <w:b w:val="0"/>
                <w:sz w:val="24"/>
                <w:szCs w:val="24"/>
                <w:lang w:val="en-US"/>
              </w:rPr>
            </w:pPr>
            <w:r w:rsidRPr="00A16B9F">
              <w:rPr>
                <w:rFonts w:ascii="Book Antiqua" w:hAnsi="Book Antiqua"/>
                <w:b w:val="0"/>
                <w:sz w:val="24"/>
                <w:szCs w:val="24"/>
                <w:lang w:val="en-US"/>
              </w:rPr>
              <w:t>http://dx.doi.org/10.3748/wjg.v23.i31.5669</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281D86" w:rsidRDefault="00F77EB0">
            <w:pPr>
              <w:pStyle w:val="ad"/>
              <w:spacing w:line="360" w:lineRule="auto"/>
              <w:rPr>
                <w:rFonts w:ascii="Book Antiqua" w:hAnsi="Book Antiqua"/>
                <w:color w:val="000000"/>
                <w:sz w:val="24"/>
                <w:szCs w:val="24"/>
                <w:lang w:val="zh-CN"/>
              </w:rPr>
            </w:pPr>
            <w:r w:rsidRPr="00A16B9F">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281D86" w:rsidRPr="00A16B9F" w:rsidRDefault="00A16B9F">
            <w:pPr>
              <w:pStyle w:val="E-1"/>
              <w:spacing w:line="360" w:lineRule="auto"/>
              <w:rPr>
                <w:rFonts w:ascii="Book Antiqua" w:hAnsi="Book Antiqua"/>
                <w:sz w:val="24"/>
                <w:szCs w:val="24"/>
              </w:rPr>
            </w:pPr>
            <w:r w:rsidRPr="00A16B9F">
              <w:rPr>
                <w:rFonts w:ascii="Book Antiqua" w:hAnsi="Book Antiqua"/>
                <w:sz w:val="24"/>
                <w:szCs w:val="24"/>
              </w:rPr>
              <w:t xml:space="preserve">We studied possible variability in zonulin levels </w:t>
            </w:r>
            <w:r w:rsidRPr="00A16B9F">
              <w:rPr>
                <w:rFonts w:ascii="Book Antiqua" w:hAnsi="Book Antiqua"/>
                <w:i/>
                <w:iCs/>
                <w:sz w:val="24"/>
                <w:szCs w:val="24"/>
              </w:rPr>
              <w:t>vs</w:t>
            </w:r>
            <w:r w:rsidRPr="00A16B9F">
              <w:rPr>
                <w:rFonts w:ascii="Book Antiqua" w:hAnsi="Book Antiqua"/>
                <w:sz w:val="24"/>
                <w:szCs w:val="24"/>
              </w:rPr>
              <w:t xml:space="preserve"> measuring antibodies against zonulin and other tight junction proteins in blood. We found that fluctuations in zonulin level from hour-to-hour and day-to-day were too great to recommend it </w:t>
            </w:r>
            <w:r w:rsidRPr="00A16B9F">
              <w:rPr>
                <w:rFonts w:ascii="Book Antiqua" w:hAnsi="Book Antiqua"/>
                <w:sz w:val="24"/>
                <w:szCs w:val="24"/>
              </w:rPr>
              <w:lastRenderedPageBreak/>
              <w:t>for assessing intestinal permeability. Measurement of IgG and IgA antibodies against tight junction proteins in controls and in celiac disease patients proved to be very stable and reproducible, and we recommend this method for such an assessment in future studies.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281D86" w:rsidRPr="00A16B9F" w:rsidRDefault="00A16B9F">
            <w:pPr>
              <w:pStyle w:val="E-1"/>
              <w:spacing w:line="360" w:lineRule="auto"/>
              <w:rPr>
                <w:rFonts w:ascii="Book Antiqua" w:hAnsi="Book Antiqua"/>
                <w:sz w:val="24"/>
                <w:szCs w:val="24"/>
              </w:rPr>
            </w:pPr>
            <w:r w:rsidRPr="00A16B9F">
              <w:rPr>
                <w:rFonts w:ascii="Book Antiqua" w:hAnsi="Book Antiqua"/>
                <w:sz w:val="24"/>
                <w:szCs w:val="24"/>
              </w:rPr>
              <w:t>Zonulin; Occludin; Tight junction protein; Intestinal barrier integrity; Celiac disease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281D86" w:rsidRDefault="00F77EB0">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2017.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281D86" w:rsidRDefault="00F77EB0">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281D86" w:rsidRDefault="00F77EB0">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281D86" w:rsidRDefault="00F77EB0">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281D86" w:rsidRDefault="00F77EB0">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A16B9F" w:rsidRDefault="00A16B9F" w:rsidP="00B657F9"/>
    <w:p w:rsidR="00A16B9F" w:rsidRDefault="00A16B9F" w:rsidP="00B657F9"/>
    <w:p w:rsidR="00A16B9F" w:rsidRDefault="00A16B9F" w:rsidP="00B657F9"/>
    <w:p w:rsidR="00A16B9F" w:rsidRDefault="00A16B9F" w:rsidP="00B657F9"/>
    <w:p w:rsidR="00A16B9F" w:rsidRDefault="00A16B9F" w:rsidP="00B657F9"/>
    <w:p w:rsidR="00A16B9F" w:rsidRDefault="00A16B9F" w:rsidP="00B657F9"/>
    <w:p w:rsidR="00A16B9F" w:rsidRDefault="00A16B9F" w:rsidP="00B657F9"/>
    <w:p w:rsidR="00A16B9F" w:rsidRDefault="00A16B9F" w:rsidP="00B657F9"/>
    <w:p w:rsidR="00A16B9F" w:rsidRDefault="00A16B9F" w:rsidP="00B657F9"/>
    <w:p w:rsidR="00A16B9F" w:rsidRDefault="00A16B9F" w:rsidP="00B657F9"/>
    <w:p w:rsidR="00A16B9F" w:rsidRDefault="00A16B9F" w:rsidP="00B657F9"/>
    <w:p w:rsidR="00A16B9F" w:rsidRDefault="00A16B9F" w:rsidP="00B657F9"/>
    <w:p w:rsidR="00A16B9F" w:rsidRDefault="00A16B9F" w:rsidP="00B657F9"/>
    <w:p w:rsidR="00A16B9F" w:rsidRDefault="00A16B9F" w:rsidP="00A16B9F">
      <w:pPr>
        <w:pStyle w:val="NormalParagraphStyle"/>
        <w:ind w:firstLineChars="3400" w:firstLine="7509"/>
        <w:jc w:val="left"/>
        <w:rPr>
          <w:rFonts w:ascii="Tw Cen MT" w:cs="Tw Cen MT"/>
          <w:b/>
          <w:bCs/>
          <w:sz w:val="22"/>
          <w:szCs w:val="22"/>
          <w:lang w:val="en-US"/>
        </w:rPr>
      </w:pPr>
      <w:r>
        <w:rPr>
          <w:rFonts w:ascii="Tw Cen MT" w:cs="Tw Cen MT"/>
          <w:b/>
          <w:bCs/>
          <w:sz w:val="22"/>
          <w:szCs w:val="22"/>
          <w:lang w:val="en-US"/>
        </w:rPr>
        <w:lastRenderedPageBreak/>
        <w:t>Basic Study</w:t>
      </w:r>
    </w:p>
    <w:p w:rsidR="00A16B9F" w:rsidRDefault="00A16B9F" w:rsidP="00A16B9F"/>
    <w:p w:rsidR="00A16B9F" w:rsidRDefault="00A16B9F" w:rsidP="00A16B9F">
      <w:pPr>
        <w:pStyle w:val="af3"/>
        <w:rPr>
          <w:lang w:val="en-US"/>
        </w:rPr>
      </w:pPr>
      <w:r>
        <w:rPr>
          <w:lang w:val="en-US"/>
        </w:rPr>
        <w:t xml:space="preserve">Fluctuation of zonulin levels in blood </w:t>
      </w:r>
      <w:r w:rsidRPr="007D1D00">
        <w:rPr>
          <w:i/>
          <w:iCs/>
          <w:lang w:val="en-US"/>
        </w:rPr>
        <w:t>vs</w:t>
      </w:r>
      <w:r>
        <w:rPr>
          <w:lang w:val="en-US"/>
        </w:rPr>
        <w:t xml:space="preserve"> stability of antibodies</w:t>
      </w:r>
    </w:p>
    <w:p w:rsidR="00A16B9F" w:rsidRDefault="00A16B9F" w:rsidP="00A16B9F"/>
    <w:p w:rsidR="00A16B9F" w:rsidRDefault="00A16B9F" w:rsidP="00A16B9F">
      <w:pPr>
        <w:pStyle w:val="af5"/>
        <w:rPr>
          <w:lang w:val="en-US"/>
        </w:rPr>
      </w:pPr>
      <w:r>
        <w:rPr>
          <w:lang w:val="en-US"/>
        </w:rPr>
        <w:t>Aristo Vojdani, Elroy Vojdani, Datis Kharrazian</w:t>
      </w:r>
    </w:p>
    <w:p w:rsidR="00A16B9F" w:rsidRDefault="00A16B9F" w:rsidP="00A16B9F"/>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u w:val="thick"/>
        </w:rPr>
      </w:pPr>
      <w:r w:rsidRPr="007D1D00">
        <w:rPr>
          <w:rFonts w:ascii="Tahoma" w:hAnsi="Tahoma" w:cs="Tahoma"/>
          <w:color w:val="000000"/>
          <w:spacing w:val="-2"/>
          <w:kern w:val="0"/>
          <w:sz w:val="18"/>
          <w:szCs w:val="18"/>
        </w:rPr>
        <w:t>Aristo Vojdani,</w:t>
      </w:r>
      <w:r w:rsidRPr="007D1D00">
        <w:rPr>
          <w:color w:val="000000"/>
          <w:spacing w:val="-2"/>
          <w:kern w:val="0"/>
          <w:sz w:val="18"/>
          <w:szCs w:val="18"/>
        </w:rPr>
        <w:t xml:space="preserve"> Department of Preventive Medicie, Loma Linda University, Evans Hall, Loma Linda, CA 92354, United States</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u w:val="thick"/>
        </w:rPr>
      </w:pPr>
      <w:r w:rsidRPr="007D1D00">
        <w:rPr>
          <w:rFonts w:ascii="Tahoma" w:hAnsi="Tahoma" w:cs="Tahoma"/>
          <w:color w:val="000000"/>
          <w:spacing w:val="-2"/>
          <w:kern w:val="0"/>
          <w:sz w:val="18"/>
          <w:szCs w:val="18"/>
        </w:rPr>
        <w:t>Aristo Vojdani,</w:t>
      </w:r>
      <w:r w:rsidRPr="007D1D00">
        <w:rPr>
          <w:color w:val="000000"/>
          <w:spacing w:val="-2"/>
          <w:kern w:val="0"/>
          <w:sz w:val="18"/>
          <w:szCs w:val="18"/>
        </w:rPr>
        <w:t xml:space="preserve"> Immunosciences Lab., Inc., Los Angeles, CA 90035, United States</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rPr>
        <w:t>Elroy Vojdani,</w:t>
      </w:r>
      <w:r w:rsidRPr="007D1D00">
        <w:rPr>
          <w:color w:val="000000"/>
          <w:spacing w:val="-2"/>
          <w:kern w:val="0"/>
          <w:sz w:val="18"/>
          <w:szCs w:val="18"/>
        </w:rPr>
        <w:t xml:space="preserve"> Regenera Wellness, Los Angeles, CA 90025 United States</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rPr>
        <w:t>Datis Kharrazian,</w:t>
      </w:r>
      <w:r w:rsidRPr="007D1D00">
        <w:rPr>
          <w:color w:val="000000"/>
          <w:spacing w:val="-2"/>
          <w:kern w:val="0"/>
          <w:sz w:val="18"/>
          <w:szCs w:val="18"/>
        </w:rPr>
        <w:t xml:space="preserve"> Harvard Medical School, Boston, M</w:t>
      </w:r>
      <w:r w:rsidRPr="007D1D00">
        <w:rPr>
          <w:caps/>
          <w:color w:val="000000"/>
          <w:spacing w:val="-2"/>
          <w:kern w:val="0"/>
          <w:sz w:val="18"/>
          <w:szCs w:val="18"/>
        </w:rPr>
        <w:t>a</w:t>
      </w:r>
      <w:r w:rsidRPr="007D1D00">
        <w:rPr>
          <w:color w:val="000000"/>
          <w:spacing w:val="-2"/>
          <w:kern w:val="0"/>
          <w:sz w:val="18"/>
          <w:szCs w:val="18"/>
        </w:rPr>
        <w:t xml:space="preserve"> 02115, United States</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rPr>
        <w:t>Datis Kharrazian,</w:t>
      </w:r>
      <w:r w:rsidRPr="007D1D00">
        <w:rPr>
          <w:color w:val="000000"/>
          <w:spacing w:val="-2"/>
          <w:kern w:val="0"/>
          <w:sz w:val="18"/>
          <w:szCs w:val="18"/>
        </w:rPr>
        <w:t xml:space="preserve"> TRANSCEND Research, Department of Neurology, Massachusetts General Hospital, Charlestown, M</w:t>
      </w:r>
      <w:r w:rsidRPr="007D1D00">
        <w:rPr>
          <w:caps/>
          <w:color w:val="000000"/>
          <w:spacing w:val="-2"/>
          <w:kern w:val="0"/>
          <w:sz w:val="18"/>
          <w:szCs w:val="18"/>
        </w:rPr>
        <w:t>a</w:t>
      </w:r>
      <w:r w:rsidRPr="007D1D00">
        <w:rPr>
          <w:color w:val="000000"/>
          <w:spacing w:val="-2"/>
          <w:kern w:val="0"/>
          <w:sz w:val="18"/>
          <w:szCs w:val="18"/>
        </w:rPr>
        <w:t xml:space="preserve"> 02129, United States</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rPr>
        <w:t>Datis Kharrazian,</w:t>
      </w:r>
      <w:r w:rsidRPr="007D1D00">
        <w:rPr>
          <w:color w:val="000000"/>
          <w:spacing w:val="-2"/>
          <w:kern w:val="0"/>
          <w:sz w:val="18"/>
          <w:szCs w:val="18"/>
        </w:rPr>
        <w:t xml:space="preserve"> Loma Linda University School of Medicine, Loma Linda, C</w:t>
      </w:r>
      <w:r w:rsidRPr="007D1D00">
        <w:rPr>
          <w:caps/>
          <w:color w:val="000000"/>
          <w:spacing w:val="-2"/>
          <w:kern w:val="0"/>
          <w:sz w:val="18"/>
          <w:szCs w:val="18"/>
        </w:rPr>
        <w:t>a</w:t>
      </w:r>
      <w:r w:rsidRPr="007D1D00">
        <w:rPr>
          <w:color w:val="000000"/>
          <w:spacing w:val="-2"/>
          <w:kern w:val="0"/>
          <w:sz w:val="18"/>
          <w:szCs w:val="18"/>
        </w:rPr>
        <w:t xml:space="preserve"> 92354, United States</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kern w:val="0"/>
          <w:sz w:val="18"/>
          <w:szCs w:val="18"/>
        </w:rPr>
        <w:t>Author contributions:</w:t>
      </w:r>
      <w:r w:rsidRPr="007D1D00">
        <w:rPr>
          <w:color w:val="000000"/>
          <w:spacing w:val="-2"/>
          <w:kern w:val="0"/>
          <w:sz w:val="18"/>
          <w:szCs w:val="18"/>
        </w:rPr>
        <w:t xml:space="preserve"> Vojdani A designed and coordinated the research and drafted the manuscript; Vojdani E performed some of the assays; Kharrazian D provided statistical analysis and reviewed the manuscript; all of the authors have read and approved the final manuscript.</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kern w:val="0"/>
          <w:sz w:val="18"/>
          <w:szCs w:val="18"/>
        </w:rPr>
        <w:t>Correspondence to:</w:t>
      </w:r>
      <w:r w:rsidRPr="007D1D00">
        <w:rPr>
          <w:color w:val="000000"/>
          <w:spacing w:val="-2"/>
          <w:kern w:val="0"/>
          <w:sz w:val="18"/>
          <w:szCs w:val="18"/>
        </w:rPr>
        <w:t xml:space="preserve"> </w:t>
      </w:r>
      <w:r w:rsidRPr="007D1D00">
        <w:rPr>
          <w:rFonts w:ascii="Tahoma" w:hAnsi="Tahoma" w:cs="Tahoma"/>
          <w:color w:val="000000"/>
          <w:spacing w:val="-2"/>
          <w:kern w:val="0"/>
          <w:sz w:val="18"/>
          <w:szCs w:val="18"/>
        </w:rPr>
        <w:t>Aristo Vojdani, PhD, MSc, CLS,</w:t>
      </w:r>
      <w:r w:rsidRPr="007D1D00">
        <w:rPr>
          <w:color w:val="000000"/>
          <w:spacing w:val="-2"/>
          <w:kern w:val="0"/>
          <w:sz w:val="18"/>
          <w:szCs w:val="18"/>
        </w:rPr>
        <w:t xml:space="preserve"> Immu</w:t>
      </w:r>
      <w:r w:rsidRPr="007D1D00">
        <w:rPr>
          <w:color w:val="000000"/>
          <w:spacing w:val="-2"/>
          <w:kern w:val="0"/>
          <w:sz w:val="18"/>
          <w:szCs w:val="18"/>
        </w:rPr>
        <w:softHyphen/>
        <w:t>nosciences Lab., Inc., 822 S. Robertson Blvd., Ste. 312, Los Angeles, CA 90035, United States. drari@msn.com</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kern w:val="0"/>
          <w:sz w:val="18"/>
          <w:szCs w:val="18"/>
        </w:rPr>
        <w:t>Telephone:</w:t>
      </w:r>
      <w:r w:rsidRPr="007D1D00">
        <w:rPr>
          <w:color w:val="000000"/>
          <w:spacing w:val="-2"/>
          <w:kern w:val="0"/>
          <w:sz w:val="18"/>
          <w:szCs w:val="18"/>
        </w:rPr>
        <w:t xml:space="preserve"> +1-310-6571077</w:t>
      </w:r>
      <w:r>
        <w:rPr>
          <w:rFonts w:hint="eastAsia"/>
          <w:color w:val="000000"/>
          <w:spacing w:val="-2"/>
          <w:kern w:val="0"/>
          <w:sz w:val="18"/>
          <w:szCs w:val="18"/>
        </w:rPr>
        <w:t xml:space="preserve">   </w:t>
      </w:r>
      <w:r w:rsidRPr="007D1D00">
        <w:rPr>
          <w:rFonts w:ascii="Tahoma" w:hAnsi="Tahoma" w:cs="Tahoma"/>
          <w:color w:val="000000"/>
          <w:kern w:val="0"/>
          <w:sz w:val="18"/>
          <w:szCs w:val="18"/>
        </w:rPr>
        <w:t>Fax:</w:t>
      </w:r>
      <w:r w:rsidRPr="007D1D00">
        <w:rPr>
          <w:color w:val="000000"/>
          <w:spacing w:val="-2"/>
          <w:kern w:val="0"/>
          <w:sz w:val="18"/>
          <w:szCs w:val="18"/>
        </w:rPr>
        <w:t xml:space="preserve"> +1-310-6571053</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rPr>
        <w:t>Received:</w:t>
      </w:r>
      <w:r w:rsidRPr="007D1D00">
        <w:rPr>
          <w:color w:val="000000"/>
          <w:spacing w:val="-2"/>
          <w:kern w:val="0"/>
          <w:sz w:val="18"/>
          <w:szCs w:val="18"/>
        </w:rPr>
        <w:t xml:space="preserve"> May 18, 2017 </w:t>
      </w:r>
      <w:r>
        <w:rPr>
          <w:rFonts w:hint="eastAsia"/>
          <w:color w:val="000000"/>
          <w:spacing w:val="-2"/>
          <w:kern w:val="0"/>
          <w:sz w:val="18"/>
          <w:szCs w:val="18"/>
        </w:rPr>
        <w:t xml:space="preserve">   </w:t>
      </w:r>
      <w:r w:rsidRPr="007D1D00">
        <w:rPr>
          <w:rFonts w:ascii="Tahoma" w:hAnsi="Tahoma" w:cs="Tahoma"/>
          <w:color w:val="000000"/>
          <w:spacing w:val="-2"/>
          <w:kern w:val="0"/>
          <w:sz w:val="18"/>
          <w:szCs w:val="18"/>
        </w:rPr>
        <w:t>Revised:</w:t>
      </w:r>
      <w:r w:rsidRPr="007D1D00">
        <w:rPr>
          <w:color w:val="000000"/>
          <w:spacing w:val="-2"/>
          <w:kern w:val="0"/>
          <w:sz w:val="18"/>
          <w:szCs w:val="18"/>
        </w:rPr>
        <w:t xml:space="preserve"> June 30, 2017 </w:t>
      </w:r>
      <w:r>
        <w:rPr>
          <w:rFonts w:hint="eastAsia"/>
          <w:color w:val="000000"/>
          <w:spacing w:val="-2"/>
          <w:kern w:val="0"/>
          <w:sz w:val="18"/>
          <w:szCs w:val="18"/>
        </w:rPr>
        <w:t xml:space="preserve">   </w:t>
      </w:r>
      <w:r w:rsidRPr="007D1D00">
        <w:rPr>
          <w:rFonts w:ascii="Tahoma" w:hAnsi="Tahoma" w:cs="Tahoma"/>
          <w:color w:val="000000"/>
          <w:spacing w:val="-2"/>
          <w:kern w:val="0"/>
          <w:sz w:val="18"/>
          <w:szCs w:val="18"/>
        </w:rPr>
        <w:t>Accepted:</w:t>
      </w:r>
      <w:r w:rsidRPr="007D1D00">
        <w:rPr>
          <w:color w:val="000000"/>
          <w:spacing w:val="-2"/>
          <w:kern w:val="0"/>
          <w:sz w:val="18"/>
          <w:szCs w:val="18"/>
        </w:rPr>
        <w:t xml:space="preserve"> July 12, 2017 </w:t>
      </w:r>
    </w:p>
    <w:p w:rsidR="00A16B9F" w:rsidRPr="007D1D00" w:rsidRDefault="00A16B9F" w:rsidP="00A16B9F">
      <w:pPr>
        <w:suppressAutoHyphens/>
        <w:autoSpaceDE w:val="0"/>
        <w:autoSpaceDN w:val="0"/>
        <w:adjustRightInd w:val="0"/>
        <w:spacing w:line="288" w:lineRule="auto"/>
        <w:textAlignment w:val="center"/>
        <w:rPr>
          <w:rFonts w:ascii="Book Antiqua" w:hAnsi="Book Antiqua" w:cs="Book Antiqua"/>
          <w:color w:val="000000"/>
          <w:kern w:val="0"/>
          <w:sz w:val="24"/>
        </w:rPr>
      </w:pPr>
      <w:r w:rsidRPr="007D1D00">
        <w:rPr>
          <w:rFonts w:ascii="Tahoma" w:hAnsi="Tahoma" w:cs="Tahoma"/>
          <w:color w:val="000000"/>
          <w:kern w:val="0"/>
          <w:sz w:val="18"/>
          <w:szCs w:val="18"/>
        </w:rPr>
        <w:t xml:space="preserve">Published online: </w:t>
      </w:r>
      <w:r w:rsidRPr="007D1D00">
        <w:rPr>
          <w:color w:val="000000"/>
          <w:kern w:val="0"/>
          <w:sz w:val="18"/>
          <w:szCs w:val="18"/>
        </w:rPr>
        <w:t>August 21, 2017</w:t>
      </w:r>
    </w:p>
    <w:p w:rsidR="00A16B9F" w:rsidRPr="007D1D00" w:rsidRDefault="00A16B9F" w:rsidP="00A16B9F">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A16B9F" w:rsidRPr="007D1D00" w:rsidRDefault="00A16B9F" w:rsidP="00A16B9F">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7D1D00">
        <w:rPr>
          <w:rFonts w:ascii="Century Gothic" w:hAnsi="Century Gothic" w:cs="Century Gothic"/>
          <w:b/>
          <w:bCs/>
          <w:color w:val="000000"/>
          <w:spacing w:val="12"/>
          <w:kern w:val="0"/>
          <w:sz w:val="24"/>
        </w:rPr>
        <w:t>Abstract</w:t>
      </w:r>
    </w:p>
    <w:p w:rsidR="00A16B9F" w:rsidRPr="007D1D00" w:rsidRDefault="00A16B9F" w:rsidP="00A16B9F">
      <w:pPr>
        <w:suppressAutoHyphens/>
        <w:autoSpaceDE w:val="0"/>
        <w:autoSpaceDN w:val="0"/>
        <w:adjustRightInd w:val="0"/>
        <w:spacing w:line="230" w:lineRule="atLeast"/>
        <w:textAlignment w:val="center"/>
        <w:rPr>
          <w:b/>
          <w:bCs/>
          <w:color w:val="000000"/>
          <w:spacing w:val="-1"/>
          <w:kern w:val="0"/>
          <w:sz w:val="19"/>
          <w:szCs w:val="19"/>
        </w:rPr>
      </w:pPr>
      <w:r w:rsidRPr="007D1D00">
        <w:rPr>
          <w:b/>
          <w:bCs/>
          <w:color w:val="000000"/>
          <w:spacing w:val="-1"/>
          <w:kern w:val="0"/>
          <w:sz w:val="19"/>
          <w:szCs w:val="19"/>
        </w:rPr>
        <w:t>AIM</w:t>
      </w:r>
    </w:p>
    <w:p w:rsidR="00A16B9F" w:rsidRPr="007D1D00" w:rsidRDefault="00A16B9F" w:rsidP="00A16B9F">
      <w:pPr>
        <w:suppressAutoHyphens/>
        <w:autoSpaceDE w:val="0"/>
        <w:autoSpaceDN w:val="0"/>
        <w:adjustRightInd w:val="0"/>
        <w:spacing w:line="230" w:lineRule="atLeast"/>
        <w:textAlignment w:val="center"/>
        <w:rPr>
          <w:rFonts w:ascii="Tahoma" w:hAnsi="Tahoma" w:cs="Tahoma"/>
          <w:color w:val="000000"/>
          <w:spacing w:val="-1"/>
          <w:kern w:val="0"/>
          <w:sz w:val="19"/>
          <w:szCs w:val="19"/>
        </w:rPr>
      </w:pPr>
      <w:proofErr w:type="gramStart"/>
      <w:r w:rsidRPr="007D1D00">
        <w:rPr>
          <w:rFonts w:ascii="Tahoma" w:hAnsi="Tahoma" w:cs="Tahoma"/>
          <w:color w:val="000000"/>
          <w:spacing w:val="-1"/>
          <w:kern w:val="0"/>
          <w:sz w:val="19"/>
          <w:szCs w:val="19"/>
        </w:rPr>
        <w:t>To evaluate the measurement of zonulin level and antibodies of zonulin and other tight junction proteins in the blood of controls and celiac disease patients.</w:t>
      </w:r>
      <w:proofErr w:type="gramEnd"/>
    </w:p>
    <w:p w:rsidR="00A16B9F" w:rsidRPr="007D1D00" w:rsidRDefault="00A16B9F" w:rsidP="00A16B9F">
      <w:pPr>
        <w:suppressAutoHyphens/>
        <w:autoSpaceDE w:val="0"/>
        <w:autoSpaceDN w:val="0"/>
        <w:adjustRightInd w:val="0"/>
        <w:spacing w:line="230" w:lineRule="atLeast"/>
        <w:textAlignment w:val="center"/>
        <w:rPr>
          <w:b/>
          <w:bCs/>
          <w:color w:val="000000"/>
          <w:spacing w:val="-1"/>
          <w:kern w:val="0"/>
          <w:sz w:val="19"/>
          <w:szCs w:val="19"/>
        </w:rPr>
      </w:pPr>
      <w:r w:rsidRPr="007D1D00">
        <w:rPr>
          <w:b/>
          <w:bCs/>
          <w:color w:val="000000"/>
          <w:spacing w:val="-1"/>
          <w:kern w:val="0"/>
          <w:sz w:val="19"/>
          <w:szCs w:val="19"/>
        </w:rPr>
        <w:t>METHODS</w:t>
      </w:r>
    </w:p>
    <w:p w:rsidR="00A16B9F" w:rsidRPr="007D1D00" w:rsidRDefault="00A16B9F" w:rsidP="00A16B9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7D1D00">
        <w:rPr>
          <w:rFonts w:ascii="Tahoma" w:hAnsi="Tahoma" w:cs="Tahoma"/>
          <w:color w:val="000000"/>
          <w:spacing w:val="-1"/>
          <w:kern w:val="0"/>
          <w:sz w:val="19"/>
          <w:szCs w:val="19"/>
        </w:rPr>
        <w:t xml:space="preserve">This study was conducted to assess the variability or stability of zonulin levels </w:t>
      </w:r>
      <w:r w:rsidRPr="007D1D00">
        <w:rPr>
          <w:rFonts w:ascii="Tahoma Italic" w:hAnsi="Tahoma Italic" w:cs="Tahoma Italic"/>
          <w:i/>
          <w:iCs/>
          <w:color w:val="000000"/>
          <w:spacing w:val="-1"/>
          <w:kern w:val="0"/>
          <w:sz w:val="19"/>
          <w:szCs w:val="19"/>
        </w:rPr>
        <w:t>vs</w:t>
      </w:r>
      <w:r w:rsidRPr="007D1D00">
        <w:rPr>
          <w:rFonts w:ascii="Tahoma" w:hAnsi="Tahoma" w:cs="Tahoma"/>
          <w:color w:val="000000"/>
          <w:spacing w:val="-1"/>
          <w:kern w:val="0"/>
          <w:sz w:val="19"/>
          <w:szCs w:val="19"/>
        </w:rPr>
        <w:t xml:space="preserve"> IgA and IgG antibodies against zonulin in blood samples from 18 controls at 0, 6, 24 and 30 h after blood draw. We also measured zonulin level as well as zonulin, occludin, vinculin, aquaporin 4 and glial fibrillary acidic protein antibodies in the sera of 30 patients with celiac disease and 30 controls using enzyme-linked immunosorbent assay methodology. </w:t>
      </w:r>
    </w:p>
    <w:p w:rsidR="00A16B9F" w:rsidRPr="007D1D00" w:rsidRDefault="00A16B9F" w:rsidP="00A16B9F">
      <w:pPr>
        <w:suppressAutoHyphens/>
        <w:autoSpaceDE w:val="0"/>
        <w:autoSpaceDN w:val="0"/>
        <w:adjustRightInd w:val="0"/>
        <w:spacing w:line="230" w:lineRule="atLeast"/>
        <w:textAlignment w:val="center"/>
        <w:rPr>
          <w:b/>
          <w:bCs/>
          <w:color w:val="000000"/>
          <w:spacing w:val="-1"/>
          <w:kern w:val="0"/>
          <w:sz w:val="19"/>
          <w:szCs w:val="19"/>
        </w:rPr>
      </w:pPr>
      <w:r w:rsidRPr="007D1D00">
        <w:rPr>
          <w:b/>
          <w:bCs/>
          <w:color w:val="000000"/>
          <w:spacing w:val="-1"/>
          <w:kern w:val="0"/>
          <w:sz w:val="19"/>
          <w:szCs w:val="19"/>
        </w:rPr>
        <w:t>RESULTS</w:t>
      </w:r>
    </w:p>
    <w:p w:rsidR="00A16B9F" w:rsidRPr="007D1D00" w:rsidRDefault="00A16B9F" w:rsidP="00A16B9F">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7D1D00">
        <w:rPr>
          <w:rFonts w:ascii="Tahoma" w:hAnsi="Tahoma" w:cs="Tahoma"/>
          <w:color w:val="000000"/>
          <w:spacing w:val="-2"/>
          <w:kern w:val="0"/>
          <w:sz w:val="19"/>
          <w:szCs w:val="19"/>
        </w:rPr>
        <w:t>The serum zonulin level in 6 out of 18 subjects was low or &lt; 2.8 ng/mL and was very close to the detection limit of the assay. The other 12 subjects had zonulin levels of &gt; 2.8 ng/mL and showed significant fluctua</w:t>
      </w:r>
      <w:r w:rsidRPr="007D1D00">
        <w:rPr>
          <w:rFonts w:ascii="Tahoma" w:hAnsi="Tahoma" w:cs="Tahoma"/>
          <w:color w:val="000000"/>
          <w:spacing w:val="-2"/>
          <w:kern w:val="0"/>
          <w:sz w:val="19"/>
          <w:szCs w:val="19"/>
        </w:rPr>
        <w:softHyphen/>
        <w:t xml:space="preserve">tion from sample to sample. Comparatively, zonulin antibody measured in all samples was highly stable and reproducible from sample to </w:t>
      </w:r>
      <w:r w:rsidRPr="007D1D00">
        <w:rPr>
          <w:rFonts w:ascii="Tahoma" w:hAnsi="Tahoma" w:cs="Tahoma"/>
          <w:color w:val="000000"/>
          <w:spacing w:val="-2"/>
          <w:kern w:val="0"/>
          <w:sz w:val="19"/>
          <w:szCs w:val="19"/>
        </w:rPr>
        <w:lastRenderedPageBreak/>
        <w:t xml:space="preserve">sample. Celiac disease patients showed zonulin levels with a mean </w:t>
      </w:r>
      <w:proofErr w:type="gramStart"/>
      <w:r w:rsidRPr="007D1D00">
        <w:rPr>
          <w:rFonts w:ascii="Tahoma" w:hAnsi="Tahoma" w:cs="Tahoma"/>
          <w:color w:val="000000"/>
          <w:spacing w:val="-2"/>
          <w:kern w:val="0"/>
          <w:sz w:val="19"/>
          <w:szCs w:val="19"/>
        </w:rPr>
        <w:t>of 8.5 ng/mL</w:t>
      </w:r>
      <w:proofErr w:type="gramEnd"/>
      <w:r w:rsidRPr="007D1D00">
        <w:rPr>
          <w:rFonts w:ascii="Tahoma" w:hAnsi="Tahoma" w:cs="Tahoma"/>
          <w:color w:val="000000"/>
          <w:spacing w:val="-2"/>
          <w:kern w:val="0"/>
          <w:sz w:val="19"/>
          <w:szCs w:val="19"/>
        </w:rPr>
        <w:t xml:space="preserve"> compared to 3.7 ng/mL in controls (</w:t>
      </w:r>
      <w:r w:rsidRPr="007D1D00">
        <w:rPr>
          <w:rFonts w:ascii="Tahoma Italic" w:hAnsi="Tahoma Italic" w:cs="Tahoma Italic"/>
          <w:i/>
          <w:iCs/>
          <w:color w:val="000000"/>
          <w:spacing w:val="-2"/>
          <w:kern w:val="0"/>
          <w:sz w:val="19"/>
          <w:szCs w:val="19"/>
        </w:rPr>
        <w:t>P</w:t>
      </w:r>
      <w:r w:rsidRPr="007D1D00">
        <w:rPr>
          <w:rFonts w:ascii="Tahoma" w:hAnsi="Tahoma" w:cs="Tahoma"/>
          <w:color w:val="000000"/>
          <w:spacing w:val="-2"/>
          <w:kern w:val="0"/>
          <w:sz w:val="19"/>
          <w:szCs w:val="19"/>
        </w:rPr>
        <w:t xml:space="preserve"> &lt; 0.0001). Elevation of zonulin level at 2SD above the mean was demonstrated in 37% of celiac disease patients, while antibodies against zonulin, occludin and other tight junction proteins was detected in up to 86% of patients with celiac disease. </w:t>
      </w:r>
    </w:p>
    <w:p w:rsidR="00A16B9F" w:rsidRPr="007D1D00" w:rsidRDefault="00A16B9F" w:rsidP="00A16B9F">
      <w:pPr>
        <w:suppressAutoHyphens/>
        <w:autoSpaceDE w:val="0"/>
        <w:autoSpaceDN w:val="0"/>
        <w:adjustRightInd w:val="0"/>
        <w:spacing w:line="230" w:lineRule="atLeast"/>
        <w:textAlignment w:val="center"/>
        <w:rPr>
          <w:b/>
          <w:bCs/>
          <w:color w:val="000000"/>
          <w:spacing w:val="-1"/>
          <w:kern w:val="0"/>
          <w:sz w:val="19"/>
          <w:szCs w:val="19"/>
        </w:rPr>
      </w:pPr>
      <w:r w:rsidRPr="007D1D00">
        <w:rPr>
          <w:b/>
          <w:bCs/>
          <w:color w:val="000000"/>
          <w:spacing w:val="-1"/>
          <w:kern w:val="0"/>
          <w:sz w:val="19"/>
          <w:szCs w:val="19"/>
        </w:rPr>
        <w:t>CONCLUSION</w:t>
      </w:r>
    </w:p>
    <w:p w:rsidR="00A16B9F" w:rsidRPr="007D1D00" w:rsidRDefault="00A16B9F" w:rsidP="00A16B9F">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7D1D00">
        <w:rPr>
          <w:rFonts w:ascii="Tahoma" w:hAnsi="Tahoma" w:cs="Tahoma"/>
          <w:color w:val="000000"/>
          <w:spacing w:val="-2"/>
          <w:kern w:val="0"/>
          <w:sz w:val="19"/>
          <w:szCs w:val="19"/>
        </w:rPr>
        <w:t>Due to its fluctuation, a single measurement of zonulin level is not recommended for assessment of intestinal barrier integrity. Measurement of IgG and IgA antibod</w:t>
      </w:r>
      <w:r w:rsidRPr="007D1D00">
        <w:rPr>
          <w:rFonts w:ascii="Tahoma" w:hAnsi="Tahoma" w:cs="Tahoma"/>
          <w:color w:val="000000"/>
          <w:spacing w:val="-2"/>
          <w:kern w:val="0"/>
          <w:sz w:val="19"/>
          <w:szCs w:val="19"/>
        </w:rPr>
        <w:softHyphen/>
        <w:t xml:space="preserve">ies against zonulin, </w:t>
      </w:r>
      <w:proofErr w:type="gramStart"/>
      <w:r w:rsidRPr="007D1D00">
        <w:rPr>
          <w:rFonts w:ascii="Tahoma" w:hAnsi="Tahoma" w:cs="Tahoma"/>
          <w:color w:val="000000"/>
          <w:spacing w:val="-2"/>
          <w:kern w:val="0"/>
          <w:sz w:val="19"/>
          <w:szCs w:val="19"/>
        </w:rPr>
        <w:t>occludin,</w:t>
      </w:r>
      <w:proofErr w:type="gramEnd"/>
      <w:r w:rsidRPr="007D1D00">
        <w:rPr>
          <w:rFonts w:ascii="Tahoma" w:hAnsi="Tahoma" w:cs="Tahoma"/>
          <w:color w:val="000000"/>
          <w:spacing w:val="-2"/>
          <w:kern w:val="0"/>
          <w:sz w:val="19"/>
          <w:szCs w:val="19"/>
        </w:rPr>
        <w:t xml:space="preserve"> and other tight junction proteins is proposed for the evaluation of the loss of intestinal barrier integrity.</w:t>
      </w:r>
    </w:p>
    <w:p w:rsidR="00A16B9F" w:rsidRPr="007D1D00" w:rsidRDefault="00A16B9F" w:rsidP="00A16B9F">
      <w:pPr>
        <w:suppressAutoHyphens/>
        <w:autoSpaceDE w:val="0"/>
        <w:autoSpaceDN w:val="0"/>
        <w:adjustRightInd w:val="0"/>
        <w:spacing w:line="230" w:lineRule="atLeast"/>
        <w:textAlignment w:val="center"/>
        <w:rPr>
          <w:b/>
          <w:bCs/>
          <w:color w:val="000000"/>
          <w:spacing w:val="-1"/>
          <w:kern w:val="0"/>
          <w:sz w:val="19"/>
          <w:szCs w:val="19"/>
        </w:rPr>
      </w:pPr>
    </w:p>
    <w:p w:rsidR="00A16B9F" w:rsidRPr="007D1D00" w:rsidRDefault="00A16B9F" w:rsidP="00A16B9F">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7D1D00">
        <w:rPr>
          <w:b/>
          <w:bCs/>
          <w:color w:val="000000"/>
          <w:spacing w:val="-1"/>
          <w:kern w:val="0"/>
          <w:sz w:val="19"/>
          <w:szCs w:val="19"/>
        </w:rPr>
        <w:t>Key words:</w:t>
      </w:r>
      <w:r w:rsidRPr="007D1D00">
        <w:rPr>
          <w:rFonts w:ascii="Tahoma" w:hAnsi="Tahoma" w:cs="Tahoma"/>
          <w:b/>
          <w:bCs/>
          <w:color w:val="000000"/>
          <w:spacing w:val="-1"/>
          <w:kern w:val="0"/>
          <w:sz w:val="19"/>
          <w:szCs w:val="19"/>
        </w:rPr>
        <w:t xml:space="preserve"> </w:t>
      </w:r>
      <w:r w:rsidRPr="007D1D00">
        <w:rPr>
          <w:rFonts w:ascii="Tahoma" w:hAnsi="Tahoma" w:cs="Tahoma"/>
          <w:color w:val="000000"/>
          <w:spacing w:val="-1"/>
          <w:kern w:val="0"/>
          <w:sz w:val="19"/>
          <w:szCs w:val="19"/>
        </w:rPr>
        <w:t>Zonulin; Occludin; Tight junction protein; Intestinal barrier integrity; Celiac disease</w:t>
      </w:r>
    </w:p>
    <w:p w:rsidR="00A16B9F" w:rsidRPr="007D1D00" w:rsidRDefault="00A16B9F" w:rsidP="00A16B9F">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A16B9F" w:rsidRPr="00634529" w:rsidRDefault="00A16B9F" w:rsidP="00A16B9F">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634529">
        <w:rPr>
          <w:rFonts w:ascii="Tahoma" w:hAnsi="Tahoma" w:cs="Tahoma"/>
          <w:b/>
          <w:bCs/>
          <w:color w:val="000000"/>
          <w:spacing w:val="-1"/>
          <w:kern w:val="0"/>
          <w:sz w:val="17"/>
          <w:szCs w:val="17"/>
        </w:rPr>
        <w:t>© The Author(s) 2017.</w:t>
      </w:r>
      <w:proofErr w:type="gramEnd"/>
      <w:r w:rsidRPr="00634529">
        <w:rPr>
          <w:rFonts w:ascii="Tahoma" w:hAnsi="Tahoma" w:cs="Tahoma"/>
          <w:color w:val="000000"/>
          <w:spacing w:val="-1"/>
          <w:kern w:val="0"/>
          <w:sz w:val="17"/>
          <w:szCs w:val="17"/>
        </w:rPr>
        <w:t xml:space="preserve"> </w:t>
      </w:r>
      <w:proofErr w:type="gramStart"/>
      <w:r w:rsidRPr="00634529">
        <w:rPr>
          <w:rFonts w:ascii="Tahoma" w:hAnsi="Tahoma" w:cs="Tahoma"/>
          <w:color w:val="000000"/>
          <w:spacing w:val="-1"/>
          <w:kern w:val="0"/>
          <w:sz w:val="17"/>
          <w:szCs w:val="17"/>
        </w:rPr>
        <w:t>Published by Baishideng Publishing Group Inc.</w:t>
      </w:r>
      <w:proofErr w:type="gramEnd"/>
      <w:r w:rsidRPr="00634529">
        <w:rPr>
          <w:rFonts w:ascii="Tahoma" w:hAnsi="Tahoma" w:cs="Tahoma"/>
          <w:color w:val="000000"/>
          <w:spacing w:val="-1"/>
          <w:kern w:val="0"/>
          <w:sz w:val="17"/>
          <w:szCs w:val="17"/>
        </w:rPr>
        <w:t xml:space="preserve"> All rights reserved.</w:t>
      </w:r>
    </w:p>
    <w:p w:rsidR="00A16B9F" w:rsidRDefault="00A16B9F" w:rsidP="00A16B9F">
      <w:pPr>
        <w:suppressAutoHyphens/>
        <w:autoSpaceDE w:val="0"/>
        <w:autoSpaceDN w:val="0"/>
        <w:adjustRightInd w:val="0"/>
        <w:spacing w:line="230" w:lineRule="atLeast"/>
        <w:textAlignment w:val="center"/>
        <w:rPr>
          <w:color w:val="000000"/>
          <w:spacing w:val="-2"/>
          <w:kern w:val="0"/>
          <w:sz w:val="18"/>
          <w:szCs w:val="18"/>
        </w:rPr>
      </w:pPr>
    </w:p>
    <w:p w:rsidR="00A16B9F" w:rsidRPr="007D1D00" w:rsidRDefault="00A16B9F" w:rsidP="00A16B9F">
      <w:pPr>
        <w:suppressAutoHyphens/>
        <w:autoSpaceDE w:val="0"/>
        <w:autoSpaceDN w:val="0"/>
        <w:adjustRightInd w:val="0"/>
        <w:spacing w:line="230" w:lineRule="atLeast"/>
        <w:textAlignment w:val="center"/>
        <w:rPr>
          <w:color w:val="000000"/>
          <w:spacing w:val="-2"/>
          <w:kern w:val="0"/>
          <w:sz w:val="18"/>
          <w:szCs w:val="18"/>
        </w:rPr>
      </w:pPr>
      <w:r w:rsidRPr="007D1D00">
        <w:rPr>
          <w:color w:val="000000"/>
          <w:spacing w:val="-2"/>
          <w:kern w:val="0"/>
          <w:sz w:val="18"/>
          <w:szCs w:val="18"/>
        </w:rPr>
        <w:t xml:space="preserve">Vojdani A, Vojdani E, Kharrazian D. Fluctuation of zonulin levels in blood vs stability of antibodies. </w:t>
      </w:r>
      <w:r w:rsidRPr="007D1D00">
        <w:rPr>
          <w:i/>
          <w:iCs/>
          <w:color w:val="000000"/>
          <w:spacing w:val="-2"/>
          <w:kern w:val="0"/>
          <w:sz w:val="18"/>
          <w:szCs w:val="18"/>
        </w:rPr>
        <w:t>World J Gastroenterol</w:t>
      </w:r>
      <w:r w:rsidRPr="007D1D00">
        <w:rPr>
          <w:color w:val="000000"/>
          <w:spacing w:val="-2"/>
          <w:kern w:val="0"/>
          <w:sz w:val="18"/>
          <w:szCs w:val="18"/>
        </w:rPr>
        <w:t xml:space="preserve"> 2017; 23(31): 5669-</w:t>
      </w:r>
      <w:proofErr w:type="gramStart"/>
      <w:r w:rsidRPr="007D1D00">
        <w:rPr>
          <w:color w:val="000000"/>
          <w:spacing w:val="-2"/>
          <w:kern w:val="0"/>
          <w:sz w:val="18"/>
          <w:szCs w:val="18"/>
        </w:rPr>
        <w:t>5679  Available</w:t>
      </w:r>
      <w:proofErr w:type="gramEnd"/>
      <w:r w:rsidRPr="007D1D00">
        <w:rPr>
          <w:color w:val="000000"/>
          <w:spacing w:val="-2"/>
          <w:kern w:val="0"/>
          <w:sz w:val="18"/>
          <w:szCs w:val="18"/>
        </w:rPr>
        <w:t xml:space="preserve"> from: URL: http://www.wjgnet.com/1007-9327/full/v23/i31/5669.htm  DOI: http://dx.doi.org/10.3748/wjg.v23.i31.5669</w:t>
      </w: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A16B9F" w:rsidRPr="007D1D00" w:rsidRDefault="00A16B9F" w:rsidP="00A16B9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7D1D00">
        <w:rPr>
          <w:b/>
          <w:bCs/>
          <w:color w:val="000000"/>
          <w:spacing w:val="-3"/>
          <w:kern w:val="0"/>
          <w:sz w:val="19"/>
          <w:szCs w:val="19"/>
        </w:rPr>
        <w:t>Core tip:</w:t>
      </w:r>
      <w:r w:rsidRPr="007D1D00">
        <w:rPr>
          <w:rFonts w:ascii="Tahoma" w:hAnsi="Tahoma" w:cs="Tahoma"/>
          <w:color w:val="000000"/>
          <w:spacing w:val="-1"/>
          <w:kern w:val="0"/>
          <w:sz w:val="19"/>
          <w:szCs w:val="19"/>
        </w:rPr>
        <w:t xml:space="preserve"> We studied possible variability in zonulin levels </w:t>
      </w:r>
      <w:r w:rsidRPr="007D1D00">
        <w:rPr>
          <w:rFonts w:ascii="Tahoma Italic" w:hAnsi="Tahoma Italic" w:cs="Tahoma Italic"/>
          <w:i/>
          <w:iCs/>
          <w:color w:val="000000"/>
          <w:spacing w:val="-1"/>
          <w:kern w:val="0"/>
          <w:sz w:val="19"/>
          <w:szCs w:val="19"/>
        </w:rPr>
        <w:t>vs</w:t>
      </w:r>
      <w:r w:rsidRPr="007D1D00">
        <w:rPr>
          <w:rFonts w:ascii="Tahoma" w:hAnsi="Tahoma" w:cs="Tahoma"/>
          <w:color w:val="000000"/>
          <w:spacing w:val="-1"/>
          <w:kern w:val="0"/>
          <w:sz w:val="19"/>
          <w:szCs w:val="19"/>
        </w:rPr>
        <w:t xml:space="preserve"> measuring antibodies against zonulin and other tight junction proteins in blood. We found that fluctuations in zonulin level from hour-to-hour and day-to-day were too great to recommend it for assessing intestinal permeability. Measurement of IgG and IgA antibodies against tight junction proteins in controls and in celiac disease patients proved to be very stable and reproducible, and we recommend this method for such an assessment in future studies.</w:t>
      </w: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D1D00">
        <w:rPr>
          <w:rFonts w:ascii="Univers" w:hAnsi="Univers" w:cs="Univers"/>
          <w:b/>
          <w:bCs/>
          <w:color w:val="000000"/>
          <w:spacing w:val="-2"/>
          <w:kern w:val="0"/>
          <w:sz w:val="24"/>
          <w:u w:val="single"/>
        </w:rPr>
        <w:t>INTRODUCTION</w:t>
      </w:r>
    </w:p>
    <w:p w:rsidR="00A16B9F" w:rsidRPr="007D1D00" w:rsidRDefault="00A16B9F" w:rsidP="00A16B9F">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7D1D00">
        <w:rPr>
          <w:rFonts w:ascii="Verdana" w:hAnsi="Verdana" w:cs="Verdana"/>
          <w:color w:val="000000"/>
          <w:spacing w:val="-8"/>
          <w:kern w:val="0"/>
          <w:sz w:val="18"/>
          <w:szCs w:val="18"/>
        </w:rPr>
        <w:t>The intestinal barrier is one of the most continuously challenged body barriers. Its importance for main</w:t>
      </w:r>
      <w:r w:rsidRPr="007D1D00">
        <w:rPr>
          <w:rFonts w:ascii="Verdana" w:hAnsi="Verdana" w:cs="Verdana"/>
          <w:color w:val="000000"/>
          <w:spacing w:val="-8"/>
          <w:kern w:val="0"/>
          <w:sz w:val="18"/>
          <w:szCs w:val="18"/>
        </w:rPr>
        <w:softHyphen/>
        <w:t xml:space="preserve">taining health cannot be overestimated. Protected by outer layers of gut microbiota and mucus, the intestinal epithelial layer is the last defensive barrier. This one-cell-thick, picket fence-like structure both </w:t>
      </w:r>
      <w:proofErr w:type="gramStart"/>
      <w:r w:rsidRPr="007D1D00">
        <w:rPr>
          <w:rFonts w:ascii="Verdana" w:hAnsi="Verdana" w:cs="Verdana"/>
          <w:color w:val="000000"/>
          <w:spacing w:val="-8"/>
          <w:kern w:val="0"/>
          <w:sz w:val="18"/>
          <w:szCs w:val="18"/>
        </w:rPr>
        <w:t>absorbs</w:t>
      </w:r>
      <w:proofErr w:type="gramEnd"/>
      <w:r w:rsidRPr="007D1D00">
        <w:rPr>
          <w:rFonts w:ascii="Verdana" w:hAnsi="Verdana" w:cs="Verdana"/>
          <w:color w:val="000000"/>
          <w:spacing w:val="-8"/>
          <w:kern w:val="0"/>
          <w:sz w:val="18"/>
          <w:szCs w:val="18"/>
        </w:rPr>
        <w:t xml:space="preserve"> nutrients and blocks the entry of immunogenic molecules from infiltrating the body. If the barrier is breached, inflammation, autoimmunity or even cancer may </w:t>
      </w:r>
      <w:proofErr w:type="gramStart"/>
      <w:r w:rsidRPr="007D1D00">
        <w:rPr>
          <w:rFonts w:ascii="Verdana" w:hAnsi="Verdana" w:cs="Verdana"/>
          <w:color w:val="000000"/>
          <w:spacing w:val="-8"/>
          <w:kern w:val="0"/>
          <w:sz w:val="18"/>
          <w:szCs w:val="18"/>
        </w:rPr>
        <w:t>follow</w:t>
      </w:r>
      <w:r w:rsidRPr="007D1D00">
        <w:rPr>
          <w:rFonts w:ascii="Verdana" w:hAnsi="Verdana" w:cs="Verdana"/>
          <w:color w:val="000000"/>
          <w:spacing w:val="-8"/>
          <w:kern w:val="0"/>
          <w:sz w:val="18"/>
          <w:szCs w:val="18"/>
          <w:vertAlign w:val="superscript"/>
        </w:rPr>
        <w:t>[</w:t>
      </w:r>
      <w:proofErr w:type="gramEnd"/>
      <w:r w:rsidRPr="007D1D00">
        <w:rPr>
          <w:rFonts w:ascii="Verdana" w:hAnsi="Verdana" w:cs="Verdana"/>
          <w:color w:val="000000"/>
          <w:spacing w:val="-8"/>
          <w:kern w:val="0"/>
          <w:sz w:val="18"/>
          <w:szCs w:val="18"/>
          <w:vertAlign w:val="superscript"/>
        </w:rPr>
        <w:t>1,2]</w:t>
      </w:r>
      <w:r w:rsidRPr="007D1D00">
        <w:rPr>
          <w:rFonts w:ascii="Verdana" w:hAnsi="Verdana" w:cs="Verdana"/>
          <w:color w:val="000000"/>
          <w:spacing w:val="-8"/>
          <w:kern w:val="0"/>
          <w:sz w:val="18"/>
          <w:szCs w:val="18"/>
        </w:rPr>
        <w:t xml:space="preserve">. A broken barrier, therefore, is a serious matter and a therapeutic target for disease </w:t>
      </w:r>
      <w:proofErr w:type="gramStart"/>
      <w:r w:rsidRPr="007D1D00">
        <w:rPr>
          <w:rFonts w:ascii="Verdana" w:hAnsi="Verdana" w:cs="Verdana"/>
          <w:color w:val="000000"/>
          <w:spacing w:val="-8"/>
          <w:kern w:val="0"/>
          <w:sz w:val="18"/>
          <w:szCs w:val="18"/>
        </w:rPr>
        <w:t>amelioration</w:t>
      </w:r>
      <w:r w:rsidRPr="007D1D00">
        <w:rPr>
          <w:rFonts w:ascii="Verdana" w:hAnsi="Verdana" w:cs="Verdana"/>
          <w:color w:val="000000"/>
          <w:spacing w:val="-8"/>
          <w:kern w:val="0"/>
          <w:sz w:val="18"/>
          <w:szCs w:val="18"/>
          <w:vertAlign w:val="superscript"/>
        </w:rPr>
        <w:t>[</w:t>
      </w:r>
      <w:proofErr w:type="gramEnd"/>
      <w:r w:rsidRPr="007D1D00">
        <w:rPr>
          <w:rFonts w:ascii="Verdana" w:hAnsi="Verdana" w:cs="Verdana"/>
          <w:color w:val="000000"/>
          <w:spacing w:val="-8"/>
          <w:kern w:val="0"/>
          <w:sz w:val="18"/>
          <w:szCs w:val="18"/>
          <w:vertAlign w:val="superscript"/>
        </w:rPr>
        <w:t>3,4]</w:t>
      </w:r>
      <w:r w:rsidRPr="007D1D00">
        <w:rPr>
          <w:rFonts w:ascii="Verdana" w:hAnsi="Verdana" w:cs="Verdana"/>
          <w:color w:val="000000"/>
          <w:spacing w:val="-8"/>
          <w:kern w:val="0"/>
          <w:sz w:val="18"/>
          <w:szCs w:val="18"/>
        </w:rPr>
        <w:t>.</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Intestinal barrier structures include epithelial cells and a system of junctions linking them toge</w:t>
      </w:r>
      <w:r w:rsidRPr="007D1D00">
        <w:rPr>
          <w:rFonts w:ascii="Verdana" w:hAnsi="Verdana" w:cs="Verdana"/>
          <w:color w:val="000000"/>
          <w:spacing w:val="-7"/>
          <w:kern w:val="0"/>
          <w:sz w:val="18"/>
          <w:szCs w:val="18"/>
        </w:rPr>
        <w:softHyphen/>
        <w:t xml:space="preserve">ther. This structure prevents pathogens, endotoxins and undigested dietary proteins from reaching the underlying lamina propria. Many factors can alter intestinal barrier structures, causing increased barrier permeability. These factors include physical and/or emotional </w:t>
      </w:r>
      <w:proofErr w:type="gramStart"/>
      <w:r w:rsidRPr="007D1D00">
        <w:rPr>
          <w:rFonts w:ascii="Verdana" w:hAnsi="Verdana" w:cs="Verdana"/>
          <w:color w:val="000000"/>
          <w:spacing w:val="-7"/>
          <w:kern w:val="0"/>
          <w:sz w:val="18"/>
          <w:szCs w:val="18"/>
        </w:rPr>
        <w:t>stress</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5]</w:t>
      </w:r>
      <w:r w:rsidRPr="007D1D00">
        <w:rPr>
          <w:rFonts w:ascii="Verdana" w:hAnsi="Verdana" w:cs="Verdana"/>
          <w:color w:val="000000"/>
          <w:spacing w:val="-7"/>
          <w:kern w:val="0"/>
          <w:sz w:val="18"/>
          <w:szCs w:val="18"/>
        </w:rPr>
        <w:t>, gut microbiota modifications</w:t>
      </w:r>
      <w:r w:rsidRPr="007D1D00">
        <w:rPr>
          <w:rFonts w:ascii="Verdana" w:hAnsi="Verdana" w:cs="Verdana"/>
          <w:color w:val="000000"/>
          <w:spacing w:val="-7"/>
          <w:kern w:val="0"/>
          <w:sz w:val="18"/>
          <w:szCs w:val="18"/>
          <w:vertAlign w:val="superscript"/>
        </w:rPr>
        <w:t>[6-8]</w:t>
      </w:r>
      <w:r w:rsidRPr="007D1D00">
        <w:rPr>
          <w:rFonts w:ascii="Verdana" w:hAnsi="Verdana" w:cs="Verdana"/>
          <w:color w:val="000000"/>
          <w:spacing w:val="-7"/>
          <w:kern w:val="0"/>
          <w:sz w:val="18"/>
          <w:szCs w:val="18"/>
        </w:rPr>
        <w:t>, dust mite allergen</w:t>
      </w:r>
      <w:r w:rsidRPr="007D1D00">
        <w:rPr>
          <w:rFonts w:ascii="Verdana" w:hAnsi="Verdana" w:cs="Verdana"/>
          <w:color w:val="000000"/>
          <w:spacing w:val="-7"/>
          <w:kern w:val="0"/>
          <w:sz w:val="18"/>
          <w:szCs w:val="18"/>
          <w:vertAlign w:val="superscript"/>
        </w:rPr>
        <w:t>[9]</w:t>
      </w:r>
      <w:r w:rsidRPr="007D1D00">
        <w:rPr>
          <w:rFonts w:ascii="Verdana" w:hAnsi="Verdana" w:cs="Verdana"/>
          <w:color w:val="000000"/>
          <w:spacing w:val="-7"/>
          <w:kern w:val="0"/>
          <w:sz w:val="18"/>
          <w:szCs w:val="18"/>
        </w:rPr>
        <w:t>, long-term use of non-steroidal anti-inflammatory drugs</w:t>
      </w:r>
      <w:r w:rsidRPr="007D1D00">
        <w:rPr>
          <w:rFonts w:ascii="Verdana" w:hAnsi="Verdana" w:cs="Verdana"/>
          <w:color w:val="000000"/>
          <w:spacing w:val="-7"/>
          <w:kern w:val="0"/>
          <w:sz w:val="18"/>
          <w:szCs w:val="18"/>
          <w:vertAlign w:val="superscript"/>
        </w:rPr>
        <w:t>[10-12]</w:t>
      </w:r>
      <w:r w:rsidRPr="007D1D00">
        <w:rPr>
          <w:rFonts w:ascii="Verdana" w:hAnsi="Verdana" w:cs="Verdana"/>
          <w:color w:val="000000"/>
          <w:spacing w:val="-7"/>
          <w:kern w:val="0"/>
          <w:sz w:val="18"/>
          <w:szCs w:val="18"/>
        </w:rPr>
        <w:t>, diet</w:t>
      </w:r>
      <w:r w:rsidRPr="007D1D00">
        <w:rPr>
          <w:rFonts w:ascii="Verdana" w:hAnsi="Verdana" w:cs="Verdana"/>
          <w:color w:val="000000"/>
          <w:spacing w:val="-7"/>
          <w:kern w:val="0"/>
          <w:sz w:val="18"/>
          <w:szCs w:val="18"/>
          <w:vertAlign w:val="superscript"/>
        </w:rPr>
        <w:t>[8,13]</w:t>
      </w:r>
      <w:r w:rsidRPr="007D1D00">
        <w:rPr>
          <w:rFonts w:ascii="Verdana" w:hAnsi="Verdana" w:cs="Verdana"/>
          <w:color w:val="000000"/>
          <w:spacing w:val="-7"/>
          <w:kern w:val="0"/>
          <w:sz w:val="18"/>
          <w:szCs w:val="18"/>
        </w:rPr>
        <w:t>, alcohol</w:t>
      </w:r>
      <w:r w:rsidRPr="007D1D00">
        <w:rPr>
          <w:rFonts w:ascii="Verdana" w:hAnsi="Verdana" w:cs="Verdana"/>
          <w:color w:val="000000"/>
          <w:spacing w:val="-7"/>
          <w:kern w:val="0"/>
          <w:sz w:val="18"/>
          <w:szCs w:val="18"/>
          <w:vertAlign w:val="superscript"/>
        </w:rPr>
        <w:t>[14]</w:t>
      </w:r>
      <w:r w:rsidRPr="007D1D00">
        <w:rPr>
          <w:rFonts w:ascii="Verdana" w:hAnsi="Verdana" w:cs="Verdana"/>
          <w:color w:val="000000"/>
          <w:spacing w:val="-7"/>
          <w:kern w:val="0"/>
          <w:sz w:val="18"/>
          <w:szCs w:val="18"/>
        </w:rPr>
        <w:t xml:space="preserve"> and autoimmune reactivity against barrier structures</w:t>
      </w:r>
      <w:r w:rsidRPr="007D1D00">
        <w:rPr>
          <w:rFonts w:ascii="Verdana" w:hAnsi="Verdana" w:cs="Verdana"/>
          <w:color w:val="000000"/>
          <w:spacing w:val="-7"/>
          <w:kern w:val="0"/>
          <w:sz w:val="18"/>
          <w:szCs w:val="18"/>
          <w:vertAlign w:val="superscript"/>
        </w:rPr>
        <w:t>[15-17]</w:t>
      </w:r>
      <w:r w:rsidRPr="007D1D00">
        <w:rPr>
          <w:rFonts w:ascii="Verdana" w:hAnsi="Verdana" w:cs="Verdana"/>
          <w:color w:val="000000"/>
          <w:spacing w:val="-7"/>
          <w:kern w:val="0"/>
          <w:sz w:val="18"/>
          <w:szCs w:val="18"/>
        </w:rPr>
        <w:t>.</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D1D00">
        <w:rPr>
          <w:rFonts w:ascii="Verdana" w:hAnsi="Verdana" w:cs="Verdana"/>
          <w:color w:val="000000"/>
          <w:spacing w:val="-9"/>
          <w:kern w:val="0"/>
          <w:sz w:val="18"/>
          <w:szCs w:val="18"/>
        </w:rPr>
        <w:lastRenderedPageBreak/>
        <w:t xml:space="preserve">Lacing the epithelial cells to one another are complex cellular junctions: tight junctions, gap junctions, adherens junctions and </w:t>
      </w:r>
      <w:proofErr w:type="gramStart"/>
      <w:r w:rsidRPr="007D1D00">
        <w:rPr>
          <w:rFonts w:ascii="Verdana" w:hAnsi="Verdana" w:cs="Verdana"/>
          <w:color w:val="000000"/>
          <w:spacing w:val="-9"/>
          <w:kern w:val="0"/>
          <w:sz w:val="18"/>
          <w:szCs w:val="18"/>
        </w:rPr>
        <w:t>desmosomes</w:t>
      </w:r>
      <w:r w:rsidRPr="007D1D00">
        <w:rPr>
          <w:rFonts w:ascii="Verdana" w:hAnsi="Verdana" w:cs="Verdana"/>
          <w:color w:val="000000"/>
          <w:spacing w:val="-9"/>
          <w:kern w:val="0"/>
          <w:sz w:val="18"/>
          <w:szCs w:val="18"/>
          <w:vertAlign w:val="superscript"/>
        </w:rPr>
        <w:t>[</w:t>
      </w:r>
      <w:proofErr w:type="gramEnd"/>
      <w:r w:rsidRPr="007D1D00">
        <w:rPr>
          <w:rFonts w:ascii="Verdana" w:hAnsi="Verdana" w:cs="Verdana"/>
          <w:color w:val="000000"/>
          <w:spacing w:val="-9"/>
          <w:kern w:val="0"/>
          <w:sz w:val="18"/>
          <w:szCs w:val="18"/>
          <w:vertAlign w:val="superscript"/>
        </w:rPr>
        <w:t>4]</w:t>
      </w:r>
      <w:r w:rsidRPr="007D1D00">
        <w:rPr>
          <w:rFonts w:ascii="Verdana" w:hAnsi="Verdana" w:cs="Verdana"/>
          <w:color w:val="000000"/>
          <w:spacing w:val="-9"/>
          <w:kern w:val="0"/>
          <w:sz w:val="18"/>
          <w:szCs w:val="18"/>
        </w:rPr>
        <w:t xml:space="preserve">. Making up the tight junctions are occludins and claudins with zonulin anchoring them to the actomyosin network within the epithelial </w:t>
      </w:r>
      <w:proofErr w:type="gramStart"/>
      <w:r w:rsidRPr="007D1D00">
        <w:rPr>
          <w:rFonts w:ascii="Verdana" w:hAnsi="Verdana" w:cs="Verdana"/>
          <w:color w:val="000000"/>
          <w:spacing w:val="-9"/>
          <w:kern w:val="0"/>
          <w:sz w:val="18"/>
          <w:szCs w:val="18"/>
        </w:rPr>
        <w:t>cells.</w:t>
      </w:r>
      <w:proofErr w:type="gramEnd"/>
      <w:r w:rsidRPr="007D1D00">
        <w:rPr>
          <w:rFonts w:ascii="Verdana" w:hAnsi="Verdana" w:cs="Verdana"/>
          <w:color w:val="000000"/>
          <w:spacing w:val="-9"/>
          <w:kern w:val="0"/>
          <w:sz w:val="18"/>
          <w:szCs w:val="18"/>
        </w:rPr>
        <w:t xml:space="preserve"> Together these cells regulate the intestinal paracellular pathway.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 xml:space="preserve">Occludin and claudin are intra-membrane proteins, which regulate water ion flow and electrolyte </w:t>
      </w:r>
      <w:proofErr w:type="gramStart"/>
      <w:r w:rsidRPr="007D1D00">
        <w:rPr>
          <w:rFonts w:ascii="Verdana" w:hAnsi="Verdana" w:cs="Verdana"/>
          <w:color w:val="000000"/>
          <w:spacing w:val="-7"/>
          <w:kern w:val="0"/>
          <w:sz w:val="18"/>
          <w:szCs w:val="18"/>
        </w:rPr>
        <w:t>loss</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3]</w:t>
      </w:r>
      <w:r w:rsidRPr="007D1D00">
        <w:rPr>
          <w:rFonts w:ascii="Verdana" w:hAnsi="Verdana" w:cs="Verdana"/>
          <w:color w:val="000000"/>
          <w:spacing w:val="-7"/>
          <w:kern w:val="0"/>
          <w:sz w:val="18"/>
          <w:szCs w:val="18"/>
        </w:rPr>
        <w:t xml:space="preserve">. Occludin has also been linked to the regulation of intermembrane and paracellular diffusion of small </w:t>
      </w:r>
      <w:proofErr w:type="gramStart"/>
      <w:r w:rsidRPr="007D1D00">
        <w:rPr>
          <w:rFonts w:ascii="Verdana" w:hAnsi="Verdana" w:cs="Verdana"/>
          <w:color w:val="000000"/>
          <w:spacing w:val="-7"/>
          <w:kern w:val="0"/>
          <w:sz w:val="18"/>
          <w:szCs w:val="18"/>
        </w:rPr>
        <w:t>molecules</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18]</w:t>
      </w:r>
      <w:r w:rsidRPr="007D1D00">
        <w:rPr>
          <w:rFonts w:ascii="Verdana" w:hAnsi="Verdana" w:cs="Verdana"/>
          <w:color w:val="000000"/>
          <w:spacing w:val="-7"/>
          <w:kern w:val="0"/>
          <w:sz w:val="18"/>
          <w:szCs w:val="18"/>
        </w:rPr>
        <w:t xml:space="preserve">.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7D1D00">
        <w:rPr>
          <w:rFonts w:ascii="Verdana" w:hAnsi="Verdana" w:cs="Verdana"/>
          <w:color w:val="000000"/>
          <w:spacing w:val="-8"/>
          <w:kern w:val="0"/>
          <w:sz w:val="18"/>
          <w:szCs w:val="18"/>
        </w:rPr>
        <w:t>Zonula occludens (ZO-1, ZO-2, ZO-3) are intr</w:t>
      </w:r>
      <w:r w:rsidRPr="007D1D00">
        <w:rPr>
          <w:rFonts w:ascii="Verdana" w:hAnsi="Verdana" w:cs="Verdana"/>
          <w:color w:val="000000"/>
          <w:spacing w:val="-8"/>
          <w:kern w:val="0"/>
          <w:sz w:val="18"/>
          <w:szCs w:val="18"/>
        </w:rPr>
        <w:softHyphen/>
        <w:t xml:space="preserve">acellular tight junction proteins that bind directly the C-terminal 146 amino acids of occludin to the cable cytoskeletal protein </w:t>
      </w:r>
      <w:proofErr w:type="gramStart"/>
      <w:r w:rsidRPr="007D1D00">
        <w:rPr>
          <w:rFonts w:ascii="Verdana" w:hAnsi="Verdana" w:cs="Verdana"/>
          <w:color w:val="000000"/>
          <w:spacing w:val="-8"/>
          <w:kern w:val="0"/>
          <w:sz w:val="18"/>
          <w:szCs w:val="18"/>
        </w:rPr>
        <w:t>actomyosin</w:t>
      </w:r>
      <w:r w:rsidRPr="007D1D00">
        <w:rPr>
          <w:rFonts w:ascii="Verdana" w:hAnsi="Verdana" w:cs="Verdana"/>
          <w:color w:val="000000"/>
          <w:spacing w:val="-8"/>
          <w:kern w:val="0"/>
          <w:sz w:val="18"/>
          <w:szCs w:val="18"/>
          <w:vertAlign w:val="superscript"/>
        </w:rPr>
        <w:t>[</w:t>
      </w:r>
      <w:proofErr w:type="gramEnd"/>
      <w:r w:rsidRPr="007D1D00">
        <w:rPr>
          <w:rFonts w:ascii="Verdana" w:hAnsi="Verdana" w:cs="Verdana"/>
          <w:color w:val="000000"/>
          <w:spacing w:val="-8"/>
          <w:kern w:val="0"/>
          <w:sz w:val="18"/>
          <w:szCs w:val="18"/>
          <w:vertAlign w:val="superscript"/>
        </w:rPr>
        <w:t>19]</w:t>
      </w:r>
      <w:r w:rsidRPr="007D1D00">
        <w:rPr>
          <w:rFonts w:ascii="Verdana" w:hAnsi="Verdana" w:cs="Verdana"/>
          <w:color w:val="000000"/>
          <w:spacing w:val="-8"/>
          <w:kern w:val="0"/>
          <w:sz w:val="18"/>
          <w:szCs w:val="18"/>
        </w:rPr>
        <w:t>. Zonula occludens are members of a family of membrane-associated signaling proteins known as the membrane-associated guanylate kinase homologs (MAGUKs</w:t>
      </w:r>
      <w:proofErr w:type="gramStart"/>
      <w:r w:rsidRPr="007D1D00">
        <w:rPr>
          <w:rFonts w:ascii="Verdana" w:hAnsi="Verdana" w:cs="Verdana"/>
          <w:color w:val="000000"/>
          <w:spacing w:val="-8"/>
          <w:kern w:val="0"/>
          <w:sz w:val="18"/>
          <w:szCs w:val="18"/>
        </w:rPr>
        <w:t>)</w:t>
      </w:r>
      <w:r w:rsidRPr="007D1D00">
        <w:rPr>
          <w:rFonts w:ascii="Verdana" w:hAnsi="Verdana" w:cs="Verdana"/>
          <w:color w:val="000000"/>
          <w:spacing w:val="-8"/>
          <w:kern w:val="0"/>
          <w:sz w:val="18"/>
          <w:szCs w:val="18"/>
          <w:vertAlign w:val="superscript"/>
        </w:rPr>
        <w:t>[</w:t>
      </w:r>
      <w:proofErr w:type="gramEnd"/>
      <w:r w:rsidRPr="007D1D00">
        <w:rPr>
          <w:rFonts w:ascii="Verdana" w:hAnsi="Verdana" w:cs="Verdana"/>
          <w:color w:val="000000"/>
          <w:spacing w:val="-8"/>
          <w:kern w:val="0"/>
          <w:sz w:val="18"/>
          <w:szCs w:val="18"/>
          <w:vertAlign w:val="superscript"/>
        </w:rPr>
        <w:t>20]</w:t>
      </w:r>
      <w:r w:rsidRPr="007D1D00">
        <w:rPr>
          <w:rFonts w:ascii="Verdana" w:hAnsi="Verdana" w:cs="Verdana"/>
          <w:color w:val="000000"/>
          <w:spacing w:val="-8"/>
          <w:kern w:val="0"/>
          <w:sz w:val="18"/>
          <w:szCs w:val="18"/>
        </w:rPr>
        <w:t xml:space="preserve">. MAGUKs are suggested to be involved in signal transduction </w:t>
      </w:r>
      <w:r w:rsidRPr="007D1D00">
        <w:rPr>
          <w:rFonts w:ascii="Verdana" w:hAnsi="Verdana" w:cs="Verdana"/>
          <w:color w:val="000000"/>
          <w:spacing w:val="-9"/>
          <w:kern w:val="0"/>
          <w:sz w:val="18"/>
          <w:szCs w:val="18"/>
        </w:rPr>
        <w:t xml:space="preserve">pathways controlling growth and </w:t>
      </w:r>
      <w:proofErr w:type="gramStart"/>
      <w:r w:rsidRPr="007D1D00">
        <w:rPr>
          <w:rFonts w:ascii="Verdana" w:hAnsi="Verdana" w:cs="Verdana"/>
          <w:color w:val="000000"/>
          <w:spacing w:val="-9"/>
          <w:kern w:val="0"/>
          <w:sz w:val="18"/>
          <w:szCs w:val="18"/>
        </w:rPr>
        <w:t>differentiation</w:t>
      </w:r>
      <w:r w:rsidRPr="007D1D00">
        <w:rPr>
          <w:rFonts w:ascii="Verdana" w:hAnsi="Verdana" w:cs="Verdana"/>
          <w:color w:val="000000"/>
          <w:spacing w:val="-9"/>
          <w:kern w:val="0"/>
          <w:sz w:val="18"/>
          <w:szCs w:val="18"/>
          <w:vertAlign w:val="superscript"/>
        </w:rPr>
        <w:t>[</w:t>
      </w:r>
      <w:proofErr w:type="gramEnd"/>
      <w:r w:rsidRPr="007D1D00">
        <w:rPr>
          <w:rFonts w:ascii="Verdana" w:hAnsi="Verdana" w:cs="Verdana"/>
          <w:color w:val="000000"/>
          <w:spacing w:val="-9"/>
          <w:kern w:val="0"/>
          <w:sz w:val="18"/>
          <w:szCs w:val="18"/>
          <w:vertAlign w:val="superscript"/>
        </w:rPr>
        <w:t>21,22]</w:t>
      </w:r>
      <w:r w:rsidRPr="007D1D00">
        <w:rPr>
          <w:rFonts w:ascii="Verdana" w:hAnsi="Verdana" w:cs="Verdana"/>
          <w:color w:val="000000"/>
          <w:spacing w:val="-9"/>
          <w:kern w:val="0"/>
          <w:sz w:val="18"/>
          <w:szCs w:val="18"/>
        </w:rPr>
        <w:t>. Zonulin modulates small-intestinal tight junction per</w:t>
      </w:r>
      <w:r w:rsidRPr="007D1D00">
        <w:rPr>
          <w:rFonts w:ascii="Verdana" w:hAnsi="Verdana" w:cs="Verdana"/>
          <w:color w:val="000000"/>
          <w:spacing w:val="-9"/>
          <w:kern w:val="0"/>
          <w:sz w:val="18"/>
          <w:szCs w:val="18"/>
        </w:rPr>
        <w:softHyphen/>
        <w:t xml:space="preserve">meability through a protein kinase C-alpha-mediated actin </w:t>
      </w:r>
      <w:proofErr w:type="gramStart"/>
      <w:r w:rsidRPr="007D1D00">
        <w:rPr>
          <w:rFonts w:ascii="Verdana" w:hAnsi="Verdana" w:cs="Verdana"/>
          <w:color w:val="000000"/>
          <w:spacing w:val="-9"/>
          <w:kern w:val="0"/>
          <w:sz w:val="18"/>
          <w:szCs w:val="18"/>
        </w:rPr>
        <w:t>polymerization</w:t>
      </w:r>
      <w:r w:rsidRPr="007D1D00">
        <w:rPr>
          <w:rFonts w:ascii="Verdana" w:hAnsi="Verdana" w:cs="Verdana"/>
          <w:color w:val="000000"/>
          <w:spacing w:val="-9"/>
          <w:kern w:val="0"/>
          <w:sz w:val="18"/>
          <w:szCs w:val="18"/>
          <w:vertAlign w:val="superscript"/>
        </w:rPr>
        <w:t>[</w:t>
      </w:r>
      <w:proofErr w:type="gramEnd"/>
      <w:r w:rsidRPr="007D1D00">
        <w:rPr>
          <w:rFonts w:ascii="Verdana" w:hAnsi="Verdana" w:cs="Verdana"/>
          <w:color w:val="000000"/>
          <w:spacing w:val="-9"/>
          <w:kern w:val="0"/>
          <w:sz w:val="18"/>
          <w:szCs w:val="18"/>
          <w:vertAlign w:val="superscript"/>
        </w:rPr>
        <w:t>23]</w:t>
      </w:r>
      <w:r w:rsidRPr="007D1D00">
        <w:rPr>
          <w:rFonts w:ascii="Verdana" w:hAnsi="Verdana" w:cs="Verdana"/>
          <w:color w:val="000000"/>
          <w:spacing w:val="-9"/>
          <w:kern w:val="0"/>
          <w:sz w:val="18"/>
          <w:szCs w:val="18"/>
        </w:rPr>
        <w:t>.</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 xml:space="preserve">Vinculin is a cytoskeletal protein that is found in both focal contacts and adherens </w:t>
      </w:r>
      <w:proofErr w:type="gramStart"/>
      <w:r w:rsidRPr="007D1D00">
        <w:rPr>
          <w:rFonts w:ascii="Verdana" w:hAnsi="Verdana" w:cs="Verdana"/>
          <w:color w:val="000000"/>
          <w:spacing w:val="-7"/>
          <w:kern w:val="0"/>
          <w:sz w:val="18"/>
          <w:szCs w:val="18"/>
        </w:rPr>
        <w:t>junction</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24,25]</w:t>
      </w:r>
      <w:r w:rsidRPr="007D1D00">
        <w:rPr>
          <w:rFonts w:ascii="Verdana" w:hAnsi="Verdana" w:cs="Verdana"/>
          <w:color w:val="000000"/>
          <w:spacing w:val="-7"/>
          <w:kern w:val="0"/>
          <w:sz w:val="18"/>
          <w:szCs w:val="18"/>
        </w:rPr>
        <w:t xml:space="preserve">, and contributes to the mechanical link of the contractile actomyosin cytoskeleton to the extracellular matrix through integrin receptors. Vinculin is capable of binding to alpha-actinin, actin, </w:t>
      </w:r>
      <w:proofErr w:type="gramStart"/>
      <w:r w:rsidRPr="007D1D00">
        <w:rPr>
          <w:rFonts w:ascii="Verdana" w:hAnsi="Verdana" w:cs="Verdana"/>
          <w:color w:val="000000"/>
          <w:spacing w:val="-7"/>
          <w:kern w:val="0"/>
          <w:sz w:val="18"/>
          <w:szCs w:val="18"/>
        </w:rPr>
        <w:t>talin</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26]</w:t>
      </w:r>
      <w:r w:rsidRPr="007D1D00">
        <w:rPr>
          <w:rFonts w:ascii="Verdana" w:hAnsi="Verdana" w:cs="Verdana"/>
          <w:color w:val="000000"/>
          <w:spacing w:val="-7"/>
          <w:kern w:val="0"/>
          <w:sz w:val="18"/>
          <w:szCs w:val="18"/>
        </w:rPr>
        <w:t xml:space="preserve"> and to itself</w:t>
      </w:r>
      <w:r w:rsidRPr="007D1D00">
        <w:rPr>
          <w:rFonts w:ascii="Verdana" w:hAnsi="Verdana" w:cs="Verdana"/>
          <w:color w:val="000000"/>
          <w:spacing w:val="-7"/>
          <w:kern w:val="0"/>
          <w:sz w:val="18"/>
          <w:szCs w:val="18"/>
          <w:vertAlign w:val="superscript"/>
        </w:rPr>
        <w:t>[27-29]</w:t>
      </w:r>
      <w:r w:rsidRPr="007D1D00">
        <w:rPr>
          <w:rFonts w:ascii="Verdana" w:hAnsi="Verdana" w:cs="Verdana"/>
          <w:color w:val="000000"/>
          <w:spacing w:val="-7"/>
          <w:kern w:val="0"/>
          <w:sz w:val="18"/>
          <w:szCs w:val="18"/>
        </w:rPr>
        <w:t xml:space="preserve">. Vinculin also plays a role in the establishment, or regulation, of cadherin-based cell </w:t>
      </w:r>
      <w:proofErr w:type="gramStart"/>
      <w:r w:rsidRPr="007D1D00">
        <w:rPr>
          <w:rFonts w:ascii="Verdana" w:hAnsi="Verdana" w:cs="Verdana"/>
          <w:color w:val="000000"/>
          <w:spacing w:val="-7"/>
          <w:kern w:val="0"/>
          <w:sz w:val="18"/>
          <w:szCs w:val="18"/>
        </w:rPr>
        <w:t>adhesion</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30,31]</w:t>
      </w:r>
      <w:r w:rsidRPr="007D1D00">
        <w:rPr>
          <w:rFonts w:ascii="Verdana" w:hAnsi="Verdana" w:cs="Verdana"/>
          <w:color w:val="000000"/>
          <w:spacing w:val="-7"/>
          <w:kern w:val="0"/>
          <w:sz w:val="18"/>
          <w:szCs w:val="18"/>
        </w:rPr>
        <w:t>.</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Beneath the intestinal epithelial cells reside ast</w:t>
      </w:r>
      <w:r w:rsidRPr="007D1D00">
        <w:rPr>
          <w:rFonts w:ascii="Verdana" w:hAnsi="Verdana" w:cs="Verdana"/>
          <w:color w:val="000000"/>
          <w:spacing w:val="-7"/>
          <w:kern w:val="0"/>
          <w:sz w:val="18"/>
          <w:szCs w:val="18"/>
        </w:rPr>
        <w:softHyphen/>
        <w:t xml:space="preserve">rocyte-like cells, known as enteric glia cells (EGCs). The expression marker, glial fibrillary acidic protein (GFAP), of EGCs is identical to the astrocytes of the central nervous </w:t>
      </w:r>
      <w:proofErr w:type="gramStart"/>
      <w:r w:rsidRPr="007D1D00">
        <w:rPr>
          <w:rFonts w:ascii="Verdana" w:hAnsi="Verdana" w:cs="Verdana"/>
          <w:color w:val="000000"/>
          <w:spacing w:val="-7"/>
          <w:kern w:val="0"/>
          <w:sz w:val="18"/>
          <w:szCs w:val="18"/>
        </w:rPr>
        <w:t>system</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32,33]</w:t>
      </w:r>
      <w:r w:rsidRPr="007D1D00">
        <w:rPr>
          <w:rFonts w:ascii="Verdana" w:hAnsi="Verdana" w:cs="Verdana"/>
          <w:color w:val="000000"/>
          <w:spacing w:val="-7"/>
          <w:kern w:val="0"/>
          <w:sz w:val="18"/>
          <w:szCs w:val="18"/>
        </w:rPr>
        <w:t xml:space="preserve">. GFAP is an intermediate filament that is closely related to its non-epithelial family members, vimentin, desmin, and peripherin, which are all involved in the structure and function of the cell’s cytoskeleton. GFAP is thought to help to maintain astrocyte mechanical </w:t>
      </w:r>
      <w:proofErr w:type="gramStart"/>
      <w:r w:rsidRPr="007D1D00">
        <w:rPr>
          <w:rFonts w:ascii="Verdana" w:hAnsi="Verdana" w:cs="Verdana"/>
          <w:color w:val="000000"/>
          <w:spacing w:val="-7"/>
          <w:kern w:val="0"/>
          <w:sz w:val="18"/>
          <w:szCs w:val="18"/>
        </w:rPr>
        <w:t>strength</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34]</w:t>
      </w:r>
      <w:r w:rsidRPr="007D1D00">
        <w:rPr>
          <w:rFonts w:ascii="Verdana" w:hAnsi="Verdana" w:cs="Verdana"/>
          <w:color w:val="000000"/>
          <w:spacing w:val="-7"/>
          <w:kern w:val="0"/>
          <w:sz w:val="18"/>
          <w:szCs w:val="18"/>
        </w:rPr>
        <w:t xml:space="preserve">. The mucosal EGC population are in close proximity to the epithelial cells of the colonic crypts and their terminal foot processes often extend to the epithelial basement membrane and blood capillaries in the intestinal </w:t>
      </w:r>
      <w:proofErr w:type="gramStart"/>
      <w:r w:rsidRPr="007D1D00">
        <w:rPr>
          <w:rFonts w:ascii="Verdana" w:hAnsi="Verdana" w:cs="Verdana"/>
          <w:color w:val="000000"/>
          <w:spacing w:val="-7"/>
          <w:kern w:val="0"/>
          <w:sz w:val="18"/>
          <w:szCs w:val="18"/>
        </w:rPr>
        <w:t>mucosa</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33,35]</w:t>
      </w:r>
      <w:r w:rsidRPr="007D1D00">
        <w:rPr>
          <w:rFonts w:ascii="Verdana" w:hAnsi="Verdana" w:cs="Verdana"/>
          <w:color w:val="000000"/>
          <w:spacing w:val="-7"/>
          <w:kern w:val="0"/>
          <w:sz w:val="18"/>
          <w:szCs w:val="18"/>
        </w:rPr>
        <w:t>. EGCs are the major constituent of the enteric nervous system and outnumber enteric neurons by a factor of 4 to 10</w:t>
      </w:r>
      <w:r w:rsidRPr="007D1D00">
        <w:rPr>
          <w:rFonts w:ascii="Verdana" w:hAnsi="Verdana" w:cs="Verdana"/>
          <w:color w:val="000000"/>
          <w:spacing w:val="-7"/>
          <w:kern w:val="0"/>
          <w:sz w:val="18"/>
          <w:szCs w:val="18"/>
          <w:vertAlign w:val="superscript"/>
        </w:rPr>
        <w:t>[35]</w:t>
      </w:r>
      <w:r w:rsidRPr="007D1D00">
        <w:rPr>
          <w:rFonts w:ascii="Verdana" w:hAnsi="Verdana" w:cs="Verdana"/>
          <w:color w:val="000000"/>
          <w:spacing w:val="-7"/>
          <w:kern w:val="0"/>
          <w:sz w:val="18"/>
          <w:szCs w:val="18"/>
        </w:rPr>
        <w:t xml:space="preserve">.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vertAlign w:val="superscript"/>
        </w:rPr>
      </w:pPr>
      <w:r w:rsidRPr="007D1D00">
        <w:rPr>
          <w:rFonts w:ascii="Verdana" w:hAnsi="Verdana" w:cs="Verdana"/>
          <w:color w:val="000000"/>
          <w:spacing w:val="-7"/>
          <w:kern w:val="0"/>
          <w:sz w:val="18"/>
          <w:szCs w:val="18"/>
        </w:rPr>
        <w:t>Aquaporin 4 (AQP4) is a class of water channels found in many cells of the body including the stomach, brain, lung, and skeletal muscle. It is the predominant water channel in the central nervous system. In the brain, AQP4 is believed to have a role in maintaining and regulating the brain’s functions. These same water channel cells are found in plants, which studies indicate may be involved in the development of some neural autoimmune diseases through molecular mimicry</w:t>
      </w:r>
      <w:r w:rsidRPr="007D1D00">
        <w:rPr>
          <w:rFonts w:ascii="Verdana" w:hAnsi="Verdana" w:cs="Verdana"/>
          <w:color w:val="000000"/>
          <w:spacing w:val="-7"/>
          <w:kern w:val="0"/>
          <w:sz w:val="18"/>
          <w:szCs w:val="18"/>
          <w:vertAlign w:val="superscript"/>
        </w:rPr>
        <w:t>[36]</w:t>
      </w:r>
      <w:r w:rsidRPr="007D1D00">
        <w:rPr>
          <w:rFonts w:ascii="Verdana" w:hAnsi="Verdana" w:cs="Verdana"/>
          <w:color w:val="000000"/>
          <w:spacing w:val="-7"/>
          <w:kern w:val="0"/>
          <w:sz w:val="18"/>
          <w:szCs w:val="18"/>
        </w:rPr>
        <w:t xml:space="preserve">. Other studies also suggest the involvement of intestinal aquaporins in early stage inflammatory bowel disease and intestinal barrier integrity </w:t>
      </w:r>
      <w:proofErr w:type="gramStart"/>
      <w:r w:rsidRPr="007D1D00">
        <w:rPr>
          <w:rFonts w:ascii="Verdana" w:hAnsi="Verdana" w:cs="Verdana"/>
          <w:color w:val="000000"/>
          <w:spacing w:val="-7"/>
          <w:kern w:val="0"/>
          <w:sz w:val="18"/>
          <w:szCs w:val="18"/>
        </w:rPr>
        <w:t>impairment</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37-39]</w:t>
      </w:r>
      <w:r w:rsidRPr="007D1D00">
        <w:rPr>
          <w:rFonts w:ascii="Verdana" w:hAnsi="Verdana" w:cs="Verdana"/>
          <w:color w:val="000000"/>
          <w:spacing w:val="-7"/>
          <w:kern w:val="0"/>
          <w:sz w:val="18"/>
          <w:szCs w:val="18"/>
        </w:rPr>
        <w:t>.</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vertAlign w:val="superscript"/>
        </w:rPr>
      </w:pPr>
      <w:r w:rsidRPr="007D1D00">
        <w:rPr>
          <w:rFonts w:ascii="Verdana" w:hAnsi="Verdana" w:cs="Verdana"/>
          <w:color w:val="000000"/>
          <w:spacing w:val="-8"/>
          <w:kern w:val="0"/>
          <w:sz w:val="18"/>
          <w:szCs w:val="18"/>
        </w:rPr>
        <w:t>A variety of tests have been introduced for the assessment of intestinal epithelial cell damage, in</w:t>
      </w:r>
      <w:r w:rsidRPr="007D1D00">
        <w:rPr>
          <w:rFonts w:ascii="Verdana" w:hAnsi="Verdana" w:cs="Verdana"/>
          <w:color w:val="000000"/>
          <w:spacing w:val="-8"/>
          <w:kern w:val="0"/>
          <w:sz w:val="18"/>
          <w:szCs w:val="18"/>
        </w:rPr>
        <w:softHyphen/>
        <w:t xml:space="preserve">testinal tight junction integrity and increased intestinal permeability to macromolecules. This includes the measurement of fatty </w:t>
      </w:r>
      <w:r w:rsidRPr="007D1D00">
        <w:rPr>
          <w:rFonts w:ascii="Verdana" w:hAnsi="Verdana" w:cs="Verdana"/>
          <w:color w:val="000000"/>
          <w:spacing w:val="-8"/>
          <w:kern w:val="0"/>
          <w:sz w:val="18"/>
          <w:szCs w:val="18"/>
        </w:rPr>
        <w:lastRenderedPageBreak/>
        <w:t xml:space="preserve">acid binding proteins, glutathione S-transferase, claudins, </w:t>
      </w:r>
      <w:proofErr w:type="gramStart"/>
      <w:r w:rsidRPr="007D1D00">
        <w:rPr>
          <w:rFonts w:ascii="Verdana" w:hAnsi="Verdana" w:cs="Verdana"/>
          <w:color w:val="000000"/>
          <w:spacing w:val="-8"/>
          <w:kern w:val="0"/>
          <w:sz w:val="18"/>
          <w:szCs w:val="18"/>
        </w:rPr>
        <w:t>the</w:t>
      </w:r>
      <w:proofErr w:type="gramEnd"/>
      <w:r w:rsidRPr="007D1D00">
        <w:rPr>
          <w:rFonts w:ascii="Verdana" w:hAnsi="Verdana" w:cs="Verdana"/>
          <w:color w:val="000000"/>
          <w:spacing w:val="-8"/>
          <w:kern w:val="0"/>
          <w:sz w:val="18"/>
          <w:szCs w:val="18"/>
        </w:rPr>
        <w:t xml:space="preserve"> absorption of polyethylene glycols, circulating bacterial endotoxins, anti-endotoxin antibodies, zonulin level in blood, and others. These methods for the assessment of barrier integrity and function were reviewed by Grootjans </w:t>
      </w:r>
      <w:r w:rsidRPr="007D1D00">
        <w:rPr>
          <w:rFonts w:ascii="Verdana" w:hAnsi="Verdana" w:cs="Verdana"/>
          <w:i/>
          <w:iCs/>
          <w:color w:val="000000"/>
          <w:spacing w:val="-8"/>
          <w:kern w:val="0"/>
          <w:sz w:val="18"/>
          <w:szCs w:val="18"/>
        </w:rPr>
        <w:t xml:space="preserve">et </w:t>
      </w:r>
      <w:proofErr w:type="gramStart"/>
      <w:r w:rsidRPr="007D1D00">
        <w:rPr>
          <w:rFonts w:ascii="Verdana" w:hAnsi="Verdana" w:cs="Verdana"/>
          <w:i/>
          <w:iCs/>
          <w:color w:val="000000"/>
          <w:spacing w:val="-8"/>
          <w:kern w:val="0"/>
          <w:sz w:val="18"/>
          <w:szCs w:val="18"/>
        </w:rPr>
        <w:t>al</w:t>
      </w:r>
      <w:r w:rsidRPr="007D1D00">
        <w:rPr>
          <w:rFonts w:ascii="Verdana" w:hAnsi="Verdana" w:cs="Verdana"/>
          <w:color w:val="000000"/>
          <w:spacing w:val="-8"/>
          <w:kern w:val="0"/>
          <w:sz w:val="18"/>
          <w:szCs w:val="18"/>
          <w:vertAlign w:val="superscript"/>
        </w:rPr>
        <w:t>[</w:t>
      </w:r>
      <w:proofErr w:type="gramEnd"/>
      <w:r w:rsidRPr="007D1D00">
        <w:rPr>
          <w:rFonts w:ascii="Verdana" w:hAnsi="Verdana" w:cs="Verdana"/>
          <w:color w:val="000000"/>
          <w:spacing w:val="-8"/>
          <w:kern w:val="0"/>
          <w:sz w:val="18"/>
          <w:szCs w:val="18"/>
          <w:vertAlign w:val="superscript"/>
        </w:rPr>
        <w:t>40]</w:t>
      </w:r>
      <w:r w:rsidRPr="007D1D00">
        <w:rPr>
          <w:rFonts w:ascii="Verdana" w:hAnsi="Verdana" w:cs="Verdana"/>
          <w:color w:val="000000"/>
          <w:spacing w:val="-8"/>
          <w:kern w:val="0"/>
          <w:sz w:val="18"/>
          <w:szCs w:val="18"/>
        </w:rPr>
        <w:t>.</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7D1D00">
        <w:rPr>
          <w:rFonts w:ascii="Verdana" w:hAnsi="Verdana" w:cs="Verdana"/>
          <w:color w:val="000000"/>
          <w:spacing w:val="-8"/>
          <w:kern w:val="0"/>
          <w:sz w:val="18"/>
          <w:szCs w:val="18"/>
        </w:rPr>
        <w:t xml:space="preserve">During the past 3 years, a few published studies have shown elevations of zonulin levels in the blood of subgroups of patients with type 1 </w:t>
      </w:r>
      <w:proofErr w:type="gramStart"/>
      <w:r w:rsidRPr="007D1D00">
        <w:rPr>
          <w:rFonts w:ascii="Verdana" w:hAnsi="Verdana" w:cs="Verdana"/>
          <w:color w:val="000000"/>
          <w:spacing w:val="-8"/>
          <w:kern w:val="0"/>
          <w:sz w:val="18"/>
          <w:szCs w:val="18"/>
        </w:rPr>
        <w:t>diabetes</w:t>
      </w:r>
      <w:r w:rsidRPr="007D1D00">
        <w:rPr>
          <w:rFonts w:ascii="Verdana" w:hAnsi="Verdana" w:cs="Verdana"/>
          <w:color w:val="000000"/>
          <w:spacing w:val="-8"/>
          <w:kern w:val="0"/>
          <w:sz w:val="18"/>
          <w:szCs w:val="18"/>
          <w:vertAlign w:val="superscript"/>
        </w:rPr>
        <w:t>[</w:t>
      </w:r>
      <w:proofErr w:type="gramEnd"/>
      <w:r w:rsidRPr="007D1D00">
        <w:rPr>
          <w:rFonts w:ascii="Verdana" w:hAnsi="Verdana" w:cs="Verdana"/>
          <w:color w:val="000000"/>
          <w:spacing w:val="-8"/>
          <w:kern w:val="0"/>
          <w:sz w:val="18"/>
          <w:szCs w:val="18"/>
          <w:vertAlign w:val="superscript"/>
        </w:rPr>
        <w:t>41]</w:t>
      </w:r>
      <w:r w:rsidRPr="007D1D00">
        <w:rPr>
          <w:rFonts w:ascii="Verdana" w:hAnsi="Verdana" w:cs="Verdana"/>
          <w:color w:val="000000"/>
          <w:spacing w:val="-8"/>
          <w:kern w:val="0"/>
          <w:sz w:val="18"/>
          <w:szCs w:val="18"/>
        </w:rPr>
        <w:t>, metabolic syndrome</w:t>
      </w:r>
      <w:r w:rsidRPr="007D1D00">
        <w:rPr>
          <w:rFonts w:ascii="Verdana" w:hAnsi="Verdana" w:cs="Verdana"/>
          <w:color w:val="000000"/>
          <w:spacing w:val="-8"/>
          <w:kern w:val="0"/>
          <w:sz w:val="18"/>
          <w:szCs w:val="18"/>
          <w:vertAlign w:val="superscript"/>
        </w:rPr>
        <w:t>[42]</w:t>
      </w:r>
      <w:r w:rsidRPr="007D1D00">
        <w:rPr>
          <w:rFonts w:ascii="Verdana" w:hAnsi="Verdana" w:cs="Verdana"/>
          <w:color w:val="000000"/>
          <w:spacing w:val="-8"/>
          <w:kern w:val="0"/>
          <w:sz w:val="18"/>
          <w:szCs w:val="18"/>
        </w:rPr>
        <w:t>, polycystic ovary syndrome</w:t>
      </w:r>
      <w:r w:rsidRPr="007D1D00">
        <w:rPr>
          <w:rFonts w:ascii="Verdana" w:hAnsi="Verdana" w:cs="Verdana"/>
          <w:color w:val="000000"/>
          <w:spacing w:val="-8"/>
          <w:kern w:val="0"/>
          <w:sz w:val="18"/>
          <w:szCs w:val="18"/>
          <w:vertAlign w:val="superscript"/>
        </w:rPr>
        <w:t>[43]</w:t>
      </w:r>
      <w:r w:rsidRPr="007D1D00">
        <w:rPr>
          <w:rFonts w:ascii="Verdana" w:hAnsi="Verdana" w:cs="Verdana"/>
          <w:color w:val="000000"/>
          <w:spacing w:val="-8"/>
          <w:kern w:val="0"/>
          <w:sz w:val="18"/>
          <w:szCs w:val="18"/>
        </w:rPr>
        <w:t>, and type 2 diabetes</w:t>
      </w:r>
      <w:r w:rsidRPr="007D1D00">
        <w:rPr>
          <w:rFonts w:ascii="Verdana" w:hAnsi="Verdana" w:cs="Verdana"/>
          <w:color w:val="000000"/>
          <w:spacing w:val="-8"/>
          <w:kern w:val="0"/>
          <w:sz w:val="18"/>
          <w:szCs w:val="18"/>
          <w:vertAlign w:val="superscript"/>
        </w:rPr>
        <w:t>[44]</w:t>
      </w:r>
      <w:r w:rsidRPr="007D1D00">
        <w:rPr>
          <w:rFonts w:ascii="Verdana" w:hAnsi="Verdana" w:cs="Verdana"/>
          <w:color w:val="000000"/>
          <w:spacing w:val="-8"/>
          <w:kern w:val="0"/>
          <w:sz w:val="18"/>
          <w:szCs w:val="18"/>
        </w:rPr>
        <w:t>. Based on these publications, several clinical laboratories are now offering measurement of zonulin levels in blood as a biomarker of gut barrier assessment and autoimmunities.</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vertAlign w:val="superscript"/>
        </w:rPr>
      </w:pPr>
      <w:r w:rsidRPr="007D1D00">
        <w:rPr>
          <w:rFonts w:ascii="Verdana" w:hAnsi="Verdana" w:cs="Verdana"/>
          <w:color w:val="000000"/>
          <w:spacing w:val="-9"/>
          <w:kern w:val="0"/>
          <w:sz w:val="18"/>
          <w:szCs w:val="18"/>
        </w:rPr>
        <w:t xml:space="preserve">This is despite indications that molecules such as zonulin and occludin have molecular sizes from 45000-65000 </w:t>
      </w:r>
      <w:proofErr w:type="gramStart"/>
      <w:r w:rsidRPr="007D1D00">
        <w:rPr>
          <w:rFonts w:ascii="Verdana" w:hAnsi="Verdana" w:cs="Verdana"/>
          <w:color w:val="000000"/>
          <w:spacing w:val="-9"/>
          <w:kern w:val="0"/>
          <w:sz w:val="18"/>
          <w:szCs w:val="18"/>
        </w:rPr>
        <w:t>Da</w:t>
      </w:r>
      <w:r w:rsidRPr="007D1D00">
        <w:rPr>
          <w:rFonts w:ascii="Verdana" w:hAnsi="Verdana" w:cs="Verdana"/>
          <w:color w:val="000000"/>
          <w:spacing w:val="-9"/>
          <w:kern w:val="0"/>
          <w:sz w:val="18"/>
          <w:szCs w:val="18"/>
          <w:vertAlign w:val="superscript"/>
        </w:rPr>
        <w:t>[</w:t>
      </w:r>
      <w:proofErr w:type="gramEnd"/>
      <w:r w:rsidRPr="007D1D00">
        <w:rPr>
          <w:rFonts w:ascii="Verdana" w:hAnsi="Verdana" w:cs="Verdana"/>
          <w:color w:val="000000"/>
          <w:spacing w:val="-9"/>
          <w:kern w:val="0"/>
          <w:sz w:val="18"/>
          <w:szCs w:val="18"/>
          <w:vertAlign w:val="superscript"/>
        </w:rPr>
        <w:t>45-47]</w:t>
      </w:r>
      <w:r w:rsidRPr="007D1D00">
        <w:rPr>
          <w:rFonts w:ascii="Verdana" w:hAnsi="Verdana" w:cs="Verdana"/>
          <w:color w:val="000000"/>
          <w:spacing w:val="-9"/>
          <w:kern w:val="0"/>
          <w:sz w:val="18"/>
          <w:szCs w:val="18"/>
        </w:rPr>
        <w:t>. Molecules greater than 5000 Da in size are immunogenic and thus, incite immune cells into action. That is why levels of molecules such as zonulin and similar molecules, in a single individual, fluctuate from non-detectable to upregulated within minutes to hours</w:t>
      </w:r>
      <w:r w:rsidRPr="007D1D00">
        <w:rPr>
          <w:rFonts w:ascii="Verdana" w:hAnsi="Verdana" w:cs="Verdana"/>
          <w:color w:val="000000"/>
          <w:spacing w:val="-9"/>
          <w:kern w:val="0"/>
          <w:sz w:val="18"/>
          <w:szCs w:val="18"/>
          <w:vertAlign w:val="superscript"/>
        </w:rPr>
        <w:t>[41,48-50]</w:t>
      </w:r>
      <w:r w:rsidRPr="007D1D00">
        <w:rPr>
          <w:rFonts w:ascii="Verdana" w:hAnsi="Verdana" w:cs="Verdana"/>
          <w:color w:val="000000"/>
          <w:spacing w:val="-9"/>
          <w:kern w:val="0"/>
          <w:sz w:val="18"/>
          <w:szCs w:val="18"/>
        </w:rPr>
        <w:t xml:space="preserve">. </w:t>
      </w:r>
      <w:proofErr w:type="gramStart"/>
      <w:r w:rsidRPr="007D1D00">
        <w:rPr>
          <w:rFonts w:ascii="Verdana" w:hAnsi="Verdana" w:cs="Verdana"/>
          <w:color w:val="000000"/>
          <w:spacing w:val="-9"/>
          <w:kern w:val="0"/>
          <w:sz w:val="18"/>
          <w:szCs w:val="18"/>
        </w:rPr>
        <w:t>When these immunogenic molecules enter the submucosa and then into circula</w:t>
      </w:r>
      <w:r w:rsidRPr="007D1D00">
        <w:rPr>
          <w:rFonts w:ascii="Verdana" w:hAnsi="Verdana" w:cs="Verdana"/>
          <w:color w:val="000000"/>
          <w:spacing w:val="-9"/>
          <w:kern w:val="0"/>
          <w:sz w:val="18"/>
          <w:szCs w:val="18"/>
        </w:rPr>
        <w:softHyphen/>
        <w:t>tion, immune system macrophages will take up the molecules, or they are processed by liver Kupffer cells.</w:t>
      </w:r>
      <w:proofErr w:type="gramEnd"/>
      <w:r w:rsidRPr="007D1D00">
        <w:rPr>
          <w:rFonts w:ascii="Verdana" w:hAnsi="Verdana" w:cs="Verdana"/>
          <w:color w:val="000000"/>
          <w:spacing w:val="-9"/>
          <w:kern w:val="0"/>
          <w:sz w:val="18"/>
          <w:szCs w:val="18"/>
        </w:rPr>
        <w:t xml:space="preserve"> Because of this innate immune response, molecule levels will fluctuate in the blood stream. The half-life of these molecules, in the blood stream, ranges from 4 min to 4 </w:t>
      </w:r>
      <w:proofErr w:type="gramStart"/>
      <w:r w:rsidRPr="007D1D00">
        <w:rPr>
          <w:rFonts w:ascii="Verdana" w:hAnsi="Verdana" w:cs="Verdana"/>
          <w:color w:val="000000"/>
          <w:spacing w:val="-9"/>
          <w:kern w:val="0"/>
          <w:sz w:val="18"/>
          <w:szCs w:val="18"/>
        </w:rPr>
        <w:t>h</w:t>
      </w:r>
      <w:r w:rsidRPr="007D1D00">
        <w:rPr>
          <w:rFonts w:ascii="Verdana" w:hAnsi="Verdana" w:cs="Verdana"/>
          <w:color w:val="000000"/>
          <w:spacing w:val="-9"/>
          <w:kern w:val="0"/>
          <w:sz w:val="18"/>
          <w:szCs w:val="18"/>
          <w:vertAlign w:val="superscript"/>
        </w:rPr>
        <w:t>[</w:t>
      </w:r>
      <w:proofErr w:type="gramEnd"/>
      <w:r w:rsidRPr="007D1D00">
        <w:rPr>
          <w:rFonts w:ascii="Verdana" w:hAnsi="Verdana" w:cs="Verdana"/>
          <w:color w:val="000000"/>
          <w:spacing w:val="-9"/>
          <w:kern w:val="0"/>
          <w:sz w:val="18"/>
          <w:szCs w:val="18"/>
          <w:vertAlign w:val="superscript"/>
        </w:rPr>
        <w:t>48,50,51]</w:t>
      </w:r>
      <w:r w:rsidRPr="007D1D00">
        <w:rPr>
          <w:rFonts w:ascii="Verdana" w:hAnsi="Verdana" w:cs="Verdana"/>
          <w:color w:val="000000"/>
          <w:spacing w:val="-9"/>
          <w:kern w:val="0"/>
          <w:sz w:val="18"/>
          <w:szCs w:val="18"/>
        </w:rPr>
        <w:t>. Indeed, this fluctuation in blood zonulin level was studied for a period of 6 d in ICU patients with sepsis, and values were varied by a factor of 2-10 from day to day</w:t>
      </w:r>
      <w:r w:rsidRPr="007D1D00">
        <w:rPr>
          <w:rFonts w:ascii="Verdana" w:hAnsi="Verdana" w:cs="Verdana"/>
          <w:color w:val="000000"/>
          <w:spacing w:val="-9"/>
          <w:kern w:val="0"/>
          <w:sz w:val="18"/>
          <w:szCs w:val="18"/>
          <w:vertAlign w:val="superscript"/>
        </w:rPr>
        <w:t>[52]</w:t>
      </w:r>
      <w:r w:rsidRPr="007D1D00">
        <w:rPr>
          <w:rFonts w:ascii="Verdana" w:hAnsi="Verdana" w:cs="Verdana"/>
          <w:color w:val="000000"/>
          <w:spacing w:val="-9"/>
          <w:kern w:val="0"/>
          <w:sz w:val="18"/>
          <w:szCs w:val="18"/>
        </w:rPr>
        <w:t>.</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 xml:space="preserve">The first goal of this study was to measure zonulin level at 0-, 6-, 24- and 30-h blood-draw intervals. On the other hand, because the half-life of antibodies is about 21 d, the assessment of antibodies against zonulin provides a better clinical picture with one blood draw. Consequently we decided to measure IgA and IgG antibodies against zonulin in the same blood specimens. Finally, zonulin levels in blood have not been measured in celiac disease (CD). We decided to measure </w:t>
      </w:r>
      <w:proofErr w:type="gramStart"/>
      <w:r w:rsidRPr="007D1D00">
        <w:rPr>
          <w:rFonts w:ascii="Verdana" w:hAnsi="Verdana" w:cs="Verdana"/>
          <w:color w:val="000000"/>
          <w:spacing w:val="-7"/>
          <w:kern w:val="0"/>
          <w:sz w:val="18"/>
          <w:szCs w:val="18"/>
        </w:rPr>
        <w:t>both zonulin</w:t>
      </w:r>
      <w:proofErr w:type="gramEnd"/>
      <w:r w:rsidRPr="007D1D00">
        <w:rPr>
          <w:rFonts w:ascii="Verdana" w:hAnsi="Verdana" w:cs="Verdana"/>
          <w:color w:val="000000"/>
          <w:spacing w:val="-7"/>
          <w:kern w:val="0"/>
          <w:sz w:val="18"/>
          <w:szCs w:val="18"/>
        </w:rPr>
        <w:t xml:space="preserve"> level and zonulin antibody as well as antibodies against other tight junction proteins in patients with CD.</w:t>
      </w: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w w:val="90"/>
          <w:kern w:val="0"/>
          <w:sz w:val="24"/>
          <w:u w:val="single"/>
        </w:rPr>
      </w:pPr>
      <w:r w:rsidRPr="007D1D00">
        <w:rPr>
          <w:rFonts w:ascii="Univers" w:hAnsi="Univers" w:cs="Univers"/>
          <w:b/>
          <w:bCs/>
          <w:color w:val="000000"/>
          <w:spacing w:val="-2"/>
          <w:kern w:val="0"/>
          <w:sz w:val="24"/>
          <w:u w:val="single"/>
        </w:rPr>
        <w:t>MATERIALS AND METHODS</w:t>
      </w:r>
    </w:p>
    <w:p w:rsidR="00A16B9F" w:rsidRPr="007D1D00" w:rsidRDefault="00A16B9F" w:rsidP="00A16B9F">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7D1D00">
        <w:rPr>
          <w:rFonts w:ascii="Verdana" w:hAnsi="Verdana" w:cs="Verdana"/>
          <w:color w:val="000000"/>
          <w:spacing w:val="-10"/>
          <w:kern w:val="0"/>
          <w:sz w:val="18"/>
          <w:szCs w:val="18"/>
        </w:rPr>
        <w:t>Antigens such as zonulin, occludin, vinculin, AQP4, and GFAP were purchased from Abcam (Abcam, Cambridge, MA, United States). A zonulin enzyme-linked immunosorbent assay (ELISA) kit was purchased from MyBioSource (MyBioSource, Inc., San Diego, CA, United States). Seventy-two blood samples were obtained from 18 volunteers at intervals of 0, 6, 24, and 30 h. We did not test the 18 volunteers for allergies, diabetes, CD, NCGS, other possible GI complaints, autoimmune disorders or any other general conditions.</w:t>
      </w:r>
      <w:r w:rsidRPr="007D1D00">
        <w:rPr>
          <w:rFonts w:ascii="Verdana" w:hAnsi="Verdana" w:cs="Verdana"/>
          <w:color w:val="000000"/>
          <w:spacing w:val="-8"/>
          <w:kern w:val="0"/>
          <w:sz w:val="18"/>
          <w:szCs w:val="18"/>
        </w:rPr>
        <w:t xml:space="preserve"> Blood samples were then centrifuged and the se</w:t>
      </w:r>
      <w:r w:rsidRPr="007D1D00">
        <w:rPr>
          <w:rFonts w:ascii="Verdana" w:hAnsi="Verdana" w:cs="Verdana"/>
          <w:color w:val="000000"/>
          <w:spacing w:val="-8"/>
          <w:kern w:val="0"/>
          <w:sz w:val="18"/>
          <w:szCs w:val="18"/>
        </w:rPr>
        <w:softHyphen/>
        <w:t>parated sera were kept at -20</w:t>
      </w:r>
      <w:r w:rsidRPr="007D1D00">
        <w:rPr>
          <w:rFonts w:ascii="Arial" w:hAnsi="Arial" w:cs="Arial"/>
          <w:color w:val="000000"/>
          <w:spacing w:val="-8"/>
          <w:kern w:val="0"/>
          <w:sz w:val="18"/>
          <w:szCs w:val="18"/>
        </w:rPr>
        <w:t> </w:t>
      </w:r>
      <w:r w:rsidRPr="007D1D00">
        <w:rPr>
          <w:rFonts w:ascii="宋体" w:hAnsi="Verdana" w:cs="宋体" w:hint="eastAsia"/>
          <w:color w:val="000000"/>
          <w:spacing w:val="-7"/>
          <w:kern w:val="0"/>
          <w:sz w:val="16"/>
          <w:szCs w:val="16"/>
        </w:rPr>
        <w:t>℃</w:t>
      </w:r>
      <w:r w:rsidRPr="007D1D00">
        <w:rPr>
          <w:rFonts w:ascii="Verdana" w:hAnsi="Verdana" w:cs="Verdana"/>
          <w:color w:val="000000"/>
          <w:spacing w:val="-8"/>
          <w:kern w:val="0"/>
          <w:sz w:val="18"/>
          <w:szCs w:val="18"/>
        </w:rPr>
        <w:t xml:space="preserve"> for 48 h and then used for the measurement of zonulin concentration as well as IgG and IgA levels to zonulin and other tight junction proteins. Sera from 30 random human donors aged 18-65 were purchased from Innovative Research Inc. (Southfield, MI, United States). The samples were registered as healthy human subjects. Before shipping, each blood sample was tested according to FDA guidelines for the detection of </w:t>
      </w:r>
      <w:r w:rsidRPr="007D1D00">
        <w:rPr>
          <w:rFonts w:ascii="Verdana" w:hAnsi="Verdana" w:cs="Verdana"/>
          <w:color w:val="000000"/>
          <w:spacing w:val="-8"/>
          <w:kern w:val="0"/>
          <w:sz w:val="18"/>
          <w:szCs w:val="18"/>
        </w:rPr>
        <w:lastRenderedPageBreak/>
        <w:t>hepatitis B surface antigen, antibodies to HIV, antibodies to hepatitis C, HIV-1 RNA, and syphilis. All units yielded non-reactive/negative results for each test performed. Additionally, commercially available sera from 30 patients with CD were purchased from the Binding Site (San Diego, CA, United States), Inova (San Diego, CA, United States), Diamedix (Miami Lakes, FL, United States), Innovative Research (Novi, MI, United States</w:t>
      </w:r>
      <w:bookmarkStart w:id="0" w:name="_GoBack"/>
      <w:bookmarkEnd w:id="0"/>
      <w:r w:rsidRPr="007D1D00">
        <w:rPr>
          <w:rFonts w:ascii="Verdana" w:hAnsi="Verdana" w:cs="Verdana"/>
          <w:color w:val="000000"/>
          <w:spacing w:val="-8"/>
          <w:kern w:val="0"/>
          <w:sz w:val="18"/>
          <w:szCs w:val="18"/>
        </w:rPr>
        <w:t>), and Trina Inter</w:t>
      </w:r>
      <w:r w:rsidRPr="007D1D00">
        <w:rPr>
          <w:rFonts w:ascii="Verdana" w:hAnsi="Verdana" w:cs="Verdana"/>
          <w:color w:val="000000"/>
          <w:spacing w:val="-8"/>
          <w:kern w:val="0"/>
          <w:sz w:val="18"/>
          <w:szCs w:val="18"/>
        </w:rPr>
        <w:softHyphen/>
        <w:t xml:space="preserve">national Nanikon (Switzerland). The samples from patients with CD were confirmed by degree of positivity for IgA against both deamidated alpha gliadin peptide as well as IgA to transglutaminase-2 antibody using kits purchased from Inova Diagnostics. Zonulin levels as well as levels of IgG and IgA antibodies to zonulin and other tight junction proteins were measured in these specimens. </w:t>
      </w: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D00">
        <w:rPr>
          <w:rFonts w:ascii="Arial Narrow" w:hAnsi="Arial Narrow" w:cs="Arial Narrow"/>
          <w:b/>
          <w:bCs/>
          <w:i/>
          <w:iCs/>
          <w:color w:val="000000"/>
          <w:kern w:val="0"/>
          <w:szCs w:val="21"/>
        </w:rPr>
        <w:t xml:space="preserve">Measurement of zonulin </w:t>
      </w:r>
    </w:p>
    <w:p w:rsidR="00A16B9F" w:rsidRPr="007D1D00" w:rsidRDefault="00A16B9F" w:rsidP="00A16B9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 xml:space="preserve">Determination of zonulin levels in serum was done using sandwich ELISA technique. In this kit the pre-coated antibody is human zonulin monoclonal antibody, and the detecting antibody is polyclonal antibody labeled with biotin. The standard curve ranged from 1.5-100 ng/mL with a sensitivity starting </w:t>
      </w:r>
      <w:proofErr w:type="gramStart"/>
      <w:r w:rsidRPr="007D1D00">
        <w:rPr>
          <w:rFonts w:ascii="Verdana" w:hAnsi="Verdana" w:cs="Verdana"/>
          <w:color w:val="000000"/>
          <w:spacing w:val="-7"/>
          <w:kern w:val="0"/>
          <w:sz w:val="18"/>
          <w:szCs w:val="18"/>
        </w:rPr>
        <w:t>at 3 ng/mL</w:t>
      </w:r>
      <w:proofErr w:type="gramEnd"/>
      <w:r w:rsidRPr="007D1D00">
        <w:rPr>
          <w:rFonts w:ascii="Verdana" w:hAnsi="Verdana" w:cs="Verdana"/>
          <w:color w:val="000000"/>
          <w:spacing w:val="-7"/>
          <w:kern w:val="0"/>
          <w:sz w:val="18"/>
          <w:szCs w:val="18"/>
        </w:rPr>
        <w:t xml:space="preserve">. </w:t>
      </w: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D00">
        <w:rPr>
          <w:rFonts w:ascii="Arial Narrow" w:hAnsi="Arial Narrow" w:cs="Arial Narrow"/>
          <w:b/>
          <w:bCs/>
          <w:i/>
          <w:iCs/>
          <w:color w:val="000000"/>
          <w:kern w:val="0"/>
          <w:szCs w:val="21"/>
        </w:rPr>
        <w:t>Measurement of IgG and IgA against tight junction proteins by ELISA</w:t>
      </w:r>
    </w:p>
    <w:p w:rsidR="00A16B9F" w:rsidRPr="007D1D00" w:rsidRDefault="00A16B9F" w:rsidP="00A16B9F">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7D1D00">
        <w:rPr>
          <w:rFonts w:ascii="Verdana" w:hAnsi="Verdana" w:cs="Verdana"/>
          <w:color w:val="000000"/>
          <w:spacing w:val="-11"/>
          <w:kern w:val="0"/>
          <w:sz w:val="18"/>
          <w:szCs w:val="18"/>
        </w:rPr>
        <w:t xml:space="preserve">Zonulin, occludin, vinculin, AQP4, and GFAP at a </w:t>
      </w:r>
      <w:r w:rsidRPr="007D1D00">
        <w:rPr>
          <w:rFonts w:ascii="Verdana" w:hAnsi="Verdana" w:cs="Verdana"/>
          <w:color w:val="000000"/>
          <w:spacing w:val="-9"/>
          <w:kern w:val="0"/>
          <w:sz w:val="18"/>
          <w:szCs w:val="18"/>
        </w:rPr>
        <w:t>con</w:t>
      </w:r>
      <w:r w:rsidRPr="007D1D00">
        <w:rPr>
          <w:rFonts w:ascii="Verdana" w:hAnsi="Verdana" w:cs="Verdana"/>
          <w:color w:val="000000"/>
          <w:spacing w:val="-9"/>
          <w:kern w:val="0"/>
          <w:sz w:val="18"/>
          <w:szCs w:val="18"/>
        </w:rPr>
        <w:softHyphen/>
        <w:t xml:space="preserve">centration of 100 ng/mL were each dissolved in 0.01 mol/L phosphate buffer saline with a pH of 7.4. These proteins were then diluted 1:100 in 0.1 mol/L carbonate buffer, pH 9.5, and 100 </w:t>
      </w:r>
      <w:r w:rsidRPr="007D1D00">
        <w:rPr>
          <w:rFonts w:ascii="Symbol" w:hAnsi="Symbol" w:cs="Symbol"/>
          <w:color w:val="000000"/>
          <w:spacing w:val="-9"/>
          <w:kern w:val="0"/>
          <w:sz w:val="18"/>
          <w:szCs w:val="18"/>
        </w:rPr>
        <w:t></w:t>
      </w:r>
      <w:r w:rsidRPr="007D1D00">
        <w:rPr>
          <w:rFonts w:ascii="Verdana" w:hAnsi="Verdana" w:cs="Verdana"/>
          <w:color w:val="000000"/>
          <w:spacing w:val="-9"/>
          <w:kern w:val="0"/>
          <w:sz w:val="18"/>
          <w:szCs w:val="18"/>
        </w:rPr>
        <w:t>L were added to wells of microtiter plates and incubated for 8 hours at room temperature followed by incubation at 4</w:t>
      </w:r>
      <w:r w:rsidRPr="007D1D00">
        <w:rPr>
          <w:rFonts w:ascii="Arial" w:hAnsi="Arial" w:cs="Arial"/>
          <w:color w:val="000000"/>
          <w:spacing w:val="-9"/>
          <w:kern w:val="0"/>
          <w:sz w:val="18"/>
          <w:szCs w:val="18"/>
        </w:rPr>
        <w:t> </w:t>
      </w:r>
      <w:r w:rsidRPr="007D1D00">
        <w:rPr>
          <w:rFonts w:ascii="宋体" w:hAnsi="Verdana" w:cs="宋体" w:hint="eastAsia"/>
          <w:color w:val="000000"/>
          <w:spacing w:val="-8"/>
          <w:kern w:val="0"/>
          <w:sz w:val="16"/>
          <w:szCs w:val="16"/>
        </w:rPr>
        <w:t>℃</w:t>
      </w:r>
      <w:r w:rsidRPr="007D1D00">
        <w:rPr>
          <w:rFonts w:ascii="Verdana" w:hAnsi="Verdana" w:cs="Verdana"/>
          <w:color w:val="000000"/>
          <w:spacing w:val="-9"/>
          <w:kern w:val="0"/>
          <w:sz w:val="18"/>
          <w:szCs w:val="18"/>
        </w:rPr>
        <w:t xml:space="preserve"> for 16 h. The plates were washed three times with 200 </w:t>
      </w:r>
      <w:r w:rsidRPr="007D1D00">
        <w:rPr>
          <w:rFonts w:ascii="Symbol" w:hAnsi="Symbol" w:cs="Symbol"/>
          <w:color w:val="000000"/>
          <w:spacing w:val="-9"/>
          <w:kern w:val="0"/>
          <w:sz w:val="18"/>
          <w:szCs w:val="18"/>
        </w:rPr>
        <w:t></w:t>
      </w:r>
      <w:r w:rsidRPr="007D1D00">
        <w:rPr>
          <w:rFonts w:ascii="Verdana" w:hAnsi="Verdana" w:cs="Verdana"/>
          <w:color w:val="000000"/>
          <w:spacing w:val="-9"/>
          <w:kern w:val="0"/>
          <w:sz w:val="18"/>
          <w:szCs w:val="18"/>
        </w:rPr>
        <w:t xml:space="preserve">L of Tris-buffered saline (TBS) containing 0.05% Tween 20 (pH 7.4). The non-specific binding of immunoglobulins was prevented by adding 200 </w:t>
      </w:r>
      <w:r w:rsidRPr="007D1D00">
        <w:rPr>
          <w:rFonts w:ascii="Symbol" w:hAnsi="Symbol" w:cs="Symbol"/>
          <w:color w:val="000000"/>
          <w:spacing w:val="-9"/>
          <w:kern w:val="0"/>
          <w:sz w:val="18"/>
          <w:szCs w:val="18"/>
        </w:rPr>
        <w:t></w:t>
      </w:r>
      <w:r w:rsidRPr="007D1D00">
        <w:rPr>
          <w:rFonts w:ascii="Verdana" w:hAnsi="Verdana" w:cs="Verdana"/>
          <w:color w:val="000000"/>
          <w:spacing w:val="-9"/>
          <w:kern w:val="0"/>
          <w:sz w:val="18"/>
          <w:szCs w:val="18"/>
        </w:rPr>
        <w:t>L of 2% bovine serum albumin (BSA) in TBS, and incubated overnight at 4</w:t>
      </w:r>
      <w:r w:rsidRPr="007D1D00">
        <w:rPr>
          <w:rFonts w:ascii="Arial" w:hAnsi="Arial" w:cs="Arial"/>
          <w:color w:val="000000"/>
          <w:spacing w:val="-9"/>
          <w:kern w:val="0"/>
          <w:sz w:val="18"/>
          <w:szCs w:val="18"/>
        </w:rPr>
        <w:t> </w:t>
      </w:r>
      <w:r w:rsidRPr="007D1D00">
        <w:rPr>
          <w:rFonts w:ascii="宋体" w:hAnsi="Verdana" w:cs="宋体" w:hint="eastAsia"/>
          <w:color w:val="000000"/>
          <w:spacing w:val="-8"/>
          <w:kern w:val="0"/>
          <w:sz w:val="16"/>
          <w:szCs w:val="16"/>
        </w:rPr>
        <w:t>℃</w:t>
      </w:r>
      <w:r w:rsidRPr="007D1D00">
        <w:rPr>
          <w:rFonts w:ascii="Verdana" w:hAnsi="Verdana" w:cs="Verdana"/>
          <w:color w:val="000000"/>
          <w:spacing w:val="-9"/>
          <w:kern w:val="0"/>
          <w:sz w:val="18"/>
          <w:szCs w:val="18"/>
        </w:rPr>
        <w:t xml:space="preserve">. Plates were washed as previously described and then serum samples (diluted 1:50 for IgA, 1:100 for IgG) in 1% BSA in TBS containing 0.05% Tween 20 (pH 7.4) were added to duplicate wells and incubated for 1 h at room temperature.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7D1D00">
        <w:rPr>
          <w:rFonts w:ascii="Verdana" w:hAnsi="Verdana" w:cs="Verdana"/>
          <w:color w:val="000000"/>
          <w:spacing w:val="-8"/>
          <w:kern w:val="0"/>
          <w:sz w:val="18"/>
          <w:szCs w:val="18"/>
        </w:rPr>
        <w:t xml:space="preserve">Plates were washed, and then alkaline phosphatase goat antihuman IgG or IgA F(ab)2 fragments (KPI, Gaithersburg, MD) optimal dilution of 1:400 for IgA and 1:800 for IgG in 1% BSA-TBS were added to each appropriate well; plates were incubated for an additional hour at room temperature. After washing five times with TBS-Tween buffer, the enzyme reaction was started by adding 100 </w:t>
      </w:r>
      <w:r w:rsidRPr="007D1D00">
        <w:rPr>
          <w:rFonts w:ascii="Symbol" w:hAnsi="Symbol" w:cs="Symbol"/>
          <w:color w:val="000000"/>
          <w:spacing w:val="-8"/>
          <w:kern w:val="0"/>
          <w:sz w:val="18"/>
          <w:szCs w:val="18"/>
        </w:rPr>
        <w:t></w:t>
      </w:r>
      <w:r w:rsidRPr="007D1D00">
        <w:rPr>
          <w:rFonts w:ascii="Verdana" w:hAnsi="Verdana" w:cs="Verdana"/>
          <w:color w:val="000000"/>
          <w:spacing w:val="-8"/>
          <w:kern w:val="0"/>
          <w:sz w:val="18"/>
          <w:szCs w:val="18"/>
        </w:rPr>
        <w:t>L of 1 mg/mL paranitrophenylphosphate in diethanolamine buffer containing 1 mmol/L MgCl</w:t>
      </w:r>
      <w:r w:rsidRPr="007D1D00">
        <w:rPr>
          <w:rFonts w:ascii="Verdana" w:hAnsi="Verdana" w:cs="Verdana"/>
          <w:color w:val="000000"/>
          <w:spacing w:val="-8"/>
          <w:kern w:val="0"/>
          <w:sz w:val="18"/>
          <w:szCs w:val="18"/>
          <w:vertAlign w:val="subscript"/>
        </w:rPr>
        <w:t>2</w:t>
      </w:r>
      <w:r w:rsidRPr="007D1D00">
        <w:rPr>
          <w:rFonts w:ascii="Verdana" w:hAnsi="Verdana" w:cs="Verdana"/>
          <w:color w:val="000000"/>
          <w:spacing w:val="-8"/>
          <w:kern w:val="0"/>
          <w:sz w:val="18"/>
          <w:szCs w:val="18"/>
        </w:rPr>
        <w:t xml:space="preserve"> and sodium azide (pH 9.8). The reaction was stopped 45 mins later with 50 </w:t>
      </w:r>
      <w:r w:rsidRPr="007D1D00">
        <w:rPr>
          <w:rFonts w:ascii="Symbol" w:hAnsi="Symbol" w:cs="Symbol"/>
          <w:color w:val="000000"/>
          <w:spacing w:val="-8"/>
          <w:kern w:val="0"/>
          <w:sz w:val="18"/>
          <w:szCs w:val="18"/>
        </w:rPr>
        <w:t></w:t>
      </w:r>
      <w:r w:rsidRPr="007D1D00">
        <w:rPr>
          <w:rFonts w:ascii="Verdana" w:hAnsi="Verdana" w:cs="Verdana"/>
          <w:color w:val="000000"/>
          <w:spacing w:val="-8"/>
          <w:kern w:val="0"/>
          <w:sz w:val="18"/>
          <w:szCs w:val="18"/>
        </w:rPr>
        <w:t xml:space="preserve">L </w:t>
      </w:r>
      <w:proofErr w:type="gramStart"/>
      <w:r w:rsidRPr="007D1D00">
        <w:rPr>
          <w:rFonts w:ascii="Verdana" w:hAnsi="Verdana" w:cs="Verdana"/>
          <w:color w:val="000000"/>
          <w:spacing w:val="-8"/>
          <w:kern w:val="0"/>
          <w:sz w:val="18"/>
          <w:szCs w:val="18"/>
        </w:rPr>
        <w:t>of 2 mol/L NaOH</w:t>
      </w:r>
      <w:proofErr w:type="gramEnd"/>
      <w:r w:rsidRPr="007D1D00">
        <w:rPr>
          <w:rFonts w:ascii="Verdana" w:hAnsi="Verdana" w:cs="Verdana"/>
          <w:color w:val="000000"/>
          <w:spacing w:val="-8"/>
          <w:kern w:val="0"/>
          <w:sz w:val="18"/>
          <w:szCs w:val="18"/>
        </w:rPr>
        <w:t xml:space="preserve">. The optical density (OD) was read at 405 nm by a microtiter plate reader. To exclude nonspecific binding, the ODs of the control wells coated with dry milk or human serum albumin were subtracted from all other wells. Sera from patients with CD with known high titers of IgG and IgA against various tight junction proteins were used as positive controls. Also assay normalizer positive and negative controls were used for additional levels of quality control and the calculation of the ELISA indices. For each assay the ELISA index </w:t>
      </w:r>
      <w:r w:rsidRPr="007D1D00">
        <w:rPr>
          <w:rFonts w:ascii="Verdana" w:hAnsi="Verdana" w:cs="Verdana"/>
          <w:color w:val="000000"/>
          <w:spacing w:val="-8"/>
          <w:kern w:val="0"/>
          <w:sz w:val="18"/>
          <w:szCs w:val="18"/>
        </w:rPr>
        <w:lastRenderedPageBreak/>
        <w:t xml:space="preserve">was calculated using the following formula: ELISA index </w:t>
      </w:r>
      <w:r w:rsidRPr="007D1D00">
        <w:rPr>
          <w:rFonts w:ascii="Verdana" w:hAnsi="Verdana" w:cs="Verdana"/>
          <w:color w:val="000000"/>
          <w:spacing w:val="-11"/>
          <w:kern w:val="0"/>
          <w:sz w:val="18"/>
          <w:szCs w:val="18"/>
        </w:rPr>
        <w:t>= (mean OD of sample - background)</w:t>
      </w:r>
      <w:proofErr w:type="gramStart"/>
      <w:r w:rsidRPr="007D1D00">
        <w:rPr>
          <w:rFonts w:ascii="Verdana" w:hAnsi="Verdana" w:cs="Verdana"/>
          <w:color w:val="000000"/>
          <w:spacing w:val="-11"/>
          <w:kern w:val="0"/>
          <w:sz w:val="18"/>
          <w:szCs w:val="18"/>
        </w:rPr>
        <w:t>/(</w:t>
      </w:r>
      <w:proofErr w:type="gramEnd"/>
      <w:r w:rsidRPr="007D1D00">
        <w:rPr>
          <w:rFonts w:ascii="Verdana" w:hAnsi="Verdana" w:cs="Verdana"/>
          <w:color w:val="000000"/>
          <w:spacing w:val="-11"/>
          <w:kern w:val="0"/>
          <w:sz w:val="18"/>
          <w:szCs w:val="18"/>
        </w:rPr>
        <w:t xml:space="preserve">mean OD of </w:t>
      </w:r>
      <w:r w:rsidRPr="007D1D00">
        <w:rPr>
          <w:rFonts w:ascii="Verdana" w:hAnsi="Verdana" w:cs="Verdana"/>
          <w:color w:val="000000"/>
          <w:spacing w:val="-8"/>
          <w:kern w:val="0"/>
          <w:sz w:val="18"/>
          <w:szCs w:val="18"/>
        </w:rPr>
        <w:t>serum normalizer - background)</w:t>
      </w: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D00">
        <w:rPr>
          <w:rFonts w:ascii="Arial Narrow" w:hAnsi="Arial Narrow" w:cs="Arial Narrow"/>
          <w:b/>
          <w:bCs/>
          <w:i/>
          <w:iCs/>
          <w:color w:val="000000"/>
          <w:kern w:val="0"/>
          <w:szCs w:val="21"/>
        </w:rPr>
        <w:t>Statistical analysis</w:t>
      </w:r>
    </w:p>
    <w:p w:rsidR="00A16B9F" w:rsidRPr="007D1D00" w:rsidRDefault="00A16B9F" w:rsidP="00A16B9F">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7D1D00">
        <w:rPr>
          <w:rFonts w:ascii="Verdana" w:hAnsi="Verdana" w:cs="Verdana"/>
          <w:color w:val="000000"/>
          <w:spacing w:val="-11"/>
          <w:kern w:val="0"/>
          <w:sz w:val="18"/>
          <w:szCs w:val="18"/>
        </w:rPr>
        <w:t xml:space="preserve">Statistical analysis was performed to study the relationships of zonulin level, zonulin antibody, occludin antibody, vinculin antibody, AQP4 antibody, and glial fibrillary acid protein antibody. The determination of the presence of statistically significant correlative relationships was conducted with Pearson’s correlation coefficients, Kendall’s tau and Spearman’s rho. These measures are invariant to any monotonic transformation. A standard </w:t>
      </w:r>
      <w:r w:rsidRPr="007D1D00">
        <w:rPr>
          <w:rFonts w:ascii="Verdana" w:hAnsi="Verdana" w:cs="Verdana"/>
          <w:i/>
          <w:iCs/>
          <w:caps/>
          <w:color w:val="000000"/>
          <w:spacing w:val="-11"/>
          <w:kern w:val="0"/>
          <w:sz w:val="18"/>
          <w:szCs w:val="18"/>
        </w:rPr>
        <w:t>p</w:t>
      </w:r>
      <w:r w:rsidRPr="007D1D00">
        <w:rPr>
          <w:rFonts w:ascii="Verdana" w:hAnsi="Verdana" w:cs="Verdana"/>
          <w:color w:val="000000"/>
          <w:spacing w:val="-11"/>
          <w:kern w:val="0"/>
          <w:sz w:val="18"/>
          <w:szCs w:val="18"/>
        </w:rPr>
        <w:t>-value of 0.05 and a confidence interval of 95% were used. Correlative analysis and the magnitude of relationship were reported. STATA software package was used to conduct all inferential and descriptive analysis.</w:t>
      </w: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D1D00">
        <w:rPr>
          <w:rFonts w:ascii="Univers" w:hAnsi="Univers" w:cs="Univers"/>
          <w:b/>
          <w:bCs/>
          <w:color w:val="000000"/>
          <w:spacing w:val="-2"/>
          <w:kern w:val="0"/>
          <w:sz w:val="24"/>
          <w:u w:val="single"/>
        </w:rPr>
        <w:t>RESULTS</w:t>
      </w:r>
    </w:p>
    <w:p w:rsidR="00A16B9F" w:rsidRPr="007D1D00" w:rsidRDefault="00A16B9F" w:rsidP="00A16B9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 xml:space="preserve">Serum zonulin level was measured in the sera of 18 control subjects at different intervals as well as in sera from 30 patients with known CD. The zonulin assay </w:t>
      </w:r>
      <w:r w:rsidRPr="007D1D00">
        <w:rPr>
          <w:rFonts w:ascii="Verdana" w:hAnsi="Verdana" w:cs="Verdana"/>
          <w:i/>
          <w:iCs/>
          <w:color w:val="000000"/>
          <w:spacing w:val="-7"/>
          <w:kern w:val="0"/>
          <w:sz w:val="18"/>
          <w:szCs w:val="18"/>
        </w:rPr>
        <w:t>r</w:t>
      </w:r>
      <w:r w:rsidRPr="007D1D00">
        <w:rPr>
          <w:rFonts w:ascii="Verdana" w:hAnsi="Verdana" w:cs="Verdana"/>
          <w:color w:val="000000"/>
          <w:spacing w:val="-7"/>
          <w:kern w:val="0"/>
          <w:sz w:val="18"/>
          <w:szCs w:val="18"/>
        </w:rPr>
        <w:t xml:space="preserve">² for the standard curve was 0.998, and the reproducibility of the duplicates varied less than 10% for samples with zonulin concentration of 2.8 ng/mL or greater. This indicated that the analytical sensitivity of the assay for serum zonulin levels was </w:t>
      </w:r>
      <w:proofErr w:type="gramStart"/>
      <w:r w:rsidRPr="007D1D00">
        <w:rPr>
          <w:rFonts w:ascii="Verdana" w:hAnsi="Verdana" w:cs="Verdana"/>
          <w:color w:val="000000"/>
          <w:spacing w:val="-7"/>
          <w:kern w:val="0"/>
          <w:sz w:val="18"/>
          <w:szCs w:val="18"/>
        </w:rPr>
        <w:t>2.8 ng/mL</w:t>
      </w:r>
      <w:proofErr w:type="gramEnd"/>
      <w:r w:rsidRPr="007D1D00">
        <w:rPr>
          <w:rFonts w:ascii="Verdana" w:hAnsi="Verdana" w:cs="Verdana"/>
          <w:color w:val="000000"/>
          <w:spacing w:val="-7"/>
          <w:kern w:val="0"/>
          <w:sz w:val="18"/>
          <w:szCs w:val="18"/>
        </w:rPr>
        <w:t xml:space="preserve">; for samples with zonulin levels &lt; 2.8 the reproducibility of duplicates was not good. Of the 18 control subjects, 6 </w:t>
      </w:r>
      <w:r w:rsidRPr="007D1D00">
        <w:rPr>
          <w:rFonts w:ascii="Verdana" w:hAnsi="Verdana" w:cs="Verdana"/>
          <w:color w:val="000000"/>
          <w:spacing w:val="-11"/>
          <w:kern w:val="0"/>
          <w:sz w:val="18"/>
          <w:szCs w:val="18"/>
        </w:rPr>
        <w:t xml:space="preserve">had serum zonulin levels measuring </w:t>
      </w:r>
      <w:proofErr w:type="gramStart"/>
      <w:r w:rsidRPr="007D1D00">
        <w:rPr>
          <w:rFonts w:ascii="Verdana" w:hAnsi="Verdana" w:cs="Verdana"/>
          <w:color w:val="000000"/>
          <w:spacing w:val="-11"/>
          <w:kern w:val="0"/>
          <w:sz w:val="18"/>
          <w:szCs w:val="18"/>
        </w:rPr>
        <w:t>less than 2.8 ng/mL,</w:t>
      </w:r>
      <w:proofErr w:type="gramEnd"/>
      <w:r w:rsidRPr="007D1D00">
        <w:rPr>
          <w:rFonts w:ascii="Verdana" w:hAnsi="Verdana" w:cs="Verdana"/>
          <w:color w:val="000000"/>
          <w:spacing w:val="-11"/>
          <w:kern w:val="0"/>
          <w:sz w:val="18"/>
          <w:szCs w:val="18"/>
        </w:rPr>
        <w:t xml:space="preserve"> and due to lack of sensitivity those levels did not significantly fluctuate, as shown in Figure 1. However, for the other 12 subjects who had serum zonulin levels measuring greater than 2.8 ng/mL at time 0 (Figure 2),</w:t>
      </w:r>
      <w:r w:rsidRPr="007D1D00">
        <w:rPr>
          <w:rFonts w:ascii="Verdana" w:hAnsi="Verdana" w:cs="Verdana"/>
          <w:color w:val="000000"/>
          <w:spacing w:val="-7"/>
          <w:kern w:val="0"/>
          <w:sz w:val="18"/>
          <w:szCs w:val="18"/>
        </w:rPr>
        <w:t xml:space="preserve"> significant fluctuation in zonulin levels was observed in almost all 12 of these subjects at the 6-, 24- or 30-h blood draws (Figure 2). Since zonulin is a relatively large molecule with the approximate size of 55000 Da, it may enter the systemic circulation after its release from the tight junctions where an immune response against it can result in the production of zonulin-specific antibodies. To demonstrate their stability, IgG and IgA antibodies to zonulin were measured in the same 18 subjects along the 30-h time course. Data presented in Figures 1B and C and 2B and C showed that both IgG and IgA antibody levels from blood obtained at 0, 6, 24, and 30 h were highly stable with variations of less than 10%.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 xml:space="preserve">Serum zonulin levels were then measured in 30 healthy controls along with 30 patients with known celiac disease. The CD patients showed statistically significant higher serum zonulin levels with a mean </w:t>
      </w:r>
      <w:proofErr w:type="gramStart"/>
      <w:r w:rsidRPr="007D1D00">
        <w:rPr>
          <w:rFonts w:ascii="Verdana" w:hAnsi="Verdana" w:cs="Verdana"/>
          <w:color w:val="000000"/>
          <w:spacing w:val="-7"/>
          <w:kern w:val="0"/>
          <w:sz w:val="18"/>
          <w:szCs w:val="18"/>
        </w:rPr>
        <w:t>of 8.5 ng/mL</w:t>
      </w:r>
      <w:proofErr w:type="gramEnd"/>
      <w:r w:rsidRPr="007D1D00">
        <w:rPr>
          <w:rFonts w:ascii="Verdana" w:hAnsi="Verdana" w:cs="Verdana"/>
          <w:color w:val="000000"/>
          <w:spacing w:val="-7"/>
          <w:kern w:val="0"/>
          <w:sz w:val="18"/>
          <w:szCs w:val="18"/>
        </w:rPr>
        <w:t xml:space="preserve"> compared to healthy control subjects with a mean of 3.7 ng/mL (</w:t>
      </w:r>
      <w:r w:rsidRPr="007D1D00">
        <w:rPr>
          <w:rFonts w:ascii="Verdana" w:hAnsi="Verdana" w:cs="Verdana"/>
          <w:i/>
          <w:iCs/>
          <w:caps/>
          <w:color w:val="000000"/>
          <w:spacing w:val="-7"/>
          <w:kern w:val="0"/>
          <w:sz w:val="18"/>
          <w:szCs w:val="18"/>
        </w:rPr>
        <w:t>p</w:t>
      </w:r>
      <w:r w:rsidRPr="007D1D00">
        <w:rPr>
          <w:rFonts w:ascii="Verdana" w:hAnsi="Verdana" w:cs="Verdana"/>
          <w:color w:val="000000"/>
          <w:spacing w:val="-7"/>
          <w:kern w:val="0"/>
          <w:sz w:val="18"/>
          <w:szCs w:val="18"/>
        </w:rPr>
        <w:t xml:space="preserve"> &lt; 0.0001). At 2 standard deviations above the mean of control subjects, 10% or 33% of the 30 CD patients demonstrated elevation of serum zonulin levels (Figure 3A).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8"/>
          <w:kern w:val="0"/>
          <w:sz w:val="18"/>
          <w:szCs w:val="18"/>
        </w:rPr>
        <w:t>To establish whether serum zonulin levels cor</w:t>
      </w:r>
      <w:r w:rsidRPr="007D1D00">
        <w:rPr>
          <w:rFonts w:ascii="Verdana" w:hAnsi="Verdana" w:cs="Verdana"/>
          <w:color w:val="000000"/>
          <w:spacing w:val="-8"/>
          <w:kern w:val="0"/>
          <w:sz w:val="18"/>
          <w:szCs w:val="18"/>
        </w:rPr>
        <w:softHyphen/>
        <w:t xml:space="preserve">relate with zonulin and other tight junction protein antibodies, zonulin, occludin, vinculin, AQP4 and GFAP antibody levels were measured in the same 30 patients and 30 controls. </w:t>
      </w:r>
      <w:r w:rsidRPr="007D1D00">
        <w:rPr>
          <w:rFonts w:ascii="Verdana" w:hAnsi="Verdana" w:cs="Verdana"/>
          <w:color w:val="000000"/>
          <w:spacing w:val="-8"/>
          <w:kern w:val="0"/>
          <w:sz w:val="18"/>
          <w:szCs w:val="18"/>
        </w:rPr>
        <w:lastRenderedPageBreak/>
        <w:t>The distribution of IgG and IgA antibodies against tight junction proteins in these patients is shown in Figure 3B-F. At three standard deviations above the mean of healthy controls, 63% and 67%, 87% and 77%, 70% and 57% respectively</w:t>
      </w:r>
      <w:r w:rsidRPr="007D1D00">
        <w:rPr>
          <w:rFonts w:ascii="Verdana" w:hAnsi="Verdana" w:cs="Verdana"/>
          <w:color w:val="000000"/>
          <w:spacing w:val="-7"/>
          <w:kern w:val="0"/>
          <w:sz w:val="18"/>
          <w:szCs w:val="18"/>
        </w:rPr>
        <w:t xml:space="preserve"> had serum IgG and IgA antibody reactivity against zonulin, occludin, and vinculin. The elevation of both IgG and IgA antibodies against AQP4 was 43%; against enteric glial cells expressing GFAP it was 23% for IgG and 53% for IgA (Figure 3). Statistical analysis was performed using Ecxel to compare controls and CD patients; for zonulin level </w:t>
      </w:r>
      <w:r w:rsidRPr="007D1D00">
        <w:rPr>
          <w:rFonts w:ascii="Verdana" w:hAnsi="Verdana" w:cs="Verdana"/>
          <w:i/>
          <w:iCs/>
          <w:caps/>
          <w:color w:val="000000"/>
          <w:spacing w:val="-7"/>
          <w:kern w:val="0"/>
          <w:sz w:val="18"/>
          <w:szCs w:val="18"/>
        </w:rPr>
        <w:t>p</w:t>
      </w:r>
      <w:r w:rsidRPr="007D1D00">
        <w:rPr>
          <w:rFonts w:ascii="Verdana" w:hAnsi="Verdana" w:cs="Verdana"/>
          <w:i/>
          <w:iCs/>
          <w:color w:val="000000"/>
          <w:spacing w:val="-7"/>
          <w:kern w:val="0"/>
          <w:sz w:val="18"/>
          <w:szCs w:val="18"/>
        </w:rPr>
        <w:t xml:space="preserve"> </w:t>
      </w:r>
      <w:r w:rsidRPr="007D1D00">
        <w:rPr>
          <w:rFonts w:ascii="Verdana" w:hAnsi="Verdana" w:cs="Verdana"/>
          <w:color w:val="000000"/>
          <w:spacing w:val="-7"/>
          <w:kern w:val="0"/>
          <w:sz w:val="18"/>
          <w:szCs w:val="18"/>
        </w:rPr>
        <w:t xml:space="preserve">value </w:t>
      </w:r>
      <w:r w:rsidRPr="007D1D00">
        <w:rPr>
          <w:rFonts w:ascii="宋体" w:hAnsi="Verdana" w:cs="宋体" w:hint="eastAsia"/>
          <w:color w:val="000000"/>
          <w:spacing w:val="-7"/>
          <w:kern w:val="0"/>
          <w:sz w:val="16"/>
          <w:szCs w:val="16"/>
        </w:rPr>
        <w:t>≤</w:t>
      </w:r>
      <w:r w:rsidRPr="007D1D00">
        <w:rPr>
          <w:rFonts w:ascii="Verdana" w:hAnsi="Verdana" w:cs="Verdana"/>
          <w:color w:val="000000"/>
          <w:spacing w:val="-7"/>
          <w:kern w:val="0"/>
          <w:sz w:val="18"/>
          <w:szCs w:val="18"/>
        </w:rPr>
        <w:t xml:space="preserve"> 0.002, while for tight junction proteins antibody levels </w:t>
      </w:r>
      <w:r w:rsidRPr="007D1D00">
        <w:rPr>
          <w:rFonts w:ascii="Verdana" w:hAnsi="Verdana" w:cs="Verdana"/>
          <w:i/>
          <w:iCs/>
          <w:caps/>
          <w:color w:val="000000"/>
          <w:spacing w:val="-7"/>
          <w:kern w:val="0"/>
          <w:sz w:val="18"/>
          <w:szCs w:val="18"/>
        </w:rPr>
        <w:t>p</w:t>
      </w:r>
      <w:r w:rsidRPr="007D1D00">
        <w:rPr>
          <w:rFonts w:ascii="Verdana" w:hAnsi="Verdana" w:cs="Verdana"/>
          <w:i/>
          <w:iCs/>
          <w:color w:val="000000"/>
          <w:spacing w:val="-7"/>
          <w:kern w:val="0"/>
          <w:sz w:val="18"/>
          <w:szCs w:val="18"/>
        </w:rPr>
        <w:t xml:space="preserve"> </w:t>
      </w:r>
      <w:r w:rsidRPr="007D1D00">
        <w:rPr>
          <w:rFonts w:ascii="Verdana" w:hAnsi="Verdana" w:cs="Verdana"/>
          <w:color w:val="000000"/>
          <w:spacing w:val="-7"/>
          <w:kern w:val="0"/>
          <w:sz w:val="18"/>
          <w:szCs w:val="18"/>
        </w:rPr>
        <w:t xml:space="preserve">value </w:t>
      </w:r>
      <w:r w:rsidRPr="007D1D00">
        <w:rPr>
          <w:rFonts w:ascii="宋体" w:hAnsi="Verdana" w:cs="宋体" w:hint="eastAsia"/>
          <w:color w:val="000000"/>
          <w:spacing w:val="-7"/>
          <w:kern w:val="0"/>
          <w:sz w:val="16"/>
          <w:szCs w:val="16"/>
        </w:rPr>
        <w:t>≤</w:t>
      </w:r>
      <w:r w:rsidRPr="007D1D00">
        <w:rPr>
          <w:rFonts w:ascii="Verdana" w:hAnsi="Verdana" w:cs="Verdana"/>
          <w:color w:val="000000"/>
          <w:spacing w:val="-7"/>
          <w:kern w:val="0"/>
          <w:sz w:val="18"/>
          <w:szCs w:val="18"/>
        </w:rPr>
        <w:t xml:space="preserve"> 0.001. Since not all patients with celiac disease had serum zonulin elevation, we examined the correlation between serum zonulin levels and tight junction protein antibodies. Overall, we found three subgroups. Subgroup 1 consists of 9% or 30% of the CD patients with significant elevations in both zonulin level and antibodies against zonulin and other tight junction proteins when compared to the mean control levels shown in Figure 3. Subgroup 2 consists of 13% or 43% of the CD patients with a normal serum zonulin level but a significant elevation in IgG or IgA antibodies against zonulin, occludin, and other tight junction proteins. Subgroup 3 is composed of 8% or 27% of the CD patients with low or normal serum zonulin levels and low or normal IgG and IgA antibody levels to tight junction proteins. This direct or indirect correlation between serum zonulin levels and various tight junction protein antibodies is shown in Table 1, where the “r” is the best indication of correlation between serum zonulin level and antibodies against zonulin and other tight junction proteins. This table summary of the two-way scatter plot evaluation for zonulin levels and antibody measurements of the tight junction proteins demonstrates a strong positive monotonic relationship for all correlations (Table 1). Statistical analysis using Pearson’s correlations coefficient were statistically significant for 9 of the 10 correlations, showing a positive relationship, with the exceptions of zonulin level with AQP4 IgA (</w:t>
      </w:r>
      <w:r w:rsidRPr="007D1D00">
        <w:rPr>
          <w:rFonts w:ascii="Verdana" w:hAnsi="Verdana" w:cs="Verdana"/>
          <w:i/>
          <w:iCs/>
          <w:color w:val="000000"/>
          <w:spacing w:val="-7"/>
          <w:kern w:val="0"/>
          <w:sz w:val="18"/>
          <w:szCs w:val="18"/>
        </w:rPr>
        <w:t xml:space="preserve">r </w:t>
      </w:r>
      <w:r w:rsidRPr="007D1D00">
        <w:rPr>
          <w:rFonts w:ascii="Verdana" w:hAnsi="Verdana" w:cs="Verdana"/>
          <w:color w:val="000000"/>
          <w:spacing w:val="-7"/>
          <w:kern w:val="0"/>
          <w:sz w:val="18"/>
          <w:szCs w:val="18"/>
        </w:rPr>
        <w:t xml:space="preserve">= 0.24, </w:t>
      </w:r>
      <w:r w:rsidRPr="007D1D00">
        <w:rPr>
          <w:rFonts w:ascii="Verdana" w:hAnsi="Verdana" w:cs="Verdana"/>
          <w:i/>
          <w:iCs/>
          <w:caps/>
          <w:color w:val="000000"/>
          <w:spacing w:val="-7"/>
          <w:kern w:val="0"/>
          <w:sz w:val="18"/>
          <w:szCs w:val="18"/>
        </w:rPr>
        <w:t>p</w:t>
      </w:r>
      <w:r w:rsidRPr="007D1D00">
        <w:rPr>
          <w:rFonts w:ascii="Verdana" w:hAnsi="Verdana" w:cs="Verdana"/>
          <w:i/>
          <w:iCs/>
          <w:color w:val="000000"/>
          <w:spacing w:val="-7"/>
          <w:kern w:val="0"/>
          <w:sz w:val="18"/>
          <w:szCs w:val="18"/>
        </w:rPr>
        <w:t xml:space="preserve"> </w:t>
      </w:r>
      <w:r w:rsidRPr="007D1D00">
        <w:rPr>
          <w:rFonts w:ascii="Verdana" w:hAnsi="Verdana" w:cs="Verdana"/>
          <w:color w:val="000000"/>
          <w:spacing w:val="-7"/>
          <w:kern w:val="0"/>
          <w:sz w:val="18"/>
          <w:szCs w:val="18"/>
        </w:rPr>
        <w:t>= 0.197).</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10"/>
          <w:kern w:val="0"/>
          <w:sz w:val="18"/>
          <w:szCs w:val="18"/>
        </w:rPr>
      </w:pPr>
      <w:r w:rsidRPr="007D1D00">
        <w:rPr>
          <w:rFonts w:ascii="Verdana" w:hAnsi="Verdana" w:cs="Verdana"/>
          <w:color w:val="000000"/>
          <w:spacing w:val="-10"/>
          <w:kern w:val="0"/>
          <w:sz w:val="18"/>
          <w:szCs w:val="18"/>
        </w:rPr>
        <w:t xml:space="preserve">Zonulin levels had statistically significant correlations with zonulin IgA and IgG antibodies; for IgG the relationship with zonulin levels and zonulin IgG was </w:t>
      </w:r>
      <w:r w:rsidRPr="007D1D00">
        <w:rPr>
          <w:rFonts w:ascii="Verdana" w:hAnsi="Verdana" w:cs="Verdana"/>
          <w:i/>
          <w:iCs/>
          <w:color w:val="000000"/>
          <w:spacing w:val="-10"/>
          <w:kern w:val="0"/>
          <w:sz w:val="18"/>
          <w:szCs w:val="18"/>
        </w:rPr>
        <w:t>r</w:t>
      </w:r>
      <w:r w:rsidRPr="007D1D00">
        <w:rPr>
          <w:rFonts w:ascii="Verdana" w:hAnsi="Verdana" w:cs="Verdana"/>
          <w:color w:val="000000"/>
          <w:spacing w:val="-10"/>
          <w:kern w:val="0"/>
          <w:sz w:val="18"/>
          <w:szCs w:val="18"/>
        </w:rPr>
        <w:t xml:space="preserve"> = 0.34, </w:t>
      </w:r>
      <w:r w:rsidRPr="007D1D00">
        <w:rPr>
          <w:rFonts w:ascii="Verdana" w:hAnsi="Verdana" w:cs="Verdana"/>
          <w:i/>
          <w:iCs/>
          <w:color w:val="000000"/>
          <w:spacing w:val="-10"/>
          <w:kern w:val="0"/>
          <w:sz w:val="18"/>
          <w:szCs w:val="18"/>
        </w:rPr>
        <w:t>P =</w:t>
      </w:r>
      <w:r w:rsidRPr="007D1D00">
        <w:rPr>
          <w:rFonts w:ascii="Verdana" w:hAnsi="Verdana" w:cs="Verdana"/>
          <w:color w:val="000000"/>
          <w:spacing w:val="-10"/>
          <w:kern w:val="0"/>
          <w:sz w:val="18"/>
          <w:szCs w:val="18"/>
        </w:rPr>
        <w:t xml:space="preserve"> 0.064, but the magnitude of the relationship was much stronger with zonulin IgA antibodies (</w:t>
      </w:r>
      <w:r w:rsidRPr="007D1D00">
        <w:rPr>
          <w:rFonts w:ascii="Verdana" w:hAnsi="Verdana" w:cs="Verdana"/>
          <w:i/>
          <w:iCs/>
          <w:color w:val="000000"/>
          <w:spacing w:val="-10"/>
          <w:kern w:val="0"/>
          <w:sz w:val="18"/>
          <w:szCs w:val="18"/>
        </w:rPr>
        <w:t>r</w:t>
      </w:r>
      <w:r w:rsidRPr="007D1D00">
        <w:rPr>
          <w:rFonts w:ascii="Verdana" w:hAnsi="Verdana" w:cs="Verdana"/>
          <w:color w:val="000000"/>
          <w:spacing w:val="-10"/>
          <w:kern w:val="0"/>
          <w:sz w:val="18"/>
          <w:szCs w:val="18"/>
        </w:rPr>
        <w:t xml:space="preserve"> = 0.55, </w:t>
      </w:r>
      <w:r w:rsidRPr="007D1D00">
        <w:rPr>
          <w:rFonts w:ascii="Verdana" w:hAnsi="Verdana" w:cs="Verdana"/>
          <w:i/>
          <w:iCs/>
          <w:color w:val="000000"/>
          <w:spacing w:val="-10"/>
          <w:kern w:val="0"/>
          <w:sz w:val="18"/>
          <w:szCs w:val="18"/>
        </w:rPr>
        <w:t>P =</w:t>
      </w:r>
      <w:r w:rsidRPr="007D1D00">
        <w:rPr>
          <w:rFonts w:ascii="Verdana" w:hAnsi="Verdana" w:cs="Verdana"/>
          <w:color w:val="000000"/>
          <w:spacing w:val="-10"/>
          <w:kern w:val="0"/>
          <w:sz w:val="18"/>
          <w:szCs w:val="18"/>
        </w:rPr>
        <w:t xml:space="preserve"> 0.002). Zonulin levels also had statistically significant correlations with vinculin IgA and IgG antibodies, and the magnitude of the relationship was likewise better with vinculin IgA antibodies (Table 1).</w:t>
      </w: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D1D00">
        <w:rPr>
          <w:rFonts w:ascii="Univers" w:hAnsi="Univers" w:cs="Univers"/>
          <w:b/>
          <w:bCs/>
          <w:color w:val="000000"/>
          <w:spacing w:val="-2"/>
          <w:kern w:val="0"/>
          <w:sz w:val="24"/>
          <w:u w:val="single"/>
        </w:rPr>
        <w:t>DISCUSSION</w:t>
      </w:r>
    </w:p>
    <w:p w:rsidR="00A16B9F" w:rsidRPr="007D1D00" w:rsidRDefault="00A16B9F" w:rsidP="00A16B9F">
      <w:pPr>
        <w:suppressAutoHyphens/>
        <w:autoSpaceDE w:val="0"/>
        <w:autoSpaceDN w:val="0"/>
        <w:adjustRightInd w:val="0"/>
        <w:spacing w:line="288" w:lineRule="auto"/>
        <w:textAlignment w:val="center"/>
        <w:rPr>
          <w:rFonts w:ascii="Verdana" w:hAnsi="Verdana" w:cs="Verdana"/>
          <w:color w:val="000000"/>
          <w:spacing w:val="-13"/>
          <w:kern w:val="0"/>
          <w:sz w:val="18"/>
          <w:szCs w:val="18"/>
        </w:rPr>
      </w:pPr>
      <w:r w:rsidRPr="007D1D00">
        <w:rPr>
          <w:rFonts w:ascii="Verdana" w:hAnsi="Verdana" w:cs="Verdana"/>
          <w:color w:val="000000"/>
          <w:spacing w:val="-8"/>
          <w:kern w:val="0"/>
          <w:sz w:val="18"/>
          <w:szCs w:val="18"/>
        </w:rPr>
        <w:t>Due to the availability of methods for the measurement of serum zonulin levels, several laboratories in the United States have begun to offer zonulin level analysis for the detection of increased intestinal permeabi</w:t>
      </w:r>
      <w:r w:rsidRPr="007D1D00">
        <w:rPr>
          <w:rFonts w:ascii="Verdana" w:hAnsi="Verdana" w:cs="Verdana"/>
          <w:color w:val="000000"/>
          <w:spacing w:val="-8"/>
          <w:kern w:val="0"/>
          <w:sz w:val="18"/>
          <w:szCs w:val="18"/>
        </w:rPr>
        <w:softHyphen/>
        <w:t xml:space="preserve">lity in patients with autoimmune disease or other chronic inflammatory illnesses. The majority of these laboratories analyze serum zonulin levels from a single blood draw without consideration for the variability of serum zonulin levels during the time course of a single day or from day to day. The scientific basis for offering serum zonulin levels as a diagnostic </w:t>
      </w:r>
      <w:r w:rsidRPr="007D1D00">
        <w:rPr>
          <w:rFonts w:ascii="Verdana" w:hAnsi="Verdana" w:cs="Verdana"/>
          <w:color w:val="000000"/>
          <w:spacing w:val="-8"/>
          <w:kern w:val="0"/>
          <w:sz w:val="18"/>
          <w:szCs w:val="18"/>
        </w:rPr>
        <w:lastRenderedPageBreak/>
        <w:t xml:space="preserve">indicator </w:t>
      </w:r>
      <w:r w:rsidRPr="007D1D00">
        <w:rPr>
          <w:rFonts w:ascii="Verdana" w:hAnsi="Verdana" w:cs="Verdana"/>
          <w:color w:val="000000"/>
          <w:spacing w:val="-13"/>
          <w:kern w:val="0"/>
          <w:sz w:val="18"/>
          <w:szCs w:val="18"/>
        </w:rPr>
        <w:t xml:space="preserve">mainly stems from a paper published by Sapone </w:t>
      </w:r>
      <w:r w:rsidRPr="007D1D00">
        <w:rPr>
          <w:rFonts w:ascii="Verdana" w:hAnsi="Verdana" w:cs="Verdana"/>
          <w:i/>
          <w:iCs/>
          <w:color w:val="000000"/>
          <w:spacing w:val="-13"/>
          <w:kern w:val="0"/>
          <w:sz w:val="18"/>
          <w:szCs w:val="18"/>
        </w:rPr>
        <w:t xml:space="preserve">et </w:t>
      </w:r>
      <w:proofErr w:type="gramStart"/>
      <w:r w:rsidRPr="007D1D00">
        <w:rPr>
          <w:rFonts w:ascii="Verdana" w:hAnsi="Verdana" w:cs="Verdana"/>
          <w:i/>
          <w:iCs/>
          <w:color w:val="000000"/>
          <w:spacing w:val="-13"/>
          <w:kern w:val="0"/>
          <w:sz w:val="18"/>
          <w:szCs w:val="18"/>
        </w:rPr>
        <w:t>al</w:t>
      </w:r>
      <w:r w:rsidRPr="007D1D00">
        <w:rPr>
          <w:rFonts w:ascii="Verdana" w:hAnsi="Verdana" w:cs="Verdana"/>
          <w:color w:val="000000"/>
          <w:spacing w:val="-13"/>
          <w:kern w:val="0"/>
          <w:sz w:val="18"/>
          <w:szCs w:val="18"/>
          <w:vertAlign w:val="superscript"/>
        </w:rPr>
        <w:t>[</w:t>
      </w:r>
      <w:proofErr w:type="gramEnd"/>
      <w:r w:rsidRPr="007D1D00">
        <w:rPr>
          <w:rFonts w:ascii="Verdana" w:hAnsi="Verdana" w:cs="Verdana"/>
          <w:color w:val="000000"/>
          <w:spacing w:val="-13"/>
          <w:kern w:val="0"/>
          <w:sz w:val="18"/>
          <w:szCs w:val="18"/>
          <w:vertAlign w:val="superscript"/>
        </w:rPr>
        <w:t>41]</w:t>
      </w:r>
      <w:r w:rsidRPr="007D1D00">
        <w:rPr>
          <w:rFonts w:ascii="Verdana" w:hAnsi="Verdana" w:cs="Verdana"/>
          <w:color w:val="000000"/>
          <w:spacing w:val="-13"/>
          <w:kern w:val="0"/>
          <w:sz w:val="18"/>
          <w:szCs w:val="18"/>
        </w:rPr>
        <w:t xml:space="preserve"> </w:t>
      </w:r>
      <w:r w:rsidRPr="007D1D00">
        <w:rPr>
          <w:rFonts w:ascii="Verdana" w:hAnsi="Verdana" w:cs="Verdana"/>
          <w:color w:val="000000"/>
          <w:spacing w:val="-7"/>
          <w:kern w:val="0"/>
          <w:sz w:val="18"/>
          <w:szCs w:val="18"/>
        </w:rPr>
        <w:t xml:space="preserve">in 2006 which demonstrated a correlation with zonulin upregulation and increased gut permeability in a subgroup of patients with type 1 diabetes. While this study contains several key and landmark discoveries with which we agree wholeheartedly, it is our opinion that the data on which the conclusions were drawn merit further analysis before they become the sole basis for future diagnostic utility.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7D1D00">
        <w:rPr>
          <w:rFonts w:ascii="Verdana" w:hAnsi="Verdana" w:cs="Verdana"/>
          <w:color w:val="000000"/>
          <w:spacing w:val="-8"/>
          <w:kern w:val="0"/>
          <w:sz w:val="18"/>
          <w:szCs w:val="18"/>
        </w:rPr>
        <w:t>One of the many points used by Sapone to demon</w:t>
      </w:r>
      <w:r w:rsidRPr="007D1D00">
        <w:rPr>
          <w:rFonts w:ascii="Verdana" w:hAnsi="Verdana" w:cs="Verdana"/>
          <w:color w:val="000000"/>
          <w:spacing w:val="-8"/>
          <w:kern w:val="0"/>
          <w:sz w:val="18"/>
          <w:szCs w:val="18"/>
        </w:rPr>
        <w:softHyphen/>
        <w:t xml:space="preserve">strate a correlation between zonulin upregulation and increased gut permeability in his study is an overall elevated serum zonulin level detected in a subgroup of patients with type 1 </w:t>
      </w:r>
      <w:proofErr w:type="gramStart"/>
      <w:r w:rsidRPr="007D1D00">
        <w:rPr>
          <w:rFonts w:ascii="Verdana" w:hAnsi="Verdana" w:cs="Verdana"/>
          <w:color w:val="000000"/>
          <w:spacing w:val="-8"/>
          <w:kern w:val="0"/>
          <w:sz w:val="18"/>
          <w:szCs w:val="18"/>
        </w:rPr>
        <w:t>diabetes</w:t>
      </w:r>
      <w:r w:rsidRPr="007D1D00">
        <w:rPr>
          <w:rFonts w:ascii="Verdana" w:hAnsi="Verdana" w:cs="Verdana"/>
          <w:color w:val="000000"/>
          <w:spacing w:val="-8"/>
          <w:kern w:val="0"/>
          <w:sz w:val="18"/>
          <w:szCs w:val="18"/>
          <w:vertAlign w:val="superscript"/>
        </w:rPr>
        <w:t>[</w:t>
      </w:r>
      <w:proofErr w:type="gramEnd"/>
      <w:r w:rsidRPr="007D1D00">
        <w:rPr>
          <w:rFonts w:ascii="Verdana" w:hAnsi="Verdana" w:cs="Verdana"/>
          <w:color w:val="000000"/>
          <w:spacing w:val="-8"/>
          <w:kern w:val="0"/>
          <w:sz w:val="18"/>
          <w:szCs w:val="18"/>
          <w:vertAlign w:val="superscript"/>
        </w:rPr>
        <w:t>41]</w:t>
      </w:r>
      <w:r w:rsidRPr="007D1D00">
        <w:rPr>
          <w:rFonts w:ascii="Verdana" w:hAnsi="Verdana" w:cs="Verdana"/>
          <w:color w:val="000000"/>
          <w:spacing w:val="-8"/>
          <w:kern w:val="0"/>
          <w:sz w:val="18"/>
          <w:szCs w:val="18"/>
        </w:rPr>
        <w:t xml:space="preserve">. Careful examination of the data reveals that only 42% of the patients have an elevated serum zonulin level (defined by two standard deviations above the control group mean). Furthermore, in correlating serum zonulin levels and leaky gut, the data was plotted against lactulose/mannitol levels in the same patients. These revealed a correlation coefficient of 0.36, which is very weak. In fact, it was concluded by the authors that “While these numbers are very useful in the setting of research analysis, they are insufficiently correlated to be applied to diagnostic medical </w:t>
      </w:r>
      <w:proofErr w:type="gramStart"/>
      <w:r w:rsidRPr="007D1D00">
        <w:rPr>
          <w:rFonts w:ascii="Verdana" w:hAnsi="Verdana" w:cs="Verdana"/>
          <w:color w:val="000000"/>
          <w:spacing w:val="-8"/>
          <w:kern w:val="0"/>
          <w:sz w:val="18"/>
          <w:szCs w:val="18"/>
        </w:rPr>
        <w:t>use</w:t>
      </w:r>
      <w:r w:rsidRPr="007D1D00">
        <w:rPr>
          <w:rFonts w:ascii="Verdana" w:hAnsi="Verdana" w:cs="Verdana"/>
          <w:color w:val="000000"/>
          <w:spacing w:val="-8"/>
          <w:kern w:val="0"/>
          <w:sz w:val="18"/>
          <w:szCs w:val="18"/>
          <w:vertAlign w:val="superscript"/>
        </w:rPr>
        <w:t>[</w:t>
      </w:r>
      <w:proofErr w:type="gramEnd"/>
      <w:r w:rsidRPr="007D1D00">
        <w:rPr>
          <w:rFonts w:ascii="Verdana" w:hAnsi="Verdana" w:cs="Verdana"/>
          <w:color w:val="000000"/>
          <w:spacing w:val="-8"/>
          <w:kern w:val="0"/>
          <w:sz w:val="18"/>
          <w:szCs w:val="18"/>
          <w:vertAlign w:val="superscript"/>
        </w:rPr>
        <w:t>41]</w:t>
      </w:r>
      <w:r w:rsidRPr="007D1D00">
        <w:rPr>
          <w:rFonts w:ascii="Verdana" w:hAnsi="Verdana" w:cs="Verdana"/>
          <w:color w:val="000000"/>
          <w:spacing w:val="-8"/>
          <w:kern w:val="0"/>
          <w:sz w:val="18"/>
          <w:szCs w:val="18"/>
        </w:rPr>
        <w:t xml:space="preserve">”.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 xml:space="preserve">Another point of interest is the importance of intra-day or day-to-day variability of serum zonulin levels and their effect on use as a diagnostic marker. In an article published by Klaus </w:t>
      </w:r>
      <w:r w:rsidRPr="007D1D00">
        <w:rPr>
          <w:rFonts w:ascii="Verdana" w:hAnsi="Verdana" w:cs="Verdana"/>
          <w:i/>
          <w:iCs/>
          <w:color w:val="000000"/>
          <w:spacing w:val="-7"/>
          <w:kern w:val="0"/>
          <w:sz w:val="18"/>
          <w:szCs w:val="18"/>
        </w:rPr>
        <w:t xml:space="preserve">et </w:t>
      </w:r>
      <w:proofErr w:type="gramStart"/>
      <w:r w:rsidRPr="007D1D00">
        <w:rPr>
          <w:rFonts w:ascii="Verdana" w:hAnsi="Verdana" w:cs="Verdana"/>
          <w:i/>
          <w:iCs/>
          <w:color w:val="000000"/>
          <w:spacing w:val="-7"/>
          <w:kern w:val="0"/>
          <w:sz w:val="18"/>
          <w:szCs w:val="18"/>
        </w:rPr>
        <w:t>al</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52]</w:t>
      </w:r>
      <w:r w:rsidRPr="007D1D00">
        <w:rPr>
          <w:rFonts w:ascii="Verdana" w:hAnsi="Verdana" w:cs="Verdana"/>
          <w:color w:val="000000"/>
          <w:spacing w:val="-7"/>
          <w:kern w:val="0"/>
          <w:sz w:val="18"/>
          <w:szCs w:val="18"/>
        </w:rPr>
        <w:t xml:space="preserve"> in 2013, plasma zonulin levels were measured and analyzed in ICU patients with sepsis and compared to healthy controls. Analysis of the day-to-day serum zonulin levels for septic patients presented a significant day-to-day fluctuation. In the present study we decided to extrapolate this idea further with a timed blood draw protocol in which serum was drawn at 0-, 6-, 24-, and 30-h intervals in 18 control volunteers to uncover any significant intra-day fluctuation of serum zonulin levels. Analysis of the data demonstrates significant variability of serum zonulin levels in 12 out of 18 controls with baseline zonulin level of &gt; 2.8 ng/mL, but not in 6 samples with zonulin levels around the detection limit of the zonulin ELISA kit.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It is important to point out that our 18 volunteer subjects were controls in the sense that they had not been definitely confirmed to be positive for CD, unlike the 30 purchased samples. We did not test the 18 volunteers for allergies, diabetes, CD, NCGS, other possible GI complaints, autoimmune disorders or any other general conditions. In light of this, and given the plurality of the individual, it is not surprising that a subgroup of 6 of the 18 had lower levels than the other 12. In fact, the whole point of the study is to show the widely varying fluctuations in measuring zonulin levels, even among so-called controls.</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D1D00">
        <w:rPr>
          <w:rFonts w:ascii="Verdana" w:hAnsi="Verdana" w:cs="Verdana"/>
          <w:color w:val="000000"/>
          <w:spacing w:val="-9"/>
          <w:kern w:val="0"/>
          <w:sz w:val="18"/>
          <w:szCs w:val="18"/>
        </w:rPr>
        <w:t xml:space="preserve">Zonulin is a protein the size of 47000 Da. Due to many environmental factors, it is released from the lamina propria and is presented to the submucosal gut immune system, where an immune response against it results in the production of zonulin-specific </w:t>
      </w:r>
      <w:proofErr w:type="gramStart"/>
      <w:r w:rsidRPr="007D1D00">
        <w:rPr>
          <w:rFonts w:ascii="Verdana" w:hAnsi="Verdana" w:cs="Verdana"/>
          <w:color w:val="000000"/>
          <w:spacing w:val="-9"/>
          <w:kern w:val="0"/>
          <w:sz w:val="18"/>
          <w:szCs w:val="18"/>
        </w:rPr>
        <w:t>antibodies</w:t>
      </w:r>
      <w:r w:rsidRPr="007D1D00">
        <w:rPr>
          <w:rFonts w:ascii="Verdana" w:hAnsi="Verdana" w:cs="Verdana"/>
          <w:color w:val="000000"/>
          <w:spacing w:val="-9"/>
          <w:kern w:val="0"/>
          <w:sz w:val="18"/>
          <w:szCs w:val="18"/>
          <w:vertAlign w:val="superscript"/>
        </w:rPr>
        <w:t>[</w:t>
      </w:r>
      <w:proofErr w:type="gramEnd"/>
      <w:r w:rsidRPr="007D1D00">
        <w:rPr>
          <w:rFonts w:ascii="Verdana" w:hAnsi="Verdana" w:cs="Verdana"/>
          <w:color w:val="000000"/>
          <w:spacing w:val="-9"/>
          <w:kern w:val="0"/>
          <w:sz w:val="18"/>
          <w:szCs w:val="18"/>
          <w:vertAlign w:val="superscript"/>
        </w:rPr>
        <w:t>53]</w:t>
      </w:r>
      <w:r w:rsidRPr="007D1D00">
        <w:rPr>
          <w:rFonts w:ascii="Verdana" w:hAnsi="Verdana" w:cs="Verdana"/>
          <w:color w:val="000000"/>
          <w:spacing w:val="-9"/>
          <w:kern w:val="0"/>
          <w:sz w:val="18"/>
          <w:szCs w:val="18"/>
        </w:rPr>
        <w:t xml:space="preserve">. This immune response against zonulin and other large molecules may be an explanation for zonulin fluctuation from sample to sample in the 12 control specimens with relatively elevated </w:t>
      </w:r>
      <w:r w:rsidRPr="007D1D00">
        <w:rPr>
          <w:rFonts w:ascii="Verdana" w:hAnsi="Verdana" w:cs="Verdana"/>
          <w:color w:val="000000"/>
          <w:spacing w:val="-9"/>
          <w:kern w:val="0"/>
          <w:sz w:val="18"/>
          <w:szCs w:val="18"/>
        </w:rPr>
        <w:lastRenderedPageBreak/>
        <w:t xml:space="preserve">zonulin. Although the half-life in serum of zonulin has yet to be determined, it is reasonable to assume zonulin’s half-life based on the known half-lives of other similarly-sized proteins. For example, LPS, which, along with zonulin, is involved in the induction of inflammation in type-2 diabetes, has a known half-life of 2-4 min in </w:t>
      </w:r>
      <w:proofErr w:type="gramStart"/>
      <w:r w:rsidRPr="007D1D00">
        <w:rPr>
          <w:rFonts w:ascii="Verdana" w:hAnsi="Verdana" w:cs="Verdana"/>
          <w:color w:val="000000"/>
          <w:spacing w:val="-9"/>
          <w:kern w:val="0"/>
          <w:sz w:val="18"/>
          <w:szCs w:val="18"/>
        </w:rPr>
        <w:t>blood</w:t>
      </w:r>
      <w:r w:rsidRPr="007D1D00">
        <w:rPr>
          <w:rFonts w:ascii="Verdana" w:hAnsi="Verdana" w:cs="Verdana"/>
          <w:color w:val="000000"/>
          <w:spacing w:val="-9"/>
          <w:kern w:val="0"/>
          <w:sz w:val="18"/>
          <w:szCs w:val="18"/>
          <w:vertAlign w:val="superscript"/>
        </w:rPr>
        <w:t>[</w:t>
      </w:r>
      <w:proofErr w:type="gramEnd"/>
      <w:r w:rsidRPr="007D1D00">
        <w:rPr>
          <w:rFonts w:ascii="Verdana" w:hAnsi="Verdana" w:cs="Verdana"/>
          <w:color w:val="000000"/>
          <w:spacing w:val="-9"/>
          <w:kern w:val="0"/>
          <w:sz w:val="18"/>
          <w:szCs w:val="18"/>
          <w:vertAlign w:val="superscript"/>
        </w:rPr>
        <w:t>50]</w:t>
      </w:r>
      <w:r w:rsidRPr="007D1D00">
        <w:rPr>
          <w:rFonts w:ascii="Verdana" w:hAnsi="Verdana" w:cs="Verdana"/>
          <w:color w:val="000000"/>
          <w:spacing w:val="-9"/>
          <w:kern w:val="0"/>
          <w:sz w:val="18"/>
          <w:szCs w:val="18"/>
        </w:rPr>
        <w:t xml:space="preserve">.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This fluctuation is not unique to zonulin. For ex</w:t>
      </w:r>
      <w:r w:rsidRPr="007D1D00">
        <w:rPr>
          <w:rFonts w:ascii="Verdana" w:hAnsi="Verdana" w:cs="Verdana"/>
          <w:color w:val="000000"/>
          <w:spacing w:val="-7"/>
          <w:kern w:val="0"/>
          <w:sz w:val="18"/>
          <w:szCs w:val="18"/>
        </w:rPr>
        <w:softHyphen/>
        <w:t xml:space="preserve">ample, the presence of circulating autoantibodies directed against U1 nuclear antigen and elevated blood levels of U1 antigen were shown to be the hallmark of systemic lupus erythematosus. While antibody levels against U1 antigens was demonstrated to be highly stable, the level of U1 antigens varied from day to </w:t>
      </w:r>
      <w:proofErr w:type="gramStart"/>
      <w:r w:rsidRPr="007D1D00">
        <w:rPr>
          <w:rFonts w:ascii="Verdana" w:hAnsi="Verdana" w:cs="Verdana"/>
          <w:color w:val="000000"/>
          <w:spacing w:val="-7"/>
          <w:kern w:val="0"/>
          <w:sz w:val="18"/>
          <w:szCs w:val="18"/>
        </w:rPr>
        <w:t>day</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54]</w:t>
      </w:r>
      <w:r w:rsidRPr="007D1D00">
        <w:rPr>
          <w:rFonts w:ascii="Verdana" w:hAnsi="Verdana" w:cs="Verdana"/>
          <w:color w:val="000000"/>
          <w:spacing w:val="-7"/>
          <w:kern w:val="0"/>
          <w:sz w:val="18"/>
          <w:szCs w:val="18"/>
        </w:rPr>
        <w:t xml:space="preserve">. This fluctuation in antigen level in the blood could be associated with antibody-antigen complex formation in the circulation, where it is expected to exit </w:t>
      </w:r>
      <w:proofErr w:type="gramStart"/>
      <w:r w:rsidRPr="007D1D00">
        <w:rPr>
          <w:rFonts w:ascii="Verdana" w:hAnsi="Verdana" w:cs="Verdana"/>
          <w:color w:val="000000"/>
          <w:spacing w:val="-7"/>
          <w:kern w:val="0"/>
          <w:sz w:val="18"/>
          <w:szCs w:val="18"/>
        </w:rPr>
        <w:t>transiently</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55]</w:t>
      </w:r>
      <w:r w:rsidRPr="007D1D00">
        <w:rPr>
          <w:rFonts w:ascii="Verdana" w:hAnsi="Verdana" w:cs="Verdana"/>
          <w:color w:val="000000"/>
          <w:spacing w:val="-7"/>
          <w:kern w:val="0"/>
          <w:sz w:val="18"/>
          <w:szCs w:val="18"/>
        </w:rPr>
        <w:t>.</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7D1D00">
        <w:rPr>
          <w:rFonts w:ascii="Verdana" w:hAnsi="Verdana" w:cs="Verdana"/>
          <w:color w:val="000000"/>
          <w:spacing w:val="-9"/>
          <w:kern w:val="0"/>
          <w:sz w:val="18"/>
          <w:szCs w:val="18"/>
        </w:rPr>
        <w:t xml:space="preserve">Based on this mucosal and possible systemic immune response against zonulin, we measured both IgA and IgG antibodies to zonulin in the 72 specimens from the 18 control subjects. In contrast to zonulin level and its fluctuation, we observed a significant stability in antibody levels in all four blood specimens obtained at different intervals from each of the 18 subjects. The variability for both IgA and IgG antibodies against zonulin was 10% or less which is similar to inter-assay variation of the ELISA methodology used in this study (Figures 1A-C, 2A-F).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 xml:space="preserve">Celiac disease is an autoimmune disease in which exposure to dietary gluten peptides results in villous atrophy and crypt </w:t>
      </w:r>
      <w:proofErr w:type="gramStart"/>
      <w:r w:rsidRPr="007D1D00">
        <w:rPr>
          <w:rFonts w:ascii="Verdana" w:hAnsi="Verdana" w:cs="Verdana"/>
          <w:color w:val="000000"/>
          <w:spacing w:val="-7"/>
          <w:kern w:val="0"/>
          <w:sz w:val="18"/>
          <w:szCs w:val="18"/>
        </w:rPr>
        <w:t>hypertrophy</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56]</w:t>
      </w:r>
      <w:r w:rsidRPr="007D1D00">
        <w:rPr>
          <w:rFonts w:ascii="Verdana" w:hAnsi="Verdana" w:cs="Verdana"/>
          <w:color w:val="000000"/>
          <w:spacing w:val="-7"/>
          <w:kern w:val="0"/>
          <w:sz w:val="18"/>
          <w:szCs w:val="18"/>
        </w:rPr>
        <w:t>. During the acute phase of CD when the tight junctions are open, zonulin expression in intestinal specimens was shown to be increased by three-</w:t>
      </w:r>
      <w:proofErr w:type="gramStart"/>
      <w:r w:rsidRPr="007D1D00">
        <w:rPr>
          <w:rFonts w:ascii="Verdana" w:hAnsi="Verdana" w:cs="Verdana"/>
          <w:color w:val="000000"/>
          <w:spacing w:val="-7"/>
          <w:kern w:val="0"/>
          <w:sz w:val="18"/>
          <w:szCs w:val="18"/>
        </w:rPr>
        <w:t>fold</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53]</w:t>
      </w:r>
      <w:r w:rsidRPr="007D1D00">
        <w:rPr>
          <w:rFonts w:ascii="Verdana" w:hAnsi="Verdana" w:cs="Verdana"/>
          <w:color w:val="000000"/>
          <w:spacing w:val="-7"/>
          <w:kern w:val="0"/>
          <w:sz w:val="18"/>
          <w:szCs w:val="18"/>
        </w:rPr>
        <w:t xml:space="preserve">. The increased expression of zonulin due to tight junction breakdown allows zonulin presentation to the immune system and production of antibodies against zonulin in a subgroup of patients with </w:t>
      </w:r>
      <w:proofErr w:type="gramStart"/>
      <w:r w:rsidRPr="007D1D00">
        <w:rPr>
          <w:rFonts w:ascii="Verdana" w:hAnsi="Verdana" w:cs="Verdana"/>
          <w:color w:val="000000"/>
          <w:spacing w:val="-7"/>
          <w:kern w:val="0"/>
          <w:sz w:val="18"/>
          <w:szCs w:val="18"/>
        </w:rPr>
        <w:t>CD</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53]</w:t>
      </w:r>
      <w:r w:rsidRPr="007D1D00">
        <w:rPr>
          <w:rFonts w:ascii="Verdana" w:hAnsi="Verdana" w:cs="Verdana"/>
          <w:color w:val="000000"/>
          <w:spacing w:val="-7"/>
          <w:kern w:val="0"/>
          <w:sz w:val="18"/>
          <w:szCs w:val="18"/>
        </w:rPr>
        <w:t xml:space="preserve">. In one study that followed 7 patients with CD longitudinally, the raised anti-zonulin IgA returned to normal after 3-6 mo on a gluten-free </w:t>
      </w:r>
      <w:proofErr w:type="gramStart"/>
      <w:r w:rsidRPr="007D1D00">
        <w:rPr>
          <w:rFonts w:ascii="Verdana" w:hAnsi="Verdana" w:cs="Verdana"/>
          <w:color w:val="000000"/>
          <w:spacing w:val="-7"/>
          <w:kern w:val="0"/>
          <w:sz w:val="18"/>
          <w:szCs w:val="18"/>
        </w:rPr>
        <w:t>diet</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57]</w:t>
      </w:r>
      <w:r w:rsidRPr="007D1D00">
        <w:rPr>
          <w:rFonts w:ascii="Verdana" w:hAnsi="Verdana" w:cs="Verdana"/>
          <w:color w:val="000000"/>
          <w:spacing w:val="-7"/>
          <w:kern w:val="0"/>
          <w:sz w:val="18"/>
          <w:szCs w:val="18"/>
        </w:rPr>
        <w:t xml:space="preserve">. While zonulin upregulation in CD has been shown in several </w:t>
      </w:r>
      <w:proofErr w:type="gramStart"/>
      <w:r w:rsidRPr="007D1D00">
        <w:rPr>
          <w:rFonts w:ascii="Verdana" w:hAnsi="Verdana" w:cs="Verdana"/>
          <w:color w:val="000000"/>
          <w:spacing w:val="-7"/>
          <w:kern w:val="0"/>
          <w:sz w:val="18"/>
          <w:szCs w:val="18"/>
        </w:rPr>
        <w:t>studies</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48,53,57]</w:t>
      </w:r>
      <w:r w:rsidRPr="007D1D00">
        <w:rPr>
          <w:rFonts w:ascii="Verdana" w:hAnsi="Verdana" w:cs="Verdana"/>
          <w:color w:val="000000"/>
          <w:spacing w:val="-7"/>
          <w:kern w:val="0"/>
          <w:sz w:val="18"/>
          <w:szCs w:val="18"/>
        </w:rPr>
        <w:t xml:space="preserve">, to the best of our knowledge and throughout our literature search, zonulin elevation in the sera of patients with CD has not been examined. For this reason, we measured serum zonulin levels as well as serum antibody levels to several tight junction proteins in 30 patients with CD. At 2 standard deviations above the mean of control or a serum zonulin level </w:t>
      </w:r>
      <w:proofErr w:type="gramStart"/>
      <w:r w:rsidRPr="007D1D00">
        <w:rPr>
          <w:rFonts w:ascii="Verdana" w:hAnsi="Verdana" w:cs="Verdana"/>
          <w:color w:val="000000"/>
          <w:spacing w:val="-7"/>
          <w:kern w:val="0"/>
          <w:sz w:val="18"/>
          <w:szCs w:val="18"/>
        </w:rPr>
        <w:t>of 7.1 ng/mL,</w:t>
      </w:r>
      <w:proofErr w:type="gramEnd"/>
      <w:r w:rsidRPr="007D1D00">
        <w:rPr>
          <w:rFonts w:ascii="Verdana" w:hAnsi="Verdana" w:cs="Verdana"/>
          <w:color w:val="000000"/>
          <w:spacing w:val="-7"/>
          <w:kern w:val="0"/>
          <w:sz w:val="18"/>
          <w:szCs w:val="18"/>
        </w:rPr>
        <w:t xml:space="preserve"> 10 out of the 30, or 33% of the CD patients exhibited elevations in zonulin levels (</w:t>
      </w:r>
      <w:r w:rsidRPr="007D1D00">
        <w:rPr>
          <w:rFonts w:ascii="Verdana" w:hAnsi="Verdana" w:cs="Verdana"/>
          <w:i/>
          <w:iCs/>
          <w:caps/>
          <w:color w:val="000000"/>
          <w:spacing w:val="-7"/>
          <w:kern w:val="0"/>
          <w:sz w:val="18"/>
          <w:szCs w:val="18"/>
        </w:rPr>
        <w:t>p</w:t>
      </w:r>
      <w:r w:rsidRPr="007D1D00">
        <w:rPr>
          <w:rFonts w:ascii="Verdana" w:hAnsi="Verdana" w:cs="Verdana"/>
          <w:caps/>
          <w:color w:val="000000"/>
          <w:spacing w:val="-7"/>
          <w:kern w:val="0"/>
          <w:sz w:val="18"/>
          <w:szCs w:val="18"/>
        </w:rPr>
        <w:t xml:space="preserve"> </w:t>
      </w:r>
      <w:r w:rsidRPr="007D1D00">
        <w:rPr>
          <w:rFonts w:ascii="Verdana" w:hAnsi="Verdana" w:cs="Verdana"/>
          <w:color w:val="000000"/>
          <w:spacing w:val="-7"/>
          <w:kern w:val="0"/>
          <w:sz w:val="18"/>
          <w:szCs w:val="18"/>
        </w:rPr>
        <w:t xml:space="preserve">&lt; 0.0001) as well as in zonulin IgA and IgG antibody levels. However, we found that an additional 10 CD patients or a total of 20 (67%) produced antibodies to zonulin without having a significant elevation in serum zonulin levels (Figure 3A and B). The detection of antibodies against zonulin in 67% of patients with CD while zonulin level elevations were detected in only 33% may be related to the zonulin fluctuation in the blood and its removal by the immune system.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 xml:space="preserve">Because intestinal tight junctions consist of several protein complexes including occludin, zonulin, vinculin, talin, claudin, actin, alpha-actinin, desmoglein, and others, we decided to test for antibody production to additional tight junction proteins including occludin and vinculin. We found a significant elevation in antibody production against both occludin and vinculin in addition to zonulin. In fact, levels of these antibodies were the highest against </w:t>
      </w:r>
      <w:r w:rsidRPr="007D1D00">
        <w:rPr>
          <w:rFonts w:ascii="Verdana" w:hAnsi="Verdana" w:cs="Verdana"/>
          <w:color w:val="000000"/>
          <w:spacing w:val="-7"/>
          <w:kern w:val="0"/>
          <w:sz w:val="18"/>
          <w:szCs w:val="18"/>
        </w:rPr>
        <w:lastRenderedPageBreak/>
        <w:t>occludin. Further analysis of the data reveals that occludin IgG actually has a stronger positive correlation to serum zonulin levels (</w:t>
      </w:r>
      <w:r w:rsidRPr="007D1D00">
        <w:rPr>
          <w:rFonts w:ascii="Verdana" w:hAnsi="Verdana" w:cs="Verdana"/>
          <w:i/>
          <w:iCs/>
          <w:color w:val="000000"/>
          <w:spacing w:val="-7"/>
          <w:kern w:val="0"/>
          <w:sz w:val="18"/>
          <w:szCs w:val="18"/>
        </w:rPr>
        <w:t xml:space="preserve">r </w:t>
      </w:r>
      <w:r w:rsidRPr="007D1D00">
        <w:rPr>
          <w:rFonts w:ascii="Verdana" w:hAnsi="Verdana" w:cs="Verdana"/>
          <w:color w:val="000000"/>
          <w:spacing w:val="-7"/>
          <w:kern w:val="0"/>
          <w:sz w:val="18"/>
          <w:szCs w:val="18"/>
        </w:rPr>
        <w:t>= 0.6) than either zonulin or vinculin antibody measurement (</w:t>
      </w:r>
      <w:r w:rsidRPr="007D1D00">
        <w:rPr>
          <w:rFonts w:ascii="Verdana" w:hAnsi="Verdana" w:cs="Verdana"/>
          <w:i/>
          <w:iCs/>
          <w:color w:val="000000"/>
          <w:spacing w:val="-7"/>
          <w:kern w:val="0"/>
          <w:sz w:val="18"/>
          <w:szCs w:val="18"/>
        </w:rPr>
        <w:t>r</w:t>
      </w:r>
      <w:r w:rsidRPr="007D1D00">
        <w:rPr>
          <w:rFonts w:ascii="Verdana" w:hAnsi="Verdana" w:cs="Verdana"/>
          <w:color w:val="000000"/>
          <w:spacing w:val="-7"/>
          <w:kern w:val="0"/>
          <w:sz w:val="18"/>
          <w:szCs w:val="18"/>
        </w:rPr>
        <w:t xml:space="preserve"> = 0.34-0.55 and </w:t>
      </w:r>
      <w:r w:rsidRPr="007D1D00">
        <w:rPr>
          <w:rFonts w:ascii="Verdana" w:hAnsi="Verdana" w:cs="Verdana"/>
          <w:i/>
          <w:iCs/>
          <w:color w:val="000000"/>
          <w:spacing w:val="-7"/>
          <w:kern w:val="0"/>
          <w:sz w:val="18"/>
          <w:szCs w:val="18"/>
        </w:rPr>
        <w:t>r</w:t>
      </w:r>
      <w:r w:rsidRPr="007D1D00">
        <w:rPr>
          <w:rFonts w:ascii="Verdana" w:hAnsi="Verdana" w:cs="Verdana"/>
          <w:color w:val="000000"/>
          <w:spacing w:val="-7"/>
          <w:kern w:val="0"/>
          <w:sz w:val="18"/>
          <w:szCs w:val="18"/>
        </w:rPr>
        <w:t xml:space="preserve"> = 0.40-0.52 respectively). The reason for this is not immediately clear though it appears from our data that the inclusion of antibody measurement to other tight junction proteins such as occludin may enhance the diagnostic utility of these antibodies. </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7D1D00">
        <w:rPr>
          <w:rFonts w:ascii="Verdana" w:hAnsi="Verdana" w:cs="Verdana"/>
          <w:color w:val="000000"/>
          <w:spacing w:val="-7"/>
          <w:kern w:val="0"/>
          <w:sz w:val="18"/>
          <w:szCs w:val="18"/>
        </w:rPr>
        <w:t xml:space="preserve">Recent research by Spadoni </w:t>
      </w:r>
      <w:r w:rsidRPr="007D1D00">
        <w:rPr>
          <w:rFonts w:ascii="Verdana" w:hAnsi="Verdana" w:cs="Verdana"/>
          <w:i/>
          <w:iCs/>
          <w:color w:val="000000"/>
          <w:spacing w:val="-7"/>
          <w:kern w:val="0"/>
          <w:sz w:val="18"/>
          <w:szCs w:val="18"/>
        </w:rPr>
        <w:t xml:space="preserve">et </w:t>
      </w:r>
      <w:proofErr w:type="gramStart"/>
      <w:r w:rsidRPr="007D1D00">
        <w:rPr>
          <w:rFonts w:ascii="Verdana" w:hAnsi="Verdana" w:cs="Verdana"/>
          <w:i/>
          <w:iCs/>
          <w:color w:val="000000"/>
          <w:spacing w:val="-7"/>
          <w:kern w:val="0"/>
          <w:sz w:val="18"/>
          <w:szCs w:val="18"/>
        </w:rPr>
        <w:t>al</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58]</w:t>
      </w:r>
      <w:r w:rsidRPr="007D1D00">
        <w:rPr>
          <w:rFonts w:ascii="Verdana" w:hAnsi="Verdana" w:cs="Verdana"/>
          <w:color w:val="000000"/>
          <w:spacing w:val="-7"/>
          <w:kern w:val="0"/>
          <w:sz w:val="18"/>
          <w:szCs w:val="18"/>
        </w:rPr>
        <w:t xml:space="preserve"> has shed light on the existence and function of the gut vascular barrier, which in healthy individuals functions to pro</w:t>
      </w:r>
      <w:r w:rsidRPr="007D1D00">
        <w:rPr>
          <w:rFonts w:ascii="Verdana" w:hAnsi="Verdana" w:cs="Verdana"/>
          <w:color w:val="000000"/>
          <w:spacing w:val="-7"/>
          <w:kern w:val="0"/>
          <w:sz w:val="18"/>
          <w:szCs w:val="18"/>
        </w:rPr>
        <w:softHyphen/>
        <w:t xml:space="preserve">tect the systemic blood from pathogenic microbiota. In their article they discuss the importance of the expression of intermediate GFAP by enteric glial cells in their formation and function of a gut vascular unit. In addition, AQP4 is a known component of the blood brain barrier, and is also a resident water channel in human stomach tissue, as published by </w:t>
      </w:r>
      <w:proofErr w:type="gramStart"/>
      <w:r w:rsidRPr="007D1D00">
        <w:rPr>
          <w:rFonts w:ascii="Verdana" w:hAnsi="Verdana" w:cs="Verdana"/>
          <w:color w:val="000000"/>
          <w:spacing w:val="-7"/>
          <w:kern w:val="0"/>
          <w:sz w:val="18"/>
          <w:szCs w:val="18"/>
        </w:rPr>
        <w:t>Laforenza</w:t>
      </w:r>
      <w:r w:rsidRPr="007D1D00">
        <w:rPr>
          <w:rFonts w:ascii="Verdana" w:hAnsi="Verdana" w:cs="Verdana"/>
          <w:color w:val="000000"/>
          <w:spacing w:val="-7"/>
          <w:kern w:val="0"/>
          <w:sz w:val="18"/>
          <w:szCs w:val="18"/>
          <w:vertAlign w:val="superscript"/>
        </w:rPr>
        <w:t>[</w:t>
      </w:r>
      <w:proofErr w:type="gramEnd"/>
      <w:r w:rsidRPr="007D1D00">
        <w:rPr>
          <w:rFonts w:ascii="Verdana" w:hAnsi="Verdana" w:cs="Verdana"/>
          <w:color w:val="000000"/>
          <w:spacing w:val="-7"/>
          <w:kern w:val="0"/>
          <w:sz w:val="18"/>
          <w:szCs w:val="18"/>
          <w:vertAlign w:val="superscript"/>
        </w:rPr>
        <w:t>38]</w:t>
      </w:r>
      <w:r w:rsidRPr="007D1D00">
        <w:rPr>
          <w:rFonts w:ascii="Verdana" w:hAnsi="Verdana" w:cs="Verdana"/>
          <w:color w:val="000000"/>
          <w:spacing w:val="-7"/>
          <w:kern w:val="0"/>
          <w:sz w:val="18"/>
          <w:szCs w:val="18"/>
        </w:rPr>
        <w:t>. We therefore decided to measure for potential antibody formation against these two proteins in our CD group in an attempt to further understand the pathogenic process of inflammatory and autoimmune disease in the gastrointestinal (GI) tract. We were not surprised to detect elevated antibody levels to both AQP4 and GFAP in these patients because of their structural presence and utility in the gut. Antibody levels to both proteins (except AQP4 IgA) positively correlated with serum zonulin levels as demonstrated in Table 1 with “</w:t>
      </w:r>
      <w:r w:rsidRPr="007D1D00">
        <w:rPr>
          <w:rFonts w:ascii="Verdana" w:hAnsi="Verdana" w:cs="Verdana"/>
          <w:i/>
          <w:iCs/>
          <w:color w:val="000000"/>
          <w:spacing w:val="-7"/>
          <w:kern w:val="0"/>
          <w:sz w:val="18"/>
          <w:szCs w:val="18"/>
        </w:rPr>
        <w:t>r</w:t>
      </w:r>
      <w:r w:rsidRPr="007D1D00">
        <w:rPr>
          <w:rFonts w:ascii="Verdana" w:hAnsi="Verdana" w:cs="Verdana"/>
          <w:color w:val="000000"/>
          <w:spacing w:val="-7"/>
          <w:kern w:val="0"/>
          <w:sz w:val="18"/>
          <w:szCs w:val="18"/>
        </w:rPr>
        <w:t>” values ranging from 0.42-0.60. This indicates a promising area of future study into what appears to be a clear indicator that reactivity to proteins outside of the tight junction plays a role in inflammatory pathogenesis of CD and possibly other GI disorders.</w:t>
      </w:r>
    </w:p>
    <w:p w:rsidR="00A16B9F" w:rsidRPr="007D1D00" w:rsidRDefault="00A16B9F" w:rsidP="00A16B9F">
      <w:pPr>
        <w:suppressAutoHyphens/>
        <w:autoSpaceDE w:val="0"/>
        <w:autoSpaceDN w:val="0"/>
        <w:adjustRightInd w:val="0"/>
        <w:spacing w:line="288" w:lineRule="auto"/>
        <w:ind w:firstLine="283"/>
        <w:textAlignment w:val="center"/>
        <w:rPr>
          <w:rFonts w:ascii="Verdana" w:hAnsi="Verdana" w:cs="Verdana"/>
          <w:b/>
          <w:bCs/>
          <w:color w:val="000000"/>
          <w:spacing w:val="-7"/>
          <w:kern w:val="0"/>
          <w:sz w:val="18"/>
          <w:szCs w:val="18"/>
        </w:rPr>
      </w:pPr>
      <w:r w:rsidRPr="007D1D00">
        <w:rPr>
          <w:rFonts w:ascii="Verdana" w:hAnsi="Verdana" w:cs="Verdana"/>
          <w:color w:val="000000"/>
          <w:spacing w:val="-7"/>
          <w:kern w:val="0"/>
          <w:sz w:val="18"/>
          <w:szCs w:val="18"/>
        </w:rPr>
        <w:t xml:space="preserve">Although this was a small study, the data shows significant hourly fluctuation of serum zonulin levels in control subjects, making its clinical utility questionable. In comparison, both IgG and IgA zonulin antibodies measured in the sera of the same individuals showed excellent stability over the course of the blood draw. Moreover, measuring antibodies to zonulin and other tight junction proteins revealed significant elevation in a large percentage of patients with CD, which suggests that they play a significant role in the pathogenesis of CD and possibly other autoimmune disorders. This indicates a need for further research about the role of antibodies against tight junction proteins in patients with inflammatory and autoimmune disorders. </w:t>
      </w: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D1D00">
        <w:rPr>
          <w:rFonts w:ascii="Univers" w:hAnsi="Univers" w:cs="Univers"/>
          <w:b/>
          <w:bCs/>
          <w:color w:val="000000"/>
          <w:spacing w:val="-2"/>
          <w:kern w:val="0"/>
          <w:sz w:val="24"/>
          <w:u w:val="single"/>
        </w:rPr>
        <w:t>ACKNOWLEDGMENTS</w:t>
      </w:r>
    </w:p>
    <w:p w:rsidR="00A16B9F" w:rsidRPr="007D1D00" w:rsidRDefault="00A16B9F" w:rsidP="00A16B9F">
      <w:pPr>
        <w:suppressAutoHyphens/>
        <w:autoSpaceDE w:val="0"/>
        <w:autoSpaceDN w:val="0"/>
        <w:adjustRightInd w:val="0"/>
        <w:spacing w:line="288" w:lineRule="auto"/>
        <w:textAlignment w:val="center"/>
        <w:rPr>
          <w:rFonts w:ascii="Verdana" w:hAnsi="Verdana" w:cs="Verdana"/>
          <w:b/>
          <w:bCs/>
          <w:color w:val="000000"/>
          <w:spacing w:val="-7"/>
          <w:kern w:val="0"/>
          <w:sz w:val="18"/>
          <w:szCs w:val="18"/>
        </w:rPr>
      </w:pPr>
      <w:r w:rsidRPr="007D1D00">
        <w:rPr>
          <w:rFonts w:ascii="Verdana" w:hAnsi="Verdana" w:cs="Verdana"/>
          <w:color w:val="000000"/>
          <w:spacing w:val="-7"/>
          <w:kern w:val="0"/>
          <w:sz w:val="18"/>
          <w:szCs w:val="18"/>
        </w:rPr>
        <w:t>Acknowledgment is given to Joel Bautista for the preparation of this manuscript for publication as well as the creation of the figures.</w:t>
      </w: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7D1D00">
        <w:rPr>
          <w:rFonts w:ascii="Univers" w:hAnsi="Univers" w:cs="Univers"/>
          <w:b/>
          <w:bCs/>
          <w:color w:val="000000"/>
          <w:spacing w:val="-2"/>
          <w:kern w:val="0"/>
          <w:sz w:val="24"/>
          <w:u w:val="single"/>
        </w:rPr>
        <w:t>COMMENTS</w:t>
      </w: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D00">
        <w:rPr>
          <w:rFonts w:ascii="Arial Narrow" w:hAnsi="Arial Narrow" w:cs="Arial Narrow"/>
          <w:b/>
          <w:bCs/>
          <w:i/>
          <w:iCs/>
          <w:color w:val="000000"/>
          <w:kern w:val="0"/>
          <w:szCs w:val="21"/>
        </w:rPr>
        <w:t>Background</w:t>
      </w:r>
    </w:p>
    <w:p w:rsidR="00A16B9F" w:rsidRPr="007D1D00" w:rsidRDefault="00A16B9F" w:rsidP="00A16B9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1D00">
        <w:rPr>
          <w:rFonts w:ascii="Arial Narrow" w:hAnsi="Arial Narrow" w:cs="Arial Narrow"/>
          <w:color w:val="000000"/>
          <w:kern w:val="0"/>
          <w:sz w:val="16"/>
          <w:szCs w:val="16"/>
        </w:rPr>
        <w:t xml:space="preserve">In recent times newly available technology has led to laboratories offering testing for serum levels of zonulin, a gut barrier tight junction protein, for the detection of increased intestinal permeability in patients with autoimmune disease or other chronic inflammatory disorders. However, studies demonstrate that the testable </w:t>
      </w:r>
      <w:r w:rsidRPr="007D1D00">
        <w:rPr>
          <w:rFonts w:ascii="Arial Narrow" w:hAnsi="Arial Narrow" w:cs="Arial Narrow"/>
          <w:color w:val="000000"/>
          <w:kern w:val="0"/>
          <w:sz w:val="16"/>
          <w:szCs w:val="16"/>
        </w:rPr>
        <w:lastRenderedPageBreak/>
        <w:t>half-life of zonulin and similar molecules is extremely brief, so that the reliability of tests based just on zonulin levels is arguable. A more stable, more reliably accurate methodology is required.</w:t>
      </w: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D00">
        <w:rPr>
          <w:rFonts w:ascii="Arial Narrow" w:hAnsi="Arial Narrow" w:cs="Arial Narrow"/>
          <w:b/>
          <w:bCs/>
          <w:i/>
          <w:iCs/>
          <w:color w:val="000000"/>
          <w:kern w:val="0"/>
          <w:szCs w:val="21"/>
        </w:rPr>
        <w:t>Research frontiers</w:t>
      </w:r>
    </w:p>
    <w:p w:rsidR="00A16B9F" w:rsidRPr="007D1D00" w:rsidRDefault="00A16B9F" w:rsidP="00A16B9F">
      <w:pPr>
        <w:suppressAutoHyphens/>
        <w:autoSpaceDE w:val="0"/>
        <w:autoSpaceDN w:val="0"/>
        <w:adjustRightInd w:val="0"/>
        <w:spacing w:line="200" w:lineRule="atLeast"/>
        <w:textAlignment w:val="center"/>
        <w:rPr>
          <w:rFonts w:ascii="Arial Narrow" w:hAnsi="Arial Narrow" w:cs="Arial Narrow"/>
          <w:color w:val="000000"/>
          <w:kern w:val="0"/>
          <w:sz w:val="16"/>
          <w:szCs w:val="16"/>
          <w:vertAlign w:val="superscript"/>
        </w:rPr>
      </w:pPr>
      <w:r w:rsidRPr="007D1D00">
        <w:rPr>
          <w:rFonts w:ascii="Arial Narrow" w:hAnsi="Arial Narrow" w:cs="Arial Narrow"/>
          <w:color w:val="000000"/>
          <w:kern w:val="0"/>
          <w:sz w:val="16"/>
          <w:szCs w:val="16"/>
        </w:rPr>
        <w:t xml:space="preserve">The scientific basis for offering serum zonulin levels as a diagnostic indicator comes mainly from a 2006 paper by Sapone </w:t>
      </w:r>
      <w:r w:rsidRPr="007D1D00">
        <w:rPr>
          <w:rFonts w:ascii="Arial Narrow" w:hAnsi="Arial Narrow" w:cs="Arial Narrow"/>
          <w:i/>
          <w:iCs/>
          <w:color w:val="000000"/>
          <w:kern w:val="0"/>
          <w:sz w:val="16"/>
          <w:szCs w:val="16"/>
        </w:rPr>
        <w:t>et al</w:t>
      </w:r>
      <w:r w:rsidRPr="007D1D00">
        <w:rPr>
          <w:rFonts w:ascii="Arial Narrow" w:hAnsi="Arial Narrow" w:cs="Arial Narrow"/>
          <w:color w:val="000000"/>
          <w:kern w:val="0"/>
          <w:sz w:val="16"/>
          <w:szCs w:val="16"/>
        </w:rPr>
        <w:t xml:space="preserve"> which demonstrated a correlation between zonulin upregulation and increased gut permeability in a subgroup of patients with type 1 diabetes. However, Sapone </w:t>
      </w:r>
      <w:r w:rsidRPr="007D1D00">
        <w:rPr>
          <w:rFonts w:ascii="Arial Narrow" w:hAnsi="Arial Narrow" w:cs="Arial Narrow"/>
          <w:i/>
          <w:iCs/>
          <w:color w:val="000000"/>
          <w:kern w:val="0"/>
          <w:sz w:val="16"/>
          <w:szCs w:val="16"/>
        </w:rPr>
        <w:t xml:space="preserve">et al </w:t>
      </w:r>
      <w:r w:rsidRPr="007D1D00">
        <w:rPr>
          <w:rFonts w:ascii="Arial Narrow" w:hAnsi="Arial Narrow" w:cs="Arial Narrow"/>
          <w:color w:val="000000"/>
          <w:kern w:val="0"/>
          <w:sz w:val="16"/>
          <w:szCs w:val="16"/>
        </w:rPr>
        <w:t>themselves concluded that their numbers were “insufficiently correlated to be applied to diagnostic medical use.”</w:t>
      </w: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D00">
        <w:rPr>
          <w:rFonts w:ascii="Arial Narrow" w:hAnsi="Arial Narrow" w:cs="Arial Narrow"/>
          <w:b/>
          <w:bCs/>
          <w:i/>
          <w:iCs/>
          <w:color w:val="000000"/>
          <w:kern w:val="0"/>
          <w:szCs w:val="21"/>
        </w:rPr>
        <w:t>Innovations and breakthroughs</w:t>
      </w:r>
    </w:p>
    <w:p w:rsidR="00A16B9F" w:rsidRPr="007D1D00" w:rsidRDefault="00A16B9F" w:rsidP="00A16B9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1D00">
        <w:rPr>
          <w:rFonts w:ascii="Arial Narrow" w:hAnsi="Arial Narrow" w:cs="Arial Narrow"/>
          <w:color w:val="000000"/>
          <w:kern w:val="0"/>
          <w:sz w:val="16"/>
          <w:szCs w:val="16"/>
        </w:rPr>
        <w:t>This study shows that due to the size of zonulin and similar molecules, the normal functions of the immune system may cause zonulin levels in the blood to rise and fall from day to day, and even from hour to hour. This may cast doubt on their reliability as biomarkers, whereas the measurement of antibodies against zonulin and other tight junction proteins is comparatively much more stable, accurate and reliable. This was demonstrated in a large percentage of patients with celiac disease who showed significant elevations in antibodies against zonulin and other tight junction proteins as opposed to measurements of just zonulin level.</w:t>
      </w: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D00">
        <w:rPr>
          <w:rFonts w:ascii="Arial Narrow" w:hAnsi="Arial Narrow" w:cs="Arial Narrow"/>
          <w:b/>
          <w:bCs/>
          <w:i/>
          <w:iCs/>
          <w:color w:val="000000"/>
          <w:kern w:val="0"/>
          <w:szCs w:val="21"/>
        </w:rPr>
        <w:t>Applications</w:t>
      </w:r>
    </w:p>
    <w:p w:rsidR="00A16B9F" w:rsidRPr="007D1D00" w:rsidRDefault="00A16B9F" w:rsidP="00A16B9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1D00">
        <w:rPr>
          <w:rFonts w:ascii="Arial Narrow" w:hAnsi="Arial Narrow" w:cs="Arial Narrow"/>
          <w:color w:val="000000"/>
          <w:kern w:val="0"/>
          <w:sz w:val="16"/>
          <w:szCs w:val="16"/>
        </w:rPr>
        <w:t xml:space="preserve">Measuring antibodies against zonulin and other tight junction proteins may be an important diagnostic tool in the detection of intestinal hyperpermeability in patients with inflammatory disorders and autoimmune disease. </w:t>
      </w: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D00">
        <w:rPr>
          <w:rFonts w:ascii="Arial Narrow" w:hAnsi="Arial Narrow" w:cs="Arial Narrow"/>
          <w:b/>
          <w:bCs/>
          <w:i/>
          <w:iCs/>
          <w:color w:val="000000"/>
          <w:kern w:val="0"/>
          <w:szCs w:val="21"/>
        </w:rPr>
        <w:t>Terminology</w:t>
      </w:r>
    </w:p>
    <w:p w:rsidR="00A16B9F" w:rsidRPr="007D1D00" w:rsidRDefault="00A16B9F" w:rsidP="00A16B9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1D00">
        <w:rPr>
          <w:rFonts w:ascii="Arial Narrow" w:hAnsi="Arial Narrow" w:cs="Arial Narrow"/>
          <w:color w:val="000000"/>
          <w:kern w:val="0"/>
          <w:sz w:val="16"/>
          <w:szCs w:val="16"/>
        </w:rPr>
        <w:t>The intestinal or gut barrier is one of the body’s most important defenses against the entry of disease-causing pathogens and food antigens. It is a complex wall of layered and inter-laced proteins. Zonulin is one of the foremost of these tight junction proteins.</w:t>
      </w:r>
    </w:p>
    <w:p w:rsidR="00A16B9F" w:rsidRPr="007D1D00" w:rsidRDefault="00A16B9F" w:rsidP="00A16B9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7D1D00">
        <w:rPr>
          <w:rFonts w:ascii="Arial Narrow" w:hAnsi="Arial Narrow" w:cs="Arial Narrow"/>
          <w:b/>
          <w:bCs/>
          <w:i/>
          <w:iCs/>
          <w:color w:val="000000"/>
          <w:kern w:val="0"/>
          <w:szCs w:val="21"/>
        </w:rPr>
        <w:t>Peer-review</w:t>
      </w:r>
    </w:p>
    <w:p w:rsidR="00A16B9F" w:rsidRPr="007D1D00" w:rsidRDefault="00A16B9F" w:rsidP="00A16B9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7D1D00">
        <w:rPr>
          <w:rFonts w:ascii="Arial Narrow" w:hAnsi="Arial Narrow" w:cs="Arial Narrow"/>
          <w:color w:val="000000"/>
          <w:kern w:val="0"/>
          <w:sz w:val="16"/>
          <w:szCs w:val="16"/>
        </w:rPr>
        <w:t>Th paper is well done and helps to clarify some questions about zonulin and related molecules. It is practically very relevant.</w:t>
      </w: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A16B9F" w:rsidRPr="007D1D00" w:rsidRDefault="00A16B9F" w:rsidP="00A16B9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r w:rsidRPr="007D1D00">
        <w:rPr>
          <w:rFonts w:ascii="Univers" w:hAnsi="Univers" w:cs="Univers"/>
          <w:b/>
          <w:bCs/>
          <w:color w:val="000000"/>
          <w:spacing w:val="-2"/>
          <w:kern w:val="0"/>
          <w:sz w:val="24"/>
        </w:rPr>
        <w:t>REFERENCES</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1</w:t>
      </w:r>
      <w:r w:rsidRPr="007D1D00">
        <w:rPr>
          <w:color w:val="000000"/>
          <w:spacing w:val="-1"/>
          <w:kern w:val="0"/>
          <w:sz w:val="16"/>
          <w:szCs w:val="16"/>
        </w:rPr>
        <w:tab/>
      </w:r>
      <w:r w:rsidRPr="007D1D00">
        <w:rPr>
          <w:b/>
          <w:bCs/>
          <w:color w:val="000000"/>
          <w:spacing w:val="-1"/>
          <w:kern w:val="0"/>
          <w:sz w:val="16"/>
          <w:szCs w:val="16"/>
        </w:rPr>
        <w:t>Fasano A</w:t>
      </w:r>
      <w:r w:rsidRPr="007D1D00">
        <w:rPr>
          <w:color w:val="000000"/>
          <w:spacing w:val="-1"/>
          <w:kern w:val="0"/>
          <w:sz w:val="16"/>
          <w:szCs w:val="16"/>
        </w:rPr>
        <w:t xml:space="preserve">. Zonulin and its regulation of intestinal barrier function: the biological door to inflammation, autoimmunity, and cancer. </w:t>
      </w:r>
      <w:r w:rsidRPr="007D1D00">
        <w:rPr>
          <w:i/>
          <w:iCs/>
          <w:color w:val="000000"/>
          <w:spacing w:val="-1"/>
          <w:kern w:val="0"/>
          <w:sz w:val="16"/>
          <w:szCs w:val="16"/>
        </w:rPr>
        <w:t>Physiol Rev</w:t>
      </w:r>
      <w:r w:rsidRPr="007D1D00">
        <w:rPr>
          <w:color w:val="000000"/>
          <w:spacing w:val="-1"/>
          <w:kern w:val="0"/>
          <w:sz w:val="16"/>
          <w:szCs w:val="16"/>
        </w:rPr>
        <w:t xml:space="preserve"> 2011; </w:t>
      </w:r>
      <w:r w:rsidRPr="007D1D00">
        <w:rPr>
          <w:b/>
          <w:bCs/>
          <w:color w:val="000000"/>
          <w:spacing w:val="-1"/>
          <w:kern w:val="0"/>
          <w:sz w:val="16"/>
          <w:szCs w:val="16"/>
        </w:rPr>
        <w:t>91</w:t>
      </w:r>
      <w:r w:rsidRPr="007D1D00">
        <w:rPr>
          <w:color w:val="000000"/>
          <w:spacing w:val="-1"/>
          <w:kern w:val="0"/>
          <w:sz w:val="16"/>
          <w:szCs w:val="16"/>
        </w:rPr>
        <w:t>: 151-175 [PMID: 21248165 DOI: 10.1152/physrev.00003.2008]</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2</w:t>
      </w:r>
      <w:r w:rsidRPr="007D1D00">
        <w:rPr>
          <w:color w:val="000000"/>
          <w:spacing w:val="-1"/>
          <w:kern w:val="0"/>
          <w:sz w:val="16"/>
          <w:szCs w:val="16"/>
        </w:rPr>
        <w:tab/>
      </w:r>
      <w:r w:rsidRPr="007D1D00">
        <w:rPr>
          <w:b/>
          <w:bCs/>
          <w:color w:val="000000"/>
          <w:spacing w:val="-1"/>
          <w:kern w:val="0"/>
          <w:sz w:val="16"/>
          <w:szCs w:val="16"/>
        </w:rPr>
        <w:t>Tlaskalová-Hogenová H</w:t>
      </w:r>
      <w:r w:rsidRPr="007D1D00">
        <w:rPr>
          <w:color w:val="000000"/>
          <w:spacing w:val="-1"/>
          <w:kern w:val="0"/>
          <w:sz w:val="16"/>
          <w:szCs w:val="16"/>
        </w:rPr>
        <w:t xml:space="preserve">, Stěpánková R, Kozáková H, Hudcovic T, Vannucci L, Tučková L, Rossmann P, Hrnčíř T, Kverka M, Zákostelská Z, Klimešová K, Přibylová J, Bártová J, Sanchez D, Fundová P, Borovská D, Srůtková D, Zídek Z, Schwarzer M, Drastich P, Funda DP. The role of gut microbiota (commensal bacteria) and the mucosal barrier in the pathogenesis of inflammatory and autoimmune diseases and cancer: contribution of germ-free and gnotobiotic animal models of human diseases. </w:t>
      </w:r>
      <w:r w:rsidRPr="007D1D00">
        <w:rPr>
          <w:i/>
          <w:iCs/>
          <w:color w:val="000000"/>
          <w:spacing w:val="-1"/>
          <w:kern w:val="0"/>
          <w:sz w:val="16"/>
          <w:szCs w:val="16"/>
        </w:rPr>
        <w:t>Cell Mol Immunol</w:t>
      </w:r>
      <w:r w:rsidRPr="007D1D00">
        <w:rPr>
          <w:color w:val="000000"/>
          <w:spacing w:val="-1"/>
          <w:kern w:val="0"/>
          <w:sz w:val="16"/>
          <w:szCs w:val="16"/>
        </w:rPr>
        <w:t xml:space="preserve"> 2011; </w:t>
      </w:r>
      <w:r w:rsidRPr="007D1D00">
        <w:rPr>
          <w:b/>
          <w:bCs/>
          <w:color w:val="000000"/>
          <w:spacing w:val="-1"/>
          <w:kern w:val="0"/>
          <w:sz w:val="16"/>
          <w:szCs w:val="16"/>
        </w:rPr>
        <w:t>8</w:t>
      </w:r>
      <w:r w:rsidRPr="007D1D00">
        <w:rPr>
          <w:color w:val="000000"/>
          <w:spacing w:val="-1"/>
          <w:kern w:val="0"/>
          <w:sz w:val="16"/>
          <w:szCs w:val="16"/>
        </w:rPr>
        <w:t>: 110-120 [PMID: 21278760 DOI: 10.1038/cmi.2010.67]</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3</w:t>
      </w:r>
      <w:r w:rsidRPr="007D1D00">
        <w:rPr>
          <w:color w:val="000000"/>
          <w:spacing w:val="-1"/>
          <w:kern w:val="0"/>
          <w:sz w:val="16"/>
          <w:szCs w:val="16"/>
        </w:rPr>
        <w:tab/>
      </w:r>
      <w:r w:rsidRPr="007D1D00">
        <w:rPr>
          <w:b/>
          <w:bCs/>
          <w:color w:val="000000"/>
          <w:spacing w:val="-1"/>
          <w:kern w:val="0"/>
          <w:sz w:val="16"/>
          <w:szCs w:val="16"/>
        </w:rPr>
        <w:t>Bischoff SC</w:t>
      </w:r>
      <w:r w:rsidRPr="007D1D00">
        <w:rPr>
          <w:color w:val="000000"/>
          <w:spacing w:val="-1"/>
          <w:kern w:val="0"/>
          <w:sz w:val="16"/>
          <w:szCs w:val="16"/>
        </w:rPr>
        <w:t xml:space="preserve">, Barbara G, Buurman W, Ockhuizen T, Schulzke JD, Serino M, Tilg H, Watson A, Wells JM. </w:t>
      </w:r>
      <w:proofErr w:type="gramStart"/>
      <w:r w:rsidRPr="007D1D00">
        <w:rPr>
          <w:color w:val="000000"/>
          <w:spacing w:val="-1"/>
          <w:kern w:val="0"/>
          <w:sz w:val="16"/>
          <w:szCs w:val="16"/>
        </w:rPr>
        <w:t>Intestinal permeability--a new target for disease prevention and therapy.</w:t>
      </w:r>
      <w:proofErr w:type="gramEnd"/>
      <w:r w:rsidRPr="007D1D00">
        <w:rPr>
          <w:color w:val="000000"/>
          <w:spacing w:val="-1"/>
          <w:kern w:val="0"/>
          <w:sz w:val="16"/>
          <w:szCs w:val="16"/>
        </w:rPr>
        <w:t xml:space="preserve"> </w:t>
      </w:r>
      <w:r w:rsidRPr="007D1D00">
        <w:rPr>
          <w:i/>
          <w:iCs/>
          <w:color w:val="000000"/>
          <w:spacing w:val="-1"/>
          <w:kern w:val="0"/>
          <w:sz w:val="16"/>
          <w:szCs w:val="16"/>
        </w:rPr>
        <w:t>BMC Gastroenterol</w:t>
      </w:r>
      <w:r w:rsidRPr="007D1D00">
        <w:rPr>
          <w:color w:val="000000"/>
          <w:spacing w:val="-1"/>
          <w:kern w:val="0"/>
          <w:sz w:val="16"/>
          <w:szCs w:val="16"/>
        </w:rPr>
        <w:t xml:space="preserve"> 2014; </w:t>
      </w:r>
      <w:r w:rsidRPr="007D1D00">
        <w:rPr>
          <w:b/>
          <w:bCs/>
          <w:color w:val="000000"/>
          <w:spacing w:val="-1"/>
          <w:kern w:val="0"/>
          <w:sz w:val="16"/>
          <w:szCs w:val="16"/>
        </w:rPr>
        <w:t>14</w:t>
      </w:r>
      <w:r w:rsidRPr="007D1D00">
        <w:rPr>
          <w:color w:val="000000"/>
          <w:spacing w:val="-1"/>
          <w:kern w:val="0"/>
          <w:sz w:val="16"/>
          <w:szCs w:val="16"/>
        </w:rPr>
        <w:t>: 189 [PMID: 25407511 DOI: 10.1186/s12876-014-0189-7]</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4</w:t>
      </w:r>
      <w:r w:rsidRPr="007D1D00">
        <w:rPr>
          <w:color w:val="000000"/>
          <w:spacing w:val="-1"/>
          <w:kern w:val="0"/>
          <w:sz w:val="16"/>
          <w:szCs w:val="16"/>
        </w:rPr>
        <w:tab/>
      </w:r>
      <w:r w:rsidRPr="007D1D00">
        <w:rPr>
          <w:b/>
          <w:bCs/>
          <w:color w:val="000000"/>
          <w:spacing w:val="-1"/>
          <w:kern w:val="0"/>
          <w:sz w:val="16"/>
          <w:szCs w:val="16"/>
        </w:rPr>
        <w:t>Yu YB</w:t>
      </w:r>
      <w:r w:rsidRPr="007D1D00">
        <w:rPr>
          <w:color w:val="000000"/>
          <w:spacing w:val="-1"/>
          <w:kern w:val="0"/>
          <w:sz w:val="16"/>
          <w:szCs w:val="16"/>
        </w:rPr>
        <w:t xml:space="preserve">, Li YQ. </w:t>
      </w:r>
      <w:proofErr w:type="gramStart"/>
      <w:r w:rsidRPr="007D1D00">
        <w:rPr>
          <w:color w:val="000000"/>
          <w:spacing w:val="-1"/>
          <w:kern w:val="0"/>
          <w:sz w:val="16"/>
          <w:szCs w:val="16"/>
        </w:rPr>
        <w:t>Enteric glial cells and their role in the intestinal epithelial barrier.</w:t>
      </w:r>
      <w:proofErr w:type="gramEnd"/>
      <w:r w:rsidRPr="007D1D00">
        <w:rPr>
          <w:color w:val="000000"/>
          <w:spacing w:val="-1"/>
          <w:kern w:val="0"/>
          <w:sz w:val="16"/>
          <w:szCs w:val="16"/>
        </w:rPr>
        <w:t xml:space="preserve"> </w:t>
      </w:r>
      <w:r w:rsidRPr="007D1D00">
        <w:rPr>
          <w:i/>
          <w:iCs/>
          <w:color w:val="000000"/>
          <w:spacing w:val="-1"/>
          <w:kern w:val="0"/>
          <w:sz w:val="16"/>
          <w:szCs w:val="16"/>
        </w:rPr>
        <w:t>World J Gastroenterol</w:t>
      </w:r>
      <w:r w:rsidRPr="007D1D00">
        <w:rPr>
          <w:color w:val="000000"/>
          <w:spacing w:val="-1"/>
          <w:kern w:val="0"/>
          <w:sz w:val="16"/>
          <w:szCs w:val="16"/>
        </w:rPr>
        <w:t xml:space="preserve"> 2014; </w:t>
      </w:r>
      <w:r w:rsidRPr="007D1D00">
        <w:rPr>
          <w:b/>
          <w:bCs/>
          <w:color w:val="000000"/>
          <w:spacing w:val="-1"/>
          <w:kern w:val="0"/>
          <w:sz w:val="16"/>
          <w:szCs w:val="16"/>
        </w:rPr>
        <w:t>20</w:t>
      </w:r>
      <w:r w:rsidRPr="007D1D00">
        <w:rPr>
          <w:color w:val="000000"/>
          <w:spacing w:val="-1"/>
          <w:kern w:val="0"/>
          <w:sz w:val="16"/>
          <w:szCs w:val="16"/>
        </w:rPr>
        <w:t>: 11273-11280 [PMID: 25170211 DOI: 10.3748/wjg.v20.i32.11273]</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5</w:t>
      </w:r>
      <w:r w:rsidRPr="007D1D00">
        <w:rPr>
          <w:color w:val="000000"/>
          <w:spacing w:val="-1"/>
          <w:kern w:val="0"/>
          <w:sz w:val="16"/>
          <w:szCs w:val="16"/>
        </w:rPr>
        <w:tab/>
      </w:r>
      <w:r w:rsidRPr="007D1D00">
        <w:rPr>
          <w:b/>
          <w:bCs/>
          <w:color w:val="000000"/>
          <w:spacing w:val="-1"/>
          <w:kern w:val="0"/>
          <w:sz w:val="16"/>
          <w:szCs w:val="16"/>
        </w:rPr>
        <w:t>Saunders PR</w:t>
      </w:r>
      <w:r w:rsidRPr="007D1D00">
        <w:rPr>
          <w:color w:val="000000"/>
          <w:spacing w:val="-1"/>
          <w:kern w:val="0"/>
          <w:sz w:val="16"/>
          <w:szCs w:val="16"/>
        </w:rPr>
        <w:t xml:space="preserve">, Kosecka U, McKay DM, Perdue MH. Acute stressors stimulate ion secretion and increase epithelial permeability in rat intestine. </w:t>
      </w:r>
      <w:r w:rsidRPr="007D1D00">
        <w:rPr>
          <w:i/>
          <w:iCs/>
          <w:color w:val="000000"/>
          <w:spacing w:val="-1"/>
          <w:kern w:val="0"/>
          <w:sz w:val="16"/>
          <w:szCs w:val="16"/>
        </w:rPr>
        <w:t>Am J Physiol</w:t>
      </w:r>
      <w:r w:rsidRPr="007D1D00">
        <w:rPr>
          <w:color w:val="000000"/>
          <w:spacing w:val="-1"/>
          <w:kern w:val="0"/>
          <w:sz w:val="16"/>
          <w:szCs w:val="16"/>
        </w:rPr>
        <w:t xml:space="preserve"> 1994; </w:t>
      </w:r>
      <w:r w:rsidRPr="007D1D00">
        <w:rPr>
          <w:b/>
          <w:bCs/>
          <w:color w:val="000000"/>
          <w:spacing w:val="-1"/>
          <w:kern w:val="0"/>
          <w:sz w:val="16"/>
          <w:szCs w:val="16"/>
        </w:rPr>
        <w:t>267</w:t>
      </w:r>
      <w:r w:rsidRPr="007D1D00">
        <w:rPr>
          <w:color w:val="000000"/>
          <w:spacing w:val="-1"/>
          <w:kern w:val="0"/>
          <w:sz w:val="16"/>
          <w:szCs w:val="16"/>
        </w:rPr>
        <w:t>: G794-G799 [PMID: 7977741]</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6</w:t>
      </w:r>
      <w:r w:rsidRPr="007D1D00">
        <w:rPr>
          <w:color w:val="000000"/>
          <w:spacing w:val="-1"/>
          <w:kern w:val="0"/>
          <w:sz w:val="16"/>
          <w:szCs w:val="16"/>
        </w:rPr>
        <w:tab/>
      </w:r>
      <w:r w:rsidRPr="007D1D00">
        <w:rPr>
          <w:b/>
          <w:bCs/>
          <w:color w:val="000000"/>
          <w:spacing w:val="-1"/>
          <w:kern w:val="0"/>
          <w:sz w:val="16"/>
          <w:szCs w:val="16"/>
        </w:rPr>
        <w:t>Moreira AP</w:t>
      </w:r>
      <w:r w:rsidRPr="007D1D00">
        <w:rPr>
          <w:color w:val="000000"/>
          <w:spacing w:val="-1"/>
          <w:kern w:val="0"/>
          <w:sz w:val="16"/>
          <w:szCs w:val="16"/>
        </w:rPr>
        <w:t xml:space="preserve">, Texeira TF, Ferreira AB, Peluzio Mdo C, Alfenas Rde C. Influence of a high-fat diet on gut microbiota, intestinal permeability and metabolic endotoxaemia. </w:t>
      </w:r>
      <w:r w:rsidRPr="007D1D00">
        <w:rPr>
          <w:i/>
          <w:iCs/>
          <w:color w:val="000000"/>
          <w:spacing w:val="-1"/>
          <w:kern w:val="0"/>
          <w:sz w:val="16"/>
          <w:szCs w:val="16"/>
        </w:rPr>
        <w:t>Br J Nutr</w:t>
      </w:r>
      <w:r w:rsidRPr="007D1D00">
        <w:rPr>
          <w:color w:val="000000"/>
          <w:spacing w:val="-1"/>
          <w:kern w:val="0"/>
          <w:sz w:val="16"/>
          <w:szCs w:val="16"/>
        </w:rPr>
        <w:t xml:space="preserve"> 2012; </w:t>
      </w:r>
      <w:r w:rsidRPr="007D1D00">
        <w:rPr>
          <w:b/>
          <w:bCs/>
          <w:color w:val="000000"/>
          <w:spacing w:val="-1"/>
          <w:kern w:val="0"/>
          <w:sz w:val="16"/>
          <w:szCs w:val="16"/>
        </w:rPr>
        <w:t>108</w:t>
      </w:r>
      <w:r w:rsidRPr="007D1D00">
        <w:rPr>
          <w:color w:val="000000"/>
          <w:spacing w:val="-1"/>
          <w:kern w:val="0"/>
          <w:sz w:val="16"/>
          <w:szCs w:val="16"/>
        </w:rPr>
        <w:t>: 801-809 [PMID: 22717075 DOI: 10.1017/S0007114512001213]</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7</w:t>
      </w:r>
      <w:r w:rsidRPr="007D1D00">
        <w:rPr>
          <w:color w:val="000000"/>
          <w:spacing w:val="-1"/>
          <w:kern w:val="0"/>
          <w:sz w:val="16"/>
          <w:szCs w:val="16"/>
        </w:rPr>
        <w:tab/>
      </w:r>
      <w:r w:rsidRPr="007D1D00">
        <w:rPr>
          <w:b/>
          <w:bCs/>
          <w:color w:val="000000"/>
          <w:spacing w:val="-1"/>
          <w:kern w:val="0"/>
          <w:sz w:val="16"/>
          <w:szCs w:val="16"/>
        </w:rPr>
        <w:t>Wang W</w:t>
      </w:r>
      <w:r w:rsidRPr="007D1D00">
        <w:rPr>
          <w:color w:val="000000"/>
          <w:spacing w:val="-1"/>
          <w:kern w:val="0"/>
          <w:sz w:val="16"/>
          <w:szCs w:val="16"/>
        </w:rPr>
        <w:t xml:space="preserve">, Uzzau S, Goldblum SE, Fasano A. Human zonulin, a potential modulator of intestinal tight junctions. </w:t>
      </w:r>
      <w:r w:rsidRPr="007D1D00">
        <w:rPr>
          <w:i/>
          <w:iCs/>
          <w:color w:val="000000"/>
          <w:spacing w:val="-1"/>
          <w:kern w:val="0"/>
          <w:sz w:val="16"/>
          <w:szCs w:val="16"/>
        </w:rPr>
        <w:t>J Cell Sci</w:t>
      </w:r>
      <w:r w:rsidRPr="007D1D00">
        <w:rPr>
          <w:color w:val="000000"/>
          <w:spacing w:val="-1"/>
          <w:kern w:val="0"/>
          <w:sz w:val="16"/>
          <w:szCs w:val="16"/>
        </w:rPr>
        <w:t xml:space="preserve"> 2000; 113 Pt</w:t>
      </w:r>
      <w:r w:rsidRPr="007D1D00">
        <w:rPr>
          <w:b/>
          <w:bCs/>
          <w:color w:val="000000"/>
          <w:spacing w:val="-1"/>
          <w:kern w:val="0"/>
          <w:sz w:val="16"/>
          <w:szCs w:val="16"/>
        </w:rPr>
        <w:t xml:space="preserve"> 24</w:t>
      </w:r>
      <w:r w:rsidRPr="007D1D00">
        <w:rPr>
          <w:color w:val="000000"/>
          <w:spacing w:val="-1"/>
          <w:kern w:val="0"/>
          <w:sz w:val="16"/>
          <w:szCs w:val="16"/>
        </w:rPr>
        <w:t>: 4435-4440 [PMID: 11082037]</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lastRenderedPageBreak/>
        <w:t>8</w:t>
      </w:r>
      <w:r w:rsidRPr="007D1D00">
        <w:rPr>
          <w:color w:val="000000"/>
          <w:spacing w:val="-1"/>
          <w:kern w:val="0"/>
          <w:sz w:val="16"/>
          <w:szCs w:val="16"/>
        </w:rPr>
        <w:tab/>
      </w:r>
      <w:r w:rsidRPr="007D1D00">
        <w:rPr>
          <w:b/>
          <w:bCs/>
          <w:color w:val="000000"/>
          <w:spacing w:val="-1"/>
          <w:kern w:val="0"/>
          <w:sz w:val="16"/>
          <w:szCs w:val="16"/>
        </w:rPr>
        <w:t>Ulluwishewa D</w:t>
      </w:r>
      <w:r w:rsidRPr="007D1D00">
        <w:rPr>
          <w:color w:val="000000"/>
          <w:spacing w:val="-1"/>
          <w:kern w:val="0"/>
          <w:sz w:val="16"/>
          <w:szCs w:val="16"/>
        </w:rPr>
        <w:t xml:space="preserve">, Anderson RC, McNabb WC, Moughan PJ, Wells JM, Roy NC. </w:t>
      </w:r>
      <w:proofErr w:type="gramStart"/>
      <w:r w:rsidRPr="007D1D00">
        <w:rPr>
          <w:color w:val="000000"/>
          <w:spacing w:val="-1"/>
          <w:kern w:val="0"/>
          <w:sz w:val="16"/>
          <w:szCs w:val="16"/>
        </w:rPr>
        <w:t>Regulation of tight junction permeability by intestinal bacteria and dietary components.</w:t>
      </w:r>
      <w:proofErr w:type="gramEnd"/>
      <w:r w:rsidRPr="007D1D00">
        <w:rPr>
          <w:color w:val="000000"/>
          <w:spacing w:val="-1"/>
          <w:kern w:val="0"/>
          <w:sz w:val="16"/>
          <w:szCs w:val="16"/>
        </w:rPr>
        <w:t xml:space="preserve"> </w:t>
      </w:r>
      <w:r w:rsidRPr="007D1D00">
        <w:rPr>
          <w:i/>
          <w:iCs/>
          <w:color w:val="000000"/>
          <w:spacing w:val="-1"/>
          <w:kern w:val="0"/>
          <w:sz w:val="16"/>
          <w:szCs w:val="16"/>
        </w:rPr>
        <w:t>J Nutr</w:t>
      </w:r>
      <w:r w:rsidRPr="007D1D00">
        <w:rPr>
          <w:color w:val="000000"/>
          <w:spacing w:val="-1"/>
          <w:kern w:val="0"/>
          <w:sz w:val="16"/>
          <w:szCs w:val="16"/>
        </w:rPr>
        <w:t xml:space="preserve"> 2011; </w:t>
      </w:r>
      <w:r w:rsidRPr="007D1D00">
        <w:rPr>
          <w:b/>
          <w:bCs/>
          <w:color w:val="000000"/>
          <w:spacing w:val="-1"/>
          <w:kern w:val="0"/>
          <w:sz w:val="16"/>
          <w:szCs w:val="16"/>
        </w:rPr>
        <w:t>141</w:t>
      </w:r>
      <w:r w:rsidRPr="007D1D00">
        <w:rPr>
          <w:color w:val="000000"/>
          <w:spacing w:val="-1"/>
          <w:kern w:val="0"/>
          <w:sz w:val="16"/>
          <w:szCs w:val="16"/>
        </w:rPr>
        <w:t>: 769-776 [PMID: 21430248 DOI: 10.3945/jn.110.135657]</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9</w:t>
      </w:r>
      <w:r w:rsidRPr="007D1D00">
        <w:rPr>
          <w:color w:val="000000"/>
          <w:spacing w:val="-1"/>
          <w:kern w:val="0"/>
          <w:sz w:val="16"/>
          <w:szCs w:val="16"/>
        </w:rPr>
        <w:tab/>
      </w:r>
      <w:r w:rsidRPr="007D1D00">
        <w:rPr>
          <w:b/>
          <w:bCs/>
          <w:color w:val="000000"/>
          <w:spacing w:val="-1"/>
          <w:kern w:val="0"/>
          <w:sz w:val="16"/>
          <w:szCs w:val="16"/>
        </w:rPr>
        <w:t>Wan H</w:t>
      </w:r>
      <w:r w:rsidRPr="007D1D00">
        <w:rPr>
          <w:color w:val="000000"/>
          <w:spacing w:val="-1"/>
          <w:kern w:val="0"/>
          <w:sz w:val="16"/>
          <w:szCs w:val="16"/>
        </w:rPr>
        <w:t xml:space="preserve">, Winton HL, Soeller C, Tovey ER, Gruenert DC, Thompson PJ, Stewart GA, Taylor GW, Garrod DR, Cannell MB, Robinson C. Der p 1 facilitates transepithelial allergen delivery by disruption of tight junctions. </w:t>
      </w:r>
      <w:r w:rsidRPr="007D1D00">
        <w:rPr>
          <w:i/>
          <w:iCs/>
          <w:color w:val="000000"/>
          <w:spacing w:val="-1"/>
          <w:kern w:val="0"/>
          <w:sz w:val="16"/>
          <w:szCs w:val="16"/>
        </w:rPr>
        <w:t>J Clin Invest</w:t>
      </w:r>
      <w:r w:rsidRPr="007D1D00">
        <w:rPr>
          <w:color w:val="000000"/>
          <w:spacing w:val="-1"/>
          <w:kern w:val="0"/>
          <w:sz w:val="16"/>
          <w:szCs w:val="16"/>
        </w:rPr>
        <w:t xml:space="preserve"> 1999; </w:t>
      </w:r>
      <w:r w:rsidRPr="007D1D00">
        <w:rPr>
          <w:b/>
          <w:bCs/>
          <w:color w:val="000000"/>
          <w:spacing w:val="-1"/>
          <w:kern w:val="0"/>
          <w:sz w:val="16"/>
          <w:szCs w:val="16"/>
        </w:rPr>
        <w:t>104</w:t>
      </w:r>
      <w:r w:rsidRPr="007D1D00">
        <w:rPr>
          <w:color w:val="000000"/>
          <w:spacing w:val="-1"/>
          <w:kern w:val="0"/>
          <w:sz w:val="16"/>
          <w:szCs w:val="16"/>
        </w:rPr>
        <w:t>: 123-133 [PMID: 10393706 DOI: 10.1172/JCI5844]</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10</w:t>
      </w:r>
      <w:r w:rsidRPr="007D1D00">
        <w:rPr>
          <w:color w:val="000000"/>
          <w:spacing w:val="-1"/>
          <w:kern w:val="0"/>
          <w:sz w:val="16"/>
          <w:szCs w:val="16"/>
        </w:rPr>
        <w:tab/>
      </w:r>
      <w:r w:rsidRPr="007D1D00">
        <w:rPr>
          <w:b/>
          <w:bCs/>
          <w:color w:val="000000"/>
          <w:spacing w:val="-1"/>
          <w:kern w:val="0"/>
          <w:sz w:val="16"/>
          <w:szCs w:val="16"/>
        </w:rPr>
        <w:t>Bjarnason I</w:t>
      </w:r>
      <w:r w:rsidRPr="007D1D00">
        <w:rPr>
          <w:color w:val="000000"/>
          <w:spacing w:val="-1"/>
          <w:kern w:val="0"/>
          <w:sz w:val="16"/>
          <w:szCs w:val="16"/>
        </w:rPr>
        <w:t xml:space="preserve">, Zanelli G, Smith T, Prouse P, Williams P, Smethurst P, Delacey G, Gumpel MJ, Levi AJ. </w:t>
      </w:r>
      <w:proofErr w:type="gramStart"/>
      <w:r w:rsidRPr="007D1D00">
        <w:rPr>
          <w:color w:val="000000"/>
          <w:spacing w:val="-1"/>
          <w:kern w:val="0"/>
          <w:sz w:val="16"/>
          <w:szCs w:val="16"/>
        </w:rPr>
        <w:t>Nonsteroidal antiinflammatory drug-induced intestinal inflammation in humans.</w:t>
      </w:r>
      <w:proofErr w:type="gramEnd"/>
      <w:r w:rsidRPr="007D1D00">
        <w:rPr>
          <w:color w:val="000000"/>
          <w:spacing w:val="-1"/>
          <w:kern w:val="0"/>
          <w:sz w:val="16"/>
          <w:szCs w:val="16"/>
        </w:rPr>
        <w:t xml:space="preserve"> </w:t>
      </w:r>
      <w:r w:rsidRPr="007D1D00">
        <w:rPr>
          <w:i/>
          <w:iCs/>
          <w:color w:val="000000"/>
          <w:spacing w:val="-1"/>
          <w:kern w:val="0"/>
          <w:sz w:val="16"/>
          <w:szCs w:val="16"/>
        </w:rPr>
        <w:t>Gastroenterology</w:t>
      </w:r>
      <w:r w:rsidRPr="007D1D00">
        <w:rPr>
          <w:color w:val="000000"/>
          <w:spacing w:val="-1"/>
          <w:kern w:val="0"/>
          <w:sz w:val="16"/>
          <w:szCs w:val="16"/>
        </w:rPr>
        <w:t xml:space="preserve"> 1987; </w:t>
      </w:r>
      <w:r w:rsidRPr="007D1D00">
        <w:rPr>
          <w:b/>
          <w:bCs/>
          <w:color w:val="000000"/>
          <w:spacing w:val="-1"/>
          <w:kern w:val="0"/>
          <w:sz w:val="16"/>
          <w:szCs w:val="16"/>
        </w:rPr>
        <w:t>93</w:t>
      </w:r>
      <w:r w:rsidRPr="007D1D00">
        <w:rPr>
          <w:color w:val="000000"/>
          <w:spacing w:val="-1"/>
          <w:kern w:val="0"/>
          <w:sz w:val="16"/>
          <w:szCs w:val="16"/>
        </w:rPr>
        <w:t>: 480-489 [PMID: 3609658]</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11</w:t>
      </w:r>
      <w:r w:rsidRPr="007D1D00">
        <w:rPr>
          <w:color w:val="000000"/>
          <w:spacing w:val="-1"/>
          <w:kern w:val="0"/>
          <w:sz w:val="16"/>
          <w:szCs w:val="16"/>
        </w:rPr>
        <w:tab/>
      </w:r>
      <w:r w:rsidRPr="007D1D00">
        <w:rPr>
          <w:b/>
          <w:bCs/>
          <w:color w:val="000000"/>
          <w:spacing w:val="-1"/>
          <w:kern w:val="0"/>
          <w:sz w:val="16"/>
          <w:szCs w:val="16"/>
        </w:rPr>
        <w:t>Fries JF</w:t>
      </w:r>
      <w:r w:rsidRPr="007D1D00">
        <w:rPr>
          <w:color w:val="000000"/>
          <w:spacing w:val="-1"/>
          <w:kern w:val="0"/>
          <w:sz w:val="16"/>
          <w:szCs w:val="16"/>
        </w:rPr>
        <w:t xml:space="preserve">, Miller SR, Spitz PW, Williams CA, Hubert HB, Bloch DA. Toward an epidemiology of gastropathy associated with nonsteroidal antiinflammatory drug use. </w:t>
      </w:r>
      <w:r w:rsidRPr="007D1D00">
        <w:rPr>
          <w:i/>
          <w:iCs/>
          <w:color w:val="000000"/>
          <w:spacing w:val="-1"/>
          <w:kern w:val="0"/>
          <w:sz w:val="16"/>
          <w:szCs w:val="16"/>
        </w:rPr>
        <w:t>Gastroenterology</w:t>
      </w:r>
      <w:r w:rsidRPr="007D1D00">
        <w:rPr>
          <w:color w:val="000000"/>
          <w:spacing w:val="-1"/>
          <w:kern w:val="0"/>
          <w:sz w:val="16"/>
          <w:szCs w:val="16"/>
        </w:rPr>
        <w:t xml:space="preserve"> 1989; </w:t>
      </w:r>
      <w:r w:rsidRPr="007D1D00">
        <w:rPr>
          <w:b/>
          <w:bCs/>
          <w:color w:val="000000"/>
          <w:spacing w:val="-1"/>
          <w:kern w:val="0"/>
          <w:sz w:val="16"/>
          <w:szCs w:val="16"/>
        </w:rPr>
        <w:t>96</w:t>
      </w:r>
      <w:r w:rsidRPr="007D1D00">
        <w:rPr>
          <w:color w:val="000000"/>
          <w:spacing w:val="-1"/>
          <w:kern w:val="0"/>
          <w:sz w:val="16"/>
          <w:szCs w:val="16"/>
        </w:rPr>
        <w:t>: 647-655 [PMID: 2909442]</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12</w:t>
      </w:r>
      <w:r w:rsidRPr="007D1D00">
        <w:rPr>
          <w:color w:val="000000"/>
          <w:spacing w:val="-1"/>
          <w:kern w:val="0"/>
          <w:sz w:val="16"/>
          <w:szCs w:val="16"/>
        </w:rPr>
        <w:tab/>
      </w:r>
      <w:r w:rsidRPr="007D1D00">
        <w:rPr>
          <w:b/>
          <w:bCs/>
          <w:color w:val="000000"/>
          <w:spacing w:val="-1"/>
          <w:kern w:val="0"/>
          <w:sz w:val="16"/>
          <w:szCs w:val="16"/>
        </w:rPr>
        <w:t>Lanas A</w:t>
      </w:r>
      <w:r w:rsidRPr="007D1D00">
        <w:rPr>
          <w:color w:val="000000"/>
          <w:spacing w:val="-1"/>
          <w:kern w:val="0"/>
          <w:sz w:val="16"/>
          <w:szCs w:val="16"/>
        </w:rPr>
        <w:t xml:space="preserve">, Serrano P, Bajador E, Esteva F, Benito R, Sáinz R. Evidence of aspirin use in both upper and lower gastrointestinal perforation. </w:t>
      </w:r>
      <w:r w:rsidRPr="007D1D00">
        <w:rPr>
          <w:i/>
          <w:iCs/>
          <w:color w:val="000000"/>
          <w:spacing w:val="-1"/>
          <w:kern w:val="0"/>
          <w:sz w:val="16"/>
          <w:szCs w:val="16"/>
        </w:rPr>
        <w:t>Gastroenterology</w:t>
      </w:r>
      <w:r w:rsidRPr="007D1D00">
        <w:rPr>
          <w:color w:val="000000"/>
          <w:spacing w:val="-1"/>
          <w:kern w:val="0"/>
          <w:sz w:val="16"/>
          <w:szCs w:val="16"/>
        </w:rPr>
        <w:t xml:space="preserve"> 1997; </w:t>
      </w:r>
      <w:r w:rsidRPr="007D1D00">
        <w:rPr>
          <w:b/>
          <w:bCs/>
          <w:color w:val="000000"/>
          <w:spacing w:val="-1"/>
          <w:kern w:val="0"/>
          <w:sz w:val="16"/>
          <w:szCs w:val="16"/>
        </w:rPr>
        <w:t>112</w:t>
      </w:r>
      <w:r w:rsidRPr="007D1D00">
        <w:rPr>
          <w:color w:val="000000"/>
          <w:spacing w:val="-1"/>
          <w:kern w:val="0"/>
          <w:sz w:val="16"/>
          <w:szCs w:val="16"/>
        </w:rPr>
        <w:t>: 683-689 [PMID: 9041228]</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2"/>
          <w:kern w:val="0"/>
          <w:sz w:val="16"/>
          <w:szCs w:val="16"/>
        </w:rPr>
      </w:pPr>
      <w:r w:rsidRPr="007D1D00">
        <w:rPr>
          <w:color w:val="000000"/>
          <w:spacing w:val="-2"/>
          <w:kern w:val="0"/>
          <w:sz w:val="16"/>
          <w:szCs w:val="16"/>
        </w:rPr>
        <w:t>13</w:t>
      </w:r>
      <w:r w:rsidRPr="007D1D00">
        <w:rPr>
          <w:color w:val="000000"/>
          <w:spacing w:val="-2"/>
          <w:kern w:val="0"/>
          <w:sz w:val="16"/>
          <w:szCs w:val="16"/>
        </w:rPr>
        <w:tab/>
      </w:r>
      <w:r w:rsidRPr="007D1D00">
        <w:rPr>
          <w:b/>
          <w:bCs/>
          <w:color w:val="000000"/>
          <w:spacing w:val="-2"/>
          <w:kern w:val="0"/>
          <w:sz w:val="16"/>
          <w:szCs w:val="16"/>
        </w:rPr>
        <w:t>Pendyala S</w:t>
      </w:r>
      <w:r w:rsidRPr="007D1D00">
        <w:rPr>
          <w:color w:val="000000"/>
          <w:spacing w:val="-2"/>
          <w:kern w:val="0"/>
          <w:sz w:val="16"/>
          <w:szCs w:val="16"/>
        </w:rPr>
        <w:t xml:space="preserve">, Walker JM, Holt PR. A high-fat diet is associated with endotoxemia that originates from the gut. </w:t>
      </w:r>
      <w:r w:rsidRPr="007D1D00">
        <w:rPr>
          <w:i/>
          <w:iCs/>
          <w:color w:val="000000"/>
          <w:spacing w:val="-2"/>
          <w:kern w:val="0"/>
          <w:sz w:val="16"/>
          <w:szCs w:val="16"/>
        </w:rPr>
        <w:t>Gastroenterology</w:t>
      </w:r>
      <w:r w:rsidRPr="007D1D00">
        <w:rPr>
          <w:color w:val="000000"/>
          <w:spacing w:val="-2"/>
          <w:kern w:val="0"/>
          <w:sz w:val="16"/>
          <w:szCs w:val="16"/>
        </w:rPr>
        <w:t xml:space="preserve"> 2012; </w:t>
      </w:r>
      <w:r w:rsidRPr="007D1D00">
        <w:rPr>
          <w:b/>
          <w:bCs/>
          <w:color w:val="000000"/>
          <w:spacing w:val="-2"/>
          <w:kern w:val="0"/>
          <w:sz w:val="16"/>
          <w:szCs w:val="16"/>
        </w:rPr>
        <w:t>142</w:t>
      </w:r>
      <w:r w:rsidRPr="007D1D00">
        <w:rPr>
          <w:color w:val="000000"/>
          <w:spacing w:val="-2"/>
          <w:kern w:val="0"/>
          <w:sz w:val="16"/>
          <w:szCs w:val="16"/>
        </w:rPr>
        <w:t>: 1100-1101.e2 [PMID: 22326433 DOI: 10.1053/j.gastro.2012.01.034]</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14</w:t>
      </w:r>
      <w:r w:rsidRPr="007D1D00">
        <w:rPr>
          <w:color w:val="000000"/>
          <w:spacing w:val="-1"/>
          <w:kern w:val="0"/>
          <w:sz w:val="16"/>
          <w:szCs w:val="16"/>
        </w:rPr>
        <w:tab/>
      </w:r>
      <w:r w:rsidRPr="007D1D00">
        <w:rPr>
          <w:b/>
          <w:bCs/>
          <w:color w:val="000000"/>
          <w:spacing w:val="-1"/>
          <w:kern w:val="0"/>
          <w:sz w:val="16"/>
          <w:szCs w:val="16"/>
        </w:rPr>
        <w:t>Massey VL</w:t>
      </w:r>
      <w:r w:rsidRPr="007D1D00">
        <w:rPr>
          <w:color w:val="000000"/>
          <w:spacing w:val="-1"/>
          <w:kern w:val="0"/>
          <w:sz w:val="16"/>
          <w:szCs w:val="16"/>
        </w:rPr>
        <w:t xml:space="preserve">, Arteel GE. </w:t>
      </w:r>
      <w:proofErr w:type="gramStart"/>
      <w:r w:rsidRPr="007D1D00">
        <w:rPr>
          <w:color w:val="000000"/>
          <w:spacing w:val="-1"/>
          <w:kern w:val="0"/>
          <w:sz w:val="16"/>
          <w:szCs w:val="16"/>
        </w:rPr>
        <w:t>Acute alcohol-induced liver injury.</w:t>
      </w:r>
      <w:proofErr w:type="gramEnd"/>
      <w:r w:rsidRPr="007D1D00">
        <w:rPr>
          <w:color w:val="000000"/>
          <w:spacing w:val="-1"/>
          <w:kern w:val="0"/>
          <w:sz w:val="16"/>
          <w:szCs w:val="16"/>
        </w:rPr>
        <w:t xml:space="preserve"> </w:t>
      </w:r>
      <w:r w:rsidRPr="007D1D00">
        <w:rPr>
          <w:i/>
          <w:iCs/>
          <w:color w:val="000000"/>
          <w:spacing w:val="-1"/>
          <w:kern w:val="0"/>
          <w:sz w:val="16"/>
          <w:szCs w:val="16"/>
        </w:rPr>
        <w:t>Front Physiol</w:t>
      </w:r>
      <w:r w:rsidRPr="007D1D00">
        <w:rPr>
          <w:color w:val="000000"/>
          <w:spacing w:val="-1"/>
          <w:kern w:val="0"/>
          <w:sz w:val="16"/>
          <w:szCs w:val="16"/>
        </w:rPr>
        <w:t xml:space="preserve"> 2012; </w:t>
      </w:r>
      <w:r w:rsidRPr="007D1D00">
        <w:rPr>
          <w:b/>
          <w:bCs/>
          <w:color w:val="000000"/>
          <w:spacing w:val="-1"/>
          <w:kern w:val="0"/>
          <w:sz w:val="16"/>
          <w:szCs w:val="16"/>
        </w:rPr>
        <w:t>3</w:t>
      </w:r>
      <w:r w:rsidRPr="007D1D00">
        <w:rPr>
          <w:color w:val="000000"/>
          <w:spacing w:val="-1"/>
          <w:kern w:val="0"/>
          <w:sz w:val="16"/>
          <w:szCs w:val="16"/>
        </w:rPr>
        <w:t>: 193 [PMID: 22701432 DOI: 10.3389/fphys.2012.00193]</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15</w:t>
      </w:r>
      <w:r w:rsidRPr="007D1D00">
        <w:rPr>
          <w:color w:val="000000"/>
          <w:spacing w:val="-1"/>
          <w:kern w:val="0"/>
          <w:sz w:val="16"/>
          <w:szCs w:val="16"/>
        </w:rPr>
        <w:tab/>
      </w:r>
      <w:r w:rsidRPr="007D1D00">
        <w:rPr>
          <w:b/>
          <w:bCs/>
          <w:color w:val="000000"/>
          <w:spacing w:val="-1"/>
          <w:kern w:val="0"/>
          <w:sz w:val="16"/>
          <w:szCs w:val="16"/>
        </w:rPr>
        <w:t>Clemente MG</w:t>
      </w:r>
      <w:r w:rsidRPr="007D1D00">
        <w:rPr>
          <w:color w:val="000000"/>
          <w:spacing w:val="-1"/>
          <w:kern w:val="0"/>
          <w:sz w:val="16"/>
          <w:szCs w:val="16"/>
        </w:rPr>
        <w:t xml:space="preserve">, Musu MP, Frau F, Brusco G, Sole G, Corazza GR, De Virgiliis S. Immune reaction against the cytoskeleton in coeliac disease. </w:t>
      </w:r>
      <w:r w:rsidRPr="007D1D00">
        <w:rPr>
          <w:i/>
          <w:iCs/>
          <w:color w:val="000000"/>
          <w:spacing w:val="-1"/>
          <w:kern w:val="0"/>
          <w:sz w:val="16"/>
          <w:szCs w:val="16"/>
        </w:rPr>
        <w:t>Gut</w:t>
      </w:r>
      <w:r w:rsidRPr="007D1D00">
        <w:rPr>
          <w:color w:val="000000"/>
          <w:spacing w:val="-1"/>
          <w:kern w:val="0"/>
          <w:sz w:val="16"/>
          <w:szCs w:val="16"/>
        </w:rPr>
        <w:t xml:space="preserve"> 2000; </w:t>
      </w:r>
      <w:r w:rsidRPr="007D1D00">
        <w:rPr>
          <w:b/>
          <w:bCs/>
          <w:color w:val="000000"/>
          <w:spacing w:val="-1"/>
          <w:kern w:val="0"/>
          <w:sz w:val="16"/>
          <w:szCs w:val="16"/>
        </w:rPr>
        <w:t>47</w:t>
      </w:r>
      <w:r w:rsidRPr="007D1D00">
        <w:rPr>
          <w:color w:val="000000"/>
          <w:spacing w:val="-1"/>
          <w:kern w:val="0"/>
          <w:sz w:val="16"/>
          <w:szCs w:val="16"/>
        </w:rPr>
        <w:t>: 520-526 [PMID: 10986212]</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16</w:t>
      </w:r>
      <w:r w:rsidRPr="007D1D00">
        <w:rPr>
          <w:color w:val="000000"/>
          <w:spacing w:val="-1"/>
          <w:kern w:val="0"/>
          <w:sz w:val="16"/>
          <w:szCs w:val="16"/>
        </w:rPr>
        <w:tab/>
      </w:r>
      <w:r w:rsidRPr="007D1D00">
        <w:rPr>
          <w:b/>
          <w:bCs/>
          <w:color w:val="000000"/>
          <w:spacing w:val="-1"/>
          <w:kern w:val="0"/>
          <w:sz w:val="16"/>
          <w:szCs w:val="16"/>
        </w:rPr>
        <w:t>Pimentel M</w:t>
      </w:r>
      <w:r w:rsidRPr="007D1D00">
        <w:rPr>
          <w:color w:val="000000"/>
          <w:spacing w:val="-1"/>
          <w:kern w:val="0"/>
          <w:sz w:val="16"/>
          <w:szCs w:val="16"/>
        </w:rPr>
        <w:t xml:space="preserve">, Morales W, Pokkunuri V, Brikos C, Kim SM, Kim SE, Triantafyllou K, Weitsman S, Marsh Z, Marsh E, Chua KS, Srinivasan S, Barlow GM, Chang C. Autoimmunity Links Vinculin to the Pathophysiology of Chronic Functional Bowel Changes Following Campylobacter jejuni Infection in a Rat Model. </w:t>
      </w:r>
      <w:r w:rsidRPr="007D1D00">
        <w:rPr>
          <w:i/>
          <w:iCs/>
          <w:color w:val="000000"/>
          <w:spacing w:val="-1"/>
          <w:kern w:val="0"/>
          <w:sz w:val="16"/>
          <w:szCs w:val="16"/>
        </w:rPr>
        <w:t>Dig Dis Sci</w:t>
      </w:r>
      <w:r w:rsidRPr="007D1D00">
        <w:rPr>
          <w:color w:val="000000"/>
          <w:spacing w:val="-1"/>
          <w:kern w:val="0"/>
          <w:sz w:val="16"/>
          <w:szCs w:val="16"/>
        </w:rPr>
        <w:t xml:space="preserve"> 2015; </w:t>
      </w:r>
      <w:r w:rsidRPr="007D1D00">
        <w:rPr>
          <w:b/>
          <w:bCs/>
          <w:color w:val="000000"/>
          <w:spacing w:val="-1"/>
          <w:kern w:val="0"/>
          <w:sz w:val="16"/>
          <w:szCs w:val="16"/>
        </w:rPr>
        <w:t>60</w:t>
      </w:r>
      <w:r w:rsidRPr="007D1D00">
        <w:rPr>
          <w:color w:val="000000"/>
          <w:spacing w:val="-1"/>
          <w:kern w:val="0"/>
          <w:sz w:val="16"/>
          <w:szCs w:val="16"/>
        </w:rPr>
        <w:t>: 1195-1205 [PMID: 25424202 DOI: 10.1007/s10620-014-3435-5]</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17</w:t>
      </w:r>
      <w:r w:rsidRPr="007D1D00">
        <w:rPr>
          <w:color w:val="000000"/>
          <w:spacing w:val="-1"/>
          <w:kern w:val="0"/>
          <w:sz w:val="16"/>
          <w:szCs w:val="16"/>
        </w:rPr>
        <w:tab/>
      </w:r>
      <w:r w:rsidRPr="007D1D00">
        <w:rPr>
          <w:b/>
          <w:bCs/>
          <w:color w:val="000000"/>
          <w:spacing w:val="-1"/>
          <w:kern w:val="0"/>
          <w:sz w:val="16"/>
          <w:szCs w:val="16"/>
        </w:rPr>
        <w:t>Das KM</w:t>
      </w:r>
      <w:r w:rsidRPr="007D1D00">
        <w:rPr>
          <w:color w:val="000000"/>
          <w:spacing w:val="-1"/>
          <w:kern w:val="0"/>
          <w:sz w:val="16"/>
          <w:szCs w:val="16"/>
        </w:rPr>
        <w:t xml:space="preserve">, Dasgupta A, Mandal A, Geng X. Autoimmunity to cytoskeletal protein tropomyosin. </w:t>
      </w:r>
      <w:proofErr w:type="gramStart"/>
      <w:r w:rsidRPr="007D1D00">
        <w:rPr>
          <w:color w:val="000000"/>
          <w:spacing w:val="-1"/>
          <w:kern w:val="0"/>
          <w:sz w:val="16"/>
          <w:szCs w:val="16"/>
        </w:rPr>
        <w:t>A clue to the pathogenetic mechanism for ulcerative colitis.</w:t>
      </w:r>
      <w:proofErr w:type="gramEnd"/>
      <w:r w:rsidRPr="007D1D00">
        <w:rPr>
          <w:color w:val="000000"/>
          <w:spacing w:val="-1"/>
          <w:kern w:val="0"/>
          <w:sz w:val="16"/>
          <w:szCs w:val="16"/>
        </w:rPr>
        <w:t xml:space="preserve"> </w:t>
      </w:r>
      <w:r w:rsidRPr="007D1D00">
        <w:rPr>
          <w:i/>
          <w:iCs/>
          <w:color w:val="000000"/>
          <w:spacing w:val="-1"/>
          <w:kern w:val="0"/>
          <w:sz w:val="16"/>
          <w:szCs w:val="16"/>
        </w:rPr>
        <w:t>J Immunol</w:t>
      </w:r>
      <w:r w:rsidRPr="007D1D00">
        <w:rPr>
          <w:color w:val="000000"/>
          <w:spacing w:val="-1"/>
          <w:kern w:val="0"/>
          <w:sz w:val="16"/>
          <w:szCs w:val="16"/>
        </w:rPr>
        <w:t xml:space="preserve"> 1993; </w:t>
      </w:r>
      <w:r w:rsidRPr="007D1D00">
        <w:rPr>
          <w:b/>
          <w:bCs/>
          <w:color w:val="000000"/>
          <w:spacing w:val="-1"/>
          <w:kern w:val="0"/>
          <w:sz w:val="16"/>
          <w:szCs w:val="16"/>
        </w:rPr>
        <w:t>150</w:t>
      </w:r>
      <w:r w:rsidRPr="007D1D00">
        <w:rPr>
          <w:color w:val="000000"/>
          <w:spacing w:val="-1"/>
          <w:kern w:val="0"/>
          <w:sz w:val="16"/>
          <w:szCs w:val="16"/>
        </w:rPr>
        <w:t>: 2487-2493 [PMID: 8450225]</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18</w:t>
      </w:r>
      <w:r w:rsidRPr="007D1D00">
        <w:rPr>
          <w:color w:val="000000"/>
          <w:spacing w:val="-1"/>
          <w:kern w:val="0"/>
          <w:sz w:val="16"/>
          <w:szCs w:val="16"/>
        </w:rPr>
        <w:tab/>
      </w:r>
      <w:r w:rsidRPr="007D1D00">
        <w:rPr>
          <w:b/>
          <w:bCs/>
          <w:color w:val="000000"/>
          <w:spacing w:val="-1"/>
          <w:kern w:val="0"/>
          <w:sz w:val="16"/>
          <w:szCs w:val="16"/>
        </w:rPr>
        <w:t>Balda MS</w:t>
      </w:r>
      <w:r w:rsidRPr="007D1D00">
        <w:rPr>
          <w:color w:val="000000"/>
          <w:spacing w:val="-1"/>
          <w:kern w:val="0"/>
          <w:sz w:val="16"/>
          <w:szCs w:val="16"/>
        </w:rPr>
        <w:t xml:space="preserve">, Whitney JA, Flores C, González S, Cereijido M, Matter K. Functional dissociation of paracellular permeability and transepithelial electrical resistance and disruption of the apical-basolateral intramembrane diffusion barrier by expression of a mutant tight junction membrane protein. </w:t>
      </w:r>
      <w:r w:rsidRPr="007D1D00">
        <w:rPr>
          <w:i/>
          <w:iCs/>
          <w:color w:val="000000"/>
          <w:spacing w:val="-1"/>
          <w:kern w:val="0"/>
          <w:sz w:val="16"/>
          <w:szCs w:val="16"/>
        </w:rPr>
        <w:t>J Cell Biol</w:t>
      </w:r>
      <w:r w:rsidRPr="007D1D00">
        <w:rPr>
          <w:color w:val="000000"/>
          <w:spacing w:val="-1"/>
          <w:kern w:val="0"/>
          <w:sz w:val="16"/>
          <w:szCs w:val="16"/>
        </w:rPr>
        <w:t xml:space="preserve"> 1996; </w:t>
      </w:r>
      <w:r w:rsidRPr="007D1D00">
        <w:rPr>
          <w:b/>
          <w:bCs/>
          <w:color w:val="000000"/>
          <w:spacing w:val="-1"/>
          <w:kern w:val="0"/>
          <w:sz w:val="16"/>
          <w:szCs w:val="16"/>
        </w:rPr>
        <w:t>134</w:t>
      </w:r>
      <w:r w:rsidRPr="007D1D00">
        <w:rPr>
          <w:color w:val="000000"/>
          <w:spacing w:val="-1"/>
          <w:kern w:val="0"/>
          <w:sz w:val="16"/>
          <w:szCs w:val="16"/>
        </w:rPr>
        <w:t>: 1031-1049 [PMID: 8769425]</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19</w:t>
      </w:r>
      <w:r w:rsidRPr="007D1D00">
        <w:rPr>
          <w:color w:val="000000"/>
          <w:spacing w:val="-1"/>
          <w:kern w:val="0"/>
          <w:sz w:val="16"/>
          <w:szCs w:val="16"/>
        </w:rPr>
        <w:tab/>
      </w:r>
      <w:r w:rsidRPr="007D1D00">
        <w:rPr>
          <w:b/>
          <w:bCs/>
          <w:color w:val="000000"/>
          <w:spacing w:val="-1"/>
          <w:kern w:val="0"/>
          <w:sz w:val="16"/>
          <w:szCs w:val="16"/>
        </w:rPr>
        <w:t>Furuse M</w:t>
      </w:r>
      <w:r w:rsidRPr="007D1D00">
        <w:rPr>
          <w:color w:val="000000"/>
          <w:spacing w:val="-1"/>
          <w:kern w:val="0"/>
          <w:sz w:val="16"/>
          <w:szCs w:val="16"/>
        </w:rPr>
        <w:t xml:space="preserve">, Itoh M, Hirase T, Nagafuchi A, Yonemura S, Tsukita S, Tsukita S. Direct association of occludin with ZO-1 and its possible involvement in the localization of occludin at tight junctions. </w:t>
      </w:r>
      <w:r w:rsidRPr="007D1D00">
        <w:rPr>
          <w:i/>
          <w:iCs/>
          <w:color w:val="000000"/>
          <w:spacing w:val="-1"/>
          <w:kern w:val="0"/>
          <w:sz w:val="16"/>
          <w:szCs w:val="16"/>
        </w:rPr>
        <w:t>J Cell Biol</w:t>
      </w:r>
      <w:r w:rsidRPr="007D1D00">
        <w:rPr>
          <w:color w:val="000000"/>
          <w:spacing w:val="-1"/>
          <w:kern w:val="0"/>
          <w:sz w:val="16"/>
          <w:szCs w:val="16"/>
        </w:rPr>
        <w:t xml:space="preserve"> 1994; </w:t>
      </w:r>
      <w:r w:rsidRPr="007D1D00">
        <w:rPr>
          <w:b/>
          <w:bCs/>
          <w:color w:val="000000"/>
          <w:spacing w:val="-1"/>
          <w:kern w:val="0"/>
          <w:sz w:val="16"/>
          <w:szCs w:val="16"/>
        </w:rPr>
        <w:t>127</w:t>
      </w:r>
      <w:r w:rsidRPr="007D1D00">
        <w:rPr>
          <w:color w:val="000000"/>
          <w:spacing w:val="-1"/>
          <w:kern w:val="0"/>
          <w:sz w:val="16"/>
          <w:szCs w:val="16"/>
        </w:rPr>
        <w:t>: 1617-1626 [PMID: 7798316 DOI: 10.1083/jcb.127.6.1617]</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20</w:t>
      </w:r>
      <w:r w:rsidRPr="007D1D00">
        <w:rPr>
          <w:color w:val="000000"/>
          <w:spacing w:val="-1"/>
          <w:kern w:val="0"/>
          <w:sz w:val="16"/>
          <w:szCs w:val="16"/>
        </w:rPr>
        <w:tab/>
      </w:r>
      <w:r w:rsidRPr="007D1D00">
        <w:rPr>
          <w:b/>
          <w:bCs/>
          <w:color w:val="000000"/>
          <w:spacing w:val="-1"/>
          <w:kern w:val="0"/>
          <w:sz w:val="16"/>
          <w:szCs w:val="16"/>
        </w:rPr>
        <w:t>Fanning AS</w:t>
      </w:r>
      <w:r w:rsidRPr="007D1D00">
        <w:rPr>
          <w:color w:val="000000"/>
          <w:spacing w:val="-1"/>
          <w:kern w:val="0"/>
          <w:sz w:val="16"/>
          <w:szCs w:val="16"/>
        </w:rPr>
        <w:t xml:space="preserve">, Jameson BJ, Jesaitis LA, Anderson JM. The tight junction protein ZO-1 establishes a link between the transmembrane protein occludin and the actin cytoskeleton. </w:t>
      </w:r>
      <w:r w:rsidRPr="007D1D00">
        <w:rPr>
          <w:i/>
          <w:iCs/>
          <w:color w:val="000000"/>
          <w:spacing w:val="-1"/>
          <w:kern w:val="0"/>
          <w:sz w:val="16"/>
          <w:szCs w:val="16"/>
        </w:rPr>
        <w:t>J Biol Chem</w:t>
      </w:r>
      <w:r w:rsidRPr="007D1D00">
        <w:rPr>
          <w:color w:val="000000"/>
          <w:spacing w:val="-1"/>
          <w:kern w:val="0"/>
          <w:sz w:val="16"/>
          <w:szCs w:val="16"/>
        </w:rPr>
        <w:t xml:space="preserve"> 1998; </w:t>
      </w:r>
      <w:r w:rsidRPr="007D1D00">
        <w:rPr>
          <w:b/>
          <w:bCs/>
          <w:color w:val="000000"/>
          <w:spacing w:val="-1"/>
          <w:kern w:val="0"/>
          <w:sz w:val="16"/>
          <w:szCs w:val="16"/>
        </w:rPr>
        <w:t>273</w:t>
      </w:r>
      <w:r w:rsidRPr="007D1D00">
        <w:rPr>
          <w:color w:val="000000"/>
          <w:spacing w:val="-1"/>
          <w:kern w:val="0"/>
          <w:sz w:val="16"/>
          <w:szCs w:val="16"/>
        </w:rPr>
        <w:t>: 29745-29753 [PMID: 9792688]</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21</w:t>
      </w:r>
      <w:r w:rsidRPr="007D1D00">
        <w:rPr>
          <w:color w:val="000000"/>
          <w:spacing w:val="-1"/>
          <w:kern w:val="0"/>
          <w:sz w:val="16"/>
          <w:szCs w:val="16"/>
        </w:rPr>
        <w:tab/>
      </w:r>
      <w:r w:rsidRPr="007D1D00">
        <w:rPr>
          <w:b/>
          <w:bCs/>
          <w:color w:val="000000"/>
          <w:spacing w:val="-1"/>
          <w:kern w:val="0"/>
          <w:sz w:val="16"/>
          <w:szCs w:val="16"/>
        </w:rPr>
        <w:t>Fanning AS,</w:t>
      </w:r>
      <w:r w:rsidRPr="007D1D00">
        <w:rPr>
          <w:color w:val="000000"/>
          <w:spacing w:val="-1"/>
          <w:kern w:val="0"/>
          <w:sz w:val="16"/>
          <w:szCs w:val="16"/>
        </w:rPr>
        <w:t xml:space="preserve"> Lapierre LA, Brecher AR, Itallie CMV, Anderson JM. Protein interactions in the tight junction: the role of MAGUK proteins in regulating tight junction organization and function. </w:t>
      </w:r>
      <w:r w:rsidRPr="007D1D00">
        <w:rPr>
          <w:i/>
          <w:iCs/>
          <w:color w:val="000000"/>
          <w:spacing w:val="-1"/>
          <w:kern w:val="0"/>
          <w:sz w:val="16"/>
          <w:szCs w:val="16"/>
        </w:rPr>
        <w:t>Curr Top Membr</w:t>
      </w:r>
      <w:r w:rsidRPr="007D1D00">
        <w:rPr>
          <w:color w:val="000000"/>
          <w:spacing w:val="-1"/>
          <w:kern w:val="0"/>
          <w:sz w:val="16"/>
          <w:szCs w:val="16"/>
        </w:rPr>
        <w:t xml:space="preserve"> 1996; </w:t>
      </w:r>
      <w:r w:rsidRPr="007D1D00">
        <w:rPr>
          <w:b/>
          <w:bCs/>
          <w:color w:val="000000"/>
          <w:spacing w:val="-1"/>
          <w:kern w:val="0"/>
          <w:sz w:val="16"/>
          <w:szCs w:val="16"/>
        </w:rPr>
        <w:t>43</w:t>
      </w:r>
      <w:r w:rsidRPr="007D1D00">
        <w:rPr>
          <w:color w:val="000000"/>
          <w:spacing w:val="-1"/>
          <w:kern w:val="0"/>
          <w:sz w:val="16"/>
          <w:szCs w:val="16"/>
        </w:rPr>
        <w:t>: 211-235 [DOI: 10.1016/S0070-2161(08)60391-3]</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22</w:t>
      </w:r>
      <w:r w:rsidRPr="007D1D00">
        <w:rPr>
          <w:color w:val="000000"/>
          <w:spacing w:val="-1"/>
          <w:kern w:val="0"/>
          <w:sz w:val="16"/>
          <w:szCs w:val="16"/>
        </w:rPr>
        <w:tab/>
      </w:r>
      <w:r w:rsidRPr="007D1D00">
        <w:rPr>
          <w:b/>
          <w:bCs/>
          <w:color w:val="000000"/>
          <w:spacing w:val="-1"/>
          <w:kern w:val="0"/>
          <w:sz w:val="16"/>
          <w:szCs w:val="16"/>
        </w:rPr>
        <w:t>Kornau HC</w:t>
      </w:r>
      <w:r w:rsidRPr="007D1D00">
        <w:rPr>
          <w:color w:val="000000"/>
          <w:spacing w:val="-1"/>
          <w:kern w:val="0"/>
          <w:sz w:val="16"/>
          <w:szCs w:val="16"/>
        </w:rPr>
        <w:t xml:space="preserve">, Seeburg PH, Kennedy MB. </w:t>
      </w:r>
      <w:proofErr w:type="gramStart"/>
      <w:r w:rsidRPr="007D1D00">
        <w:rPr>
          <w:color w:val="000000"/>
          <w:spacing w:val="-1"/>
          <w:kern w:val="0"/>
          <w:sz w:val="16"/>
          <w:szCs w:val="16"/>
        </w:rPr>
        <w:t>Interaction of ion channels and receptors with PDZ domain proteins.</w:t>
      </w:r>
      <w:proofErr w:type="gramEnd"/>
      <w:r w:rsidRPr="007D1D00">
        <w:rPr>
          <w:color w:val="000000"/>
          <w:spacing w:val="-1"/>
          <w:kern w:val="0"/>
          <w:sz w:val="16"/>
          <w:szCs w:val="16"/>
        </w:rPr>
        <w:t xml:space="preserve"> </w:t>
      </w:r>
      <w:r w:rsidRPr="007D1D00">
        <w:rPr>
          <w:i/>
          <w:iCs/>
          <w:color w:val="000000"/>
          <w:spacing w:val="-1"/>
          <w:kern w:val="0"/>
          <w:sz w:val="16"/>
          <w:szCs w:val="16"/>
        </w:rPr>
        <w:t>Curr Opin Neurobiol</w:t>
      </w:r>
      <w:r w:rsidRPr="007D1D00">
        <w:rPr>
          <w:color w:val="000000"/>
          <w:spacing w:val="-1"/>
          <w:kern w:val="0"/>
          <w:sz w:val="16"/>
          <w:szCs w:val="16"/>
        </w:rPr>
        <w:t xml:space="preserve"> 1997; </w:t>
      </w:r>
      <w:r w:rsidRPr="007D1D00">
        <w:rPr>
          <w:b/>
          <w:bCs/>
          <w:color w:val="000000"/>
          <w:spacing w:val="-1"/>
          <w:kern w:val="0"/>
          <w:sz w:val="16"/>
          <w:szCs w:val="16"/>
        </w:rPr>
        <w:t>7</w:t>
      </w:r>
      <w:r w:rsidRPr="007D1D00">
        <w:rPr>
          <w:color w:val="000000"/>
          <w:spacing w:val="-1"/>
          <w:kern w:val="0"/>
          <w:sz w:val="16"/>
          <w:szCs w:val="16"/>
        </w:rPr>
        <w:t>: 368-373 [PMID: 9232802 DOI: 10.1016/S0959-4388(97)80064-5]</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23</w:t>
      </w:r>
      <w:r w:rsidRPr="007D1D00">
        <w:rPr>
          <w:color w:val="000000"/>
          <w:spacing w:val="-1"/>
          <w:kern w:val="0"/>
          <w:sz w:val="16"/>
          <w:szCs w:val="16"/>
        </w:rPr>
        <w:tab/>
      </w:r>
      <w:r w:rsidRPr="007D1D00">
        <w:rPr>
          <w:b/>
          <w:bCs/>
          <w:color w:val="000000"/>
          <w:spacing w:val="-1"/>
          <w:kern w:val="0"/>
          <w:sz w:val="16"/>
          <w:szCs w:val="16"/>
        </w:rPr>
        <w:t>Fasano A</w:t>
      </w:r>
      <w:r w:rsidRPr="007D1D00">
        <w:rPr>
          <w:color w:val="000000"/>
          <w:spacing w:val="-1"/>
          <w:kern w:val="0"/>
          <w:sz w:val="16"/>
          <w:szCs w:val="16"/>
        </w:rPr>
        <w:t xml:space="preserve">, Fiorentini C, Donelli G, Uzzau S, Kaper JB, Margaretten K, Ding X, Guandalini S, Comstock L, Goldblum SE. Zonula occludens toxin modulates tight junctions through protein kinase C-dependent actin reorganization, in vitro. </w:t>
      </w:r>
      <w:r w:rsidRPr="007D1D00">
        <w:rPr>
          <w:i/>
          <w:iCs/>
          <w:color w:val="000000"/>
          <w:spacing w:val="-1"/>
          <w:kern w:val="0"/>
          <w:sz w:val="16"/>
          <w:szCs w:val="16"/>
        </w:rPr>
        <w:t>J Clin Invest</w:t>
      </w:r>
      <w:r w:rsidRPr="007D1D00">
        <w:rPr>
          <w:color w:val="000000"/>
          <w:spacing w:val="-1"/>
          <w:kern w:val="0"/>
          <w:sz w:val="16"/>
          <w:szCs w:val="16"/>
        </w:rPr>
        <w:t xml:space="preserve"> 1995; </w:t>
      </w:r>
      <w:r w:rsidRPr="007D1D00">
        <w:rPr>
          <w:b/>
          <w:bCs/>
          <w:color w:val="000000"/>
          <w:spacing w:val="-1"/>
          <w:kern w:val="0"/>
          <w:sz w:val="16"/>
          <w:szCs w:val="16"/>
        </w:rPr>
        <w:t>96</w:t>
      </w:r>
      <w:r w:rsidRPr="007D1D00">
        <w:rPr>
          <w:color w:val="000000"/>
          <w:spacing w:val="-1"/>
          <w:kern w:val="0"/>
          <w:sz w:val="16"/>
          <w:szCs w:val="16"/>
        </w:rPr>
        <w:t>: 710-720 [PMID: 7635964 DOI: 10.1172/JCI118114]</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24</w:t>
      </w:r>
      <w:r w:rsidRPr="007D1D00">
        <w:rPr>
          <w:color w:val="000000"/>
          <w:spacing w:val="-1"/>
          <w:kern w:val="0"/>
          <w:sz w:val="16"/>
          <w:szCs w:val="16"/>
        </w:rPr>
        <w:tab/>
      </w:r>
      <w:r w:rsidRPr="007D1D00">
        <w:rPr>
          <w:b/>
          <w:bCs/>
          <w:color w:val="000000"/>
          <w:spacing w:val="-1"/>
          <w:kern w:val="0"/>
          <w:sz w:val="16"/>
          <w:szCs w:val="16"/>
        </w:rPr>
        <w:t>Otto JJ</w:t>
      </w:r>
      <w:r w:rsidRPr="007D1D00">
        <w:rPr>
          <w:color w:val="000000"/>
          <w:spacing w:val="-1"/>
          <w:kern w:val="0"/>
          <w:sz w:val="16"/>
          <w:szCs w:val="16"/>
        </w:rPr>
        <w:t xml:space="preserve">. </w:t>
      </w:r>
      <w:proofErr w:type="gramStart"/>
      <w:r w:rsidRPr="007D1D00">
        <w:rPr>
          <w:color w:val="000000"/>
          <w:spacing w:val="-1"/>
          <w:kern w:val="0"/>
          <w:sz w:val="16"/>
          <w:szCs w:val="16"/>
        </w:rPr>
        <w:t>Vinculin.</w:t>
      </w:r>
      <w:proofErr w:type="gramEnd"/>
      <w:r w:rsidRPr="007D1D00">
        <w:rPr>
          <w:color w:val="000000"/>
          <w:spacing w:val="-1"/>
          <w:kern w:val="0"/>
          <w:sz w:val="16"/>
          <w:szCs w:val="16"/>
        </w:rPr>
        <w:t xml:space="preserve"> </w:t>
      </w:r>
      <w:r w:rsidRPr="007D1D00">
        <w:rPr>
          <w:i/>
          <w:iCs/>
          <w:color w:val="000000"/>
          <w:spacing w:val="-1"/>
          <w:kern w:val="0"/>
          <w:sz w:val="16"/>
          <w:szCs w:val="16"/>
        </w:rPr>
        <w:t>Cell Motil Cytoskeleton</w:t>
      </w:r>
      <w:r w:rsidRPr="007D1D00">
        <w:rPr>
          <w:color w:val="000000"/>
          <w:spacing w:val="-1"/>
          <w:kern w:val="0"/>
          <w:sz w:val="16"/>
          <w:szCs w:val="16"/>
        </w:rPr>
        <w:t xml:space="preserve"> 1990; </w:t>
      </w:r>
      <w:r w:rsidRPr="007D1D00">
        <w:rPr>
          <w:b/>
          <w:bCs/>
          <w:color w:val="000000"/>
          <w:spacing w:val="-1"/>
          <w:kern w:val="0"/>
          <w:sz w:val="16"/>
          <w:szCs w:val="16"/>
        </w:rPr>
        <w:t>16</w:t>
      </w:r>
      <w:r w:rsidRPr="007D1D00">
        <w:rPr>
          <w:color w:val="000000"/>
          <w:spacing w:val="-1"/>
          <w:kern w:val="0"/>
          <w:sz w:val="16"/>
          <w:szCs w:val="16"/>
        </w:rPr>
        <w:t>: 1-6 [PMID: 2112986 DOI: 10.1002/cm.970160102]</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25</w:t>
      </w:r>
      <w:r w:rsidRPr="007D1D00">
        <w:rPr>
          <w:color w:val="000000"/>
          <w:spacing w:val="-1"/>
          <w:kern w:val="0"/>
          <w:sz w:val="16"/>
          <w:szCs w:val="16"/>
        </w:rPr>
        <w:tab/>
      </w:r>
      <w:r w:rsidRPr="007D1D00">
        <w:rPr>
          <w:b/>
          <w:bCs/>
          <w:color w:val="000000"/>
          <w:spacing w:val="-1"/>
          <w:kern w:val="0"/>
          <w:sz w:val="16"/>
          <w:szCs w:val="16"/>
        </w:rPr>
        <w:t>Geiger B</w:t>
      </w:r>
      <w:r w:rsidRPr="007D1D00">
        <w:rPr>
          <w:color w:val="000000"/>
          <w:spacing w:val="-1"/>
          <w:kern w:val="0"/>
          <w:sz w:val="16"/>
          <w:szCs w:val="16"/>
        </w:rPr>
        <w:t xml:space="preserve">, Ginsberg D. </w:t>
      </w:r>
      <w:proofErr w:type="gramStart"/>
      <w:r w:rsidRPr="007D1D00">
        <w:rPr>
          <w:color w:val="000000"/>
          <w:spacing w:val="-1"/>
          <w:kern w:val="0"/>
          <w:sz w:val="16"/>
          <w:szCs w:val="16"/>
        </w:rPr>
        <w:t>The cytoplasmic domain of adherens-type junctions.</w:t>
      </w:r>
      <w:proofErr w:type="gramEnd"/>
      <w:r w:rsidRPr="007D1D00">
        <w:rPr>
          <w:color w:val="000000"/>
          <w:spacing w:val="-1"/>
          <w:kern w:val="0"/>
          <w:sz w:val="16"/>
          <w:szCs w:val="16"/>
        </w:rPr>
        <w:t xml:space="preserve"> </w:t>
      </w:r>
      <w:r w:rsidRPr="007D1D00">
        <w:rPr>
          <w:i/>
          <w:iCs/>
          <w:color w:val="000000"/>
          <w:spacing w:val="-1"/>
          <w:kern w:val="0"/>
          <w:sz w:val="16"/>
          <w:szCs w:val="16"/>
        </w:rPr>
        <w:t>Cell Motil Cytoskeleton</w:t>
      </w:r>
      <w:r w:rsidRPr="007D1D00">
        <w:rPr>
          <w:color w:val="000000"/>
          <w:spacing w:val="-1"/>
          <w:kern w:val="0"/>
          <w:sz w:val="16"/>
          <w:szCs w:val="16"/>
        </w:rPr>
        <w:t xml:space="preserve"> 1991; </w:t>
      </w:r>
      <w:r w:rsidRPr="007D1D00">
        <w:rPr>
          <w:b/>
          <w:bCs/>
          <w:color w:val="000000"/>
          <w:spacing w:val="-1"/>
          <w:kern w:val="0"/>
          <w:sz w:val="16"/>
          <w:szCs w:val="16"/>
        </w:rPr>
        <w:t>20</w:t>
      </w:r>
      <w:r w:rsidRPr="007D1D00">
        <w:rPr>
          <w:color w:val="000000"/>
          <w:spacing w:val="-1"/>
          <w:kern w:val="0"/>
          <w:sz w:val="16"/>
          <w:szCs w:val="16"/>
        </w:rPr>
        <w:t>: 1-6 [PMID: 1756576 DOI: 10.1002/cm.970200102]</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26</w:t>
      </w:r>
      <w:r w:rsidRPr="007D1D00">
        <w:rPr>
          <w:color w:val="000000"/>
          <w:spacing w:val="-1"/>
          <w:kern w:val="0"/>
          <w:sz w:val="16"/>
          <w:szCs w:val="16"/>
        </w:rPr>
        <w:tab/>
      </w:r>
      <w:r w:rsidRPr="007D1D00">
        <w:rPr>
          <w:b/>
          <w:bCs/>
          <w:color w:val="000000"/>
          <w:spacing w:val="-1"/>
          <w:kern w:val="0"/>
          <w:sz w:val="16"/>
          <w:szCs w:val="16"/>
        </w:rPr>
        <w:t>Burridge K</w:t>
      </w:r>
      <w:r w:rsidRPr="007D1D00">
        <w:rPr>
          <w:color w:val="000000"/>
          <w:spacing w:val="-1"/>
          <w:kern w:val="0"/>
          <w:sz w:val="16"/>
          <w:szCs w:val="16"/>
        </w:rPr>
        <w:t xml:space="preserve">, Mangeat P. </w:t>
      </w:r>
      <w:proofErr w:type="gramStart"/>
      <w:r w:rsidRPr="007D1D00">
        <w:rPr>
          <w:color w:val="000000"/>
          <w:spacing w:val="-1"/>
          <w:kern w:val="0"/>
          <w:sz w:val="16"/>
          <w:szCs w:val="16"/>
        </w:rPr>
        <w:t>An interaction between vinculin and talin.</w:t>
      </w:r>
      <w:proofErr w:type="gramEnd"/>
      <w:r w:rsidRPr="007D1D00">
        <w:rPr>
          <w:color w:val="000000"/>
          <w:spacing w:val="-1"/>
          <w:kern w:val="0"/>
          <w:sz w:val="16"/>
          <w:szCs w:val="16"/>
        </w:rPr>
        <w:t xml:space="preserve"> </w:t>
      </w:r>
      <w:r w:rsidRPr="007D1D00">
        <w:rPr>
          <w:i/>
          <w:iCs/>
          <w:color w:val="000000"/>
          <w:spacing w:val="-1"/>
          <w:kern w:val="0"/>
          <w:sz w:val="16"/>
          <w:szCs w:val="16"/>
        </w:rPr>
        <w:t>Nature</w:t>
      </w:r>
      <w:r w:rsidRPr="007D1D00">
        <w:rPr>
          <w:color w:val="000000"/>
          <w:spacing w:val="-1"/>
          <w:kern w:val="0"/>
          <w:sz w:val="16"/>
          <w:szCs w:val="16"/>
        </w:rPr>
        <w:t xml:space="preserve"> 1984; </w:t>
      </w:r>
      <w:r w:rsidRPr="007D1D00">
        <w:rPr>
          <w:b/>
          <w:bCs/>
          <w:color w:val="000000"/>
          <w:spacing w:val="-1"/>
          <w:kern w:val="0"/>
          <w:sz w:val="16"/>
          <w:szCs w:val="16"/>
        </w:rPr>
        <w:t>308</w:t>
      </w:r>
      <w:r w:rsidRPr="007D1D00">
        <w:rPr>
          <w:color w:val="000000"/>
          <w:spacing w:val="-1"/>
          <w:kern w:val="0"/>
          <w:sz w:val="16"/>
          <w:szCs w:val="16"/>
        </w:rPr>
        <w:t>: 744-746 [PMID: 6425696 DOI: 10.1038/308744a0]</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lastRenderedPageBreak/>
        <w:t>27</w:t>
      </w:r>
      <w:r w:rsidRPr="007D1D00">
        <w:rPr>
          <w:color w:val="000000"/>
          <w:spacing w:val="-1"/>
          <w:kern w:val="0"/>
          <w:sz w:val="16"/>
          <w:szCs w:val="16"/>
        </w:rPr>
        <w:tab/>
      </w:r>
      <w:r w:rsidRPr="007D1D00">
        <w:rPr>
          <w:b/>
          <w:bCs/>
          <w:color w:val="000000"/>
          <w:spacing w:val="-1"/>
          <w:kern w:val="0"/>
          <w:sz w:val="16"/>
          <w:szCs w:val="16"/>
        </w:rPr>
        <w:t>Bendori R</w:t>
      </w:r>
      <w:r w:rsidRPr="007D1D00">
        <w:rPr>
          <w:color w:val="000000"/>
          <w:spacing w:val="-1"/>
          <w:kern w:val="0"/>
          <w:sz w:val="16"/>
          <w:szCs w:val="16"/>
        </w:rPr>
        <w:t xml:space="preserve">, Salomon D, Geiger B. Identification of two distinct functional domains on vinculin involved in its association with focal contacts. </w:t>
      </w:r>
      <w:r w:rsidRPr="007D1D00">
        <w:rPr>
          <w:i/>
          <w:iCs/>
          <w:color w:val="000000"/>
          <w:spacing w:val="-1"/>
          <w:kern w:val="0"/>
          <w:sz w:val="16"/>
          <w:szCs w:val="16"/>
        </w:rPr>
        <w:t>J Cell Biol</w:t>
      </w:r>
      <w:r w:rsidRPr="007D1D00">
        <w:rPr>
          <w:color w:val="000000"/>
          <w:spacing w:val="-1"/>
          <w:kern w:val="0"/>
          <w:sz w:val="16"/>
          <w:szCs w:val="16"/>
        </w:rPr>
        <w:t xml:space="preserve"> 1989; </w:t>
      </w:r>
      <w:r w:rsidRPr="007D1D00">
        <w:rPr>
          <w:b/>
          <w:bCs/>
          <w:color w:val="000000"/>
          <w:spacing w:val="-1"/>
          <w:kern w:val="0"/>
          <w:sz w:val="16"/>
          <w:szCs w:val="16"/>
        </w:rPr>
        <w:t>108</w:t>
      </w:r>
      <w:r w:rsidRPr="007D1D00">
        <w:rPr>
          <w:color w:val="000000"/>
          <w:spacing w:val="-1"/>
          <w:kern w:val="0"/>
          <w:sz w:val="16"/>
          <w:szCs w:val="16"/>
        </w:rPr>
        <w:t>: 2383-2393 [PMID: 2500446]</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28</w:t>
      </w:r>
      <w:r w:rsidRPr="007D1D00">
        <w:rPr>
          <w:color w:val="000000"/>
          <w:spacing w:val="-1"/>
          <w:kern w:val="0"/>
          <w:sz w:val="16"/>
          <w:szCs w:val="16"/>
        </w:rPr>
        <w:tab/>
      </w:r>
      <w:r w:rsidRPr="007D1D00">
        <w:rPr>
          <w:b/>
          <w:bCs/>
          <w:color w:val="000000"/>
          <w:spacing w:val="-1"/>
          <w:kern w:val="0"/>
          <w:sz w:val="16"/>
          <w:szCs w:val="16"/>
        </w:rPr>
        <w:t>Johnson RP</w:t>
      </w:r>
      <w:r w:rsidRPr="007D1D00">
        <w:rPr>
          <w:color w:val="000000"/>
          <w:spacing w:val="-1"/>
          <w:kern w:val="0"/>
          <w:sz w:val="16"/>
          <w:szCs w:val="16"/>
        </w:rPr>
        <w:t xml:space="preserve">, Craig SW. An intramolecular association between the head and tail domains of vinculin modulates talin binding. </w:t>
      </w:r>
      <w:r w:rsidRPr="007D1D00">
        <w:rPr>
          <w:i/>
          <w:iCs/>
          <w:color w:val="000000"/>
          <w:spacing w:val="-1"/>
          <w:kern w:val="0"/>
          <w:sz w:val="16"/>
          <w:szCs w:val="16"/>
        </w:rPr>
        <w:t>J Biol Chem</w:t>
      </w:r>
      <w:r w:rsidRPr="007D1D00">
        <w:rPr>
          <w:color w:val="000000"/>
          <w:spacing w:val="-1"/>
          <w:kern w:val="0"/>
          <w:sz w:val="16"/>
          <w:szCs w:val="16"/>
        </w:rPr>
        <w:t xml:space="preserve"> 1994; </w:t>
      </w:r>
      <w:r w:rsidRPr="007D1D00">
        <w:rPr>
          <w:b/>
          <w:bCs/>
          <w:color w:val="000000"/>
          <w:spacing w:val="-1"/>
          <w:kern w:val="0"/>
          <w:sz w:val="16"/>
          <w:szCs w:val="16"/>
        </w:rPr>
        <w:t>269</w:t>
      </w:r>
      <w:r w:rsidRPr="007D1D00">
        <w:rPr>
          <w:color w:val="000000"/>
          <w:spacing w:val="-1"/>
          <w:kern w:val="0"/>
          <w:sz w:val="16"/>
          <w:szCs w:val="16"/>
        </w:rPr>
        <w:t>: 12611-12619 [PMID: 8175670]</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2"/>
          <w:kern w:val="0"/>
          <w:sz w:val="16"/>
          <w:szCs w:val="16"/>
        </w:rPr>
      </w:pPr>
      <w:r w:rsidRPr="007D1D00">
        <w:rPr>
          <w:color w:val="000000"/>
          <w:spacing w:val="-2"/>
          <w:kern w:val="0"/>
          <w:sz w:val="16"/>
          <w:szCs w:val="16"/>
        </w:rPr>
        <w:t>29</w:t>
      </w:r>
      <w:r w:rsidRPr="007D1D00">
        <w:rPr>
          <w:color w:val="000000"/>
          <w:spacing w:val="-2"/>
          <w:kern w:val="0"/>
          <w:sz w:val="16"/>
          <w:szCs w:val="16"/>
        </w:rPr>
        <w:tab/>
      </w:r>
      <w:r w:rsidRPr="007D1D00">
        <w:rPr>
          <w:b/>
          <w:bCs/>
          <w:color w:val="000000"/>
          <w:spacing w:val="-2"/>
          <w:kern w:val="0"/>
          <w:sz w:val="16"/>
          <w:szCs w:val="16"/>
        </w:rPr>
        <w:t>Johnson RP</w:t>
      </w:r>
      <w:r w:rsidRPr="007D1D00">
        <w:rPr>
          <w:color w:val="000000"/>
          <w:spacing w:val="-2"/>
          <w:kern w:val="0"/>
          <w:sz w:val="16"/>
          <w:szCs w:val="16"/>
        </w:rPr>
        <w:t xml:space="preserve">, Craig SW. F-actin binding site masked by the intramolecular association of vinculin head and tail domains. </w:t>
      </w:r>
      <w:r w:rsidRPr="007D1D00">
        <w:rPr>
          <w:i/>
          <w:iCs/>
          <w:color w:val="000000"/>
          <w:spacing w:val="-2"/>
          <w:kern w:val="0"/>
          <w:sz w:val="16"/>
          <w:szCs w:val="16"/>
        </w:rPr>
        <w:t>Nature</w:t>
      </w:r>
      <w:r w:rsidRPr="007D1D00">
        <w:rPr>
          <w:color w:val="000000"/>
          <w:spacing w:val="-2"/>
          <w:kern w:val="0"/>
          <w:sz w:val="16"/>
          <w:szCs w:val="16"/>
        </w:rPr>
        <w:t xml:space="preserve"> 1995; </w:t>
      </w:r>
      <w:r w:rsidRPr="007D1D00">
        <w:rPr>
          <w:b/>
          <w:bCs/>
          <w:color w:val="000000"/>
          <w:spacing w:val="-2"/>
          <w:kern w:val="0"/>
          <w:sz w:val="16"/>
          <w:szCs w:val="16"/>
        </w:rPr>
        <w:t>373</w:t>
      </w:r>
      <w:r w:rsidRPr="007D1D00">
        <w:rPr>
          <w:color w:val="000000"/>
          <w:spacing w:val="-2"/>
          <w:kern w:val="0"/>
          <w:sz w:val="16"/>
          <w:szCs w:val="16"/>
        </w:rPr>
        <w:t>: 261-264 [PMID: 7816144 DOI: 10.1038/373261a0]</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30</w:t>
      </w:r>
      <w:r w:rsidRPr="007D1D00">
        <w:rPr>
          <w:color w:val="000000"/>
          <w:spacing w:val="-1"/>
          <w:kern w:val="0"/>
          <w:sz w:val="16"/>
          <w:szCs w:val="16"/>
        </w:rPr>
        <w:tab/>
      </w:r>
      <w:r w:rsidRPr="007D1D00">
        <w:rPr>
          <w:b/>
          <w:bCs/>
          <w:color w:val="000000"/>
          <w:spacing w:val="-1"/>
          <w:kern w:val="0"/>
          <w:sz w:val="16"/>
          <w:szCs w:val="16"/>
        </w:rPr>
        <w:t>Hazan RB</w:t>
      </w:r>
      <w:r w:rsidRPr="007D1D00">
        <w:rPr>
          <w:color w:val="000000"/>
          <w:spacing w:val="-1"/>
          <w:kern w:val="0"/>
          <w:sz w:val="16"/>
          <w:szCs w:val="16"/>
        </w:rPr>
        <w:t xml:space="preserve">, Kang L, Roe S, Borgen PI, Rimm DL. Vinculin is associated with the E-cadherin adhesion complex. </w:t>
      </w:r>
      <w:r w:rsidRPr="007D1D00">
        <w:rPr>
          <w:i/>
          <w:iCs/>
          <w:color w:val="000000"/>
          <w:spacing w:val="-1"/>
          <w:kern w:val="0"/>
          <w:sz w:val="16"/>
          <w:szCs w:val="16"/>
        </w:rPr>
        <w:t>J Biol Chem</w:t>
      </w:r>
      <w:r w:rsidRPr="007D1D00">
        <w:rPr>
          <w:color w:val="000000"/>
          <w:spacing w:val="-1"/>
          <w:kern w:val="0"/>
          <w:sz w:val="16"/>
          <w:szCs w:val="16"/>
        </w:rPr>
        <w:t xml:space="preserve"> 1997; </w:t>
      </w:r>
      <w:r w:rsidRPr="007D1D00">
        <w:rPr>
          <w:b/>
          <w:bCs/>
          <w:color w:val="000000"/>
          <w:spacing w:val="-1"/>
          <w:kern w:val="0"/>
          <w:sz w:val="16"/>
          <w:szCs w:val="16"/>
        </w:rPr>
        <w:t>272</w:t>
      </w:r>
      <w:r w:rsidRPr="007D1D00">
        <w:rPr>
          <w:color w:val="000000"/>
          <w:spacing w:val="-1"/>
          <w:kern w:val="0"/>
          <w:sz w:val="16"/>
          <w:szCs w:val="16"/>
        </w:rPr>
        <w:t>: 32448-32453 [PMID: 9405455]</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31</w:t>
      </w:r>
      <w:r w:rsidRPr="007D1D00">
        <w:rPr>
          <w:color w:val="000000"/>
          <w:spacing w:val="-1"/>
          <w:kern w:val="0"/>
          <w:sz w:val="16"/>
          <w:szCs w:val="16"/>
        </w:rPr>
        <w:tab/>
      </w:r>
      <w:r w:rsidRPr="007D1D00">
        <w:rPr>
          <w:b/>
          <w:bCs/>
          <w:color w:val="000000"/>
          <w:spacing w:val="-1"/>
          <w:kern w:val="0"/>
          <w:sz w:val="16"/>
          <w:szCs w:val="16"/>
        </w:rPr>
        <w:t>Mierke CT</w:t>
      </w:r>
      <w:r w:rsidRPr="007D1D00">
        <w:rPr>
          <w:color w:val="000000"/>
          <w:spacing w:val="-1"/>
          <w:kern w:val="0"/>
          <w:sz w:val="16"/>
          <w:szCs w:val="16"/>
        </w:rPr>
        <w:t xml:space="preserve">, Kollmannsberger P, Zitterbart DP, Diez G, Koch TM, Marg S, Ziegler WH, Goldmann WH, Fabry B. Vinculin facilitates cell invasion into three-dimensional collagen matrices. </w:t>
      </w:r>
      <w:r w:rsidRPr="007D1D00">
        <w:rPr>
          <w:i/>
          <w:iCs/>
          <w:color w:val="000000"/>
          <w:spacing w:val="-1"/>
          <w:kern w:val="0"/>
          <w:sz w:val="16"/>
          <w:szCs w:val="16"/>
        </w:rPr>
        <w:t>J Biol Chem</w:t>
      </w:r>
      <w:r w:rsidRPr="007D1D00">
        <w:rPr>
          <w:color w:val="000000"/>
          <w:spacing w:val="-1"/>
          <w:kern w:val="0"/>
          <w:sz w:val="16"/>
          <w:szCs w:val="16"/>
        </w:rPr>
        <w:t xml:space="preserve"> 2010; </w:t>
      </w:r>
      <w:r w:rsidRPr="007D1D00">
        <w:rPr>
          <w:b/>
          <w:bCs/>
          <w:color w:val="000000"/>
          <w:spacing w:val="-1"/>
          <w:kern w:val="0"/>
          <w:sz w:val="16"/>
          <w:szCs w:val="16"/>
        </w:rPr>
        <w:t>285</w:t>
      </w:r>
      <w:r w:rsidRPr="007D1D00">
        <w:rPr>
          <w:color w:val="000000"/>
          <w:spacing w:val="-1"/>
          <w:kern w:val="0"/>
          <w:sz w:val="16"/>
          <w:szCs w:val="16"/>
        </w:rPr>
        <w:t>: 13121-13130 [PMID: 20181946 DOI: 10.1074/jbc.M109.087171]</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32</w:t>
      </w:r>
      <w:r w:rsidRPr="007D1D00">
        <w:rPr>
          <w:color w:val="000000"/>
          <w:spacing w:val="-1"/>
          <w:kern w:val="0"/>
          <w:sz w:val="16"/>
          <w:szCs w:val="16"/>
        </w:rPr>
        <w:tab/>
      </w:r>
      <w:r w:rsidRPr="007D1D00">
        <w:rPr>
          <w:b/>
          <w:bCs/>
          <w:color w:val="000000"/>
          <w:spacing w:val="-1"/>
          <w:kern w:val="0"/>
          <w:sz w:val="16"/>
          <w:szCs w:val="16"/>
        </w:rPr>
        <w:t>Gershon MD</w:t>
      </w:r>
      <w:r w:rsidRPr="007D1D00">
        <w:rPr>
          <w:color w:val="000000"/>
          <w:spacing w:val="-1"/>
          <w:kern w:val="0"/>
          <w:sz w:val="16"/>
          <w:szCs w:val="16"/>
        </w:rPr>
        <w:t xml:space="preserve">, Rothman TP. Enteric glia. </w:t>
      </w:r>
      <w:r w:rsidRPr="007D1D00">
        <w:rPr>
          <w:i/>
          <w:iCs/>
          <w:color w:val="000000"/>
          <w:spacing w:val="-1"/>
          <w:kern w:val="0"/>
          <w:sz w:val="16"/>
          <w:szCs w:val="16"/>
        </w:rPr>
        <w:t>Glia</w:t>
      </w:r>
      <w:r w:rsidRPr="007D1D00">
        <w:rPr>
          <w:color w:val="000000"/>
          <w:spacing w:val="-1"/>
          <w:kern w:val="0"/>
          <w:sz w:val="16"/>
          <w:szCs w:val="16"/>
        </w:rPr>
        <w:t xml:space="preserve"> 1991; </w:t>
      </w:r>
      <w:r w:rsidRPr="007D1D00">
        <w:rPr>
          <w:b/>
          <w:bCs/>
          <w:color w:val="000000"/>
          <w:spacing w:val="-1"/>
          <w:kern w:val="0"/>
          <w:sz w:val="16"/>
          <w:szCs w:val="16"/>
        </w:rPr>
        <w:t>4</w:t>
      </w:r>
      <w:r w:rsidRPr="007D1D00">
        <w:rPr>
          <w:color w:val="000000"/>
          <w:spacing w:val="-1"/>
          <w:kern w:val="0"/>
          <w:sz w:val="16"/>
          <w:szCs w:val="16"/>
        </w:rPr>
        <w:t>: 195-204 [PMID: 1827778 DOI: 10.1002/glia.440040211]</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33</w:t>
      </w:r>
      <w:r w:rsidRPr="007D1D00">
        <w:rPr>
          <w:color w:val="000000"/>
          <w:spacing w:val="-1"/>
          <w:kern w:val="0"/>
          <w:sz w:val="16"/>
          <w:szCs w:val="16"/>
        </w:rPr>
        <w:tab/>
      </w:r>
      <w:r w:rsidRPr="007D1D00">
        <w:rPr>
          <w:b/>
          <w:bCs/>
          <w:color w:val="000000"/>
          <w:spacing w:val="-1"/>
          <w:kern w:val="0"/>
          <w:sz w:val="16"/>
          <w:szCs w:val="16"/>
        </w:rPr>
        <w:t>Cabarrocas J</w:t>
      </w:r>
      <w:r w:rsidRPr="007D1D00">
        <w:rPr>
          <w:color w:val="000000"/>
          <w:spacing w:val="-1"/>
          <w:kern w:val="0"/>
          <w:sz w:val="16"/>
          <w:szCs w:val="16"/>
        </w:rPr>
        <w:t xml:space="preserve">, Savidge TC, Liblau RS. </w:t>
      </w:r>
      <w:proofErr w:type="gramStart"/>
      <w:r w:rsidRPr="007D1D00">
        <w:rPr>
          <w:color w:val="000000"/>
          <w:spacing w:val="-1"/>
          <w:kern w:val="0"/>
          <w:sz w:val="16"/>
          <w:szCs w:val="16"/>
        </w:rPr>
        <w:t>Role of enteric glial cells in inflammatory bowel disease.</w:t>
      </w:r>
      <w:proofErr w:type="gramEnd"/>
      <w:r w:rsidRPr="007D1D00">
        <w:rPr>
          <w:color w:val="000000"/>
          <w:spacing w:val="-1"/>
          <w:kern w:val="0"/>
          <w:sz w:val="16"/>
          <w:szCs w:val="16"/>
        </w:rPr>
        <w:t xml:space="preserve"> </w:t>
      </w:r>
      <w:r w:rsidRPr="007D1D00">
        <w:rPr>
          <w:i/>
          <w:iCs/>
          <w:color w:val="000000"/>
          <w:spacing w:val="-1"/>
          <w:kern w:val="0"/>
          <w:sz w:val="16"/>
          <w:szCs w:val="16"/>
        </w:rPr>
        <w:t>Glia</w:t>
      </w:r>
      <w:r w:rsidRPr="007D1D00">
        <w:rPr>
          <w:color w:val="000000"/>
          <w:spacing w:val="-1"/>
          <w:kern w:val="0"/>
          <w:sz w:val="16"/>
          <w:szCs w:val="16"/>
        </w:rPr>
        <w:t xml:space="preserve"> 2003; </w:t>
      </w:r>
      <w:r w:rsidRPr="007D1D00">
        <w:rPr>
          <w:b/>
          <w:bCs/>
          <w:color w:val="000000"/>
          <w:spacing w:val="-1"/>
          <w:kern w:val="0"/>
          <w:sz w:val="16"/>
          <w:szCs w:val="16"/>
        </w:rPr>
        <w:t>41</w:t>
      </w:r>
      <w:r w:rsidRPr="007D1D00">
        <w:rPr>
          <w:color w:val="000000"/>
          <w:spacing w:val="-1"/>
          <w:kern w:val="0"/>
          <w:sz w:val="16"/>
          <w:szCs w:val="16"/>
        </w:rPr>
        <w:t>: 81-93 [PMID: 12465048 DOI: 10.1002/glia.10169]</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34</w:t>
      </w:r>
      <w:r w:rsidRPr="007D1D00">
        <w:rPr>
          <w:color w:val="000000"/>
          <w:spacing w:val="-1"/>
          <w:kern w:val="0"/>
          <w:sz w:val="16"/>
          <w:szCs w:val="16"/>
        </w:rPr>
        <w:tab/>
      </w:r>
      <w:r w:rsidRPr="007D1D00">
        <w:rPr>
          <w:b/>
          <w:bCs/>
          <w:color w:val="000000"/>
          <w:spacing w:val="-1"/>
          <w:kern w:val="0"/>
          <w:sz w:val="16"/>
          <w:szCs w:val="16"/>
        </w:rPr>
        <w:t>Cullen DK</w:t>
      </w:r>
      <w:r w:rsidRPr="007D1D00">
        <w:rPr>
          <w:color w:val="000000"/>
          <w:spacing w:val="-1"/>
          <w:kern w:val="0"/>
          <w:sz w:val="16"/>
          <w:szCs w:val="16"/>
        </w:rPr>
        <w:t xml:space="preserve">, Simon CM, LaPlaca MC. Strain rate-dependent induction of reactive astrogliosis and cell death in three-dimensional neuronal-astrocytic co-cultures. </w:t>
      </w:r>
      <w:r w:rsidRPr="007D1D00">
        <w:rPr>
          <w:i/>
          <w:iCs/>
          <w:color w:val="000000"/>
          <w:spacing w:val="-1"/>
          <w:kern w:val="0"/>
          <w:sz w:val="16"/>
          <w:szCs w:val="16"/>
        </w:rPr>
        <w:t>Brain Res</w:t>
      </w:r>
      <w:r w:rsidRPr="007D1D00">
        <w:rPr>
          <w:color w:val="000000"/>
          <w:spacing w:val="-1"/>
          <w:kern w:val="0"/>
          <w:sz w:val="16"/>
          <w:szCs w:val="16"/>
        </w:rPr>
        <w:t xml:space="preserve"> 2007; </w:t>
      </w:r>
      <w:r w:rsidRPr="007D1D00">
        <w:rPr>
          <w:b/>
          <w:bCs/>
          <w:color w:val="000000"/>
          <w:spacing w:val="-1"/>
          <w:kern w:val="0"/>
          <w:sz w:val="16"/>
          <w:szCs w:val="16"/>
        </w:rPr>
        <w:t>1158</w:t>
      </w:r>
      <w:r w:rsidRPr="007D1D00">
        <w:rPr>
          <w:color w:val="000000"/>
          <w:spacing w:val="-1"/>
          <w:kern w:val="0"/>
          <w:sz w:val="16"/>
          <w:szCs w:val="16"/>
        </w:rPr>
        <w:t>: 103-115 [PMID: 17555726 DOI: 10.1016/j.brainres.2007.04.070]</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35</w:t>
      </w:r>
      <w:r w:rsidRPr="007D1D00">
        <w:rPr>
          <w:color w:val="000000"/>
          <w:spacing w:val="-1"/>
          <w:kern w:val="0"/>
          <w:sz w:val="16"/>
          <w:szCs w:val="16"/>
        </w:rPr>
        <w:tab/>
      </w:r>
      <w:r w:rsidRPr="007D1D00">
        <w:rPr>
          <w:b/>
          <w:bCs/>
          <w:color w:val="000000"/>
          <w:spacing w:val="-1"/>
          <w:kern w:val="0"/>
          <w:sz w:val="16"/>
          <w:szCs w:val="16"/>
        </w:rPr>
        <w:t>Neunlist M</w:t>
      </w:r>
      <w:r w:rsidRPr="007D1D00">
        <w:rPr>
          <w:color w:val="000000"/>
          <w:spacing w:val="-1"/>
          <w:kern w:val="0"/>
          <w:sz w:val="16"/>
          <w:szCs w:val="16"/>
        </w:rPr>
        <w:t xml:space="preserve">, Aubert P, Bonnaud S, Van Landeghem L, Coron E, Wedel T, Naveilhan P, Ruhl A, Lardeux B, Savidge T, Paris F, Galmiche JP. Enteric </w:t>
      </w:r>
      <w:proofErr w:type="gramStart"/>
      <w:r w:rsidRPr="007D1D00">
        <w:rPr>
          <w:color w:val="000000"/>
          <w:spacing w:val="-1"/>
          <w:kern w:val="0"/>
          <w:sz w:val="16"/>
          <w:szCs w:val="16"/>
        </w:rPr>
        <w:t>glia inhibit</w:t>
      </w:r>
      <w:proofErr w:type="gramEnd"/>
      <w:r w:rsidRPr="007D1D00">
        <w:rPr>
          <w:color w:val="000000"/>
          <w:spacing w:val="-1"/>
          <w:kern w:val="0"/>
          <w:sz w:val="16"/>
          <w:szCs w:val="16"/>
        </w:rPr>
        <w:t xml:space="preserve"> intestinal epithelial cell proliferation partly through a TGF-beta1-dependent pathway. </w:t>
      </w:r>
      <w:r w:rsidRPr="007D1D00">
        <w:rPr>
          <w:i/>
          <w:iCs/>
          <w:color w:val="000000"/>
          <w:spacing w:val="-1"/>
          <w:kern w:val="0"/>
          <w:sz w:val="16"/>
          <w:szCs w:val="16"/>
        </w:rPr>
        <w:t>Am J Physiol Gastrointest Liver Physiol</w:t>
      </w:r>
      <w:r w:rsidRPr="007D1D00">
        <w:rPr>
          <w:color w:val="000000"/>
          <w:spacing w:val="-1"/>
          <w:kern w:val="0"/>
          <w:sz w:val="16"/>
          <w:szCs w:val="16"/>
        </w:rPr>
        <w:t xml:space="preserve"> 2007; </w:t>
      </w:r>
      <w:r w:rsidRPr="007D1D00">
        <w:rPr>
          <w:b/>
          <w:bCs/>
          <w:color w:val="000000"/>
          <w:spacing w:val="-1"/>
          <w:kern w:val="0"/>
          <w:sz w:val="16"/>
          <w:szCs w:val="16"/>
        </w:rPr>
        <w:t>292</w:t>
      </w:r>
      <w:r w:rsidRPr="007D1D00">
        <w:rPr>
          <w:color w:val="000000"/>
          <w:spacing w:val="-1"/>
          <w:kern w:val="0"/>
          <w:sz w:val="16"/>
          <w:szCs w:val="16"/>
        </w:rPr>
        <w:t>: G231-G241 [PMID: 16423922 DOI: 10.1152/ajpgi.00276.2005]</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36</w:t>
      </w:r>
      <w:r w:rsidRPr="007D1D00">
        <w:rPr>
          <w:color w:val="000000"/>
          <w:spacing w:val="-1"/>
          <w:kern w:val="0"/>
          <w:sz w:val="16"/>
          <w:szCs w:val="16"/>
        </w:rPr>
        <w:tab/>
      </w:r>
      <w:r w:rsidRPr="007D1D00">
        <w:rPr>
          <w:b/>
          <w:bCs/>
          <w:color w:val="000000"/>
          <w:spacing w:val="-1"/>
          <w:kern w:val="0"/>
          <w:sz w:val="16"/>
          <w:szCs w:val="16"/>
        </w:rPr>
        <w:t>Vojdani A</w:t>
      </w:r>
      <w:r w:rsidRPr="007D1D00">
        <w:rPr>
          <w:color w:val="000000"/>
          <w:spacing w:val="-1"/>
          <w:kern w:val="0"/>
          <w:sz w:val="16"/>
          <w:szCs w:val="16"/>
        </w:rPr>
        <w:t xml:space="preserve">, Mukherjee PS, Berookhim J, Kharrazian D. Detection of Antibodies against Human and Plant Aquaporins in Patients with Multiple Sclerosis. </w:t>
      </w:r>
      <w:r w:rsidRPr="007D1D00">
        <w:rPr>
          <w:i/>
          <w:iCs/>
          <w:color w:val="000000"/>
          <w:spacing w:val="-1"/>
          <w:kern w:val="0"/>
          <w:sz w:val="16"/>
          <w:szCs w:val="16"/>
        </w:rPr>
        <w:t>Autoimmune Dis</w:t>
      </w:r>
      <w:r w:rsidRPr="007D1D00">
        <w:rPr>
          <w:color w:val="000000"/>
          <w:spacing w:val="-1"/>
          <w:kern w:val="0"/>
          <w:sz w:val="16"/>
          <w:szCs w:val="16"/>
        </w:rPr>
        <w:t xml:space="preserve"> 2015; </w:t>
      </w:r>
      <w:r w:rsidRPr="007D1D00">
        <w:rPr>
          <w:b/>
          <w:bCs/>
          <w:color w:val="000000"/>
          <w:spacing w:val="-1"/>
          <w:kern w:val="0"/>
          <w:sz w:val="16"/>
          <w:szCs w:val="16"/>
        </w:rPr>
        <w:t>2015</w:t>
      </w:r>
      <w:r w:rsidRPr="007D1D00">
        <w:rPr>
          <w:color w:val="000000"/>
          <w:spacing w:val="-1"/>
          <w:kern w:val="0"/>
          <w:sz w:val="16"/>
          <w:szCs w:val="16"/>
        </w:rPr>
        <w:t>: 905208 [PMID: 26290755 DOI: 10.1155/2015/905208]</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37</w:t>
      </w:r>
      <w:r w:rsidRPr="007D1D00">
        <w:rPr>
          <w:color w:val="000000"/>
          <w:spacing w:val="-1"/>
          <w:kern w:val="0"/>
          <w:sz w:val="16"/>
          <w:szCs w:val="16"/>
        </w:rPr>
        <w:tab/>
      </w:r>
      <w:r w:rsidRPr="007D1D00">
        <w:rPr>
          <w:b/>
          <w:bCs/>
          <w:color w:val="000000"/>
          <w:spacing w:val="-1"/>
          <w:kern w:val="0"/>
          <w:sz w:val="16"/>
          <w:szCs w:val="16"/>
        </w:rPr>
        <w:t>Laforenza U</w:t>
      </w:r>
      <w:r w:rsidRPr="007D1D00">
        <w:rPr>
          <w:color w:val="000000"/>
          <w:spacing w:val="-1"/>
          <w:kern w:val="0"/>
          <w:sz w:val="16"/>
          <w:szCs w:val="16"/>
        </w:rPr>
        <w:t xml:space="preserve">. Water channel proteins in the gastrointestinal tract. </w:t>
      </w:r>
      <w:r w:rsidRPr="007D1D00">
        <w:rPr>
          <w:i/>
          <w:iCs/>
          <w:color w:val="000000"/>
          <w:spacing w:val="-1"/>
          <w:kern w:val="0"/>
          <w:sz w:val="16"/>
          <w:szCs w:val="16"/>
        </w:rPr>
        <w:t>Mol Aspects Med</w:t>
      </w:r>
      <w:r w:rsidRPr="007D1D00">
        <w:rPr>
          <w:color w:val="000000"/>
          <w:spacing w:val="-1"/>
          <w:kern w:val="0"/>
          <w:sz w:val="16"/>
          <w:szCs w:val="16"/>
        </w:rPr>
        <w:t xml:space="preserve"> 2012; </w:t>
      </w:r>
      <w:r w:rsidRPr="007D1D00">
        <w:rPr>
          <w:b/>
          <w:bCs/>
          <w:color w:val="000000"/>
          <w:spacing w:val="-1"/>
          <w:kern w:val="0"/>
          <w:sz w:val="16"/>
          <w:szCs w:val="16"/>
        </w:rPr>
        <w:t>33</w:t>
      </w:r>
      <w:r w:rsidRPr="007D1D00">
        <w:rPr>
          <w:color w:val="000000"/>
          <w:spacing w:val="-1"/>
          <w:kern w:val="0"/>
          <w:sz w:val="16"/>
          <w:szCs w:val="16"/>
        </w:rPr>
        <w:t>: 642-650 [PMID: 22465691 DOI: 10.1016/j.mam.2012.03.001.]</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38</w:t>
      </w:r>
      <w:r w:rsidRPr="007D1D00">
        <w:rPr>
          <w:color w:val="000000"/>
          <w:spacing w:val="-1"/>
          <w:kern w:val="0"/>
          <w:sz w:val="16"/>
          <w:szCs w:val="16"/>
        </w:rPr>
        <w:tab/>
      </w:r>
      <w:r w:rsidRPr="007D1D00">
        <w:rPr>
          <w:b/>
          <w:bCs/>
          <w:color w:val="000000"/>
          <w:spacing w:val="-1"/>
          <w:kern w:val="0"/>
          <w:sz w:val="16"/>
          <w:szCs w:val="16"/>
        </w:rPr>
        <w:t>Zhang W</w:t>
      </w:r>
      <w:r w:rsidRPr="007D1D00">
        <w:rPr>
          <w:color w:val="000000"/>
          <w:spacing w:val="-1"/>
          <w:kern w:val="0"/>
          <w:sz w:val="16"/>
          <w:szCs w:val="16"/>
        </w:rPr>
        <w:t xml:space="preserve">, Xu Y, Chen Z, Xu Z, Xu H. Knockdown of aquaporin 3 is involved in intestinal barrier integrity impairment. </w:t>
      </w:r>
      <w:r w:rsidRPr="007D1D00">
        <w:rPr>
          <w:i/>
          <w:iCs/>
          <w:color w:val="000000"/>
          <w:spacing w:val="-1"/>
          <w:kern w:val="0"/>
          <w:sz w:val="16"/>
          <w:szCs w:val="16"/>
        </w:rPr>
        <w:t>FEBS Lett</w:t>
      </w:r>
      <w:r w:rsidRPr="007D1D00">
        <w:rPr>
          <w:color w:val="000000"/>
          <w:spacing w:val="-1"/>
          <w:kern w:val="0"/>
          <w:sz w:val="16"/>
          <w:szCs w:val="16"/>
        </w:rPr>
        <w:t xml:space="preserve"> 2011; </w:t>
      </w:r>
      <w:r w:rsidRPr="007D1D00">
        <w:rPr>
          <w:b/>
          <w:bCs/>
          <w:color w:val="000000"/>
          <w:spacing w:val="-1"/>
          <w:kern w:val="0"/>
          <w:sz w:val="16"/>
          <w:szCs w:val="16"/>
        </w:rPr>
        <w:t>585</w:t>
      </w:r>
      <w:r w:rsidRPr="007D1D00">
        <w:rPr>
          <w:color w:val="000000"/>
          <w:spacing w:val="-1"/>
          <w:kern w:val="0"/>
          <w:sz w:val="16"/>
          <w:szCs w:val="16"/>
        </w:rPr>
        <w:t>: 3113-3119 [PMID: 21907710 DOI: 10.1016/j.febslet.2011.08.045]</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lang w:val="nl-NL"/>
        </w:rPr>
      </w:pPr>
      <w:r w:rsidRPr="007D1D00">
        <w:rPr>
          <w:color w:val="000000"/>
          <w:spacing w:val="-1"/>
          <w:kern w:val="0"/>
          <w:sz w:val="16"/>
          <w:szCs w:val="16"/>
        </w:rPr>
        <w:t>39</w:t>
      </w:r>
      <w:r w:rsidRPr="007D1D00">
        <w:rPr>
          <w:color w:val="000000"/>
          <w:spacing w:val="-1"/>
          <w:kern w:val="0"/>
          <w:sz w:val="16"/>
          <w:szCs w:val="16"/>
        </w:rPr>
        <w:tab/>
      </w:r>
      <w:r w:rsidRPr="007D1D00">
        <w:rPr>
          <w:b/>
          <w:bCs/>
          <w:color w:val="000000"/>
          <w:spacing w:val="-1"/>
          <w:kern w:val="0"/>
          <w:sz w:val="16"/>
          <w:szCs w:val="16"/>
        </w:rPr>
        <w:t>Morgan E</w:t>
      </w:r>
      <w:r w:rsidRPr="007D1D00">
        <w:rPr>
          <w:color w:val="000000"/>
          <w:spacing w:val="-1"/>
          <w:kern w:val="0"/>
          <w:sz w:val="16"/>
          <w:szCs w:val="16"/>
        </w:rPr>
        <w:t xml:space="preserve">, Peplowski M, MacNaughton W. Aquaporin 3 promotes intestinal epithelial proliferation and inhibits cytokine-induced apoptosis. </w:t>
      </w:r>
      <w:r w:rsidRPr="007D1D00">
        <w:rPr>
          <w:i/>
          <w:iCs/>
          <w:color w:val="000000"/>
          <w:spacing w:val="-1"/>
          <w:kern w:val="0"/>
          <w:sz w:val="16"/>
          <w:szCs w:val="16"/>
          <w:lang w:val="nl-NL"/>
        </w:rPr>
        <w:t>FASEB</w:t>
      </w:r>
      <w:r w:rsidRPr="007D1D00">
        <w:rPr>
          <w:color w:val="000000"/>
          <w:spacing w:val="-1"/>
          <w:kern w:val="0"/>
          <w:sz w:val="16"/>
          <w:szCs w:val="16"/>
          <w:lang w:val="nl-NL"/>
        </w:rPr>
        <w:t xml:space="preserve"> 2015; </w:t>
      </w:r>
      <w:r w:rsidRPr="007D1D00">
        <w:rPr>
          <w:b/>
          <w:bCs/>
          <w:color w:val="000000"/>
          <w:spacing w:val="-1"/>
          <w:kern w:val="0"/>
          <w:sz w:val="16"/>
          <w:szCs w:val="16"/>
          <w:lang w:val="nl-NL"/>
        </w:rPr>
        <w:t>29</w:t>
      </w:r>
      <w:r w:rsidRPr="007D1D00">
        <w:rPr>
          <w:color w:val="000000"/>
          <w:spacing w:val="-1"/>
          <w:kern w:val="0"/>
          <w:sz w:val="16"/>
          <w:szCs w:val="16"/>
          <w:lang w:val="nl-NL"/>
        </w:rPr>
        <w:t>: 766 [DOI: 10.1096/fj.1530-6860]</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lang w:val="nl-NL"/>
        </w:rPr>
        <w:t>40</w:t>
      </w:r>
      <w:r w:rsidRPr="007D1D00">
        <w:rPr>
          <w:color w:val="000000"/>
          <w:spacing w:val="-1"/>
          <w:kern w:val="0"/>
          <w:sz w:val="16"/>
          <w:szCs w:val="16"/>
          <w:lang w:val="nl-NL"/>
        </w:rPr>
        <w:tab/>
      </w:r>
      <w:r w:rsidRPr="007D1D00">
        <w:rPr>
          <w:b/>
          <w:bCs/>
          <w:color w:val="000000"/>
          <w:spacing w:val="-1"/>
          <w:kern w:val="0"/>
          <w:sz w:val="16"/>
          <w:szCs w:val="16"/>
          <w:lang w:val="nl-NL"/>
        </w:rPr>
        <w:t>Grootjans J</w:t>
      </w:r>
      <w:r w:rsidRPr="007D1D00">
        <w:rPr>
          <w:color w:val="000000"/>
          <w:spacing w:val="-1"/>
          <w:kern w:val="0"/>
          <w:sz w:val="16"/>
          <w:szCs w:val="16"/>
          <w:lang w:val="nl-NL"/>
        </w:rPr>
        <w:t xml:space="preserve">, Thuijls G, Verdam F, Derikx JPM, Lenaerts K, Buurman WA. </w:t>
      </w:r>
      <w:proofErr w:type="gramStart"/>
      <w:r w:rsidRPr="007D1D00">
        <w:rPr>
          <w:color w:val="000000"/>
          <w:spacing w:val="-1"/>
          <w:kern w:val="0"/>
          <w:sz w:val="16"/>
          <w:szCs w:val="16"/>
        </w:rPr>
        <w:t>Non-invasive assessment of barrier integrity and function of the human gut.</w:t>
      </w:r>
      <w:proofErr w:type="gramEnd"/>
      <w:r w:rsidRPr="007D1D00">
        <w:rPr>
          <w:color w:val="000000"/>
          <w:spacing w:val="-1"/>
          <w:kern w:val="0"/>
          <w:sz w:val="16"/>
          <w:szCs w:val="16"/>
        </w:rPr>
        <w:t xml:space="preserve"> </w:t>
      </w:r>
      <w:r w:rsidRPr="007D1D00">
        <w:rPr>
          <w:i/>
          <w:iCs/>
          <w:color w:val="000000"/>
          <w:spacing w:val="-1"/>
          <w:kern w:val="0"/>
          <w:sz w:val="16"/>
          <w:szCs w:val="16"/>
        </w:rPr>
        <w:t>World J Gastrointest Surg</w:t>
      </w:r>
      <w:r w:rsidRPr="007D1D00">
        <w:rPr>
          <w:color w:val="000000"/>
          <w:spacing w:val="-1"/>
          <w:kern w:val="0"/>
          <w:sz w:val="16"/>
          <w:szCs w:val="16"/>
        </w:rPr>
        <w:t xml:space="preserve"> 2010; </w:t>
      </w:r>
      <w:r w:rsidRPr="007D1D00">
        <w:rPr>
          <w:b/>
          <w:bCs/>
          <w:color w:val="000000"/>
          <w:spacing w:val="-1"/>
          <w:kern w:val="0"/>
          <w:sz w:val="16"/>
          <w:szCs w:val="16"/>
        </w:rPr>
        <w:t>2</w:t>
      </w:r>
      <w:r w:rsidRPr="007D1D00">
        <w:rPr>
          <w:color w:val="000000"/>
          <w:spacing w:val="-1"/>
          <w:kern w:val="0"/>
          <w:sz w:val="16"/>
          <w:szCs w:val="16"/>
        </w:rPr>
        <w:t>: 61-69 [PMID: 2999221 DOI: 10.4240/wjgs.v2.i3.61]</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41</w:t>
      </w:r>
      <w:r w:rsidRPr="007D1D00">
        <w:rPr>
          <w:color w:val="000000"/>
          <w:spacing w:val="-1"/>
          <w:kern w:val="0"/>
          <w:sz w:val="16"/>
          <w:szCs w:val="16"/>
        </w:rPr>
        <w:tab/>
      </w:r>
      <w:r w:rsidRPr="007D1D00">
        <w:rPr>
          <w:b/>
          <w:bCs/>
          <w:color w:val="000000"/>
          <w:spacing w:val="-1"/>
          <w:kern w:val="0"/>
          <w:sz w:val="16"/>
          <w:szCs w:val="16"/>
        </w:rPr>
        <w:t>Sapone A</w:t>
      </w:r>
      <w:r w:rsidRPr="007D1D00">
        <w:rPr>
          <w:color w:val="000000"/>
          <w:spacing w:val="-1"/>
          <w:kern w:val="0"/>
          <w:sz w:val="16"/>
          <w:szCs w:val="16"/>
        </w:rPr>
        <w:t xml:space="preserve">, de Magistris L, Pietzak M, Clemente MG, Tripathi A, Cucca F, Lampis R, Kryszak D, Cartenì M, Generoso M, Iafusco D, Prisco F, Laghi F, Riegler G, Carratu R, Counts D, Fasano A. Zonulin upregulation is associated with increased gut permeability in subjects with type 1 diabetes and their relatives. </w:t>
      </w:r>
      <w:r w:rsidRPr="007D1D00">
        <w:rPr>
          <w:i/>
          <w:iCs/>
          <w:color w:val="000000"/>
          <w:spacing w:val="-1"/>
          <w:kern w:val="0"/>
          <w:sz w:val="16"/>
          <w:szCs w:val="16"/>
        </w:rPr>
        <w:t>Diabetes</w:t>
      </w:r>
      <w:r w:rsidRPr="007D1D00">
        <w:rPr>
          <w:color w:val="000000"/>
          <w:spacing w:val="-1"/>
          <w:kern w:val="0"/>
          <w:sz w:val="16"/>
          <w:szCs w:val="16"/>
        </w:rPr>
        <w:t xml:space="preserve"> 2006; </w:t>
      </w:r>
      <w:r w:rsidRPr="007D1D00">
        <w:rPr>
          <w:b/>
          <w:bCs/>
          <w:color w:val="000000"/>
          <w:spacing w:val="-1"/>
          <w:kern w:val="0"/>
          <w:sz w:val="16"/>
          <w:szCs w:val="16"/>
        </w:rPr>
        <w:t>55</w:t>
      </w:r>
      <w:r w:rsidRPr="007D1D00">
        <w:rPr>
          <w:color w:val="000000"/>
          <w:spacing w:val="-1"/>
          <w:kern w:val="0"/>
          <w:sz w:val="16"/>
          <w:szCs w:val="16"/>
        </w:rPr>
        <w:t>: 1443-1449 [PMID: 16644703 DOI: 10.2337/db05-1593]</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42</w:t>
      </w:r>
      <w:r w:rsidRPr="007D1D00">
        <w:rPr>
          <w:color w:val="000000"/>
          <w:spacing w:val="-1"/>
          <w:kern w:val="0"/>
          <w:sz w:val="16"/>
          <w:szCs w:val="16"/>
        </w:rPr>
        <w:tab/>
      </w:r>
      <w:r w:rsidRPr="007D1D00">
        <w:rPr>
          <w:b/>
          <w:bCs/>
          <w:color w:val="000000"/>
          <w:spacing w:val="-1"/>
          <w:kern w:val="0"/>
          <w:sz w:val="16"/>
          <w:szCs w:val="16"/>
        </w:rPr>
        <w:t>Moreno-Navarrete JM</w:t>
      </w:r>
      <w:r w:rsidRPr="007D1D00">
        <w:rPr>
          <w:color w:val="000000"/>
          <w:spacing w:val="-1"/>
          <w:kern w:val="0"/>
          <w:sz w:val="16"/>
          <w:szCs w:val="16"/>
        </w:rPr>
        <w:t xml:space="preserve">, Sabater M, Ortega F, Ricart W, Fernández-Real JM. Circulating zonulin, a marker of intestinal permeability, is increased in association with obesity-associated insulin resistance. </w:t>
      </w:r>
      <w:r w:rsidRPr="007D1D00">
        <w:rPr>
          <w:i/>
          <w:iCs/>
          <w:color w:val="000000"/>
          <w:spacing w:val="-1"/>
          <w:kern w:val="0"/>
          <w:sz w:val="16"/>
          <w:szCs w:val="16"/>
        </w:rPr>
        <w:t>PLoS One</w:t>
      </w:r>
      <w:r w:rsidRPr="007D1D00">
        <w:rPr>
          <w:color w:val="000000"/>
          <w:spacing w:val="-1"/>
          <w:kern w:val="0"/>
          <w:sz w:val="16"/>
          <w:szCs w:val="16"/>
        </w:rPr>
        <w:t xml:space="preserve"> 2012; </w:t>
      </w:r>
      <w:r w:rsidRPr="007D1D00">
        <w:rPr>
          <w:b/>
          <w:bCs/>
          <w:color w:val="000000"/>
          <w:spacing w:val="-1"/>
          <w:kern w:val="0"/>
          <w:sz w:val="16"/>
          <w:szCs w:val="16"/>
        </w:rPr>
        <w:t>7</w:t>
      </w:r>
      <w:r w:rsidRPr="007D1D00">
        <w:rPr>
          <w:color w:val="000000"/>
          <w:spacing w:val="-1"/>
          <w:kern w:val="0"/>
          <w:sz w:val="16"/>
          <w:szCs w:val="16"/>
        </w:rPr>
        <w:t>: e37160 [PMID: 22629362 DOI: 10.1371/journal.pone.0037160]</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43</w:t>
      </w:r>
      <w:r w:rsidRPr="007D1D00">
        <w:rPr>
          <w:color w:val="000000"/>
          <w:spacing w:val="-1"/>
          <w:kern w:val="0"/>
          <w:sz w:val="16"/>
          <w:szCs w:val="16"/>
        </w:rPr>
        <w:tab/>
      </w:r>
      <w:r w:rsidRPr="007D1D00">
        <w:rPr>
          <w:b/>
          <w:bCs/>
          <w:color w:val="000000"/>
          <w:spacing w:val="-1"/>
          <w:kern w:val="0"/>
          <w:sz w:val="16"/>
          <w:szCs w:val="16"/>
        </w:rPr>
        <w:t>Zhang D</w:t>
      </w:r>
      <w:r w:rsidRPr="007D1D00">
        <w:rPr>
          <w:color w:val="000000"/>
          <w:spacing w:val="-1"/>
          <w:kern w:val="0"/>
          <w:sz w:val="16"/>
          <w:szCs w:val="16"/>
        </w:rPr>
        <w:t xml:space="preserve">, Zhang L, Yue F, Zheng Y, Russell R. Serum zonulin is elevated in women with polycystic ovary syndrome and correlates with insulin resistance and severity of anovulation. </w:t>
      </w:r>
      <w:r w:rsidRPr="007D1D00">
        <w:rPr>
          <w:i/>
          <w:iCs/>
          <w:color w:val="000000"/>
          <w:spacing w:val="-1"/>
          <w:kern w:val="0"/>
          <w:sz w:val="16"/>
          <w:szCs w:val="16"/>
        </w:rPr>
        <w:t>Eur J Endocrinol</w:t>
      </w:r>
      <w:r w:rsidRPr="007D1D00">
        <w:rPr>
          <w:color w:val="000000"/>
          <w:spacing w:val="-1"/>
          <w:kern w:val="0"/>
          <w:sz w:val="16"/>
          <w:szCs w:val="16"/>
        </w:rPr>
        <w:t xml:space="preserve"> 2015; </w:t>
      </w:r>
      <w:r w:rsidRPr="007D1D00">
        <w:rPr>
          <w:b/>
          <w:bCs/>
          <w:color w:val="000000"/>
          <w:spacing w:val="-1"/>
          <w:kern w:val="0"/>
          <w:sz w:val="16"/>
          <w:szCs w:val="16"/>
        </w:rPr>
        <w:t>172</w:t>
      </w:r>
      <w:r w:rsidRPr="007D1D00">
        <w:rPr>
          <w:color w:val="000000"/>
          <w:spacing w:val="-1"/>
          <w:kern w:val="0"/>
          <w:sz w:val="16"/>
          <w:szCs w:val="16"/>
        </w:rPr>
        <w:t>: 29-36 [PMID: 25336505 DOI: 10.1530/EJE-14-0589]</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44</w:t>
      </w:r>
      <w:r w:rsidRPr="007D1D00">
        <w:rPr>
          <w:color w:val="000000"/>
          <w:spacing w:val="-1"/>
          <w:kern w:val="0"/>
          <w:sz w:val="16"/>
          <w:szCs w:val="16"/>
        </w:rPr>
        <w:tab/>
      </w:r>
      <w:r w:rsidRPr="007D1D00">
        <w:rPr>
          <w:b/>
          <w:bCs/>
          <w:color w:val="000000"/>
          <w:spacing w:val="-1"/>
          <w:kern w:val="0"/>
          <w:sz w:val="16"/>
          <w:szCs w:val="16"/>
        </w:rPr>
        <w:t>Jayashree B</w:t>
      </w:r>
      <w:r w:rsidRPr="007D1D00">
        <w:rPr>
          <w:color w:val="000000"/>
          <w:spacing w:val="-1"/>
          <w:kern w:val="0"/>
          <w:sz w:val="16"/>
          <w:szCs w:val="16"/>
        </w:rPr>
        <w:t xml:space="preserve">, Bibin YS, Prabhu D, Shanthirani CS, Gokulakrishnan K, Lakshmi BS, Mohan V, Balasubramanyam M. Increased circulatory levels of lipopolysaccharide (LPS) and zonulin signify novel biomarkers of proinflammation in patients with type </w:t>
      </w:r>
      <w:proofErr w:type="gramStart"/>
      <w:r w:rsidRPr="007D1D00">
        <w:rPr>
          <w:color w:val="000000"/>
          <w:spacing w:val="-1"/>
          <w:kern w:val="0"/>
          <w:sz w:val="16"/>
          <w:szCs w:val="16"/>
        </w:rPr>
        <w:t>2 diabetes</w:t>
      </w:r>
      <w:proofErr w:type="gramEnd"/>
      <w:r w:rsidRPr="007D1D00">
        <w:rPr>
          <w:color w:val="000000"/>
          <w:spacing w:val="-1"/>
          <w:kern w:val="0"/>
          <w:sz w:val="16"/>
          <w:szCs w:val="16"/>
        </w:rPr>
        <w:t xml:space="preserve">. </w:t>
      </w:r>
      <w:r w:rsidRPr="007D1D00">
        <w:rPr>
          <w:i/>
          <w:iCs/>
          <w:color w:val="000000"/>
          <w:spacing w:val="-1"/>
          <w:kern w:val="0"/>
          <w:sz w:val="16"/>
          <w:szCs w:val="16"/>
        </w:rPr>
        <w:t>Mol Cell Biochem</w:t>
      </w:r>
      <w:r w:rsidRPr="007D1D00">
        <w:rPr>
          <w:color w:val="000000"/>
          <w:spacing w:val="-1"/>
          <w:kern w:val="0"/>
          <w:sz w:val="16"/>
          <w:szCs w:val="16"/>
        </w:rPr>
        <w:t xml:space="preserve"> 2014; </w:t>
      </w:r>
      <w:r w:rsidRPr="007D1D00">
        <w:rPr>
          <w:b/>
          <w:bCs/>
          <w:color w:val="000000"/>
          <w:spacing w:val="-1"/>
          <w:kern w:val="0"/>
          <w:sz w:val="16"/>
          <w:szCs w:val="16"/>
        </w:rPr>
        <w:t>388</w:t>
      </w:r>
      <w:r w:rsidRPr="007D1D00">
        <w:rPr>
          <w:color w:val="000000"/>
          <w:spacing w:val="-1"/>
          <w:kern w:val="0"/>
          <w:sz w:val="16"/>
          <w:szCs w:val="16"/>
        </w:rPr>
        <w:t>: 203-210 [PMID: 24347174 DOI: 10.1007/s11010-013-1911-4]</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lastRenderedPageBreak/>
        <w:t>45</w:t>
      </w:r>
      <w:r w:rsidRPr="007D1D00">
        <w:rPr>
          <w:color w:val="000000"/>
          <w:spacing w:val="-1"/>
          <w:kern w:val="0"/>
          <w:sz w:val="16"/>
          <w:szCs w:val="16"/>
        </w:rPr>
        <w:tab/>
      </w:r>
      <w:r w:rsidRPr="007D1D00">
        <w:rPr>
          <w:b/>
          <w:bCs/>
          <w:color w:val="000000"/>
          <w:spacing w:val="-1"/>
          <w:kern w:val="0"/>
          <w:sz w:val="16"/>
          <w:szCs w:val="16"/>
        </w:rPr>
        <w:t>Vanuytsel T</w:t>
      </w:r>
      <w:r w:rsidRPr="007D1D00">
        <w:rPr>
          <w:color w:val="000000"/>
          <w:spacing w:val="-1"/>
          <w:kern w:val="0"/>
          <w:sz w:val="16"/>
          <w:szCs w:val="16"/>
        </w:rPr>
        <w:t xml:space="preserve">, Vermeire S, Cleynen I. </w:t>
      </w:r>
      <w:proofErr w:type="gramStart"/>
      <w:r w:rsidRPr="007D1D00">
        <w:rPr>
          <w:color w:val="000000"/>
          <w:spacing w:val="-1"/>
          <w:kern w:val="0"/>
          <w:sz w:val="16"/>
          <w:szCs w:val="16"/>
        </w:rPr>
        <w:t>The role of Haptoglobin and its related protein, Zonulin, in inflammatory bowel disease.</w:t>
      </w:r>
      <w:proofErr w:type="gramEnd"/>
      <w:r w:rsidRPr="007D1D00">
        <w:rPr>
          <w:color w:val="000000"/>
          <w:spacing w:val="-1"/>
          <w:kern w:val="0"/>
          <w:sz w:val="16"/>
          <w:szCs w:val="16"/>
        </w:rPr>
        <w:t xml:space="preserve"> </w:t>
      </w:r>
      <w:r w:rsidRPr="007D1D00">
        <w:rPr>
          <w:i/>
          <w:iCs/>
          <w:color w:val="000000"/>
          <w:spacing w:val="-1"/>
          <w:kern w:val="0"/>
          <w:sz w:val="16"/>
          <w:szCs w:val="16"/>
        </w:rPr>
        <w:t>Tissue Barriers</w:t>
      </w:r>
      <w:r w:rsidRPr="007D1D00">
        <w:rPr>
          <w:color w:val="000000"/>
          <w:spacing w:val="-1"/>
          <w:kern w:val="0"/>
          <w:sz w:val="16"/>
          <w:szCs w:val="16"/>
        </w:rPr>
        <w:t xml:space="preserve"> 2013; </w:t>
      </w:r>
      <w:r w:rsidRPr="007D1D00">
        <w:rPr>
          <w:b/>
          <w:bCs/>
          <w:color w:val="000000"/>
          <w:spacing w:val="-1"/>
          <w:kern w:val="0"/>
          <w:sz w:val="16"/>
          <w:szCs w:val="16"/>
        </w:rPr>
        <w:t>1</w:t>
      </w:r>
      <w:r w:rsidRPr="007D1D00">
        <w:rPr>
          <w:color w:val="000000"/>
          <w:spacing w:val="-1"/>
          <w:kern w:val="0"/>
          <w:sz w:val="16"/>
          <w:szCs w:val="16"/>
        </w:rPr>
        <w:t>: e27321 [PMID: 24868498 DOI: 10.4161/tisb.27321]</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46</w:t>
      </w:r>
      <w:r w:rsidRPr="007D1D00">
        <w:rPr>
          <w:color w:val="000000"/>
          <w:spacing w:val="-1"/>
          <w:kern w:val="0"/>
          <w:sz w:val="16"/>
          <w:szCs w:val="16"/>
        </w:rPr>
        <w:tab/>
      </w:r>
      <w:r w:rsidRPr="007D1D00">
        <w:rPr>
          <w:b/>
          <w:bCs/>
          <w:color w:val="000000"/>
          <w:spacing w:val="-1"/>
          <w:kern w:val="0"/>
          <w:sz w:val="16"/>
          <w:szCs w:val="16"/>
        </w:rPr>
        <w:t>Fasano A</w:t>
      </w:r>
      <w:r w:rsidRPr="007D1D00">
        <w:rPr>
          <w:color w:val="000000"/>
          <w:spacing w:val="-1"/>
          <w:kern w:val="0"/>
          <w:sz w:val="16"/>
          <w:szCs w:val="16"/>
        </w:rPr>
        <w:t xml:space="preserve">. Intestinal zonulin: open sesame! </w:t>
      </w:r>
      <w:r w:rsidRPr="007D1D00">
        <w:rPr>
          <w:i/>
          <w:iCs/>
          <w:color w:val="000000"/>
          <w:spacing w:val="-1"/>
          <w:kern w:val="0"/>
          <w:sz w:val="16"/>
          <w:szCs w:val="16"/>
        </w:rPr>
        <w:t>Gut</w:t>
      </w:r>
      <w:r w:rsidRPr="007D1D00">
        <w:rPr>
          <w:color w:val="000000"/>
          <w:spacing w:val="-1"/>
          <w:kern w:val="0"/>
          <w:sz w:val="16"/>
          <w:szCs w:val="16"/>
        </w:rPr>
        <w:t xml:space="preserve"> 2001; </w:t>
      </w:r>
      <w:r w:rsidRPr="007D1D00">
        <w:rPr>
          <w:b/>
          <w:bCs/>
          <w:color w:val="000000"/>
          <w:spacing w:val="-1"/>
          <w:kern w:val="0"/>
          <w:sz w:val="16"/>
          <w:szCs w:val="16"/>
        </w:rPr>
        <w:t>49</w:t>
      </w:r>
      <w:r w:rsidRPr="007D1D00">
        <w:rPr>
          <w:color w:val="000000"/>
          <w:spacing w:val="-1"/>
          <w:kern w:val="0"/>
          <w:sz w:val="16"/>
          <w:szCs w:val="16"/>
        </w:rPr>
        <w:t>: 159-162 [PMID: 11454785 DOI: 10.1136/gut.49.2.159]</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47</w:t>
      </w:r>
      <w:r w:rsidRPr="007D1D00">
        <w:rPr>
          <w:color w:val="000000"/>
          <w:spacing w:val="-1"/>
          <w:kern w:val="0"/>
          <w:sz w:val="16"/>
          <w:szCs w:val="16"/>
        </w:rPr>
        <w:tab/>
      </w:r>
      <w:r w:rsidRPr="007D1D00">
        <w:rPr>
          <w:b/>
          <w:bCs/>
          <w:color w:val="000000"/>
          <w:spacing w:val="-1"/>
          <w:kern w:val="0"/>
          <w:sz w:val="16"/>
          <w:szCs w:val="16"/>
        </w:rPr>
        <w:t>Furuse M</w:t>
      </w:r>
      <w:r w:rsidRPr="007D1D00">
        <w:rPr>
          <w:color w:val="000000"/>
          <w:spacing w:val="-1"/>
          <w:kern w:val="0"/>
          <w:sz w:val="16"/>
          <w:szCs w:val="16"/>
        </w:rPr>
        <w:t xml:space="preserve">, Hirase T, Itoh M, Nagafuchi A, Yonemura S, Tsukita S, Tsukita S. Occludin: a novel integral membrane protein localizing at tight junctions. </w:t>
      </w:r>
      <w:r w:rsidRPr="007D1D00">
        <w:rPr>
          <w:i/>
          <w:iCs/>
          <w:color w:val="000000"/>
          <w:spacing w:val="-1"/>
          <w:kern w:val="0"/>
          <w:sz w:val="16"/>
          <w:szCs w:val="16"/>
        </w:rPr>
        <w:t>J Cell Biol</w:t>
      </w:r>
      <w:r w:rsidRPr="007D1D00">
        <w:rPr>
          <w:color w:val="000000"/>
          <w:spacing w:val="-1"/>
          <w:kern w:val="0"/>
          <w:sz w:val="16"/>
          <w:szCs w:val="16"/>
        </w:rPr>
        <w:t xml:space="preserve"> 1993; </w:t>
      </w:r>
      <w:r w:rsidRPr="007D1D00">
        <w:rPr>
          <w:b/>
          <w:bCs/>
          <w:color w:val="000000"/>
          <w:spacing w:val="-1"/>
          <w:kern w:val="0"/>
          <w:sz w:val="16"/>
          <w:szCs w:val="16"/>
        </w:rPr>
        <w:t>123</w:t>
      </w:r>
      <w:r w:rsidRPr="007D1D00">
        <w:rPr>
          <w:color w:val="000000"/>
          <w:spacing w:val="-1"/>
          <w:kern w:val="0"/>
          <w:sz w:val="16"/>
          <w:szCs w:val="16"/>
        </w:rPr>
        <w:t>: 1777-1788 [PMID: 8276896]</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48</w:t>
      </w:r>
      <w:r w:rsidRPr="007D1D00">
        <w:rPr>
          <w:color w:val="000000"/>
          <w:spacing w:val="-1"/>
          <w:kern w:val="0"/>
          <w:sz w:val="16"/>
          <w:szCs w:val="16"/>
        </w:rPr>
        <w:tab/>
      </w:r>
      <w:r w:rsidRPr="007D1D00">
        <w:rPr>
          <w:b/>
          <w:bCs/>
          <w:color w:val="000000"/>
          <w:spacing w:val="-1"/>
          <w:kern w:val="0"/>
          <w:sz w:val="16"/>
          <w:szCs w:val="16"/>
        </w:rPr>
        <w:t>Drago S</w:t>
      </w:r>
      <w:r w:rsidRPr="007D1D00">
        <w:rPr>
          <w:color w:val="000000"/>
          <w:spacing w:val="-1"/>
          <w:kern w:val="0"/>
          <w:sz w:val="16"/>
          <w:szCs w:val="16"/>
        </w:rPr>
        <w:t xml:space="preserve">, El Asmar R, Di Pierro M, Grazia Clemente M, Tripathi A, Sapone A, Thakar M, Iacono G, Carroccio A, D’Agate C, Not T, Zampini L, Catassi C, Fasano A. Gliadin, zonulin and gut permeability: Effects on celiac and non-celiac intestinal mucosa and intestinal cell lines. </w:t>
      </w:r>
      <w:r w:rsidRPr="007D1D00">
        <w:rPr>
          <w:i/>
          <w:iCs/>
          <w:color w:val="000000"/>
          <w:spacing w:val="-1"/>
          <w:kern w:val="0"/>
          <w:sz w:val="16"/>
          <w:szCs w:val="16"/>
        </w:rPr>
        <w:t>Scand J Gastroenterol</w:t>
      </w:r>
      <w:r w:rsidRPr="007D1D00">
        <w:rPr>
          <w:color w:val="000000"/>
          <w:spacing w:val="-1"/>
          <w:kern w:val="0"/>
          <w:sz w:val="16"/>
          <w:szCs w:val="16"/>
        </w:rPr>
        <w:t xml:space="preserve"> 2006; </w:t>
      </w:r>
      <w:r w:rsidRPr="007D1D00">
        <w:rPr>
          <w:b/>
          <w:bCs/>
          <w:color w:val="000000"/>
          <w:spacing w:val="-1"/>
          <w:kern w:val="0"/>
          <w:sz w:val="16"/>
          <w:szCs w:val="16"/>
        </w:rPr>
        <w:t>41</w:t>
      </w:r>
      <w:r w:rsidRPr="007D1D00">
        <w:rPr>
          <w:color w:val="000000"/>
          <w:spacing w:val="-1"/>
          <w:kern w:val="0"/>
          <w:sz w:val="16"/>
          <w:szCs w:val="16"/>
        </w:rPr>
        <w:t>: 408-419 [PMID: 16635908 DOI: 10.1080/00365520500235334]</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49</w:t>
      </w:r>
      <w:r w:rsidRPr="007D1D00">
        <w:rPr>
          <w:color w:val="000000"/>
          <w:spacing w:val="-1"/>
          <w:kern w:val="0"/>
          <w:sz w:val="16"/>
          <w:szCs w:val="16"/>
        </w:rPr>
        <w:tab/>
      </w:r>
      <w:r w:rsidRPr="007D1D00">
        <w:rPr>
          <w:b/>
          <w:bCs/>
          <w:color w:val="000000"/>
          <w:spacing w:val="-1"/>
          <w:kern w:val="0"/>
          <w:sz w:val="16"/>
          <w:szCs w:val="16"/>
        </w:rPr>
        <w:t>Sapone A,</w:t>
      </w:r>
      <w:r w:rsidRPr="007D1D00">
        <w:rPr>
          <w:color w:val="000000"/>
          <w:spacing w:val="-1"/>
          <w:kern w:val="0"/>
          <w:sz w:val="16"/>
          <w:szCs w:val="16"/>
        </w:rPr>
        <w:t xml:space="preserve"> de Magistris L, Caravelli G, Familiar V, Riegler G, Zampini L, Catassi C, Fasano A. Serum zonulin and intestinal permeability before and after a gluten-containing meal in both type 1 diabetes and in their relatives.</w:t>
      </w:r>
      <w:r w:rsidRPr="007D1D00">
        <w:rPr>
          <w:i/>
          <w:iCs/>
          <w:color w:val="000000"/>
          <w:spacing w:val="-1"/>
          <w:kern w:val="0"/>
          <w:sz w:val="16"/>
          <w:szCs w:val="16"/>
        </w:rPr>
        <w:t xml:space="preserve"> Dig Liver Dis</w:t>
      </w:r>
      <w:r w:rsidRPr="007D1D00">
        <w:rPr>
          <w:color w:val="000000"/>
          <w:spacing w:val="-1"/>
          <w:kern w:val="0"/>
          <w:sz w:val="16"/>
          <w:szCs w:val="16"/>
        </w:rPr>
        <w:t xml:space="preserve"> 2006; </w:t>
      </w:r>
      <w:r w:rsidRPr="007D1D00">
        <w:rPr>
          <w:b/>
          <w:bCs/>
          <w:color w:val="000000"/>
          <w:spacing w:val="-1"/>
          <w:kern w:val="0"/>
          <w:sz w:val="16"/>
          <w:szCs w:val="16"/>
        </w:rPr>
        <w:t>38</w:t>
      </w:r>
      <w:r w:rsidRPr="007D1D00">
        <w:rPr>
          <w:color w:val="000000"/>
          <w:spacing w:val="-1"/>
          <w:kern w:val="0"/>
          <w:sz w:val="16"/>
          <w:szCs w:val="16"/>
        </w:rPr>
        <w:t>: S75 [DOI: 10.1016/S1590-8658(06)80197-0]</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50</w:t>
      </w:r>
      <w:r w:rsidRPr="007D1D00">
        <w:rPr>
          <w:color w:val="000000"/>
          <w:spacing w:val="-1"/>
          <w:kern w:val="0"/>
          <w:sz w:val="16"/>
          <w:szCs w:val="16"/>
        </w:rPr>
        <w:tab/>
      </w:r>
      <w:r w:rsidRPr="007D1D00">
        <w:rPr>
          <w:b/>
          <w:bCs/>
          <w:color w:val="000000"/>
          <w:spacing w:val="-1"/>
          <w:kern w:val="0"/>
          <w:sz w:val="16"/>
          <w:szCs w:val="16"/>
        </w:rPr>
        <w:t>Yao Z</w:t>
      </w:r>
      <w:r w:rsidRPr="007D1D00">
        <w:rPr>
          <w:color w:val="000000"/>
          <w:spacing w:val="-1"/>
          <w:kern w:val="0"/>
          <w:sz w:val="16"/>
          <w:szCs w:val="16"/>
        </w:rPr>
        <w:t xml:space="preserve">, Mates JM, Cheplowitz AM, Hammer LP, Maiseyeu A, Phillips GS, Wewers MD, Rajaram MV, Robinson JM, Anderson CL, Ganesan LP. Blood-Borne Lipopolysaccharide Is Rapidly Eliminated by Liver Sinusoidal Endothelial Cells via High-Density Lipoprotein. </w:t>
      </w:r>
      <w:r w:rsidRPr="007D1D00">
        <w:rPr>
          <w:i/>
          <w:iCs/>
          <w:color w:val="000000"/>
          <w:spacing w:val="-1"/>
          <w:kern w:val="0"/>
          <w:sz w:val="16"/>
          <w:szCs w:val="16"/>
        </w:rPr>
        <w:t>J Immunol</w:t>
      </w:r>
      <w:r w:rsidRPr="007D1D00">
        <w:rPr>
          <w:color w:val="000000"/>
          <w:spacing w:val="-1"/>
          <w:kern w:val="0"/>
          <w:sz w:val="16"/>
          <w:szCs w:val="16"/>
        </w:rPr>
        <w:t xml:space="preserve"> 2016; </w:t>
      </w:r>
      <w:r w:rsidRPr="007D1D00">
        <w:rPr>
          <w:b/>
          <w:bCs/>
          <w:color w:val="000000"/>
          <w:spacing w:val="-1"/>
          <w:kern w:val="0"/>
          <w:sz w:val="16"/>
          <w:szCs w:val="16"/>
        </w:rPr>
        <w:t>197</w:t>
      </w:r>
      <w:r w:rsidRPr="007D1D00">
        <w:rPr>
          <w:color w:val="000000"/>
          <w:spacing w:val="-1"/>
          <w:kern w:val="0"/>
          <w:sz w:val="16"/>
          <w:szCs w:val="16"/>
        </w:rPr>
        <w:t>: 2390-2399 [PMID: 27534554 DOI: 10.4049/jimmunol.1600702]</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lang w:val="nl-NL"/>
        </w:rPr>
      </w:pPr>
      <w:r w:rsidRPr="007D1D00">
        <w:rPr>
          <w:color w:val="000000"/>
          <w:spacing w:val="-1"/>
          <w:kern w:val="0"/>
          <w:sz w:val="16"/>
          <w:szCs w:val="16"/>
        </w:rPr>
        <w:t>51</w:t>
      </w:r>
      <w:r w:rsidRPr="007D1D00">
        <w:rPr>
          <w:color w:val="000000"/>
          <w:spacing w:val="-1"/>
          <w:kern w:val="0"/>
          <w:sz w:val="16"/>
          <w:szCs w:val="16"/>
        </w:rPr>
        <w:tab/>
      </w:r>
      <w:r w:rsidRPr="007D1D00">
        <w:rPr>
          <w:b/>
          <w:bCs/>
          <w:color w:val="000000"/>
          <w:spacing w:val="-1"/>
          <w:kern w:val="0"/>
          <w:sz w:val="16"/>
          <w:szCs w:val="16"/>
        </w:rPr>
        <w:t>Li C</w:t>
      </w:r>
      <w:r w:rsidRPr="007D1D00">
        <w:rPr>
          <w:color w:val="000000"/>
          <w:spacing w:val="-1"/>
          <w:kern w:val="0"/>
          <w:sz w:val="16"/>
          <w:szCs w:val="16"/>
        </w:rPr>
        <w:t xml:space="preserve">, Gao M, Zhang W, Chen C, Zhou F, Hu Z, Zeng C. Zonulin Regulates Intestinal Permeability and Facilitates Enteric Bacteria Permeation in Coronary Artery Disease. </w:t>
      </w:r>
      <w:r w:rsidRPr="007D1D00">
        <w:rPr>
          <w:i/>
          <w:iCs/>
          <w:color w:val="000000"/>
          <w:spacing w:val="-1"/>
          <w:kern w:val="0"/>
          <w:sz w:val="16"/>
          <w:szCs w:val="16"/>
          <w:lang w:val="nl-NL"/>
        </w:rPr>
        <w:t>Sci Rep</w:t>
      </w:r>
      <w:r w:rsidRPr="007D1D00">
        <w:rPr>
          <w:color w:val="000000"/>
          <w:spacing w:val="-1"/>
          <w:kern w:val="0"/>
          <w:sz w:val="16"/>
          <w:szCs w:val="16"/>
          <w:lang w:val="nl-NL"/>
        </w:rPr>
        <w:t xml:space="preserve"> 2016; </w:t>
      </w:r>
      <w:r w:rsidRPr="007D1D00">
        <w:rPr>
          <w:b/>
          <w:bCs/>
          <w:color w:val="000000"/>
          <w:spacing w:val="-1"/>
          <w:kern w:val="0"/>
          <w:sz w:val="16"/>
          <w:szCs w:val="16"/>
          <w:lang w:val="nl-NL"/>
        </w:rPr>
        <w:t>6</w:t>
      </w:r>
      <w:r w:rsidRPr="007D1D00">
        <w:rPr>
          <w:color w:val="000000"/>
          <w:spacing w:val="-1"/>
          <w:kern w:val="0"/>
          <w:sz w:val="16"/>
          <w:szCs w:val="16"/>
          <w:lang w:val="nl-NL"/>
        </w:rPr>
        <w:t>: 29142 [PMID: 27353603 DOI: 10.1038/srep29142]</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lang w:val="nl-NL"/>
        </w:rPr>
        <w:t>52</w:t>
      </w:r>
      <w:r w:rsidRPr="007D1D00">
        <w:rPr>
          <w:color w:val="000000"/>
          <w:spacing w:val="-1"/>
          <w:kern w:val="0"/>
          <w:sz w:val="16"/>
          <w:szCs w:val="16"/>
          <w:lang w:val="nl-NL"/>
        </w:rPr>
        <w:tab/>
      </w:r>
      <w:r w:rsidRPr="007D1D00">
        <w:rPr>
          <w:b/>
          <w:bCs/>
          <w:color w:val="000000"/>
          <w:spacing w:val="-1"/>
          <w:kern w:val="0"/>
          <w:sz w:val="16"/>
          <w:szCs w:val="16"/>
          <w:lang w:val="nl-NL"/>
        </w:rPr>
        <w:t>Klaus DA</w:t>
      </w:r>
      <w:r w:rsidRPr="007D1D00">
        <w:rPr>
          <w:color w:val="000000"/>
          <w:spacing w:val="-1"/>
          <w:kern w:val="0"/>
          <w:sz w:val="16"/>
          <w:szCs w:val="16"/>
          <w:lang w:val="nl-NL"/>
        </w:rPr>
        <w:t xml:space="preserve">, Motal MC, Burger-Klepp U, Marschalek C, Schmidt EM, Lebherz-Eichinger D, Krenn CG, Roth GA. </w:t>
      </w:r>
      <w:proofErr w:type="gramStart"/>
      <w:r w:rsidRPr="007D1D00">
        <w:rPr>
          <w:color w:val="000000"/>
          <w:spacing w:val="-1"/>
          <w:kern w:val="0"/>
          <w:sz w:val="16"/>
          <w:szCs w:val="16"/>
        </w:rPr>
        <w:t>Increased plasma zonulin in patients with sepsis.</w:t>
      </w:r>
      <w:proofErr w:type="gramEnd"/>
      <w:r w:rsidRPr="007D1D00">
        <w:rPr>
          <w:color w:val="000000"/>
          <w:spacing w:val="-1"/>
          <w:kern w:val="0"/>
          <w:sz w:val="16"/>
          <w:szCs w:val="16"/>
        </w:rPr>
        <w:t xml:space="preserve"> </w:t>
      </w:r>
      <w:r w:rsidRPr="007D1D00">
        <w:rPr>
          <w:i/>
          <w:iCs/>
          <w:color w:val="000000"/>
          <w:spacing w:val="-1"/>
          <w:kern w:val="0"/>
          <w:sz w:val="16"/>
          <w:szCs w:val="16"/>
        </w:rPr>
        <w:t xml:space="preserve">Biochem Med </w:t>
      </w:r>
      <w:r w:rsidRPr="007D1D00">
        <w:rPr>
          <w:color w:val="000000"/>
          <w:spacing w:val="-1"/>
          <w:kern w:val="0"/>
          <w:sz w:val="16"/>
          <w:szCs w:val="16"/>
        </w:rPr>
        <w:t xml:space="preserve">(Zagreb) 2013; </w:t>
      </w:r>
      <w:r w:rsidRPr="007D1D00">
        <w:rPr>
          <w:b/>
          <w:bCs/>
          <w:color w:val="000000"/>
          <w:spacing w:val="-1"/>
          <w:kern w:val="0"/>
          <w:sz w:val="16"/>
          <w:szCs w:val="16"/>
        </w:rPr>
        <w:t>23</w:t>
      </w:r>
      <w:r w:rsidRPr="007D1D00">
        <w:rPr>
          <w:color w:val="000000"/>
          <w:spacing w:val="-1"/>
          <w:kern w:val="0"/>
          <w:sz w:val="16"/>
          <w:szCs w:val="16"/>
        </w:rPr>
        <w:t>: 107-111 [PMID: 23457771 DOI: 10.11613/BM.2013.013]</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53</w:t>
      </w:r>
      <w:r w:rsidRPr="007D1D00">
        <w:rPr>
          <w:color w:val="000000"/>
          <w:spacing w:val="-1"/>
          <w:kern w:val="0"/>
          <w:sz w:val="16"/>
          <w:szCs w:val="16"/>
        </w:rPr>
        <w:tab/>
      </w:r>
      <w:r w:rsidRPr="007D1D00">
        <w:rPr>
          <w:b/>
          <w:bCs/>
          <w:color w:val="000000"/>
          <w:spacing w:val="-1"/>
          <w:kern w:val="0"/>
          <w:sz w:val="16"/>
          <w:szCs w:val="16"/>
        </w:rPr>
        <w:t>Fasano A,</w:t>
      </w:r>
      <w:r w:rsidRPr="007D1D00">
        <w:rPr>
          <w:color w:val="000000"/>
          <w:spacing w:val="-1"/>
          <w:kern w:val="0"/>
          <w:sz w:val="16"/>
          <w:szCs w:val="16"/>
        </w:rPr>
        <w:t xml:space="preserve"> Not T, Wang W, Uzzau S, Berti I, Tommasini A, Goldblum SE. Zonulin, a newly discovered modulator of intestinal permeability, and its expression in coeliac disease. </w:t>
      </w:r>
      <w:r w:rsidRPr="007D1D00">
        <w:rPr>
          <w:i/>
          <w:iCs/>
          <w:color w:val="000000"/>
          <w:spacing w:val="-1"/>
          <w:kern w:val="0"/>
          <w:sz w:val="16"/>
          <w:szCs w:val="16"/>
        </w:rPr>
        <w:t xml:space="preserve">Lancet </w:t>
      </w:r>
      <w:r w:rsidRPr="007D1D00">
        <w:rPr>
          <w:color w:val="000000"/>
          <w:spacing w:val="-1"/>
          <w:kern w:val="0"/>
          <w:sz w:val="16"/>
          <w:szCs w:val="16"/>
        </w:rPr>
        <w:t xml:space="preserve">2000; </w:t>
      </w:r>
      <w:r w:rsidRPr="007D1D00">
        <w:rPr>
          <w:b/>
          <w:bCs/>
          <w:color w:val="000000"/>
          <w:spacing w:val="-1"/>
          <w:kern w:val="0"/>
          <w:sz w:val="16"/>
          <w:szCs w:val="16"/>
        </w:rPr>
        <w:t>355</w:t>
      </w:r>
      <w:r w:rsidRPr="007D1D00">
        <w:rPr>
          <w:color w:val="000000"/>
          <w:spacing w:val="-1"/>
          <w:kern w:val="0"/>
          <w:sz w:val="16"/>
          <w:szCs w:val="16"/>
        </w:rPr>
        <w:t>: 1518-1519 [PMID: 10801176 DOI: 10.1016/s0140-6736(00)02169-3]</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54</w:t>
      </w:r>
      <w:r w:rsidRPr="007D1D00">
        <w:rPr>
          <w:color w:val="000000"/>
          <w:spacing w:val="-1"/>
          <w:kern w:val="0"/>
          <w:sz w:val="16"/>
          <w:szCs w:val="16"/>
        </w:rPr>
        <w:tab/>
      </w:r>
      <w:r w:rsidRPr="007D1D00">
        <w:rPr>
          <w:b/>
          <w:bCs/>
          <w:color w:val="000000"/>
          <w:spacing w:val="-1"/>
          <w:kern w:val="0"/>
          <w:sz w:val="16"/>
          <w:szCs w:val="16"/>
        </w:rPr>
        <w:t>Doedens JR</w:t>
      </w:r>
      <w:r w:rsidRPr="007D1D00">
        <w:rPr>
          <w:color w:val="000000"/>
          <w:spacing w:val="-1"/>
          <w:kern w:val="0"/>
          <w:sz w:val="16"/>
          <w:szCs w:val="16"/>
        </w:rPr>
        <w:t xml:space="preserve">, Jones WD, Hill K, Mason MJ, Gersuk VH, Mease PJ, Dall’Era M, Aranow C, Martin RW, Cohen SB, Fleischmann RM, Kivitz AJ, Burge DJ, Chaussabel D, Elkon KB, Posada JA. Blood-Borne RNA Correlates with Disease Activity and IFN-Stimulated Gene Expression in Systemic Lupus Erythematosus. </w:t>
      </w:r>
      <w:r w:rsidRPr="007D1D00">
        <w:rPr>
          <w:i/>
          <w:iCs/>
          <w:color w:val="000000"/>
          <w:spacing w:val="-1"/>
          <w:kern w:val="0"/>
          <w:sz w:val="16"/>
          <w:szCs w:val="16"/>
        </w:rPr>
        <w:t>J Immunol</w:t>
      </w:r>
      <w:r w:rsidRPr="007D1D00">
        <w:rPr>
          <w:color w:val="000000"/>
          <w:spacing w:val="-1"/>
          <w:kern w:val="0"/>
          <w:sz w:val="16"/>
          <w:szCs w:val="16"/>
        </w:rPr>
        <w:t xml:space="preserve"> 2016; </w:t>
      </w:r>
      <w:r w:rsidRPr="007D1D00">
        <w:rPr>
          <w:b/>
          <w:bCs/>
          <w:color w:val="000000"/>
          <w:spacing w:val="-1"/>
          <w:kern w:val="0"/>
          <w:sz w:val="16"/>
          <w:szCs w:val="16"/>
        </w:rPr>
        <w:t>197</w:t>
      </w:r>
      <w:r w:rsidRPr="007D1D00">
        <w:rPr>
          <w:color w:val="000000"/>
          <w:spacing w:val="-1"/>
          <w:kern w:val="0"/>
          <w:sz w:val="16"/>
          <w:szCs w:val="16"/>
        </w:rPr>
        <w:t>: 2854-2863 [PMID: 27534558 DOI: 10.4049/jimmunol.1601142]</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55</w:t>
      </w:r>
      <w:r w:rsidRPr="007D1D00">
        <w:rPr>
          <w:color w:val="000000"/>
          <w:spacing w:val="-1"/>
          <w:kern w:val="0"/>
          <w:sz w:val="16"/>
          <w:szCs w:val="16"/>
        </w:rPr>
        <w:tab/>
      </w:r>
      <w:r w:rsidRPr="007D1D00">
        <w:rPr>
          <w:b/>
          <w:bCs/>
          <w:color w:val="000000"/>
          <w:spacing w:val="-1"/>
          <w:kern w:val="0"/>
          <w:sz w:val="16"/>
          <w:szCs w:val="16"/>
        </w:rPr>
        <w:t>Davies KA</w:t>
      </w:r>
      <w:r w:rsidRPr="007D1D00">
        <w:rPr>
          <w:color w:val="000000"/>
          <w:spacing w:val="-1"/>
          <w:kern w:val="0"/>
          <w:sz w:val="16"/>
          <w:szCs w:val="16"/>
        </w:rPr>
        <w:t xml:space="preserve">, Peters </w:t>
      </w:r>
      <w:proofErr w:type="gramStart"/>
      <w:r w:rsidRPr="007D1D00">
        <w:rPr>
          <w:color w:val="000000"/>
          <w:spacing w:val="-1"/>
          <w:kern w:val="0"/>
          <w:sz w:val="16"/>
          <w:szCs w:val="16"/>
        </w:rPr>
        <w:t>AM</w:t>
      </w:r>
      <w:proofErr w:type="gramEnd"/>
      <w:r w:rsidRPr="007D1D00">
        <w:rPr>
          <w:color w:val="000000"/>
          <w:spacing w:val="-1"/>
          <w:kern w:val="0"/>
          <w:sz w:val="16"/>
          <w:szCs w:val="16"/>
        </w:rPr>
        <w:t xml:space="preserve">, Beynon HL, Walport MJ. </w:t>
      </w:r>
      <w:proofErr w:type="gramStart"/>
      <w:r w:rsidRPr="007D1D00">
        <w:rPr>
          <w:color w:val="000000"/>
          <w:spacing w:val="-1"/>
          <w:kern w:val="0"/>
          <w:sz w:val="16"/>
          <w:szCs w:val="16"/>
        </w:rPr>
        <w:t>Immune complex processing in patients with systemic lupus erythematosus.</w:t>
      </w:r>
      <w:proofErr w:type="gramEnd"/>
      <w:r w:rsidRPr="007D1D00">
        <w:rPr>
          <w:color w:val="000000"/>
          <w:spacing w:val="-1"/>
          <w:kern w:val="0"/>
          <w:sz w:val="16"/>
          <w:szCs w:val="16"/>
        </w:rPr>
        <w:t xml:space="preserve"> </w:t>
      </w:r>
      <w:proofErr w:type="gramStart"/>
      <w:r w:rsidRPr="007D1D00">
        <w:rPr>
          <w:color w:val="000000"/>
          <w:spacing w:val="-1"/>
          <w:kern w:val="0"/>
          <w:sz w:val="16"/>
          <w:szCs w:val="16"/>
        </w:rPr>
        <w:t>In vivo imaging and clearance studies.</w:t>
      </w:r>
      <w:proofErr w:type="gramEnd"/>
      <w:r w:rsidRPr="007D1D00">
        <w:rPr>
          <w:color w:val="000000"/>
          <w:spacing w:val="-1"/>
          <w:kern w:val="0"/>
          <w:sz w:val="16"/>
          <w:szCs w:val="16"/>
        </w:rPr>
        <w:t xml:space="preserve"> </w:t>
      </w:r>
      <w:r w:rsidRPr="007D1D00">
        <w:rPr>
          <w:i/>
          <w:iCs/>
          <w:color w:val="000000"/>
          <w:spacing w:val="-1"/>
          <w:kern w:val="0"/>
          <w:sz w:val="16"/>
          <w:szCs w:val="16"/>
        </w:rPr>
        <w:t>J Clin Invest</w:t>
      </w:r>
      <w:r w:rsidRPr="007D1D00">
        <w:rPr>
          <w:color w:val="000000"/>
          <w:spacing w:val="-1"/>
          <w:kern w:val="0"/>
          <w:sz w:val="16"/>
          <w:szCs w:val="16"/>
        </w:rPr>
        <w:t xml:space="preserve"> 1992; </w:t>
      </w:r>
      <w:r w:rsidRPr="007D1D00">
        <w:rPr>
          <w:b/>
          <w:bCs/>
          <w:color w:val="000000"/>
          <w:spacing w:val="-1"/>
          <w:kern w:val="0"/>
          <w:sz w:val="16"/>
          <w:szCs w:val="16"/>
        </w:rPr>
        <w:t>90</w:t>
      </w:r>
      <w:r w:rsidRPr="007D1D00">
        <w:rPr>
          <w:color w:val="000000"/>
          <w:spacing w:val="-1"/>
          <w:kern w:val="0"/>
          <w:sz w:val="16"/>
          <w:szCs w:val="16"/>
        </w:rPr>
        <w:t>: 2075-2083 [PMID: 1430231 DOI: 10.1172/jci116090]</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56</w:t>
      </w:r>
      <w:r w:rsidRPr="007D1D00">
        <w:rPr>
          <w:color w:val="000000"/>
          <w:spacing w:val="-1"/>
          <w:kern w:val="0"/>
          <w:sz w:val="16"/>
          <w:szCs w:val="16"/>
        </w:rPr>
        <w:tab/>
      </w:r>
      <w:r w:rsidRPr="007D1D00">
        <w:rPr>
          <w:b/>
          <w:bCs/>
          <w:color w:val="000000"/>
          <w:spacing w:val="-1"/>
          <w:kern w:val="0"/>
          <w:sz w:val="16"/>
          <w:szCs w:val="16"/>
        </w:rPr>
        <w:t>Green PH</w:t>
      </w:r>
      <w:r w:rsidRPr="007D1D00">
        <w:rPr>
          <w:color w:val="000000"/>
          <w:spacing w:val="-1"/>
          <w:kern w:val="0"/>
          <w:sz w:val="16"/>
          <w:szCs w:val="16"/>
        </w:rPr>
        <w:t xml:space="preserve">, Cellier C. Celiac disease. </w:t>
      </w:r>
      <w:r w:rsidRPr="007D1D00">
        <w:rPr>
          <w:i/>
          <w:iCs/>
          <w:color w:val="000000"/>
          <w:spacing w:val="-1"/>
          <w:kern w:val="0"/>
          <w:sz w:val="16"/>
          <w:szCs w:val="16"/>
        </w:rPr>
        <w:t>N Engl J Med</w:t>
      </w:r>
      <w:r w:rsidRPr="007D1D00">
        <w:rPr>
          <w:color w:val="000000"/>
          <w:spacing w:val="-1"/>
          <w:kern w:val="0"/>
          <w:sz w:val="16"/>
          <w:szCs w:val="16"/>
        </w:rPr>
        <w:t xml:space="preserve"> 2007; </w:t>
      </w:r>
      <w:r w:rsidRPr="007D1D00">
        <w:rPr>
          <w:b/>
          <w:bCs/>
          <w:color w:val="000000"/>
          <w:spacing w:val="-1"/>
          <w:kern w:val="0"/>
          <w:sz w:val="16"/>
          <w:szCs w:val="16"/>
        </w:rPr>
        <w:t>357</w:t>
      </w:r>
      <w:r w:rsidRPr="007D1D00">
        <w:rPr>
          <w:color w:val="000000"/>
          <w:spacing w:val="-1"/>
          <w:kern w:val="0"/>
          <w:sz w:val="16"/>
          <w:szCs w:val="16"/>
        </w:rPr>
        <w:t>: 1731-1743 [PMID: 17960014 DOI: 10.1056/nejmra071600]</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57</w:t>
      </w:r>
      <w:r w:rsidRPr="007D1D00">
        <w:rPr>
          <w:color w:val="000000"/>
          <w:spacing w:val="-1"/>
          <w:kern w:val="0"/>
          <w:sz w:val="16"/>
          <w:szCs w:val="16"/>
        </w:rPr>
        <w:tab/>
      </w:r>
      <w:r w:rsidRPr="007D1D00">
        <w:rPr>
          <w:b/>
          <w:bCs/>
          <w:color w:val="000000"/>
          <w:spacing w:val="-1"/>
          <w:kern w:val="0"/>
          <w:sz w:val="16"/>
          <w:szCs w:val="16"/>
        </w:rPr>
        <w:t>Duerksen DR</w:t>
      </w:r>
      <w:r w:rsidRPr="007D1D00">
        <w:rPr>
          <w:color w:val="000000"/>
          <w:spacing w:val="-1"/>
          <w:kern w:val="0"/>
          <w:sz w:val="16"/>
          <w:szCs w:val="16"/>
        </w:rPr>
        <w:t xml:space="preserve">, Wilhelm-Boyles C, Parry DM. Intestinal permeability in long-term follow-up of patients with celiac disease on a gluten-free diet. </w:t>
      </w:r>
      <w:r w:rsidRPr="007D1D00">
        <w:rPr>
          <w:i/>
          <w:iCs/>
          <w:color w:val="000000"/>
          <w:spacing w:val="-1"/>
          <w:kern w:val="0"/>
          <w:sz w:val="16"/>
          <w:szCs w:val="16"/>
        </w:rPr>
        <w:t>Dig Dis Sci</w:t>
      </w:r>
      <w:r w:rsidRPr="007D1D00">
        <w:rPr>
          <w:color w:val="000000"/>
          <w:spacing w:val="-1"/>
          <w:kern w:val="0"/>
          <w:sz w:val="16"/>
          <w:szCs w:val="16"/>
        </w:rPr>
        <w:t xml:space="preserve"> 2005; </w:t>
      </w:r>
      <w:r w:rsidRPr="007D1D00">
        <w:rPr>
          <w:b/>
          <w:bCs/>
          <w:color w:val="000000"/>
          <w:spacing w:val="-1"/>
          <w:kern w:val="0"/>
          <w:sz w:val="16"/>
          <w:szCs w:val="16"/>
        </w:rPr>
        <w:t>50</w:t>
      </w:r>
      <w:r w:rsidRPr="007D1D00">
        <w:rPr>
          <w:color w:val="000000"/>
          <w:spacing w:val="-1"/>
          <w:kern w:val="0"/>
          <w:sz w:val="16"/>
          <w:szCs w:val="16"/>
        </w:rPr>
        <w:t>: 785-790 [PMID: 15844719 DOI: 10.1007/s10620-005-2574-0]</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r w:rsidRPr="007D1D00">
        <w:rPr>
          <w:color w:val="000000"/>
          <w:spacing w:val="-1"/>
          <w:kern w:val="0"/>
          <w:sz w:val="16"/>
          <w:szCs w:val="16"/>
        </w:rPr>
        <w:t>58</w:t>
      </w:r>
      <w:r w:rsidRPr="007D1D00">
        <w:rPr>
          <w:color w:val="000000"/>
          <w:spacing w:val="-1"/>
          <w:kern w:val="0"/>
          <w:sz w:val="16"/>
          <w:szCs w:val="16"/>
        </w:rPr>
        <w:tab/>
      </w:r>
      <w:r w:rsidRPr="007D1D00">
        <w:rPr>
          <w:b/>
          <w:bCs/>
          <w:color w:val="000000"/>
          <w:spacing w:val="-1"/>
          <w:kern w:val="0"/>
          <w:sz w:val="16"/>
          <w:szCs w:val="16"/>
        </w:rPr>
        <w:t>Spadoni I</w:t>
      </w:r>
      <w:r w:rsidRPr="007D1D00">
        <w:rPr>
          <w:color w:val="000000"/>
          <w:spacing w:val="-1"/>
          <w:kern w:val="0"/>
          <w:sz w:val="16"/>
          <w:szCs w:val="16"/>
        </w:rPr>
        <w:t xml:space="preserve">, Zagato E, Bertocchi A, Paolinelli R, Hot E, Di Sabatino A, Caprioli F, Bottiglieri L, Oldani A, Viale G, Penna G, Dejana E, Rescigno M. A gut-vascular barrier controls the systemic dissemination of bacteria. </w:t>
      </w:r>
      <w:r w:rsidRPr="007D1D00">
        <w:rPr>
          <w:i/>
          <w:iCs/>
          <w:color w:val="000000"/>
          <w:spacing w:val="-1"/>
          <w:kern w:val="0"/>
          <w:sz w:val="16"/>
          <w:szCs w:val="16"/>
        </w:rPr>
        <w:t>Science</w:t>
      </w:r>
      <w:r w:rsidRPr="007D1D00">
        <w:rPr>
          <w:color w:val="000000"/>
          <w:spacing w:val="-1"/>
          <w:kern w:val="0"/>
          <w:sz w:val="16"/>
          <w:szCs w:val="16"/>
        </w:rPr>
        <w:t xml:space="preserve"> 2015; </w:t>
      </w:r>
      <w:r w:rsidRPr="007D1D00">
        <w:rPr>
          <w:b/>
          <w:bCs/>
          <w:color w:val="000000"/>
          <w:spacing w:val="-1"/>
          <w:kern w:val="0"/>
          <w:sz w:val="16"/>
          <w:szCs w:val="16"/>
        </w:rPr>
        <w:t>350</w:t>
      </w:r>
      <w:r w:rsidRPr="007D1D00">
        <w:rPr>
          <w:color w:val="000000"/>
          <w:spacing w:val="-1"/>
          <w:kern w:val="0"/>
          <w:sz w:val="16"/>
          <w:szCs w:val="16"/>
        </w:rPr>
        <w:t>: 830-834 [PMID: 26564856 DOI: 10.1126/science.aad0135]</w:t>
      </w:r>
    </w:p>
    <w:p w:rsidR="00A16B9F" w:rsidRPr="007D1D00" w:rsidRDefault="00A16B9F" w:rsidP="00A16B9F">
      <w:pPr>
        <w:suppressAutoHyphens/>
        <w:autoSpaceDE w:val="0"/>
        <w:autoSpaceDN w:val="0"/>
        <w:adjustRightInd w:val="0"/>
        <w:spacing w:line="200" w:lineRule="atLeast"/>
        <w:ind w:left="360" w:hanging="360"/>
        <w:textAlignment w:val="center"/>
        <w:rPr>
          <w:color w:val="000000"/>
          <w:spacing w:val="-1"/>
          <w:kern w:val="0"/>
          <w:sz w:val="16"/>
          <w:szCs w:val="16"/>
        </w:rPr>
      </w:pPr>
    </w:p>
    <w:p w:rsidR="00A16B9F" w:rsidRDefault="00A16B9F" w:rsidP="00A16B9F">
      <w:r>
        <w:t>Figure Legends</w:t>
      </w:r>
    </w:p>
    <w:p w:rsidR="00A16B9F" w:rsidRDefault="00A16B9F" w:rsidP="00A16B9F">
      <w:pPr>
        <w:pStyle w:val="8BF4"/>
        <w:rPr>
          <w:b/>
          <w:bCs/>
        </w:rPr>
      </w:pPr>
      <w:r>
        <w:rPr>
          <w:b/>
          <w:bCs/>
          <w:noProof/>
          <w:lang w:bidi="ar-SA"/>
        </w:rPr>
        <w:lastRenderedPageBreak/>
        <w:drawing>
          <wp:inline distT="0" distB="0" distL="0" distR="0">
            <wp:extent cx="2737784" cy="2717800"/>
            <wp:effectExtent l="0" t="0" r="5715" b="6350"/>
            <wp:docPr id="4" name="图片 4" descr="D:\排版、组版\WJG\组版\WJGv23i31\pmc-31\fig\WJG-23-5669-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G\组版\WJGv23i31\pmc-31\fig\WJG-23-5669-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7784" cy="2717800"/>
                    </a:xfrm>
                    <a:prstGeom prst="rect">
                      <a:avLst/>
                    </a:prstGeom>
                    <a:noFill/>
                    <a:ln>
                      <a:noFill/>
                    </a:ln>
                  </pic:spPr>
                </pic:pic>
              </a:graphicData>
            </a:graphic>
          </wp:inline>
        </w:drawing>
      </w:r>
    </w:p>
    <w:p w:rsidR="00A16B9F" w:rsidRDefault="00A16B9F" w:rsidP="00A16B9F">
      <w:pPr>
        <w:pStyle w:val="8BF4"/>
        <w:rPr>
          <w:b/>
          <w:bCs/>
        </w:rPr>
      </w:pPr>
      <w:r>
        <w:rPr>
          <w:b/>
          <w:bCs/>
        </w:rPr>
        <w:t xml:space="preserve">Figure </w:t>
      </w:r>
      <w:proofErr w:type="gramStart"/>
      <w:r>
        <w:rPr>
          <w:b/>
          <w:bCs/>
        </w:rPr>
        <w:t>1  Minimal</w:t>
      </w:r>
      <w:proofErr w:type="gramEnd"/>
      <w:r>
        <w:rPr>
          <w:b/>
          <w:bCs/>
        </w:rPr>
        <w:t xml:space="preserve"> fluctuations in zonulin levels in individuals with low levels of zonulin (A), IgG antibody (B), and IgA antibody (C) in a subgroup of 6 out of 18 subjects. </w:t>
      </w:r>
    </w:p>
    <w:p w:rsidR="00A16B9F" w:rsidRDefault="00A16B9F" w:rsidP="00A16B9F">
      <w:pPr>
        <w:pStyle w:val="8BF4"/>
        <w:rPr>
          <w:b/>
          <w:bCs/>
        </w:rPr>
      </w:pPr>
      <w:r>
        <w:rPr>
          <w:b/>
          <w:bCs/>
          <w:noProof/>
          <w:lang w:bidi="ar-SA"/>
        </w:rPr>
        <w:drawing>
          <wp:inline distT="0" distB="0" distL="0" distR="0">
            <wp:extent cx="2692400" cy="3835217"/>
            <wp:effectExtent l="0" t="0" r="0" b="0"/>
            <wp:docPr id="5" name="图片 5" descr="D:\排版、组版\WJG\组版\WJGv23i31\pmc-31\fig\WJG-23-5669-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G\组版\WJGv23i31\pmc-31\fig\WJG-23-5669-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2400" cy="3835217"/>
                    </a:xfrm>
                    <a:prstGeom prst="rect">
                      <a:avLst/>
                    </a:prstGeom>
                    <a:noFill/>
                    <a:ln>
                      <a:noFill/>
                    </a:ln>
                  </pic:spPr>
                </pic:pic>
              </a:graphicData>
            </a:graphic>
          </wp:inline>
        </w:drawing>
      </w:r>
    </w:p>
    <w:p w:rsidR="00A16B9F" w:rsidRDefault="00A16B9F" w:rsidP="00A16B9F">
      <w:pPr>
        <w:pStyle w:val="8BF4"/>
        <w:rPr>
          <w:b/>
          <w:bCs/>
        </w:rPr>
      </w:pPr>
      <w:r>
        <w:rPr>
          <w:b/>
          <w:bCs/>
        </w:rPr>
        <w:t xml:space="preserve">Figure 2  Fluctuation of serum level of zonulin in a subgroup of 12 out of 18 subjects with zonulin elevations (A, B) </w:t>
      </w:r>
      <w:r>
        <w:rPr>
          <w:b/>
          <w:bCs/>
          <w:i/>
          <w:iCs/>
        </w:rPr>
        <w:t>vs</w:t>
      </w:r>
      <w:r>
        <w:rPr>
          <w:b/>
          <w:bCs/>
        </w:rPr>
        <w:t xml:space="preserve"> much more stable zonulin IgG (C, D) and zonulin IgA (E, F) antibodies.</w:t>
      </w:r>
    </w:p>
    <w:p w:rsidR="00A16B9F" w:rsidRDefault="00A16B9F" w:rsidP="00A16B9F">
      <w:pPr>
        <w:pStyle w:val="8BF4"/>
        <w:rPr>
          <w:b/>
          <w:bCs/>
        </w:rPr>
      </w:pPr>
      <w:r>
        <w:rPr>
          <w:b/>
          <w:bCs/>
          <w:noProof/>
          <w:lang w:bidi="ar-SA"/>
        </w:rPr>
        <w:lastRenderedPageBreak/>
        <w:drawing>
          <wp:inline distT="0" distB="0" distL="0" distR="0">
            <wp:extent cx="3752849" cy="2573382"/>
            <wp:effectExtent l="0" t="0" r="635" b="0"/>
            <wp:docPr id="6" name="图片 6" descr="D:\排版、组版\WJG\组版\WJGv23i31\pmc-31\fig\WJG-23-5669-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G\组版\WJGv23i31\pmc-31\fig\WJG-23-5669-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49" cy="2573382"/>
                    </a:xfrm>
                    <a:prstGeom prst="rect">
                      <a:avLst/>
                    </a:prstGeom>
                    <a:noFill/>
                    <a:ln>
                      <a:noFill/>
                    </a:ln>
                  </pic:spPr>
                </pic:pic>
              </a:graphicData>
            </a:graphic>
          </wp:inline>
        </w:drawing>
      </w:r>
    </w:p>
    <w:p w:rsidR="00A16B9F" w:rsidRDefault="00A16B9F" w:rsidP="00A16B9F">
      <w:pPr>
        <w:pStyle w:val="8BF4"/>
      </w:pPr>
      <w:r>
        <w:rPr>
          <w:b/>
          <w:bCs/>
        </w:rPr>
        <w:t xml:space="preserve">Figure </w:t>
      </w:r>
      <w:proofErr w:type="gramStart"/>
      <w:r>
        <w:rPr>
          <w:b/>
          <w:bCs/>
        </w:rPr>
        <w:t>3  Differences</w:t>
      </w:r>
      <w:proofErr w:type="gramEnd"/>
      <w:r>
        <w:rPr>
          <w:b/>
          <w:bCs/>
        </w:rPr>
        <w:t xml:space="preserve"> in serum level of zonulin (A) and IgG (square markers) and IgA (diamond markers) tight junction proteins zonulin (B), occludin (C), vinculin (D), aquaporin 4 (E) and glial fibrillary acidic protein (F) in controls (C) and patients with celiac disease. </w:t>
      </w:r>
      <w:r>
        <w:t>CD: Celiac disease; GFAP: Glial fibrillary acidic protein; AQP4: Aquaporin 4.</w:t>
      </w:r>
    </w:p>
    <w:p w:rsidR="00A16B9F" w:rsidRPr="007D1D00" w:rsidRDefault="00A16B9F" w:rsidP="00A16B9F"/>
    <w:p w:rsidR="00A16B9F" w:rsidRDefault="00A16B9F" w:rsidP="00A16B9F">
      <w:r>
        <w:t>Footnotes</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rPr>
        <w:t>Manuscript source:</w:t>
      </w:r>
      <w:r w:rsidRPr="007D1D00">
        <w:rPr>
          <w:color w:val="000000"/>
          <w:spacing w:val="-2"/>
          <w:kern w:val="0"/>
          <w:sz w:val="18"/>
          <w:szCs w:val="18"/>
        </w:rPr>
        <w:t xml:space="preserve"> Unsolicited manuscript</w:t>
      </w:r>
    </w:p>
    <w:p w:rsidR="00A16B9F" w:rsidRPr="004D31E4" w:rsidRDefault="00A16B9F" w:rsidP="00A16B9F">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4D31E4">
        <w:rPr>
          <w:rFonts w:ascii="Tahoma" w:hAnsi="Tahoma" w:cs="Tahoma"/>
          <w:b/>
          <w:color w:val="000000"/>
          <w:spacing w:val="-2"/>
          <w:kern w:val="0"/>
          <w:sz w:val="18"/>
          <w:szCs w:val="18"/>
        </w:rPr>
        <w:t xml:space="preserve">Specialty type: </w:t>
      </w:r>
      <w:r w:rsidRPr="004D31E4">
        <w:rPr>
          <w:rFonts w:ascii="Tahoma" w:hAnsi="Tahoma" w:cs="Tahoma"/>
          <w:color w:val="000000"/>
          <w:spacing w:val="-2"/>
          <w:kern w:val="0"/>
          <w:sz w:val="18"/>
          <w:szCs w:val="18"/>
        </w:rPr>
        <w:t>Gastroenterology and</w:t>
      </w:r>
      <w:r w:rsidRPr="004D31E4">
        <w:rPr>
          <w:rFonts w:ascii="Tahoma" w:hAnsi="Tahoma" w:cs="Tahoma" w:hint="eastAsia"/>
          <w:color w:val="000000"/>
          <w:spacing w:val="-2"/>
          <w:kern w:val="0"/>
          <w:sz w:val="18"/>
          <w:szCs w:val="18"/>
        </w:rPr>
        <w:t xml:space="preserve"> </w:t>
      </w:r>
      <w:r w:rsidRPr="004D31E4">
        <w:rPr>
          <w:rFonts w:ascii="Tahoma" w:hAnsi="Tahoma" w:cs="Tahoma"/>
          <w:color w:val="000000"/>
          <w:spacing w:val="-2"/>
          <w:kern w:val="0"/>
          <w:sz w:val="18"/>
          <w:szCs w:val="18"/>
        </w:rPr>
        <w:t>hepatology</w:t>
      </w:r>
    </w:p>
    <w:p w:rsidR="00A16B9F" w:rsidRPr="004D31E4" w:rsidRDefault="00A16B9F" w:rsidP="00A16B9F">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4D31E4">
        <w:rPr>
          <w:rFonts w:ascii="Tahoma" w:hAnsi="Tahoma" w:cs="Tahoma"/>
          <w:b/>
          <w:color w:val="000000"/>
          <w:spacing w:val="-2"/>
          <w:kern w:val="0"/>
          <w:sz w:val="18"/>
          <w:szCs w:val="18"/>
        </w:rPr>
        <w:t>Country of origin:</w:t>
      </w:r>
      <w:r w:rsidRPr="004D31E4">
        <w:rPr>
          <w:rFonts w:ascii="Tahoma" w:hAnsi="Tahoma" w:cs="Tahoma"/>
          <w:color w:val="000000"/>
          <w:spacing w:val="-2"/>
          <w:kern w:val="0"/>
          <w:sz w:val="18"/>
          <w:szCs w:val="18"/>
        </w:rPr>
        <w:t xml:space="preserve"> </w:t>
      </w:r>
      <w:r w:rsidRPr="004D31E4">
        <w:rPr>
          <w:rFonts w:ascii="Tahoma" w:hAnsi="Tahoma" w:cs="Tahoma" w:hint="eastAsia"/>
          <w:color w:val="000000"/>
          <w:spacing w:val="-2"/>
          <w:kern w:val="0"/>
          <w:sz w:val="18"/>
          <w:szCs w:val="18"/>
        </w:rPr>
        <w:t>United States</w:t>
      </w:r>
    </w:p>
    <w:p w:rsidR="00A16B9F" w:rsidRPr="004D31E4" w:rsidRDefault="00A16B9F" w:rsidP="00A16B9F">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4D31E4">
        <w:rPr>
          <w:rFonts w:ascii="Tahoma" w:hAnsi="Tahoma" w:cs="Tahoma"/>
          <w:b/>
          <w:color w:val="000000"/>
          <w:spacing w:val="-2"/>
          <w:kern w:val="0"/>
          <w:sz w:val="18"/>
          <w:szCs w:val="18"/>
        </w:rPr>
        <w:t>Peer-review report classification</w:t>
      </w:r>
    </w:p>
    <w:p w:rsidR="00A16B9F" w:rsidRPr="004D31E4" w:rsidRDefault="00A16B9F" w:rsidP="00A16B9F">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4D31E4">
        <w:rPr>
          <w:rFonts w:ascii="Tahoma" w:hAnsi="Tahoma" w:cs="Tahoma"/>
          <w:color w:val="000000"/>
          <w:spacing w:val="-2"/>
          <w:kern w:val="0"/>
          <w:sz w:val="18"/>
          <w:szCs w:val="18"/>
        </w:rPr>
        <w:t xml:space="preserve">Grade </w:t>
      </w:r>
      <w:proofErr w:type="gramStart"/>
      <w:r w:rsidRPr="004D31E4">
        <w:rPr>
          <w:rFonts w:ascii="Tahoma" w:hAnsi="Tahoma" w:cs="Tahoma"/>
          <w:color w:val="000000"/>
          <w:spacing w:val="-2"/>
          <w:kern w:val="0"/>
          <w:sz w:val="18"/>
          <w:szCs w:val="18"/>
        </w:rPr>
        <w:t>A</w:t>
      </w:r>
      <w:proofErr w:type="gramEnd"/>
      <w:r w:rsidRPr="004D31E4">
        <w:rPr>
          <w:rFonts w:ascii="Tahoma" w:hAnsi="Tahoma" w:cs="Tahoma"/>
          <w:color w:val="000000"/>
          <w:spacing w:val="-2"/>
          <w:kern w:val="0"/>
          <w:sz w:val="18"/>
          <w:szCs w:val="18"/>
        </w:rPr>
        <w:t xml:space="preserve"> (Excellent): </w:t>
      </w:r>
      <w:r w:rsidRPr="004D31E4">
        <w:rPr>
          <w:rFonts w:ascii="Tahoma" w:hAnsi="Tahoma" w:cs="Tahoma" w:hint="eastAsia"/>
          <w:color w:val="000000"/>
          <w:spacing w:val="-2"/>
          <w:kern w:val="0"/>
          <w:sz w:val="18"/>
          <w:szCs w:val="18"/>
        </w:rPr>
        <w:t>0</w:t>
      </w:r>
    </w:p>
    <w:p w:rsidR="00A16B9F" w:rsidRPr="004D31E4" w:rsidRDefault="00A16B9F" w:rsidP="00A16B9F">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4D31E4">
        <w:rPr>
          <w:rFonts w:ascii="Tahoma" w:hAnsi="Tahoma" w:cs="Tahoma"/>
          <w:color w:val="000000"/>
          <w:spacing w:val="-2"/>
          <w:kern w:val="0"/>
          <w:sz w:val="18"/>
          <w:szCs w:val="18"/>
        </w:rPr>
        <w:t xml:space="preserve">Grade B (Very good): </w:t>
      </w:r>
      <w:r w:rsidRPr="004D31E4">
        <w:rPr>
          <w:rFonts w:ascii="Tahoma" w:hAnsi="Tahoma" w:cs="Tahoma" w:hint="eastAsia"/>
          <w:color w:val="000000"/>
          <w:spacing w:val="-2"/>
          <w:kern w:val="0"/>
          <w:sz w:val="18"/>
          <w:szCs w:val="18"/>
        </w:rPr>
        <w:t>0</w:t>
      </w:r>
    </w:p>
    <w:p w:rsidR="00A16B9F" w:rsidRPr="004D31E4" w:rsidRDefault="00A16B9F" w:rsidP="00A16B9F">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4D31E4">
        <w:rPr>
          <w:rFonts w:ascii="Tahoma" w:hAnsi="Tahoma" w:cs="Tahoma"/>
          <w:color w:val="000000"/>
          <w:spacing w:val="-2"/>
          <w:kern w:val="0"/>
          <w:sz w:val="18"/>
          <w:szCs w:val="18"/>
        </w:rPr>
        <w:t>Grade C (Good): C</w:t>
      </w:r>
    </w:p>
    <w:p w:rsidR="00A16B9F" w:rsidRPr="004D31E4" w:rsidRDefault="00A16B9F" w:rsidP="00A16B9F">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4D31E4">
        <w:rPr>
          <w:rFonts w:ascii="Tahoma" w:hAnsi="Tahoma" w:cs="Tahoma"/>
          <w:color w:val="000000"/>
          <w:spacing w:val="-2"/>
          <w:kern w:val="0"/>
          <w:sz w:val="18"/>
          <w:szCs w:val="18"/>
        </w:rPr>
        <w:t xml:space="preserve">Grade D (Fair): </w:t>
      </w:r>
      <w:r w:rsidRPr="004D31E4">
        <w:rPr>
          <w:rFonts w:ascii="Tahoma" w:hAnsi="Tahoma" w:cs="Tahoma" w:hint="eastAsia"/>
          <w:color w:val="000000"/>
          <w:spacing w:val="-2"/>
          <w:kern w:val="0"/>
          <w:sz w:val="18"/>
          <w:szCs w:val="18"/>
        </w:rPr>
        <w:t>0</w:t>
      </w:r>
    </w:p>
    <w:p w:rsidR="00A16B9F" w:rsidRDefault="00A16B9F" w:rsidP="00A16B9F">
      <w:pPr>
        <w:suppressAutoHyphens/>
        <w:autoSpaceDE w:val="0"/>
        <w:autoSpaceDN w:val="0"/>
        <w:adjustRightInd w:val="0"/>
        <w:spacing w:line="210" w:lineRule="atLeast"/>
        <w:textAlignment w:val="center"/>
        <w:rPr>
          <w:rFonts w:ascii="Tahoma" w:hAnsi="Tahoma" w:cs="Tahoma"/>
          <w:color w:val="000000"/>
          <w:spacing w:val="-2"/>
          <w:kern w:val="0"/>
          <w:sz w:val="18"/>
          <w:szCs w:val="18"/>
          <w:lang w:val="it-IT"/>
        </w:rPr>
      </w:pPr>
      <w:r w:rsidRPr="004D31E4">
        <w:rPr>
          <w:rFonts w:ascii="Tahoma" w:hAnsi="Tahoma" w:cs="Tahoma"/>
          <w:color w:val="000000"/>
          <w:spacing w:val="-2"/>
          <w:kern w:val="0"/>
          <w:sz w:val="18"/>
          <w:szCs w:val="18"/>
        </w:rPr>
        <w:t xml:space="preserve">Grade E (Poor): </w:t>
      </w:r>
      <w:r w:rsidRPr="004D31E4">
        <w:rPr>
          <w:rFonts w:ascii="Tahoma" w:hAnsi="Tahoma" w:cs="Tahoma" w:hint="eastAsia"/>
          <w:color w:val="000000"/>
          <w:spacing w:val="-2"/>
          <w:kern w:val="0"/>
          <w:sz w:val="18"/>
          <w:szCs w:val="18"/>
        </w:rPr>
        <w:t>0</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lang w:val="it-IT"/>
        </w:rPr>
        <w:t>Institutional review board statement</w:t>
      </w:r>
      <w:r w:rsidRPr="007D1D00">
        <w:rPr>
          <w:rFonts w:ascii="Tahoma" w:hAnsi="Tahoma" w:cs="Tahoma"/>
          <w:color w:val="000000"/>
          <w:spacing w:val="-2"/>
          <w:kern w:val="0"/>
          <w:sz w:val="18"/>
          <w:szCs w:val="18"/>
        </w:rPr>
        <w:t>:</w:t>
      </w:r>
      <w:r w:rsidRPr="007D1D00">
        <w:rPr>
          <w:color w:val="000000"/>
          <w:spacing w:val="-2"/>
          <w:kern w:val="0"/>
          <w:sz w:val="18"/>
          <w:szCs w:val="18"/>
        </w:rPr>
        <w:t xml:space="preserve"> The appropriate approvals were obtained from Western International Review Boards.</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lang w:val="it-IT"/>
        </w:rPr>
        <w:t>Conflict-of-interest statement</w:t>
      </w:r>
      <w:r w:rsidRPr="007D1D00">
        <w:rPr>
          <w:rFonts w:ascii="Tahoma" w:hAnsi="Tahoma" w:cs="Tahoma"/>
          <w:color w:val="000000"/>
          <w:spacing w:val="-2"/>
          <w:kern w:val="0"/>
          <w:sz w:val="18"/>
          <w:szCs w:val="18"/>
        </w:rPr>
        <w:t>:</w:t>
      </w:r>
      <w:r w:rsidRPr="007D1D00">
        <w:rPr>
          <w:color w:val="000000"/>
          <w:spacing w:val="-2"/>
          <w:kern w:val="0"/>
          <w:sz w:val="18"/>
          <w:szCs w:val="18"/>
        </w:rPr>
        <w:t xml:space="preserve"> Dr. Aristo Vojdani is the CEO and technical director of Immunosciences Lab., Inc. </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lang w:val="it-IT"/>
        </w:rPr>
        <w:t>Data sharing statement</w:t>
      </w:r>
      <w:r w:rsidRPr="007D1D00">
        <w:rPr>
          <w:rFonts w:ascii="Tahoma" w:hAnsi="Tahoma" w:cs="Tahoma"/>
          <w:color w:val="000000"/>
          <w:spacing w:val="-2"/>
          <w:kern w:val="0"/>
          <w:sz w:val="18"/>
          <w:szCs w:val="18"/>
        </w:rPr>
        <w:t>:</w:t>
      </w:r>
      <w:r w:rsidRPr="007D1D00">
        <w:rPr>
          <w:color w:val="000000"/>
          <w:spacing w:val="-2"/>
          <w:kern w:val="0"/>
          <w:sz w:val="18"/>
          <w:szCs w:val="18"/>
        </w:rPr>
        <w:t xml:space="preserve"> No additional data are available.</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rPr>
        <w:t>Open-Access:</w:t>
      </w:r>
      <w:r w:rsidRPr="007D1D00">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rPr>
        <w:t>Peer-review started:</w:t>
      </w:r>
      <w:r w:rsidRPr="007D1D00">
        <w:rPr>
          <w:color w:val="000000"/>
          <w:spacing w:val="-2"/>
          <w:kern w:val="0"/>
          <w:sz w:val="18"/>
          <w:szCs w:val="18"/>
        </w:rPr>
        <w:t xml:space="preserve"> May 19, 2017</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rPr>
        <w:t>First decision:</w:t>
      </w:r>
      <w:r w:rsidRPr="007D1D00">
        <w:rPr>
          <w:color w:val="000000"/>
          <w:spacing w:val="-2"/>
          <w:kern w:val="0"/>
          <w:sz w:val="18"/>
          <w:szCs w:val="18"/>
        </w:rPr>
        <w:t xml:space="preserve"> June 22, 2017</w:t>
      </w:r>
    </w:p>
    <w:p w:rsidR="00A16B9F" w:rsidRPr="007D1D00" w:rsidRDefault="00A16B9F" w:rsidP="00A16B9F">
      <w:pPr>
        <w:suppressAutoHyphens/>
        <w:autoSpaceDE w:val="0"/>
        <w:autoSpaceDN w:val="0"/>
        <w:adjustRightInd w:val="0"/>
        <w:spacing w:line="210" w:lineRule="atLeast"/>
        <w:textAlignment w:val="center"/>
        <w:rPr>
          <w:color w:val="000000"/>
          <w:spacing w:val="-2"/>
          <w:kern w:val="0"/>
          <w:sz w:val="18"/>
          <w:szCs w:val="18"/>
        </w:rPr>
      </w:pPr>
      <w:r w:rsidRPr="007D1D00">
        <w:rPr>
          <w:rFonts w:ascii="Tahoma" w:hAnsi="Tahoma" w:cs="Tahoma"/>
          <w:color w:val="000000"/>
          <w:spacing w:val="-2"/>
          <w:kern w:val="0"/>
          <w:sz w:val="18"/>
          <w:szCs w:val="18"/>
        </w:rPr>
        <w:t>Article in press:</w:t>
      </w:r>
      <w:r w:rsidRPr="007D1D00">
        <w:rPr>
          <w:color w:val="000000"/>
          <w:spacing w:val="-2"/>
          <w:kern w:val="0"/>
          <w:sz w:val="18"/>
          <w:szCs w:val="18"/>
        </w:rPr>
        <w:t xml:space="preserve"> July 12, 2017</w:t>
      </w:r>
    </w:p>
    <w:p w:rsidR="00A16B9F" w:rsidRPr="007D1D00" w:rsidRDefault="00A16B9F" w:rsidP="00A16B9F">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7D1D00">
        <w:rPr>
          <w:b/>
          <w:bCs/>
          <w:color w:val="000000"/>
          <w:spacing w:val="-1"/>
          <w:kern w:val="0"/>
          <w:sz w:val="16"/>
          <w:szCs w:val="16"/>
        </w:rPr>
        <w:t>P- Reviewer</w:t>
      </w:r>
      <w:r w:rsidRPr="007D1D00">
        <w:rPr>
          <w:color w:val="000000"/>
          <w:kern w:val="0"/>
          <w:sz w:val="16"/>
          <w:szCs w:val="16"/>
        </w:rPr>
        <w:t>:</w:t>
      </w:r>
      <w:r w:rsidRPr="007D1D00">
        <w:rPr>
          <w:color w:val="000000"/>
          <w:spacing w:val="-1"/>
          <w:kern w:val="0"/>
          <w:sz w:val="16"/>
          <w:szCs w:val="16"/>
        </w:rPr>
        <w:t xml:space="preserve"> Esposito O    </w:t>
      </w:r>
      <w:r w:rsidRPr="007D1D00">
        <w:rPr>
          <w:b/>
          <w:bCs/>
          <w:color w:val="000000"/>
          <w:kern w:val="0"/>
          <w:sz w:val="16"/>
          <w:szCs w:val="16"/>
        </w:rPr>
        <w:t>S- Editor</w:t>
      </w:r>
      <w:r w:rsidRPr="007D1D00">
        <w:rPr>
          <w:color w:val="000000"/>
          <w:kern w:val="0"/>
          <w:sz w:val="16"/>
          <w:szCs w:val="16"/>
        </w:rPr>
        <w:t>:</w:t>
      </w:r>
      <w:r w:rsidRPr="007D1D00">
        <w:rPr>
          <w:b/>
          <w:bCs/>
          <w:color w:val="000000"/>
          <w:kern w:val="0"/>
          <w:sz w:val="16"/>
          <w:szCs w:val="16"/>
        </w:rPr>
        <w:t xml:space="preserve"> </w:t>
      </w:r>
      <w:r w:rsidRPr="007D1D00">
        <w:rPr>
          <w:color w:val="000000"/>
          <w:spacing w:val="-1"/>
          <w:kern w:val="0"/>
          <w:sz w:val="16"/>
          <w:szCs w:val="16"/>
        </w:rPr>
        <w:t>Ma YJ</w:t>
      </w:r>
      <w:r w:rsidRPr="007D1D00">
        <w:rPr>
          <w:color w:val="000000"/>
          <w:kern w:val="0"/>
          <w:sz w:val="16"/>
          <w:szCs w:val="16"/>
        </w:rPr>
        <w:t xml:space="preserve">    </w:t>
      </w:r>
      <w:r w:rsidRPr="007D1D00">
        <w:rPr>
          <w:b/>
          <w:bCs/>
          <w:color w:val="000000"/>
          <w:kern w:val="0"/>
          <w:sz w:val="16"/>
          <w:szCs w:val="16"/>
        </w:rPr>
        <w:t>L- Editor</w:t>
      </w:r>
      <w:r w:rsidRPr="007D1D00">
        <w:rPr>
          <w:color w:val="000000"/>
          <w:kern w:val="0"/>
          <w:sz w:val="16"/>
          <w:szCs w:val="16"/>
        </w:rPr>
        <w:t xml:space="preserve">: A    </w:t>
      </w:r>
      <w:r w:rsidRPr="007D1D00">
        <w:rPr>
          <w:b/>
          <w:bCs/>
          <w:color w:val="000000"/>
          <w:kern w:val="0"/>
          <w:sz w:val="16"/>
          <w:szCs w:val="16"/>
        </w:rPr>
        <w:t>E- Editor</w:t>
      </w:r>
      <w:r w:rsidRPr="007D1D00">
        <w:rPr>
          <w:color w:val="000000"/>
          <w:kern w:val="0"/>
          <w:sz w:val="16"/>
          <w:szCs w:val="16"/>
        </w:rPr>
        <w:t>:</w:t>
      </w:r>
      <w:r w:rsidRPr="007D1D00">
        <w:rPr>
          <w:b/>
          <w:bCs/>
          <w:color w:val="000000"/>
          <w:kern w:val="0"/>
          <w:sz w:val="16"/>
          <w:szCs w:val="16"/>
        </w:rPr>
        <w:t xml:space="preserve"> </w:t>
      </w:r>
      <w:r w:rsidRPr="007D1D00">
        <w:rPr>
          <w:color w:val="000000"/>
          <w:kern w:val="0"/>
          <w:sz w:val="16"/>
          <w:szCs w:val="16"/>
        </w:rPr>
        <w:t>Huang Y</w:t>
      </w:r>
    </w:p>
    <w:p w:rsidR="00A16B9F" w:rsidRDefault="00A16B9F" w:rsidP="00A16B9F"/>
    <w:p w:rsidR="00A16B9F" w:rsidRDefault="00A16B9F" w:rsidP="00A16B9F"/>
    <w:p w:rsidR="00A16B9F" w:rsidRDefault="00A16B9F" w:rsidP="00A16B9F"/>
    <w:p w:rsidR="00A16B9F" w:rsidRDefault="00A16B9F" w:rsidP="00A16B9F"/>
    <w:p w:rsidR="00A16B9F" w:rsidRPr="007D1D00" w:rsidRDefault="00A16B9F" w:rsidP="00A16B9F">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3974465"/>
                <wp:effectExtent l="8255" t="11430" r="10795" b="508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974465"/>
                        </a:xfrm>
                        <a:prstGeom prst="rect">
                          <a:avLst/>
                        </a:prstGeom>
                        <a:solidFill>
                          <a:srgbClr val="FFFFFF"/>
                        </a:solidFill>
                        <a:ln w="9525">
                          <a:solidFill>
                            <a:srgbClr val="000000"/>
                          </a:solidFill>
                          <a:miter lim="800000"/>
                          <a:headEnd/>
                          <a:tailEnd/>
                        </a:ln>
                      </wps:spPr>
                      <wps:txbx>
                        <w:txbxContent>
                          <w:p w:rsidR="00A16B9F" w:rsidRPr="007D1D00" w:rsidRDefault="00A16B9F" w:rsidP="00A16B9F">
                            <w:pPr>
                              <w:rPr>
                                <w:b/>
                                <w:bCs/>
                              </w:rPr>
                            </w:pPr>
                            <w:r w:rsidRPr="007D1D00">
                              <w:rPr>
                                <w:b/>
                                <w:bCs/>
                              </w:rPr>
                              <w:t xml:space="preserve">Table </w:t>
                            </w:r>
                            <w:proofErr w:type="gramStart"/>
                            <w:r w:rsidRPr="007D1D00">
                              <w:rPr>
                                <w:b/>
                                <w:bCs/>
                              </w:rPr>
                              <w:t>1  Correlation</w:t>
                            </w:r>
                            <w:proofErr w:type="gramEnd"/>
                            <w:r w:rsidRPr="007D1D00">
                              <w:rPr>
                                <w:b/>
                                <w:bCs/>
                              </w:rPr>
                              <w:t xml:space="preserve"> between serum zonulin level and different tight junction protein antibodies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806"/>
                              <w:gridCol w:w="676"/>
                              <w:gridCol w:w="675"/>
                              <w:gridCol w:w="675"/>
                              <w:gridCol w:w="675"/>
                            </w:tblGrid>
                            <w:tr w:rsidR="00A16B9F" w:rsidRPr="007D1D00" w:rsidTr="007D1D00">
                              <w:trPr>
                                <w:trHeight w:hRule="exact" w:val="660"/>
                              </w:trPr>
                              <w:tc>
                                <w:tcPr>
                                  <w:tcW w:w="1806" w:type="dxa"/>
                                  <w:vMerge w:val="restart"/>
                                  <w:tcBorders>
                                    <w:top w:val="single" w:sz="6" w:space="0" w:color="000000"/>
                                  </w:tcBorders>
                                  <w:tcMar>
                                    <w:top w:w="28" w:type="dxa"/>
                                    <w:left w:w="28" w:type="dxa"/>
                                    <w:bottom w:w="28" w:type="dxa"/>
                                    <w:right w:w="28" w:type="dxa"/>
                                  </w:tcMar>
                                </w:tcPr>
                                <w:p w:rsidR="00A16B9F" w:rsidRPr="007D1D00" w:rsidRDefault="00A16B9F" w:rsidP="00A16B9F">
                                  <w:pPr>
                                    <w:pStyle w:val="af6"/>
                                    <w:ind w:left="5250"/>
                                  </w:pPr>
                                  <w:r w:rsidRPr="007D1D00">
                                    <w:t>Tight junction protein</w:t>
                                  </w:r>
                                </w:p>
                                <w:p w:rsidR="00A16B9F" w:rsidRPr="007D1D00" w:rsidRDefault="00A16B9F" w:rsidP="00A16B9F">
                                  <w:pPr>
                                    <w:pStyle w:val="af6"/>
                                    <w:ind w:left="5250"/>
                                    <w:jc w:val="left"/>
                                  </w:pPr>
                                </w:p>
                                <w:p w:rsidR="00A16B9F" w:rsidRPr="007D1D00" w:rsidRDefault="00A16B9F" w:rsidP="00A16B9F">
                                  <w:pPr>
                                    <w:pStyle w:val="af6"/>
                                    <w:ind w:left="5250"/>
                                    <w:jc w:val="left"/>
                                  </w:pPr>
                                </w:p>
                              </w:tc>
                              <w:tc>
                                <w:tcPr>
                                  <w:tcW w:w="1351" w:type="dxa"/>
                                  <w:gridSpan w:val="2"/>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pPr>
                                  <w:r w:rsidRPr="007D1D00">
                                    <w:t>IgG</w:t>
                                  </w:r>
                                </w:p>
                                <w:p w:rsidR="00A16B9F" w:rsidRPr="007D1D00" w:rsidRDefault="00A16B9F" w:rsidP="00A16B9F">
                                  <w:pPr>
                                    <w:pStyle w:val="af6"/>
                                    <w:ind w:left="5250"/>
                                    <w:jc w:val="center"/>
                                  </w:pPr>
                                </w:p>
                              </w:tc>
                              <w:tc>
                                <w:tcPr>
                                  <w:tcW w:w="1350" w:type="dxa"/>
                                  <w:gridSpan w:val="2"/>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pPr>
                                  <w:r w:rsidRPr="007D1D00">
                                    <w:t>IgA</w:t>
                                  </w:r>
                                </w:p>
                                <w:p w:rsidR="00A16B9F" w:rsidRPr="007D1D00" w:rsidRDefault="00A16B9F" w:rsidP="00A16B9F">
                                  <w:pPr>
                                    <w:pStyle w:val="af6"/>
                                    <w:ind w:left="5250"/>
                                    <w:jc w:val="center"/>
                                  </w:pPr>
                                </w:p>
                              </w:tc>
                            </w:tr>
                            <w:tr w:rsidR="00A16B9F" w:rsidRPr="007D1D00" w:rsidTr="007D1D00">
                              <w:trPr>
                                <w:trHeight w:hRule="exact" w:val="721"/>
                              </w:trPr>
                              <w:tc>
                                <w:tcPr>
                                  <w:tcW w:w="1806" w:type="dxa"/>
                                  <w:vMerge/>
                                  <w:tcBorders>
                                    <w:top w:val="nil"/>
                                    <w:bottom w:val="single" w:sz="6" w:space="0" w:color="000000"/>
                                  </w:tcBorders>
                                  <w:tcMar>
                                    <w:top w:w="28" w:type="dxa"/>
                                    <w:left w:w="28" w:type="dxa"/>
                                    <w:bottom w:w="28" w:type="dxa"/>
                                    <w:right w:w="28" w:type="dxa"/>
                                  </w:tcMar>
                                </w:tcPr>
                                <w:p w:rsidR="00A16B9F" w:rsidRPr="007D1D00" w:rsidRDefault="00A16B9F" w:rsidP="00A16B9F">
                                  <w:pPr>
                                    <w:pStyle w:val="af6"/>
                                    <w:ind w:left="5250"/>
                                  </w:pPr>
                                </w:p>
                              </w:tc>
                              <w:tc>
                                <w:tcPr>
                                  <w:tcW w:w="676" w:type="dxa"/>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rPr>
                                      <w:rFonts w:ascii="Albertus Bold Italic" w:hAnsi="Albertus Bold Italic" w:cs="Albertus Bold Italic"/>
                                      <w:i/>
                                      <w:iCs/>
                                    </w:rPr>
                                  </w:pPr>
                                  <w:r w:rsidRPr="007D1D00">
                                    <w:rPr>
                                      <w:rFonts w:ascii="Albertus Bold Italic" w:hAnsi="Albertus Bold Italic" w:cs="Albertus Bold Italic"/>
                                      <w:i/>
                                      <w:iCs/>
                                    </w:rPr>
                                    <w:t>r</w:t>
                                  </w:r>
                                </w:p>
                                <w:p w:rsidR="00A16B9F" w:rsidRPr="007D1D00" w:rsidRDefault="00A16B9F" w:rsidP="00A16B9F">
                                  <w:pPr>
                                    <w:pStyle w:val="af6"/>
                                    <w:ind w:left="5250"/>
                                    <w:jc w:val="center"/>
                                  </w:pPr>
                                </w:p>
                              </w:tc>
                              <w:tc>
                                <w:tcPr>
                                  <w:tcW w:w="675" w:type="dxa"/>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pPr>
                                  <w:r w:rsidRPr="007D1D00">
                                    <w:rPr>
                                      <w:rFonts w:ascii="Albertus Bold Italic" w:hAnsi="Albertus Bold Italic" w:cs="Albertus Bold Italic"/>
                                      <w:i/>
                                      <w:iCs/>
                                    </w:rPr>
                                    <w:t>P</w:t>
                                  </w:r>
                                  <w:r w:rsidRPr="007D1D00">
                                    <w:t xml:space="preserve"> value</w:t>
                                  </w:r>
                                </w:p>
                                <w:p w:rsidR="00A16B9F" w:rsidRPr="007D1D00" w:rsidRDefault="00A16B9F" w:rsidP="00A16B9F">
                                  <w:pPr>
                                    <w:pStyle w:val="af6"/>
                                    <w:ind w:left="5250"/>
                                    <w:jc w:val="center"/>
                                  </w:pPr>
                                </w:p>
                              </w:tc>
                              <w:tc>
                                <w:tcPr>
                                  <w:tcW w:w="675" w:type="dxa"/>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rPr>
                                      <w:rFonts w:ascii="Albertus Bold Italic" w:hAnsi="Albertus Bold Italic" w:cs="Albertus Bold Italic"/>
                                      <w:i/>
                                      <w:iCs/>
                                    </w:rPr>
                                  </w:pPr>
                                  <w:r w:rsidRPr="007D1D00">
                                    <w:rPr>
                                      <w:rFonts w:ascii="Albertus Bold Italic" w:hAnsi="Albertus Bold Italic" w:cs="Albertus Bold Italic"/>
                                      <w:i/>
                                      <w:iCs/>
                                    </w:rPr>
                                    <w:t>r</w:t>
                                  </w:r>
                                </w:p>
                                <w:p w:rsidR="00A16B9F" w:rsidRPr="007D1D00" w:rsidRDefault="00A16B9F" w:rsidP="00A16B9F">
                                  <w:pPr>
                                    <w:pStyle w:val="af6"/>
                                    <w:ind w:left="5250"/>
                                    <w:jc w:val="center"/>
                                  </w:pPr>
                                </w:p>
                              </w:tc>
                              <w:tc>
                                <w:tcPr>
                                  <w:tcW w:w="675" w:type="dxa"/>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pPr>
                                  <w:r w:rsidRPr="007D1D00">
                                    <w:rPr>
                                      <w:rFonts w:ascii="Albertus Bold Italic" w:hAnsi="Albertus Bold Italic" w:cs="Albertus Bold Italic"/>
                                      <w:i/>
                                      <w:iCs/>
                                    </w:rPr>
                                    <w:t>P</w:t>
                                  </w:r>
                                  <w:r w:rsidRPr="007D1D00">
                                    <w:t xml:space="preserve"> value</w:t>
                                  </w:r>
                                </w:p>
                                <w:p w:rsidR="00A16B9F" w:rsidRPr="007D1D00" w:rsidRDefault="00A16B9F" w:rsidP="00A16B9F">
                                  <w:pPr>
                                    <w:pStyle w:val="af6"/>
                                    <w:ind w:left="5250"/>
                                    <w:jc w:val="center"/>
                                  </w:pPr>
                                </w:p>
                              </w:tc>
                            </w:tr>
                            <w:tr w:rsidR="00A16B9F" w:rsidRPr="007D1D00" w:rsidTr="007D1D00">
                              <w:trPr>
                                <w:trHeight w:val="60"/>
                              </w:trPr>
                              <w:tc>
                                <w:tcPr>
                                  <w:tcW w:w="1806" w:type="dxa"/>
                                  <w:tcBorders>
                                    <w:top w:val="single" w:sz="6" w:space="0" w:color="000000"/>
                                  </w:tcBorders>
                                  <w:tcMar>
                                    <w:top w:w="28" w:type="dxa"/>
                                    <w:left w:w="28" w:type="dxa"/>
                                    <w:bottom w:w="28" w:type="dxa"/>
                                    <w:right w:w="28" w:type="dxa"/>
                                  </w:tcMar>
                                </w:tcPr>
                                <w:p w:rsidR="00A16B9F" w:rsidRPr="007D1D00" w:rsidRDefault="00A16B9F">
                                  <w:pPr>
                                    <w:pStyle w:val="af7"/>
                                    <w:jc w:val="left"/>
                                    <w:rPr>
                                      <w:b w:val="0"/>
                                      <w:bCs w:val="0"/>
                                      <w:lang w:val="en-US"/>
                                    </w:rPr>
                                  </w:pPr>
                                  <w:r w:rsidRPr="007D1D00">
                                    <w:rPr>
                                      <w:b w:val="0"/>
                                      <w:bCs w:val="0"/>
                                      <w:lang w:val="en-US"/>
                                    </w:rPr>
                                    <w:t>Zonulin</w:t>
                                  </w:r>
                                </w:p>
                                <w:p w:rsidR="00A16B9F" w:rsidRPr="007D1D00" w:rsidRDefault="00A16B9F">
                                  <w:pPr>
                                    <w:pStyle w:val="af7"/>
                                    <w:jc w:val="left"/>
                                    <w:rPr>
                                      <w:b w:val="0"/>
                                      <w:bCs w:val="0"/>
                                    </w:rPr>
                                  </w:pPr>
                                </w:p>
                              </w:tc>
                              <w:tc>
                                <w:tcPr>
                                  <w:tcW w:w="676" w:type="dxa"/>
                                  <w:tcBorders>
                                    <w:top w:val="single" w:sz="6" w:space="0" w:color="000000"/>
                                  </w:tcBorders>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0.34</w:t>
                                  </w:r>
                                </w:p>
                                <w:p w:rsidR="00A16B9F" w:rsidRPr="007D1D00" w:rsidRDefault="00A16B9F">
                                  <w:pPr>
                                    <w:pStyle w:val="af7"/>
                                    <w:jc w:val="center"/>
                                    <w:rPr>
                                      <w:b w:val="0"/>
                                      <w:bCs w:val="0"/>
                                    </w:rPr>
                                  </w:pPr>
                                </w:p>
                              </w:tc>
                              <w:tc>
                                <w:tcPr>
                                  <w:tcW w:w="675" w:type="dxa"/>
                                  <w:tcBorders>
                                    <w:top w:val="single" w:sz="6" w:space="0" w:color="000000"/>
                                  </w:tcBorders>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0.064</w:t>
                                  </w:r>
                                </w:p>
                                <w:p w:rsidR="00A16B9F" w:rsidRPr="007D1D00" w:rsidRDefault="00A16B9F">
                                  <w:pPr>
                                    <w:pStyle w:val="af7"/>
                                    <w:jc w:val="center"/>
                                    <w:rPr>
                                      <w:b w:val="0"/>
                                      <w:bCs w:val="0"/>
                                    </w:rPr>
                                  </w:pPr>
                                </w:p>
                              </w:tc>
                              <w:tc>
                                <w:tcPr>
                                  <w:tcW w:w="675" w:type="dxa"/>
                                  <w:tcBorders>
                                    <w:top w:val="single" w:sz="6" w:space="0" w:color="000000"/>
                                  </w:tcBorders>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0.55</w:t>
                                  </w:r>
                                </w:p>
                                <w:p w:rsidR="00A16B9F" w:rsidRPr="007D1D00" w:rsidRDefault="00A16B9F">
                                  <w:pPr>
                                    <w:pStyle w:val="af7"/>
                                    <w:jc w:val="center"/>
                                    <w:rPr>
                                      <w:b w:val="0"/>
                                      <w:bCs w:val="0"/>
                                    </w:rPr>
                                  </w:pPr>
                                </w:p>
                              </w:tc>
                              <w:tc>
                                <w:tcPr>
                                  <w:tcW w:w="675" w:type="dxa"/>
                                  <w:tcBorders>
                                    <w:top w:val="single" w:sz="6" w:space="0" w:color="000000"/>
                                  </w:tcBorders>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0.002</w:t>
                                  </w:r>
                                </w:p>
                                <w:p w:rsidR="00A16B9F" w:rsidRPr="007D1D00" w:rsidRDefault="00A16B9F">
                                  <w:pPr>
                                    <w:pStyle w:val="af7"/>
                                    <w:jc w:val="center"/>
                                    <w:rPr>
                                      <w:b w:val="0"/>
                                      <w:bCs w:val="0"/>
                                    </w:rPr>
                                  </w:pPr>
                                </w:p>
                              </w:tc>
                            </w:tr>
                            <w:tr w:rsidR="00A16B9F" w:rsidRPr="007D1D00" w:rsidTr="007D1D00">
                              <w:trPr>
                                <w:trHeight w:val="60"/>
                              </w:trPr>
                              <w:tc>
                                <w:tcPr>
                                  <w:tcW w:w="1806" w:type="dxa"/>
                                  <w:tcMar>
                                    <w:top w:w="28" w:type="dxa"/>
                                    <w:left w:w="28" w:type="dxa"/>
                                    <w:bottom w:w="28" w:type="dxa"/>
                                    <w:right w:w="28" w:type="dxa"/>
                                  </w:tcMar>
                                </w:tcPr>
                                <w:p w:rsidR="00A16B9F" w:rsidRPr="007D1D00" w:rsidRDefault="00A16B9F">
                                  <w:pPr>
                                    <w:pStyle w:val="af7"/>
                                    <w:jc w:val="left"/>
                                    <w:rPr>
                                      <w:b w:val="0"/>
                                      <w:bCs w:val="0"/>
                                      <w:lang w:val="en-US"/>
                                    </w:rPr>
                                  </w:pPr>
                                  <w:r w:rsidRPr="007D1D00">
                                    <w:rPr>
                                      <w:b w:val="0"/>
                                      <w:bCs w:val="0"/>
                                      <w:lang w:val="en-US"/>
                                    </w:rPr>
                                    <w:t>Occludin</w:t>
                                  </w:r>
                                </w:p>
                                <w:p w:rsidR="00A16B9F" w:rsidRPr="007D1D00" w:rsidRDefault="00A16B9F">
                                  <w:pPr>
                                    <w:pStyle w:val="af7"/>
                                    <w:jc w:val="left"/>
                                    <w:rPr>
                                      <w:b w:val="0"/>
                                      <w:bCs w:val="0"/>
                                    </w:rPr>
                                  </w:pPr>
                                </w:p>
                              </w:tc>
                              <w:tc>
                                <w:tcPr>
                                  <w:tcW w:w="676"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0.60</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&lt; 0.001</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0.50</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0.005</w:t>
                                  </w:r>
                                </w:p>
                                <w:p w:rsidR="00A16B9F" w:rsidRPr="007D1D00" w:rsidRDefault="00A16B9F">
                                  <w:pPr>
                                    <w:pStyle w:val="af7"/>
                                    <w:jc w:val="center"/>
                                    <w:rPr>
                                      <w:b w:val="0"/>
                                      <w:bCs w:val="0"/>
                                    </w:rPr>
                                  </w:pPr>
                                </w:p>
                              </w:tc>
                            </w:tr>
                            <w:tr w:rsidR="00A16B9F" w:rsidRPr="007D1D00" w:rsidTr="007D1D00">
                              <w:trPr>
                                <w:trHeight w:val="60"/>
                              </w:trPr>
                              <w:tc>
                                <w:tcPr>
                                  <w:tcW w:w="1806" w:type="dxa"/>
                                  <w:tcMar>
                                    <w:top w:w="28" w:type="dxa"/>
                                    <w:left w:w="28" w:type="dxa"/>
                                    <w:bottom w:w="28" w:type="dxa"/>
                                    <w:right w:w="28" w:type="dxa"/>
                                  </w:tcMar>
                                </w:tcPr>
                                <w:p w:rsidR="00A16B9F" w:rsidRPr="007D1D00" w:rsidRDefault="00A16B9F">
                                  <w:pPr>
                                    <w:pStyle w:val="af7"/>
                                    <w:jc w:val="left"/>
                                    <w:rPr>
                                      <w:b w:val="0"/>
                                      <w:bCs w:val="0"/>
                                      <w:lang w:val="en-US"/>
                                    </w:rPr>
                                  </w:pPr>
                                  <w:r w:rsidRPr="007D1D00">
                                    <w:rPr>
                                      <w:b w:val="0"/>
                                      <w:bCs w:val="0"/>
                                      <w:lang w:val="en-US"/>
                                    </w:rPr>
                                    <w:t>Vinculin</w:t>
                                  </w:r>
                                </w:p>
                                <w:p w:rsidR="00A16B9F" w:rsidRPr="007D1D00" w:rsidRDefault="00A16B9F">
                                  <w:pPr>
                                    <w:pStyle w:val="af7"/>
                                    <w:jc w:val="left"/>
                                    <w:rPr>
                                      <w:b w:val="0"/>
                                      <w:bCs w:val="0"/>
                                    </w:rPr>
                                  </w:pPr>
                                </w:p>
                              </w:tc>
                              <w:tc>
                                <w:tcPr>
                                  <w:tcW w:w="676"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0.40</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0.032</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0.52</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0.003</w:t>
                                  </w:r>
                                </w:p>
                                <w:p w:rsidR="00A16B9F" w:rsidRPr="007D1D00" w:rsidRDefault="00A16B9F">
                                  <w:pPr>
                                    <w:pStyle w:val="af7"/>
                                    <w:jc w:val="center"/>
                                    <w:rPr>
                                      <w:b w:val="0"/>
                                      <w:bCs w:val="0"/>
                                    </w:rPr>
                                  </w:pPr>
                                </w:p>
                              </w:tc>
                            </w:tr>
                            <w:tr w:rsidR="00A16B9F" w:rsidRPr="007D1D00" w:rsidTr="007D1D00">
                              <w:trPr>
                                <w:trHeight w:val="60"/>
                              </w:trPr>
                              <w:tc>
                                <w:tcPr>
                                  <w:tcW w:w="1806" w:type="dxa"/>
                                  <w:tcMar>
                                    <w:top w:w="28" w:type="dxa"/>
                                    <w:left w:w="28" w:type="dxa"/>
                                    <w:bottom w:w="28" w:type="dxa"/>
                                    <w:right w:w="28" w:type="dxa"/>
                                  </w:tcMar>
                                </w:tcPr>
                                <w:p w:rsidR="00A16B9F" w:rsidRPr="007D1D00" w:rsidRDefault="00A16B9F">
                                  <w:pPr>
                                    <w:pStyle w:val="af7"/>
                                    <w:jc w:val="left"/>
                                    <w:rPr>
                                      <w:b w:val="0"/>
                                      <w:bCs w:val="0"/>
                                      <w:lang w:val="en-US"/>
                                    </w:rPr>
                                  </w:pPr>
                                  <w:r w:rsidRPr="007D1D00">
                                    <w:rPr>
                                      <w:b w:val="0"/>
                                      <w:bCs w:val="0"/>
                                      <w:lang w:val="en-US"/>
                                    </w:rPr>
                                    <w:t>Aquaporin 4</w:t>
                                  </w:r>
                                </w:p>
                                <w:p w:rsidR="00A16B9F" w:rsidRPr="007D1D00" w:rsidRDefault="00A16B9F">
                                  <w:pPr>
                                    <w:pStyle w:val="af7"/>
                                    <w:jc w:val="left"/>
                                    <w:rPr>
                                      <w:b w:val="0"/>
                                      <w:bCs w:val="0"/>
                                    </w:rPr>
                                  </w:pPr>
                                </w:p>
                              </w:tc>
                              <w:tc>
                                <w:tcPr>
                                  <w:tcW w:w="676"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0.42</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0.020</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0.24</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0.197</w:t>
                                  </w:r>
                                </w:p>
                                <w:p w:rsidR="00A16B9F" w:rsidRPr="007D1D00" w:rsidRDefault="00A16B9F">
                                  <w:pPr>
                                    <w:pStyle w:val="af7"/>
                                    <w:jc w:val="center"/>
                                    <w:rPr>
                                      <w:b w:val="0"/>
                                      <w:bCs w:val="0"/>
                                    </w:rPr>
                                  </w:pPr>
                                </w:p>
                              </w:tc>
                            </w:tr>
                            <w:tr w:rsidR="00A16B9F" w:rsidRPr="007D1D00" w:rsidTr="007D1D00">
                              <w:trPr>
                                <w:trHeight w:val="60"/>
                              </w:trPr>
                              <w:tc>
                                <w:tcPr>
                                  <w:tcW w:w="1806" w:type="dxa"/>
                                  <w:tcMar>
                                    <w:top w:w="28" w:type="dxa"/>
                                    <w:left w:w="28" w:type="dxa"/>
                                    <w:bottom w:w="28" w:type="dxa"/>
                                    <w:right w:w="28" w:type="dxa"/>
                                  </w:tcMar>
                                </w:tcPr>
                                <w:p w:rsidR="00A16B9F" w:rsidRPr="007D1D00" w:rsidRDefault="00A16B9F">
                                  <w:pPr>
                                    <w:pStyle w:val="af7"/>
                                    <w:jc w:val="left"/>
                                    <w:rPr>
                                      <w:b w:val="0"/>
                                      <w:bCs w:val="0"/>
                                      <w:lang w:val="en-US"/>
                                    </w:rPr>
                                  </w:pPr>
                                  <w:r w:rsidRPr="007D1D00">
                                    <w:rPr>
                                      <w:b w:val="0"/>
                                      <w:bCs w:val="0"/>
                                      <w:lang w:val="en-US"/>
                                    </w:rPr>
                                    <w:t>Glial fibrillary acidic protein</w:t>
                                  </w:r>
                                </w:p>
                                <w:p w:rsidR="00A16B9F" w:rsidRPr="007D1D00" w:rsidRDefault="00A16B9F">
                                  <w:pPr>
                                    <w:pStyle w:val="af7"/>
                                    <w:jc w:val="left"/>
                                    <w:rPr>
                                      <w:b w:val="0"/>
                                      <w:bCs w:val="0"/>
                                    </w:rPr>
                                  </w:pPr>
                                </w:p>
                              </w:tc>
                              <w:tc>
                                <w:tcPr>
                                  <w:tcW w:w="676"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0.55</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0.002</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0.60</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&lt; 0.001</w:t>
                                  </w:r>
                                </w:p>
                                <w:p w:rsidR="00A16B9F" w:rsidRPr="007D1D00" w:rsidRDefault="00A16B9F">
                                  <w:pPr>
                                    <w:pStyle w:val="af7"/>
                                    <w:jc w:val="center"/>
                                    <w:rPr>
                                      <w:b w:val="0"/>
                                      <w:bCs w:val="0"/>
                                    </w:rPr>
                                  </w:pPr>
                                </w:p>
                              </w:tc>
                            </w:tr>
                          </w:tbl>
                          <w:p w:rsidR="00A16B9F" w:rsidRDefault="00A16B9F" w:rsidP="00A16B9F">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20.75pt;height:312.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">
                <v:textbox style="mso-fit-shape-to-text:t">
                  <w:txbxContent>
                    <w:p w:rsidR="00A16B9F" w:rsidRPr="007D1D00" w:rsidRDefault="00A16B9F" w:rsidP="00A16B9F">
                      <w:pPr>
                        <w:rPr>
                          <w:b/>
                          <w:bCs/>
                        </w:rPr>
                      </w:pPr>
                      <w:r w:rsidRPr="007D1D00">
                        <w:rPr>
                          <w:b/>
                          <w:bCs/>
                        </w:rPr>
                        <w:t xml:space="preserve">Table </w:t>
                      </w:r>
                      <w:proofErr w:type="gramStart"/>
                      <w:r w:rsidRPr="007D1D00">
                        <w:rPr>
                          <w:b/>
                          <w:bCs/>
                        </w:rPr>
                        <w:t>1  Correlation</w:t>
                      </w:r>
                      <w:proofErr w:type="gramEnd"/>
                      <w:r w:rsidRPr="007D1D00">
                        <w:rPr>
                          <w:b/>
                          <w:bCs/>
                        </w:rPr>
                        <w:t xml:space="preserve"> between serum zonulin level and different tight junction protein antibodies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806"/>
                        <w:gridCol w:w="676"/>
                        <w:gridCol w:w="675"/>
                        <w:gridCol w:w="675"/>
                        <w:gridCol w:w="675"/>
                      </w:tblGrid>
                      <w:tr w:rsidR="00A16B9F" w:rsidRPr="007D1D00" w:rsidTr="007D1D00">
                        <w:trPr>
                          <w:trHeight w:hRule="exact" w:val="660"/>
                        </w:trPr>
                        <w:tc>
                          <w:tcPr>
                            <w:tcW w:w="1806" w:type="dxa"/>
                            <w:vMerge w:val="restart"/>
                            <w:tcBorders>
                              <w:top w:val="single" w:sz="6" w:space="0" w:color="000000"/>
                            </w:tcBorders>
                            <w:tcMar>
                              <w:top w:w="28" w:type="dxa"/>
                              <w:left w:w="28" w:type="dxa"/>
                              <w:bottom w:w="28" w:type="dxa"/>
                              <w:right w:w="28" w:type="dxa"/>
                            </w:tcMar>
                          </w:tcPr>
                          <w:p w:rsidR="00A16B9F" w:rsidRPr="007D1D00" w:rsidRDefault="00A16B9F" w:rsidP="00A16B9F">
                            <w:pPr>
                              <w:pStyle w:val="af6"/>
                              <w:ind w:left="5250"/>
                            </w:pPr>
                            <w:r w:rsidRPr="007D1D00">
                              <w:t>Tight junction protein</w:t>
                            </w:r>
                          </w:p>
                          <w:p w:rsidR="00A16B9F" w:rsidRPr="007D1D00" w:rsidRDefault="00A16B9F" w:rsidP="00A16B9F">
                            <w:pPr>
                              <w:pStyle w:val="af6"/>
                              <w:ind w:left="5250"/>
                              <w:jc w:val="left"/>
                            </w:pPr>
                          </w:p>
                          <w:p w:rsidR="00A16B9F" w:rsidRPr="007D1D00" w:rsidRDefault="00A16B9F" w:rsidP="00A16B9F">
                            <w:pPr>
                              <w:pStyle w:val="af6"/>
                              <w:ind w:left="5250"/>
                              <w:jc w:val="left"/>
                            </w:pPr>
                          </w:p>
                        </w:tc>
                        <w:tc>
                          <w:tcPr>
                            <w:tcW w:w="1351" w:type="dxa"/>
                            <w:gridSpan w:val="2"/>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pPr>
                            <w:r w:rsidRPr="007D1D00">
                              <w:t>IgG</w:t>
                            </w:r>
                          </w:p>
                          <w:p w:rsidR="00A16B9F" w:rsidRPr="007D1D00" w:rsidRDefault="00A16B9F" w:rsidP="00A16B9F">
                            <w:pPr>
                              <w:pStyle w:val="af6"/>
                              <w:ind w:left="5250"/>
                              <w:jc w:val="center"/>
                            </w:pPr>
                          </w:p>
                        </w:tc>
                        <w:tc>
                          <w:tcPr>
                            <w:tcW w:w="1350" w:type="dxa"/>
                            <w:gridSpan w:val="2"/>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pPr>
                            <w:r w:rsidRPr="007D1D00">
                              <w:t>IgA</w:t>
                            </w:r>
                          </w:p>
                          <w:p w:rsidR="00A16B9F" w:rsidRPr="007D1D00" w:rsidRDefault="00A16B9F" w:rsidP="00A16B9F">
                            <w:pPr>
                              <w:pStyle w:val="af6"/>
                              <w:ind w:left="5250"/>
                              <w:jc w:val="center"/>
                            </w:pPr>
                          </w:p>
                        </w:tc>
                      </w:tr>
                      <w:tr w:rsidR="00A16B9F" w:rsidRPr="007D1D00" w:rsidTr="007D1D00">
                        <w:trPr>
                          <w:trHeight w:hRule="exact" w:val="721"/>
                        </w:trPr>
                        <w:tc>
                          <w:tcPr>
                            <w:tcW w:w="1806" w:type="dxa"/>
                            <w:vMerge/>
                            <w:tcBorders>
                              <w:top w:val="nil"/>
                              <w:bottom w:val="single" w:sz="6" w:space="0" w:color="000000"/>
                            </w:tcBorders>
                            <w:tcMar>
                              <w:top w:w="28" w:type="dxa"/>
                              <w:left w:w="28" w:type="dxa"/>
                              <w:bottom w:w="28" w:type="dxa"/>
                              <w:right w:w="28" w:type="dxa"/>
                            </w:tcMar>
                          </w:tcPr>
                          <w:p w:rsidR="00A16B9F" w:rsidRPr="007D1D00" w:rsidRDefault="00A16B9F" w:rsidP="00A16B9F">
                            <w:pPr>
                              <w:pStyle w:val="af6"/>
                              <w:ind w:left="5250"/>
                            </w:pPr>
                          </w:p>
                        </w:tc>
                        <w:tc>
                          <w:tcPr>
                            <w:tcW w:w="676" w:type="dxa"/>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rPr>
                                <w:rFonts w:ascii="Albertus Bold Italic" w:hAnsi="Albertus Bold Italic" w:cs="Albertus Bold Italic"/>
                                <w:i/>
                                <w:iCs/>
                              </w:rPr>
                            </w:pPr>
                            <w:r w:rsidRPr="007D1D00">
                              <w:rPr>
                                <w:rFonts w:ascii="Albertus Bold Italic" w:hAnsi="Albertus Bold Italic" w:cs="Albertus Bold Italic"/>
                                <w:i/>
                                <w:iCs/>
                              </w:rPr>
                              <w:t>r</w:t>
                            </w:r>
                          </w:p>
                          <w:p w:rsidR="00A16B9F" w:rsidRPr="007D1D00" w:rsidRDefault="00A16B9F" w:rsidP="00A16B9F">
                            <w:pPr>
                              <w:pStyle w:val="af6"/>
                              <w:ind w:left="5250"/>
                              <w:jc w:val="center"/>
                            </w:pPr>
                          </w:p>
                        </w:tc>
                        <w:tc>
                          <w:tcPr>
                            <w:tcW w:w="675" w:type="dxa"/>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pPr>
                            <w:r w:rsidRPr="007D1D00">
                              <w:rPr>
                                <w:rFonts w:ascii="Albertus Bold Italic" w:hAnsi="Albertus Bold Italic" w:cs="Albertus Bold Italic"/>
                                <w:i/>
                                <w:iCs/>
                              </w:rPr>
                              <w:t>P</w:t>
                            </w:r>
                            <w:r w:rsidRPr="007D1D00">
                              <w:t xml:space="preserve"> value</w:t>
                            </w:r>
                          </w:p>
                          <w:p w:rsidR="00A16B9F" w:rsidRPr="007D1D00" w:rsidRDefault="00A16B9F" w:rsidP="00A16B9F">
                            <w:pPr>
                              <w:pStyle w:val="af6"/>
                              <w:ind w:left="5250"/>
                              <w:jc w:val="center"/>
                            </w:pPr>
                          </w:p>
                        </w:tc>
                        <w:tc>
                          <w:tcPr>
                            <w:tcW w:w="675" w:type="dxa"/>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rPr>
                                <w:rFonts w:ascii="Albertus Bold Italic" w:hAnsi="Albertus Bold Italic" w:cs="Albertus Bold Italic"/>
                                <w:i/>
                                <w:iCs/>
                              </w:rPr>
                            </w:pPr>
                            <w:r w:rsidRPr="007D1D00">
                              <w:rPr>
                                <w:rFonts w:ascii="Albertus Bold Italic" w:hAnsi="Albertus Bold Italic" w:cs="Albertus Bold Italic"/>
                                <w:i/>
                                <w:iCs/>
                              </w:rPr>
                              <w:t>r</w:t>
                            </w:r>
                          </w:p>
                          <w:p w:rsidR="00A16B9F" w:rsidRPr="007D1D00" w:rsidRDefault="00A16B9F" w:rsidP="00A16B9F">
                            <w:pPr>
                              <w:pStyle w:val="af6"/>
                              <w:ind w:left="5250"/>
                              <w:jc w:val="center"/>
                            </w:pPr>
                          </w:p>
                        </w:tc>
                        <w:tc>
                          <w:tcPr>
                            <w:tcW w:w="675" w:type="dxa"/>
                            <w:tcBorders>
                              <w:top w:val="single" w:sz="6" w:space="0" w:color="000000"/>
                              <w:bottom w:val="single" w:sz="6" w:space="0" w:color="000000"/>
                            </w:tcBorders>
                            <w:tcMar>
                              <w:top w:w="28" w:type="dxa"/>
                              <w:left w:w="28" w:type="dxa"/>
                              <w:bottom w:w="28" w:type="dxa"/>
                              <w:right w:w="28" w:type="dxa"/>
                            </w:tcMar>
                          </w:tcPr>
                          <w:p w:rsidR="00A16B9F" w:rsidRPr="007D1D00" w:rsidRDefault="00A16B9F" w:rsidP="00A16B9F">
                            <w:pPr>
                              <w:pStyle w:val="af6"/>
                              <w:ind w:left="5250"/>
                              <w:jc w:val="center"/>
                            </w:pPr>
                            <w:r w:rsidRPr="007D1D00">
                              <w:rPr>
                                <w:rFonts w:ascii="Albertus Bold Italic" w:hAnsi="Albertus Bold Italic" w:cs="Albertus Bold Italic"/>
                                <w:i/>
                                <w:iCs/>
                              </w:rPr>
                              <w:t>P</w:t>
                            </w:r>
                            <w:r w:rsidRPr="007D1D00">
                              <w:t xml:space="preserve"> value</w:t>
                            </w:r>
                          </w:p>
                          <w:p w:rsidR="00A16B9F" w:rsidRPr="007D1D00" w:rsidRDefault="00A16B9F" w:rsidP="00A16B9F">
                            <w:pPr>
                              <w:pStyle w:val="af6"/>
                              <w:ind w:left="5250"/>
                              <w:jc w:val="center"/>
                            </w:pPr>
                          </w:p>
                        </w:tc>
                      </w:tr>
                      <w:tr w:rsidR="00A16B9F" w:rsidRPr="007D1D00" w:rsidTr="007D1D00">
                        <w:trPr>
                          <w:trHeight w:val="60"/>
                        </w:trPr>
                        <w:tc>
                          <w:tcPr>
                            <w:tcW w:w="1806" w:type="dxa"/>
                            <w:tcBorders>
                              <w:top w:val="single" w:sz="6" w:space="0" w:color="000000"/>
                            </w:tcBorders>
                            <w:tcMar>
                              <w:top w:w="28" w:type="dxa"/>
                              <w:left w:w="28" w:type="dxa"/>
                              <w:bottom w:w="28" w:type="dxa"/>
                              <w:right w:w="28" w:type="dxa"/>
                            </w:tcMar>
                          </w:tcPr>
                          <w:p w:rsidR="00A16B9F" w:rsidRPr="007D1D00" w:rsidRDefault="00A16B9F">
                            <w:pPr>
                              <w:pStyle w:val="af7"/>
                              <w:jc w:val="left"/>
                              <w:rPr>
                                <w:b w:val="0"/>
                                <w:bCs w:val="0"/>
                                <w:lang w:val="en-US"/>
                              </w:rPr>
                            </w:pPr>
                            <w:r w:rsidRPr="007D1D00">
                              <w:rPr>
                                <w:b w:val="0"/>
                                <w:bCs w:val="0"/>
                                <w:lang w:val="en-US"/>
                              </w:rPr>
                              <w:t>Zonulin</w:t>
                            </w:r>
                          </w:p>
                          <w:p w:rsidR="00A16B9F" w:rsidRPr="007D1D00" w:rsidRDefault="00A16B9F">
                            <w:pPr>
                              <w:pStyle w:val="af7"/>
                              <w:jc w:val="left"/>
                              <w:rPr>
                                <w:b w:val="0"/>
                                <w:bCs w:val="0"/>
                              </w:rPr>
                            </w:pPr>
                          </w:p>
                        </w:tc>
                        <w:tc>
                          <w:tcPr>
                            <w:tcW w:w="676" w:type="dxa"/>
                            <w:tcBorders>
                              <w:top w:val="single" w:sz="6" w:space="0" w:color="000000"/>
                            </w:tcBorders>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0.34</w:t>
                            </w:r>
                          </w:p>
                          <w:p w:rsidR="00A16B9F" w:rsidRPr="007D1D00" w:rsidRDefault="00A16B9F">
                            <w:pPr>
                              <w:pStyle w:val="af7"/>
                              <w:jc w:val="center"/>
                              <w:rPr>
                                <w:b w:val="0"/>
                                <w:bCs w:val="0"/>
                              </w:rPr>
                            </w:pPr>
                          </w:p>
                        </w:tc>
                        <w:tc>
                          <w:tcPr>
                            <w:tcW w:w="675" w:type="dxa"/>
                            <w:tcBorders>
                              <w:top w:val="single" w:sz="6" w:space="0" w:color="000000"/>
                            </w:tcBorders>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0.064</w:t>
                            </w:r>
                          </w:p>
                          <w:p w:rsidR="00A16B9F" w:rsidRPr="007D1D00" w:rsidRDefault="00A16B9F">
                            <w:pPr>
                              <w:pStyle w:val="af7"/>
                              <w:jc w:val="center"/>
                              <w:rPr>
                                <w:b w:val="0"/>
                                <w:bCs w:val="0"/>
                              </w:rPr>
                            </w:pPr>
                          </w:p>
                        </w:tc>
                        <w:tc>
                          <w:tcPr>
                            <w:tcW w:w="675" w:type="dxa"/>
                            <w:tcBorders>
                              <w:top w:val="single" w:sz="6" w:space="0" w:color="000000"/>
                            </w:tcBorders>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0.55</w:t>
                            </w:r>
                          </w:p>
                          <w:p w:rsidR="00A16B9F" w:rsidRPr="007D1D00" w:rsidRDefault="00A16B9F">
                            <w:pPr>
                              <w:pStyle w:val="af7"/>
                              <w:jc w:val="center"/>
                              <w:rPr>
                                <w:b w:val="0"/>
                                <w:bCs w:val="0"/>
                              </w:rPr>
                            </w:pPr>
                          </w:p>
                        </w:tc>
                        <w:tc>
                          <w:tcPr>
                            <w:tcW w:w="675" w:type="dxa"/>
                            <w:tcBorders>
                              <w:top w:val="single" w:sz="6" w:space="0" w:color="000000"/>
                            </w:tcBorders>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0.002</w:t>
                            </w:r>
                          </w:p>
                          <w:p w:rsidR="00A16B9F" w:rsidRPr="007D1D00" w:rsidRDefault="00A16B9F">
                            <w:pPr>
                              <w:pStyle w:val="af7"/>
                              <w:jc w:val="center"/>
                              <w:rPr>
                                <w:b w:val="0"/>
                                <w:bCs w:val="0"/>
                              </w:rPr>
                            </w:pPr>
                          </w:p>
                        </w:tc>
                      </w:tr>
                      <w:tr w:rsidR="00A16B9F" w:rsidRPr="007D1D00" w:rsidTr="007D1D00">
                        <w:trPr>
                          <w:trHeight w:val="60"/>
                        </w:trPr>
                        <w:tc>
                          <w:tcPr>
                            <w:tcW w:w="1806" w:type="dxa"/>
                            <w:tcMar>
                              <w:top w:w="28" w:type="dxa"/>
                              <w:left w:w="28" w:type="dxa"/>
                              <w:bottom w:w="28" w:type="dxa"/>
                              <w:right w:w="28" w:type="dxa"/>
                            </w:tcMar>
                          </w:tcPr>
                          <w:p w:rsidR="00A16B9F" w:rsidRPr="007D1D00" w:rsidRDefault="00A16B9F">
                            <w:pPr>
                              <w:pStyle w:val="af7"/>
                              <w:jc w:val="left"/>
                              <w:rPr>
                                <w:b w:val="0"/>
                                <w:bCs w:val="0"/>
                                <w:lang w:val="en-US"/>
                              </w:rPr>
                            </w:pPr>
                            <w:r w:rsidRPr="007D1D00">
                              <w:rPr>
                                <w:b w:val="0"/>
                                <w:bCs w:val="0"/>
                                <w:lang w:val="en-US"/>
                              </w:rPr>
                              <w:t>Occludin</w:t>
                            </w:r>
                          </w:p>
                          <w:p w:rsidR="00A16B9F" w:rsidRPr="007D1D00" w:rsidRDefault="00A16B9F">
                            <w:pPr>
                              <w:pStyle w:val="af7"/>
                              <w:jc w:val="left"/>
                              <w:rPr>
                                <w:b w:val="0"/>
                                <w:bCs w:val="0"/>
                              </w:rPr>
                            </w:pPr>
                          </w:p>
                        </w:tc>
                        <w:tc>
                          <w:tcPr>
                            <w:tcW w:w="676"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0.60</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&lt; 0.001</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0.50</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0.005</w:t>
                            </w:r>
                          </w:p>
                          <w:p w:rsidR="00A16B9F" w:rsidRPr="007D1D00" w:rsidRDefault="00A16B9F">
                            <w:pPr>
                              <w:pStyle w:val="af7"/>
                              <w:jc w:val="center"/>
                              <w:rPr>
                                <w:b w:val="0"/>
                                <w:bCs w:val="0"/>
                              </w:rPr>
                            </w:pPr>
                          </w:p>
                        </w:tc>
                      </w:tr>
                      <w:tr w:rsidR="00A16B9F" w:rsidRPr="007D1D00" w:rsidTr="007D1D00">
                        <w:trPr>
                          <w:trHeight w:val="60"/>
                        </w:trPr>
                        <w:tc>
                          <w:tcPr>
                            <w:tcW w:w="1806" w:type="dxa"/>
                            <w:tcMar>
                              <w:top w:w="28" w:type="dxa"/>
                              <w:left w:w="28" w:type="dxa"/>
                              <w:bottom w:w="28" w:type="dxa"/>
                              <w:right w:w="28" w:type="dxa"/>
                            </w:tcMar>
                          </w:tcPr>
                          <w:p w:rsidR="00A16B9F" w:rsidRPr="007D1D00" w:rsidRDefault="00A16B9F">
                            <w:pPr>
                              <w:pStyle w:val="af7"/>
                              <w:jc w:val="left"/>
                              <w:rPr>
                                <w:b w:val="0"/>
                                <w:bCs w:val="0"/>
                                <w:lang w:val="en-US"/>
                              </w:rPr>
                            </w:pPr>
                            <w:r w:rsidRPr="007D1D00">
                              <w:rPr>
                                <w:b w:val="0"/>
                                <w:bCs w:val="0"/>
                                <w:lang w:val="en-US"/>
                              </w:rPr>
                              <w:t>Vinculin</w:t>
                            </w:r>
                          </w:p>
                          <w:p w:rsidR="00A16B9F" w:rsidRPr="007D1D00" w:rsidRDefault="00A16B9F">
                            <w:pPr>
                              <w:pStyle w:val="af7"/>
                              <w:jc w:val="left"/>
                              <w:rPr>
                                <w:b w:val="0"/>
                                <w:bCs w:val="0"/>
                              </w:rPr>
                            </w:pPr>
                          </w:p>
                        </w:tc>
                        <w:tc>
                          <w:tcPr>
                            <w:tcW w:w="676"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0.40</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0.032</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0.52</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0.003</w:t>
                            </w:r>
                          </w:p>
                          <w:p w:rsidR="00A16B9F" w:rsidRPr="007D1D00" w:rsidRDefault="00A16B9F">
                            <w:pPr>
                              <w:pStyle w:val="af7"/>
                              <w:jc w:val="center"/>
                              <w:rPr>
                                <w:b w:val="0"/>
                                <w:bCs w:val="0"/>
                              </w:rPr>
                            </w:pPr>
                          </w:p>
                        </w:tc>
                      </w:tr>
                      <w:tr w:rsidR="00A16B9F" w:rsidRPr="007D1D00" w:rsidTr="007D1D00">
                        <w:trPr>
                          <w:trHeight w:val="60"/>
                        </w:trPr>
                        <w:tc>
                          <w:tcPr>
                            <w:tcW w:w="1806" w:type="dxa"/>
                            <w:tcMar>
                              <w:top w:w="28" w:type="dxa"/>
                              <w:left w:w="28" w:type="dxa"/>
                              <w:bottom w:w="28" w:type="dxa"/>
                              <w:right w:w="28" w:type="dxa"/>
                            </w:tcMar>
                          </w:tcPr>
                          <w:p w:rsidR="00A16B9F" w:rsidRPr="007D1D00" w:rsidRDefault="00A16B9F">
                            <w:pPr>
                              <w:pStyle w:val="af7"/>
                              <w:jc w:val="left"/>
                              <w:rPr>
                                <w:b w:val="0"/>
                                <w:bCs w:val="0"/>
                                <w:lang w:val="en-US"/>
                              </w:rPr>
                            </w:pPr>
                            <w:r w:rsidRPr="007D1D00">
                              <w:rPr>
                                <w:b w:val="0"/>
                                <w:bCs w:val="0"/>
                                <w:lang w:val="en-US"/>
                              </w:rPr>
                              <w:t>Aquaporin 4</w:t>
                            </w:r>
                          </w:p>
                          <w:p w:rsidR="00A16B9F" w:rsidRPr="007D1D00" w:rsidRDefault="00A16B9F">
                            <w:pPr>
                              <w:pStyle w:val="af7"/>
                              <w:jc w:val="left"/>
                              <w:rPr>
                                <w:b w:val="0"/>
                                <w:bCs w:val="0"/>
                              </w:rPr>
                            </w:pPr>
                          </w:p>
                        </w:tc>
                        <w:tc>
                          <w:tcPr>
                            <w:tcW w:w="676"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0.42</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0.020</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0.24</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0.197</w:t>
                            </w:r>
                          </w:p>
                          <w:p w:rsidR="00A16B9F" w:rsidRPr="007D1D00" w:rsidRDefault="00A16B9F">
                            <w:pPr>
                              <w:pStyle w:val="af7"/>
                              <w:jc w:val="center"/>
                              <w:rPr>
                                <w:b w:val="0"/>
                                <w:bCs w:val="0"/>
                              </w:rPr>
                            </w:pPr>
                          </w:p>
                        </w:tc>
                      </w:tr>
                      <w:tr w:rsidR="00A16B9F" w:rsidRPr="007D1D00" w:rsidTr="007D1D00">
                        <w:trPr>
                          <w:trHeight w:val="60"/>
                        </w:trPr>
                        <w:tc>
                          <w:tcPr>
                            <w:tcW w:w="1806" w:type="dxa"/>
                            <w:tcMar>
                              <w:top w:w="28" w:type="dxa"/>
                              <w:left w:w="28" w:type="dxa"/>
                              <w:bottom w:w="28" w:type="dxa"/>
                              <w:right w:w="28" w:type="dxa"/>
                            </w:tcMar>
                          </w:tcPr>
                          <w:p w:rsidR="00A16B9F" w:rsidRPr="007D1D00" w:rsidRDefault="00A16B9F">
                            <w:pPr>
                              <w:pStyle w:val="af7"/>
                              <w:jc w:val="left"/>
                              <w:rPr>
                                <w:b w:val="0"/>
                                <w:bCs w:val="0"/>
                                <w:lang w:val="en-US"/>
                              </w:rPr>
                            </w:pPr>
                            <w:r w:rsidRPr="007D1D00">
                              <w:rPr>
                                <w:b w:val="0"/>
                                <w:bCs w:val="0"/>
                                <w:lang w:val="en-US"/>
                              </w:rPr>
                              <w:t>Glial fibrillary acidic protein</w:t>
                            </w:r>
                          </w:p>
                          <w:p w:rsidR="00A16B9F" w:rsidRPr="007D1D00" w:rsidRDefault="00A16B9F">
                            <w:pPr>
                              <w:pStyle w:val="af7"/>
                              <w:jc w:val="left"/>
                              <w:rPr>
                                <w:b w:val="0"/>
                                <w:bCs w:val="0"/>
                              </w:rPr>
                            </w:pPr>
                          </w:p>
                        </w:tc>
                        <w:tc>
                          <w:tcPr>
                            <w:tcW w:w="676"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0.55</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0.002</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0.60</w:t>
                            </w:r>
                          </w:p>
                          <w:p w:rsidR="00A16B9F" w:rsidRPr="007D1D00" w:rsidRDefault="00A16B9F">
                            <w:pPr>
                              <w:pStyle w:val="af7"/>
                              <w:jc w:val="center"/>
                              <w:rPr>
                                <w:b w:val="0"/>
                                <w:bCs w:val="0"/>
                              </w:rPr>
                            </w:pPr>
                          </w:p>
                        </w:tc>
                        <w:tc>
                          <w:tcPr>
                            <w:tcW w:w="675" w:type="dxa"/>
                            <w:tcMar>
                              <w:top w:w="28" w:type="dxa"/>
                              <w:left w:w="28" w:type="dxa"/>
                              <w:bottom w:w="28" w:type="dxa"/>
                              <w:right w:w="28" w:type="dxa"/>
                            </w:tcMar>
                          </w:tcPr>
                          <w:p w:rsidR="00A16B9F" w:rsidRPr="007D1D00" w:rsidRDefault="00A16B9F">
                            <w:pPr>
                              <w:pStyle w:val="af7"/>
                              <w:jc w:val="center"/>
                              <w:rPr>
                                <w:b w:val="0"/>
                                <w:bCs w:val="0"/>
                                <w:lang w:val="en-US"/>
                              </w:rPr>
                            </w:pPr>
                            <w:r w:rsidRPr="007D1D00">
                              <w:rPr>
                                <w:b w:val="0"/>
                                <w:bCs w:val="0"/>
                                <w:lang w:val="en-US"/>
                              </w:rPr>
                              <w:t>&lt; 0.001</w:t>
                            </w:r>
                          </w:p>
                          <w:p w:rsidR="00A16B9F" w:rsidRPr="007D1D00" w:rsidRDefault="00A16B9F">
                            <w:pPr>
                              <w:pStyle w:val="af7"/>
                              <w:jc w:val="center"/>
                              <w:rPr>
                                <w:b w:val="0"/>
                                <w:bCs w:val="0"/>
                              </w:rPr>
                            </w:pPr>
                          </w:p>
                        </w:tc>
                      </w:tr>
                    </w:tbl>
                    <w:p w:rsidR="00A16B9F" w:rsidRDefault="00A16B9F" w:rsidP="00A16B9F">
                      <w:pPr>
                        <w:widowControl/>
                        <w:jc w:val="left"/>
                      </w:pPr>
                    </w:p>
                  </w:txbxContent>
                </v:textbox>
                <w10:wrap type="square"/>
              </v:shape>
            </w:pict>
          </mc:Fallback>
        </mc:AlternateContent>
      </w:r>
    </w:p>
    <w:p w:rsidR="00A16B9F" w:rsidRPr="00A16B9F" w:rsidRDefault="00A16B9F" w:rsidP="00B657F9"/>
    <w:sectPr w:rsidR="00A16B9F" w:rsidRPr="00A16B9F" w:rsidSect="00A21CED">
      <w:headerReference w:type="default" r:id="rId12"/>
      <w:footerReference w:type="default"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D57" w:rsidRDefault="00C07D57">
      <w:r>
        <w:separator/>
      </w:r>
    </w:p>
  </w:endnote>
  <w:endnote w:type="continuationSeparator" w:id="0">
    <w:p w:rsidR="00C07D57" w:rsidRDefault="00C07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885238">
          <w:rPr>
            <w:noProof/>
          </w:rPr>
          <w:t>7</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D57" w:rsidRDefault="00C07D57">
      <w:r>
        <w:separator/>
      </w:r>
    </w:p>
  </w:footnote>
  <w:footnote w:type="continuationSeparator" w:id="0">
    <w:p w:rsidR="00C07D57" w:rsidRDefault="00C07D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1D86"/>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238"/>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6B9F"/>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07D57"/>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77EB0"/>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A16B9F"/>
    <w:pPr>
      <w:autoSpaceDE w:val="0"/>
      <w:autoSpaceDN w:val="0"/>
      <w:adjustRightInd w:val="0"/>
      <w:spacing w:line="288" w:lineRule="auto"/>
      <w:textAlignment w:val="center"/>
    </w:pPr>
    <w:rPr>
      <w:rFonts w:ascii="宋体" w:hAnsi="Tw Cen MT" w:cs="宋体"/>
      <w:color w:val="000000"/>
      <w:kern w:val="0"/>
      <w:sz w:val="24"/>
      <w:szCs w:val="24"/>
      <w:lang w:val="zh-CN" w:bidi="th-TH"/>
    </w:rPr>
  </w:style>
  <w:style w:type="paragraph" w:customStyle="1" w:styleId="af5">
    <w:name w:val="作者"/>
    <w:basedOn w:val="a"/>
    <w:rsid w:val="00A16B9F"/>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A16B9F"/>
    <w:pPr>
      <w:suppressAutoHyphens/>
      <w:spacing w:line="200" w:lineRule="atLeast"/>
    </w:pPr>
    <w:rPr>
      <w:rFonts w:ascii="Arial Narrow" w:hAnsi="Arial Narrow" w:cs="Arial Narrow"/>
      <w:sz w:val="16"/>
      <w:szCs w:val="16"/>
      <w:lang w:val="en-US"/>
    </w:rPr>
  </w:style>
  <w:style w:type="paragraph" w:customStyle="1" w:styleId="af6">
    <w:name w:val="表头"/>
    <w:basedOn w:val="NormalParagraphStyle"/>
    <w:rsid w:val="00A16B9F"/>
    <w:pPr>
      <w:suppressAutoHyphens/>
    </w:pPr>
    <w:rPr>
      <w:rFonts w:ascii="Albertus" w:hAnsi="Albertus" w:cs="Albertus"/>
      <w:b/>
      <w:bCs/>
      <w:sz w:val="14"/>
      <w:szCs w:val="14"/>
    </w:rPr>
  </w:style>
  <w:style w:type="paragraph" w:customStyle="1" w:styleId="af7">
    <w:name w:val="表格中文字"/>
    <w:basedOn w:val="a"/>
    <w:rsid w:val="00A16B9F"/>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A16B9F"/>
    <w:pPr>
      <w:autoSpaceDE w:val="0"/>
      <w:autoSpaceDN w:val="0"/>
      <w:adjustRightInd w:val="0"/>
      <w:spacing w:line="288" w:lineRule="auto"/>
      <w:textAlignment w:val="center"/>
    </w:pPr>
    <w:rPr>
      <w:rFonts w:ascii="宋体" w:hAnsi="Tw Cen MT" w:cs="宋体"/>
      <w:color w:val="000000"/>
      <w:kern w:val="0"/>
      <w:sz w:val="24"/>
      <w:szCs w:val="24"/>
      <w:lang w:val="zh-CN" w:bidi="th-TH"/>
    </w:rPr>
  </w:style>
  <w:style w:type="paragraph" w:customStyle="1" w:styleId="af5">
    <w:name w:val="作者"/>
    <w:basedOn w:val="a"/>
    <w:rsid w:val="00A16B9F"/>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A16B9F"/>
    <w:pPr>
      <w:suppressAutoHyphens/>
      <w:spacing w:line="200" w:lineRule="atLeast"/>
    </w:pPr>
    <w:rPr>
      <w:rFonts w:ascii="Arial Narrow" w:hAnsi="Arial Narrow" w:cs="Arial Narrow"/>
      <w:sz w:val="16"/>
      <w:szCs w:val="16"/>
      <w:lang w:val="en-US"/>
    </w:rPr>
  </w:style>
  <w:style w:type="paragraph" w:customStyle="1" w:styleId="af6">
    <w:name w:val="表头"/>
    <w:basedOn w:val="NormalParagraphStyle"/>
    <w:rsid w:val="00A16B9F"/>
    <w:pPr>
      <w:suppressAutoHyphens/>
    </w:pPr>
    <w:rPr>
      <w:rFonts w:ascii="Albertus" w:hAnsi="Albertus" w:cs="Albertus"/>
      <w:b/>
      <w:bCs/>
      <w:sz w:val="14"/>
      <w:szCs w:val="14"/>
    </w:rPr>
  </w:style>
  <w:style w:type="paragraph" w:customStyle="1" w:styleId="af7">
    <w:name w:val="表格中文字"/>
    <w:basedOn w:val="a"/>
    <w:rsid w:val="00A16B9F"/>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B9B62-3CA1-4EAF-9236-16A4BF90D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19</Pages>
  <Words>7572</Words>
  <Characters>43162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50633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m</cp:lastModifiedBy>
  <cp:revision>112</cp:revision>
  <cp:lastPrinted>2017-07-31T17:15:00Z</cp:lastPrinted>
  <dcterms:created xsi:type="dcterms:W3CDTF">2017-06-13T15:12:00Z</dcterms:created>
  <dcterms:modified xsi:type="dcterms:W3CDTF">2017-08-23T08:00:00Z</dcterms:modified>
</cp:coreProperties>
</file>