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DC442E" w:rsidRDefault="00B93F5B">
            <w:pPr>
              <w:spacing w:line="360" w:lineRule="auto"/>
              <w:rPr>
                <w:rFonts w:ascii="Book Antiqua" w:hAnsi="Book Antiqua"/>
                <w:color w:val="000000"/>
                <w:sz w:val="24"/>
                <w:szCs w:val="24"/>
              </w:rPr>
            </w:pPr>
            <w:proofErr w:type="spellStart"/>
            <w:r w:rsidRPr="00B93F5B">
              <w:rPr>
                <w:rFonts w:ascii="Book Antiqua" w:hAnsi="Book Antiqua"/>
                <w:color w:val="000000"/>
                <w:sz w:val="24"/>
                <w:szCs w:val="24"/>
              </w:rPr>
              <w:t>Faecal</w:t>
            </w:r>
            <w:proofErr w:type="spellEnd"/>
            <w:r w:rsidRPr="00B93F5B">
              <w:rPr>
                <w:rFonts w:ascii="Book Antiqua" w:hAnsi="Book Antiqua"/>
                <w:color w:val="000000"/>
                <w:sz w:val="24"/>
                <w:szCs w:val="24"/>
              </w:rPr>
              <w:t xml:space="preserve"> and mucosal </w:t>
            </w:r>
            <w:proofErr w:type="spellStart"/>
            <w:r w:rsidRPr="00B93F5B">
              <w:rPr>
                <w:rFonts w:ascii="Book Antiqua" w:hAnsi="Book Antiqua"/>
                <w:color w:val="000000"/>
                <w:sz w:val="24"/>
                <w:szCs w:val="24"/>
              </w:rPr>
              <w:t>microbiota</w:t>
            </w:r>
            <w:proofErr w:type="spellEnd"/>
            <w:r w:rsidRPr="00B93F5B">
              <w:rPr>
                <w:rFonts w:ascii="Book Antiqua" w:hAnsi="Book Antiqua"/>
                <w:color w:val="000000"/>
                <w:sz w:val="24"/>
                <w:szCs w:val="24"/>
              </w:rPr>
              <w:t xml:space="preserve"> in patients with functional gastrointestinal disorders: Correlation with toll-like receptor 2/toll-like receptor 4 expression</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DC442E" w:rsidRDefault="00B93F5B">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B93F5B">
              <w:rPr>
                <w:rFonts w:ascii="Book Antiqua" w:hAnsi="Book Antiqua" w:cs="Book Antiqua"/>
                <w:color w:val="000000"/>
                <w:sz w:val="24"/>
                <w:szCs w:val="24"/>
              </w:rPr>
              <w:t>Li-Na Dong, Jun-Ping Wang, Ping Liu, Yun-</w:t>
            </w:r>
            <w:proofErr w:type="spellStart"/>
            <w:r w:rsidRPr="00B93F5B">
              <w:rPr>
                <w:rFonts w:ascii="Book Antiqua" w:hAnsi="Book Antiqua" w:cs="Book Antiqua"/>
                <w:color w:val="000000"/>
                <w:sz w:val="24"/>
                <w:szCs w:val="24"/>
              </w:rPr>
              <w:t>Feng</w:t>
            </w:r>
            <w:proofErr w:type="spellEnd"/>
            <w:r w:rsidRPr="00B93F5B">
              <w:rPr>
                <w:rFonts w:ascii="Book Antiqua" w:hAnsi="Book Antiqua" w:cs="Book Antiqua"/>
                <w:color w:val="000000"/>
                <w:sz w:val="24"/>
                <w:szCs w:val="24"/>
              </w:rPr>
              <w:t xml:space="preserve"> Yang, Jing </w:t>
            </w:r>
            <w:proofErr w:type="spellStart"/>
            <w:r w:rsidRPr="00B93F5B">
              <w:rPr>
                <w:rFonts w:ascii="Book Antiqua" w:hAnsi="Book Antiqua" w:cs="Book Antiqua"/>
                <w:color w:val="000000"/>
                <w:sz w:val="24"/>
                <w:szCs w:val="24"/>
              </w:rPr>
              <w:t>Feng</w:t>
            </w:r>
            <w:proofErr w:type="spellEnd"/>
            <w:r w:rsidRPr="00B93F5B">
              <w:rPr>
                <w:rFonts w:ascii="Book Antiqua" w:hAnsi="Book Antiqua" w:cs="Book Antiqua"/>
                <w:color w:val="000000"/>
                <w:sz w:val="24"/>
                <w:szCs w:val="24"/>
              </w:rPr>
              <w:t>, Yi Han</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DC442E" w:rsidRDefault="00B93F5B">
            <w:pPr>
              <w:pStyle w:val="af4"/>
              <w:spacing w:line="360" w:lineRule="auto"/>
              <w:rPr>
                <w:rFonts w:ascii="Book Antiqua" w:hAnsi="Book Antiqua"/>
                <w:sz w:val="24"/>
                <w:szCs w:val="24"/>
                <w:lang w:val="zh-CN"/>
              </w:rPr>
            </w:pPr>
            <w:r w:rsidRPr="00B93F5B">
              <w:rPr>
                <w:rFonts w:ascii="Book Antiqua" w:hAnsi="Book Antiqua"/>
                <w:sz w:val="24"/>
                <w:szCs w:val="24"/>
              </w:rPr>
              <w:t xml:space="preserve">Dong LN, Wang JP, Liu P, Yang YF, </w:t>
            </w:r>
            <w:proofErr w:type="spellStart"/>
            <w:r w:rsidRPr="00B93F5B">
              <w:rPr>
                <w:rFonts w:ascii="Book Antiqua" w:hAnsi="Book Antiqua"/>
                <w:sz w:val="24"/>
                <w:szCs w:val="24"/>
              </w:rPr>
              <w:t>Feng</w:t>
            </w:r>
            <w:proofErr w:type="spellEnd"/>
            <w:r w:rsidRPr="00B93F5B">
              <w:rPr>
                <w:rFonts w:ascii="Book Antiqua" w:hAnsi="Book Antiqua"/>
                <w:sz w:val="24"/>
                <w:szCs w:val="24"/>
              </w:rPr>
              <w:t xml:space="preserve"> J, Han Y. </w:t>
            </w:r>
            <w:proofErr w:type="spellStart"/>
            <w:r w:rsidRPr="00B93F5B">
              <w:rPr>
                <w:rFonts w:ascii="Book Antiqua" w:hAnsi="Book Antiqua"/>
                <w:sz w:val="24"/>
                <w:szCs w:val="24"/>
              </w:rPr>
              <w:t>Faecal</w:t>
            </w:r>
            <w:proofErr w:type="spellEnd"/>
            <w:r w:rsidRPr="00B93F5B">
              <w:rPr>
                <w:rFonts w:ascii="Book Antiqua" w:hAnsi="Book Antiqua"/>
                <w:sz w:val="24"/>
                <w:szCs w:val="24"/>
              </w:rPr>
              <w:t xml:space="preserve"> and mucosal </w:t>
            </w:r>
            <w:proofErr w:type="spellStart"/>
            <w:r w:rsidRPr="00B93F5B">
              <w:rPr>
                <w:rFonts w:ascii="Book Antiqua" w:hAnsi="Book Antiqua"/>
                <w:sz w:val="24"/>
                <w:szCs w:val="24"/>
              </w:rPr>
              <w:t>microbiota</w:t>
            </w:r>
            <w:proofErr w:type="spellEnd"/>
            <w:r w:rsidRPr="00B93F5B">
              <w:rPr>
                <w:rFonts w:ascii="Book Antiqua" w:hAnsi="Book Antiqua"/>
                <w:sz w:val="24"/>
                <w:szCs w:val="24"/>
              </w:rPr>
              <w:t xml:space="preserve"> in patients with functional gastrointestinal disorders: Correlation with toll-like receptor 2/toll-like receptor 4 expression. World J </w:t>
            </w:r>
            <w:proofErr w:type="spellStart"/>
            <w:r w:rsidRPr="00B93F5B">
              <w:rPr>
                <w:rFonts w:ascii="Book Antiqua" w:hAnsi="Book Antiqua"/>
                <w:sz w:val="24"/>
                <w:szCs w:val="24"/>
              </w:rPr>
              <w:t>Gastroenterol</w:t>
            </w:r>
            <w:proofErr w:type="spellEnd"/>
            <w:r w:rsidRPr="00B93F5B">
              <w:rPr>
                <w:rFonts w:ascii="Book Antiqua" w:hAnsi="Book Antiqua"/>
                <w:sz w:val="24"/>
                <w:szCs w:val="24"/>
              </w:rPr>
              <w:t xml:space="preserve"> 2017; 23(36): 6665-6673</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B93F5B" w:rsidRDefault="00B93F5B" w:rsidP="003B7833">
            <w:pPr>
              <w:pStyle w:val="af3"/>
              <w:spacing w:line="360" w:lineRule="auto"/>
              <w:rPr>
                <w:rFonts w:ascii="Book Antiqua" w:hAnsi="Book Antiqua"/>
                <w:b w:val="0"/>
                <w:bCs w:val="0"/>
                <w:sz w:val="24"/>
                <w:szCs w:val="24"/>
                <w:lang w:val="en-US"/>
              </w:rPr>
            </w:pPr>
            <w:r w:rsidRPr="00B93F5B">
              <w:rPr>
                <w:rFonts w:ascii="Book Antiqua" w:hAnsi="Book Antiqua"/>
                <w:b w:val="0"/>
                <w:sz w:val="24"/>
                <w:szCs w:val="24"/>
                <w:lang w:val="en-US"/>
              </w:rPr>
              <w:t>http://www.wjgnet.com/1007-9327/full/v23/i36/6665.htm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B93F5B" w:rsidRDefault="00B93F5B" w:rsidP="003B7833">
            <w:pPr>
              <w:pStyle w:val="af3"/>
              <w:spacing w:line="360" w:lineRule="auto"/>
              <w:rPr>
                <w:rFonts w:ascii="Book Antiqua" w:hAnsi="Book Antiqua"/>
                <w:b w:val="0"/>
                <w:bCs w:val="0"/>
                <w:sz w:val="24"/>
                <w:szCs w:val="24"/>
                <w:lang w:val="en-US"/>
              </w:rPr>
            </w:pPr>
            <w:r w:rsidRPr="00B93F5B">
              <w:rPr>
                <w:rFonts w:ascii="Book Antiqua" w:hAnsi="Book Antiqua"/>
                <w:b w:val="0"/>
                <w:sz w:val="24"/>
                <w:szCs w:val="24"/>
                <w:lang w:val="en-US"/>
              </w:rPr>
              <w:t>http://dx.doi.org/10.3748/wjg.v23.i36.6665</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DC442E" w:rsidRDefault="008D72C4">
            <w:pPr>
              <w:pStyle w:val="ad"/>
              <w:spacing w:line="360" w:lineRule="auto"/>
              <w:rPr>
                <w:rFonts w:ascii="Book Antiqua" w:hAnsi="Book Antiqua"/>
                <w:color w:val="000000"/>
                <w:sz w:val="24"/>
                <w:szCs w:val="24"/>
                <w:lang w:val="zh-CN"/>
              </w:rPr>
            </w:pPr>
            <w:r w:rsidRPr="00B93F5B">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DC442E" w:rsidRDefault="00B93F5B">
            <w:pPr>
              <w:pStyle w:val="E-1"/>
              <w:spacing w:line="360" w:lineRule="auto"/>
              <w:rPr>
                <w:rFonts w:ascii="Book Antiqua" w:hAnsi="Book Antiqua"/>
                <w:bCs/>
                <w:sz w:val="24"/>
                <w:szCs w:val="24"/>
              </w:rPr>
            </w:pPr>
            <w:r w:rsidRPr="00B93F5B">
              <w:rPr>
                <w:rFonts w:ascii="Book Antiqua" w:hAnsi="Book Antiqua"/>
                <w:sz w:val="24"/>
                <w:szCs w:val="24"/>
              </w:rPr>
              <w:t xml:space="preserve">To explore which bacteria regulate the expression of toll-like receptors (TLRs) and thereby affect intestinal functions, we performed high-throughput </w:t>
            </w:r>
            <w:proofErr w:type="spellStart"/>
            <w:r w:rsidRPr="00B93F5B">
              <w:rPr>
                <w:rFonts w:ascii="Book Antiqua" w:hAnsi="Book Antiqua"/>
                <w:sz w:val="24"/>
                <w:szCs w:val="24"/>
              </w:rPr>
              <w:t>pyrosequencing</w:t>
            </w:r>
            <w:proofErr w:type="spellEnd"/>
            <w:r w:rsidRPr="00B93F5B">
              <w:rPr>
                <w:rFonts w:ascii="Book Antiqua" w:hAnsi="Book Antiqua"/>
                <w:sz w:val="24"/>
                <w:szCs w:val="24"/>
              </w:rPr>
              <w:t xml:space="preserve"> of the bacterial 16S </w:t>
            </w:r>
            <w:proofErr w:type="spellStart"/>
            <w:r w:rsidRPr="00B93F5B">
              <w:rPr>
                <w:rFonts w:ascii="Book Antiqua" w:hAnsi="Book Antiqua"/>
                <w:sz w:val="24"/>
                <w:szCs w:val="24"/>
              </w:rPr>
              <w:t>rRNA</w:t>
            </w:r>
            <w:proofErr w:type="spellEnd"/>
            <w:r w:rsidRPr="00B93F5B">
              <w:rPr>
                <w:rFonts w:ascii="Book Antiqua" w:hAnsi="Book Antiqua"/>
                <w:sz w:val="24"/>
                <w:szCs w:val="24"/>
              </w:rPr>
              <w:t xml:space="preserve"> gene, compared the microbial communities in the </w:t>
            </w:r>
            <w:proofErr w:type="spellStart"/>
            <w:r w:rsidRPr="00B93F5B">
              <w:rPr>
                <w:rFonts w:ascii="Book Antiqua" w:hAnsi="Book Antiqua"/>
                <w:sz w:val="24"/>
                <w:szCs w:val="24"/>
              </w:rPr>
              <w:t>faeces</w:t>
            </w:r>
            <w:proofErr w:type="spellEnd"/>
            <w:r w:rsidRPr="00B93F5B">
              <w:rPr>
                <w:rFonts w:ascii="Book Antiqua" w:hAnsi="Book Antiqua"/>
                <w:sz w:val="24"/>
                <w:szCs w:val="24"/>
              </w:rPr>
              <w:t xml:space="preserve"> and mucosa of Chinese patients with functional gastrointestinal disorders, and studied their association with the expression of colonic mucosal TLR2 and TLR4. Samples of luminal </w:t>
            </w:r>
            <w:proofErr w:type="spellStart"/>
            <w:r w:rsidRPr="00B93F5B">
              <w:rPr>
                <w:rFonts w:ascii="Book Antiqua" w:hAnsi="Book Antiqua"/>
                <w:sz w:val="24"/>
                <w:szCs w:val="24"/>
              </w:rPr>
              <w:t>microbiota</w:t>
            </w:r>
            <w:proofErr w:type="spellEnd"/>
            <w:r w:rsidRPr="00B93F5B">
              <w:rPr>
                <w:rFonts w:ascii="Book Antiqua" w:hAnsi="Book Antiqua"/>
                <w:sz w:val="24"/>
                <w:szCs w:val="24"/>
              </w:rPr>
              <w:t xml:space="preserve"> were different from those of mucosa-associated </w:t>
            </w:r>
            <w:proofErr w:type="spellStart"/>
            <w:r w:rsidRPr="00B93F5B">
              <w:rPr>
                <w:rFonts w:ascii="Book Antiqua" w:hAnsi="Book Antiqua"/>
                <w:sz w:val="24"/>
                <w:szCs w:val="24"/>
              </w:rPr>
              <w:t>microbiota</w:t>
            </w:r>
            <w:proofErr w:type="spellEnd"/>
            <w:r w:rsidRPr="00B93F5B">
              <w:rPr>
                <w:rFonts w:ascii="Book Antiqua" w:hAnsi="Book Antiqua"/>
                <w:sz w:val="24"/>
                <w:szCs w:val="24"/>
              </w:rPr>
              <w:t xml:space="preserve"> (MAM), and MAM samples were closely associated with TLR2/4 expression. The abundance of </w:t>
            </w:r>
            <w:proofErr w:type="spellStart"/>
            <w:r w:rsidRPr="00B93F5B">
              <w:rPr>
                <w:rFonts w:ascii="Book Antiqua" w:hAnsi="Book Antiqua"/>
                <w:sz w:val="24"/>
                <w:szCs w:val="24"/>
              </w:rPr>
              <w:t>Faecallibacterium</w:t>
            </w:r>
            <w:proofErr w:type="spellEnd"/>
            <w:r w:rsidRPr="00B93F5B">
              <w:rPr>
                <w:rFonts w:ascii="Book Antiqua" w:hAnsi="Book Antiqua"/>
                <w:sz w:val="24"/>
                <w:szCs w:val="24"/>
              </w:rPr>
              <w:t xml:space="preserve"> and </w:t>
            </w:r>
            <w:proofErr w:type="spellStart"/>
            <w:r w:rsidRPr="00B93F5B">
              <w:rPr>
                <w:rFonts w:ascii="Book Antiqua" w:hAnsi="Book Antiqua"/>
                <w:sz w:val="24"/>
                <w:szCs w:val="24"/>
              </w:rPr>
              <w:t>Ruminococcus</w:t>
            </w:r>
            <w:proofErr w:type="spellEnd"/>
            <w:r w:rsidRPr="00B93F5B">
              <w:rPr>
                <w:rFonts w:ascii="Book Antiqua" w:hAnsi="Book Antiqua"/>
                <w:sz w:val="24"/>
                <w:szCs w:val="24"/>
              </w:rPr>
              <w:t xml:space="preserve"> was lower in patients with gut disease, while the expression of TLRs is higher than in healthy controls. The presence of </w:t>
            </w:r>
            <w:proofErr w:type="spellStart"/>
            <w:r w:rsidRPr="00B93F5B">
              <w:rPr>
                <w:rFonts w:ascii="Book Antiqua" w:hAnsi="Book Antiqua"/>
                <w:sz w:val="24"/>
                <w:szCs w:val="24"/>
              </w:rPr>
              <w:t>Faecallibacterium</w:t>
            </w:r>
            <w:proofErr w:type="spellEnd"/>
            <w:r w:rsidRPr="00B93F5B">
              <w:rPr>
                <w:rFonts w:ascii="Book Antiqua" w:hAnsi="Book Antiqua"/>
                <w:sz w:val="24"/>
                <w:szCs w:val="24"/>
              </w:rPr>
              <w:t xml:space="preserve"> and </w:t>
            </w:r>
            <w:proofErr w:type="spellStart"/>
            <w:r w:rsidRPr="00B93F5B">
              <w:rPr>
                <w:rFonts w:ascii="Book Antiqua" w:hAnsi="Book Antiqua"/>
                <w:sz w:val="24"/>
                <w:szCs w:val="24"/>
              </w:rPr>
              <w:t>Ruminococcus</w:t>
            </w:r>
            <w:proofErr w:type="spellEnd"/>
            <w:r w:rsidRPr="00B93F5B">
              <w:rPr>
                <w:rFonts w:ascii="Book Antiqua" w:hAnsi="Book Antiqua"/>
                <w:sz w:val="24"/>
                <w:szCs w:val="24"/>
              </w:rPr>
              <w:t xml:space="preserve"> was significantly and negatively correlated with TLR4 expression, suggesting that these two bacteria, which colonize on the colonic mucosa, play a key role in gut diseases by regulating mucosal TLR4 expression. </w:t>
            </w:r>
            <w:proofErr w:type="spellStart"/>
            <w:r w:rsidRPr="00B93F5B">
              <w:rPr>
                <w:rFonts w:ascii="Book Antiqua" w:hAnsi="Book Antiqua"/>
                <w:sz w:val="24"/>
                <w:szCs w:val="24"/>
              </w:rPr>
              <w:t>Granulicatella</w:t>
            </w:r>
            <w:proofErr w:type="spellEnd"/>
            <w:r w:rsidRPr="00B93F5B">
              <w:rPr>
                <w:rFonts w:ascii="Book Antiqua" w:hAnsi="Book Antiqua"/>
                <w:sz w:val="24"/>
                <w:szCs w:val="24"/>
              </w:rPr>
              <w:t xml:space="preserve">, which belongs to </w:t>
            </w:r>
            <w:proofErr w:type="spellStart"/>
            <w:r w:rsidRPr="00B93F5B">
              <w:rPr>
                <w:rFonts w:ascii="Book Antiqua" w:hAnsi="Book Antiqua"/>
                <w:sz w:val="24"/>
                <w:szCs w:val="24"/>
              </w:rPr>
              <w:t>Carnobacteriaceae</w:t>
            </w:r>
            <w:proofErr w:type="spellEnd"/>
            <w:r w:rsidRPr="00B93F5B">
              <w:rPr>
                <w:rFonts w:ascii="Book Antiqua" w:hAnsi="Book Antiqua"/>
                <w:sz w:val="24"/>
                <w:szCs w:val="24"/>
              </w:rPr>
              <w:t xml:space="preserve">, and Streptococcus, which belongs to </w:t>
            </w:r>
            <w:proofErr w:type="spellStart"/>
            <w:r w:rsidRPr="00B93F5B">
              <w:rPr>
                <w:rFonts w:ascii="Book Antiqua" w:hAnsi="Book Antiqua"/>
                <w:sz w:val="24"/>
                <w:szCs w:val="24"/>
              </w:rPr>
              <w:t>Streptococcaceae</w:t>
            </w:r>
            <w:proofErr w:type="spellEnd"/>
            <w:r w:rsidRPr="00B93F5B">
              <w:rPr>
                <w:rFonts w:ascii="Book Antiqua" w:hAnsi="Book Antiqua"/>
                <w:sz w:val="24"/>
                <w:szCs w:val="24"/>
              </w:rPr>
              <w:t>, were inversely correlated with TLR2 expression. Because the two genera contained not only pathogenic species but also probiotic species, it will be important to establish a better understanding of the relationship between TLRs and bacterial strains in future studies.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DC442E" w:rsidRDefault="00B93F5B" w:rsidP="00B93F5B">
            <w:pPr>
              <w:pStyle w:val="E-1"/>
              <w:spacing w:line="360" w:lineRule="auto"/>
              <w:rPr>
                <w:rFonts w:ascii="Book Antiqua" w:hAnsi="Book Antiqua"/>
                <w:spacing w:val="-4"/>
                <w:sz w:val="24"/>
                <w:szCs w:val="24"/>
              </w:rPr>
            </w:pPr>
            <w:r w:rsidRPr="00B93F5B">
              <w:rPr>
                <w:rFonts w:ascii="Book Antiqua" w:hAnsi="Book Antiqua"/>
                <w:sz w:val="24"/>
                <w:szCs w:val="24"/>
              </w:rPr>
              <w:t xml:space="preserve">Gastrointestinal </w:t>
            </w:r>
            <w:proofErr w:type="spellStart"/>
            <w:r w:rsidRPr="00B93F5B">
              <w:rPr>
                <w:rFonts w:ascii="Book Antiqua" w:hAnsi="Book Antiqua"/>
                <w:sz w:val="24"/>
                <w:szCs w:val="24"/>
              </w:rPr>
              <w:t>microbiota</w:t>
            </w:r>
            <w:proofErr w:type="spellEnd"/>
            <w:r w:rsidRPr="00B93F5B">
              <w:rPr>
                <w:rFonts w:ascii="Book Antiqua" w:hAnsi="Book Antiqua"/>
                <w:sz w:val="24"/>
                <w:szCs w:val="24"/>
              </w:rPr>
              <w:t xml:space="preserve">; 16S </w:t>
            </w:r>
            <w:proofErr w:type="spellStart"/>
            <w:r w:rsidRPr="00B93F5B">
              <w:rPr>
                <w:rFonts w:ascii="Book Antiqua" w:hAnsi="Book Antiqua"/>
                <w:sz w:val="24"/>
                <w:szCs w:val="24"/>
              </w:rPr>
              <w:t>rRNA</w:t>
            </w:r>
            <w:proofErr w:type="spellEnd"/>
            <w:r w:rsidRPr="00B93F5B">
              <w:rPr>
                <w:rFonts w:ascii="Book Antiqua" w:hAnsi="Book Antiqua"/>
                <w:sz w:val="24"/>
                <w:szCs w:val="24"/>
              </w:rPr>
              <w:t xml:space="preserve"> gene; </w:t>
            </w:r>
            <w:r>
              <w:rPr>
                <w:rFonts w:ascii="Book Antiqua" w:hAnsi="Book Antiqua"/>
                <w:sz w:val="24"/>
                <w:szCs w:val="24"/>
              </w:rPr>
              <w:t>T</w:t>
            </w:r>
            <w:r w:rsidRPr="00B93F5B">
              <w:rPr>
                <w:rFonts w:ascii="Book Antiqua" w:hAnsi="Book Antiqua"/>
                <w:sz w:val="24"/>
                <w:szCs w:val="24"/>
              </w:rPr>
              <w:t xml:space="preserve">oll-like receptors; </w:t>
            </w:r>
            <w:r>
              <w:rPr>
                <w:rFonts w:ascii="Book Antiqua" w:hAnsi="Book Antiqua"/>
                <w:sz w:val="24"/>
                <w:szCs w:val="24"/>
              </w:rPr>
              <w:t>H</w:t>
            </w:r>
            <w:r w:rsidRPr="00B93F5B">
              <w:rPr>
                <w:rFonts w:ascii="Book Antiqua" w:hAnsi="Book Antiqua"/>
                <w:sz w:val="24"/>
                <w:szCs w:val="24"/>
              </w:rPr>
              <w:t>igh-throughput sequencing</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DC442E" w:rsidRDefault="008D72C4">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DC442E" w:rsidRDefault="008D72C4">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DC442E" w:rsidRDefault="008D72C4">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DC442E" w:rsidRDefault="008D72C4">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DC442E" w:rsidRDefault="008D72C4">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4C0DEB" w:rsidRDefault="004C0DEB">
      <w:pPr>
        <w:widowControl/>
        <w:jc w:val="left"/>
      </w:pPr>
      <w:r>
        <w:br w:type="page"/>
      </w:r>
    </w:p>
    <w:p w:rsidR="00834D76" w:rsidRDefault="00834D76" w:rsidP="00834D76">
      <w:pPr>
        <w:pStyle w:val="8BF4"/>
        <w:rPr>
          <w:rFonts w:ascii="Tw Cen MT" w:hAnsi="Tw Cen MT" w:cs="Tw Cen MT"/>
          <w:b/>
          <w:bCs/>
          <w:sz w:val="22"/>
          <w:szCs w:val="22"/>
        </w:rPr>
      </w:pPr>
      <w:r>
        <w:lastRenderedPageBreak/>
        <w:t xml:space="preserve">                                       </w:t>
      </w:r>
      <w:r>
        <w:rPr>
          <w:rFonts w:ascii="Tw Cen MT" w:hAnsi="Tw Cen MT" w:cs="Tw Cen MT"/>
          <w:b/>
          <w:bCs/>
          <w:sz w:val="22"/>
          <w:szCs w:val="22"/>
        </w:rPr>
        <w:t>Basic Study</w:t>
      </w:r>
    </w:p>
    <w:p w:rsidR="00834D76" w:rsidRPr="00463330" w:rsidRDefault="00834D76" w:rsidP="00834D76">
      <w:pPr>
        <w:rPr>
          <w:rFonts w:hint="eastAsia"/>
        </w:rPr>
      </w:pPr>
    </w:p>
    <w:p w:rsidR="00834D76" w:rsidRPr="00463330" w:rsidRDefault="00834D76" w:rsidP="00834D76">
      <w:pPr>
        <w:pStyle w:val="af3"/>
        <w:rPr>
          <w:lang w:val="en-US"/>
        </w:rPr>
      </w:pPr>
      <w:proofErr w:type="spellStart"/>
      <w:r w:rsidRPr="00463330">
        <w:rPr>
          <w:lang w:val="en-US"/>
        </w:rPr>
        <w:t>Faecal</w:t>
      </w:r>
      <w:proofErr w:type="spellEnd"/>
      <w:r w:rsidRPr="00463330">
        <w:rPr>
          <w:lang w:val="en-US"/>
        </w:rPr>
        <w:t xml:space="preserve"> and mucosal </w:t>
      </w:r>
      <w:proofErr w:type="spellStart"/>
      <w:r w:rsidRPr="00463330">
        <w:rPr>
          <w:lang w:val="en-US"/>
        </w:rPr>
        <w:t>microbiota</w:t>
      </w:r>
      <w:proofErr w:type="spellEnd"/>
      <w:r w:rsidRPr="00463330">
        <w:rPr>
          <w:lang w:val="en-US"/>
        </w:rPr>
        <w:t xml:space="preserve"> in patients with functional gastrointestinal disorders: Correlation with toll-like receptor 2/toll-like receptor 4 expression</w:t>
      </w:r>
    </w:p>
    <w:p w:rsidR="00834D76" w:rsidRPr="00463330" w:rsidRDefault="00834D76" w:rsidP="00834D76">
      <w:pPr>
        <w:rPr>
          <w:rFonts w:hint="eastAsia"/>
        </w:rPr>
      </w:pPr>
    </w:p>
    <w:p w:rsidR="00834D76" w:rsidRPr="00463330" w:rsidRDefault="00834D76" w:rsidP="00834D76">
      <w:pPr>
        <w:pStyle w:val="af5"/>
        <w:rPr>
          <w:lang w:val="en-US"/>
        </w:rPr>
      </w:pPr>
      <w:r w:rsidRPr="00463330">
        <w:rPr>
          <w:lang w:val="en-US"/>
        </w:rPr>
        <w:t>Li-Na Dong, Jun-Ping Wang, Ping Liu, Yun-</w:t>
      </w:r>
      <w:proofErr w:type="spellStart"/>
      <w:r w:rsidRPr="00463330">
        <w:rPr>
          <w:lang w:val="en-US"/>
        </w:rPr>
        <w:t>Feng</w:t>
      </w:r>
      <w:proofErr w:type="spellEnd"/>
      <w:r w:rsidRPr="00463330">
        <w:rPr>
          <w:lang w:val="en-US"/>
        </w:rPr>
        <w:t xml:space="preserve"> Yang, Jing </w:t>
      </w:r>
      <w:proofErr w:type="spellStart"/>
      <w:r w:rsidRPr="00463330">
        <w:rPr>
          <w:lang w:val="en-US"/>
        </w:rPr>
        <w:t>Feng</w:t>
      </w:r>
      <w:proofErr w:type="spellEnd"/>
      <w:r w:rsidRPr="00463330">
        <w:rPr>
          <w:lang w:val="en-US"/>
        </w:rPr>
        <w:t>, Yi Han</w:t>
      </w:r>
    </w:p>
    <w:p w:rsidR="00834D76" w:rsidRPr="00463330" w:rsidRDefault="00834D76" w:rsidP="00834D76">
      <w:pPr>
        <w:rPr>
          <w:rFonts w:hint="eastAsia"/>
        </w:rPr>
      </w:pPr>
    </w:p>
    <w:p w:rsidR="00834D76" w:rsidRPr="00434DA9" w:rsidRDefault="00834D76" w:rsidP="00834D76">
      <w:pPr>
        <w:pStyle w:val="af6"/>
      </w:pPr>
      <w:r>
        <w:rPr>
          <w:rFonts w:ascii="Tahoma" w:hAnsi="Tahoma" w:cs="Tahoma"/>
        </w:rPr>
        <w:t>Li-Na Dong,</w:t>
      </w:r>
      <w:r>
        <w:t xml:space="preserve"> Central Laboratory, Shanxi Provincial People’s Hospital, Shanxi Medical University, Taiyuan 030012, Shanxi Province, China</w:t>
      </w:r>
    </w:p>
    <w:p w:rsidR="00834D76" w:rsidRPr="00434DA9" w:rsidRDefault="00834D76" w:rsidP="00834D76">
      <w:pPr>
        <w:pStyle w:val="af6"/>
      </w:pPr>
      <w:r>
        <w:rPr>
          <w:rFonts w:ascii="Tahoma" w:hAnsi="Tahoma" w:cs="Tahoma"/>
        </w:rPr>
        <w:t>Jun-Ping Wang, Yun-</w:t>
      </w:r>
      <w:proofErr w:type="spellStart"/>
      <w:r>
        <w:rPr>
          <w:rFonts w:ascii="Tahoma" w:hAnsi="Tahoma" w:cs="Tahoma"/>
        </w:rPr>
        <w:t>Feng</w:t>
      </w:r>
      <w:proofErr w:type="spellEnd"/>
      <w:r>
        <w:rPr>
          <w:rFonts w:ascii="Tahoma" w:hAnsi="Tahoma" w:cs="Tahoma"/>
        </w:rPr>
        <w:t xml:space="preserve"> Yang, Jing </w:t>
      </w:r>
      <w:proofErr w:type="spellStart"/>
      <w:r>
        <w:rPr>
          <w:rFonts w:ascii="Tahoma" w:hAnsi="Tahoma" w:cs="Tahoma"/>
        </w:rPr>
        <w:t>Feng</w:t>
      </w:r>
      <w:proofErr w:type="spellEnd"/>
      <w:r>
        <w:rPr>
          <w:rFonts w:ascii="Tahoma" w:hAnsi="Tahoma" w:cs="Tahoma"/>
        </w:rPr>
        <w:t>, Yi Han,</w:t>
      </w:r>
      <w:r>
        <w:t xml:space="preserve"> Department of Gastroenterology, Shanxi Provincial People’s Hospital, Shanxi Medical University, Taiyuan 030012, Shanxi Province, China</w:t>
      </w:r>
    </w:p>
    <w:p w:rsidR="00834D76" w:rsidRPr="00434DA9" w:rsidRDefault="00834D76" w:rsidP="00834D76">
      <w:pPr>
        <w:pStyle w:val="af6"/>
      </w:pPr>
      <w:r>
        <w:rPr>
          <w:rFonts w:ascii="Tahoma" w:hAnsi="Tahoma" w:cs="Tahoma"/>
          <w:spacing w:val="-4"/>
        </w:rPr>
        <w:t>Ping Liu,</w:t>
      </w:r>
      <w:r>
        <w:rPr>
          <w:spacing w:val="-4"/>
        </w:rPr>
        <w:t xml:space="preserve"> Department of </w:t>
      </w:r>
      <w:proofErr w:type="spellStart"/>
      <w:r>
        <w:rPr>
          <w:spacing w:val="-4"/>
        </w:rPr>
        <w:t>Gynaecology</w:t>
      </w:r>
      <w:proofErr w:type="spellEnd"/>
      <w:r>
        <w:rPr>
          <w:spacing w:val="-4"/>
        </w:rPr>
        <w:t xml:space="preserve">, Shanxi Provincial People’s </w:t>
      </w:r>
      <w:r>
        <w:rPr>
          <w:spacing w:val="2"/>
        </w:rPr>
        <w:t xml:space="preserve">Hospital, Shanxi Medical University, Taiyuan 030012, Shanxi </w:t>
      </w:r>
      <w:r>
        <w:t>Province, China</w:t>
      </w:r>
    </w:p>
    <w:p w:rsidR="00834D76" w:rsidRPr="00434DA9" w:rsidRDefault="00834D76" w:rsidP="00834D76">
      <w:pPr>
        <w:pStyle w:val="af6"/>
      </w:pPr>
      <w:r w:rsidRPr="00463330">
        <w:rPr>
          <w:rFonts w:ascii="Tahoma" w:hAnsi="Tahoma" w:cs="Tahoma"/>
          <w:spacing w:val="0"/>
        </w:rPr>
        <w:t>Author contributions:</w:t>
      </w:r>
      <w:r>
        <w:t xml:space="preserve"> Dong LN and Wang JP contributed equally to this study; they performed the majority of experiments, </w:t>
      </w:r>
      <w:proofErr w:type="spellStart"/>
      <w:r>
        <w:t>analysed</w:t>
      </w:r>
      <w:proofErr w:type="spellEnd"/>
      <w:r>
        <w:t xml:space="preserve"> the data, and drafted the manuscript; Wang JP and Liu P participated in the design of this study and reviewed the manuscript; Yang YF, </w:t>
      </w:r>
      <w:proofErr w:type="spellStart"/>
      <w:r>
        <w:t>Feng</w:t>
      </w:r>
      <w:proofErr w:type="spellEnd"/>
      <w:r>
        <w:t xml:space="preserve"> J and Han Y collected the specimens; all authors have read and approved the final manuscript.</w:t>
      </w:r>
    </w:p>
    <w:p w:rsidR="00834D76" w:rsidRPr="00434DA9" w:rsidRDefault="00834D76" w:rsidP="00834D76">
      <w:pPr>
        <w:pStyle w:val="af6"/>
      </w:pPr>
      <w:proofErr w:type="gramStart"/>
      <w:r w:rsidRPr="00463330">
        <w:rPr>
          <w:rFonts w:ascii="Tahoma" w:hAnsi="Tahoma" w:cs="Tahoma"/>
          <w:spacing w:val="0"/>
        </w:rPr>
        <w:t>Supported by</w:t>
      </w:r>
      <w:r>
        <w:t xml:space="preserve"> International Science and Technology Cooperation Project of Shanxi, No. 2013081066; Science Foundation of Health and </w:t>
      </w:r>
      <w:r>
        <w:rPr>
          <w:caps/>
        </w:rPr>
        <w:t>f</w:t>
      </w:r>
      <w:r>
        <w:t xml:space="preserve">amily </w:t>
      </w:r>
      <w:r>
        <w:rPr>
          <w:caps/>
        </w:rPr>
        <w:t>p</w:t>
      </w:r>
      <w:r>
        <w:t xml:space="preserve">lanning </w:t>
      </w:r>
      <w:r>
        <w:rPr>
          <w:caps/>
        </w:rPr>
        <w:t>c</w:t>
      </w:r>
      <w:r>
        <w:t>ommission of Shanxi Province; No. 201201059 and No. 201601014.</w:t>
      </w:r>
      <w:proofErr w:type="gramEnd"/>
      <w:r>
        <w:t xml:space="preserve"> </w:t>
      </w:r>
    </w:p>
    <w:p w:rsidR="00834D76" w:rsidRDefault="00834D76" w:rsidP="00834D76">
      <w:pPr>
        <w:pStyle w:val="af6"/>
      </w:pPr>
      <w:r w:rsidRPr="00463330">
        <w:rPr>
          <w:rFonts w:ascii="Tahoma" w:hAnsi="Tahoma" w:cs="Tahoma"/>
          <w:spacing w:val="0"/>
        </w:rPr>
        <w:t>Correspondence to:</w:t>
      </w:r>
      <w:r>
        <w:rPr>
          <w:rFonts w:ascii="Tahoma" w:hAnsi="Tahoma" w:cs="Tahoma"/>
        </w:rPr>
        <w:t xml:space="preserve"> Jun-</w:t>
      </w:r>
      <w:r>
        <w:rPr>
          <w:rFonts w:ascii="Tahoma" w:hAnsi="Tahoma" w:cs="Tahoma"/>
          <w:caps/>
        </w:rPr>
        <w:t>p</w:t>
      </w:r>
      <w:r>
        <w:rPr>
          <w:rFonts w:ascii="Tahoma" w:hAnsi="Tahoma" w:cs="Tahoma"/>
        </w:rPr>
        <w:t>ing Wang, Professor,</w:t>
      </w:r>
      <w:r>
        <w:t xml:space="preserve"> Department of Gastroenterology, Shanxi Provincial People’s Hospital, Shanxi Medical University, 29 </w:t>
      </w:r>
      <w:proofErr w:type="spellStart"/>
      <w:r>
        <w:t>Shuangta</w:t>
      </w:r>
      <w:proofErr w:type="spellEnd"/>
      <w:r>
        <w:t xml:space="preserve"> Road, Taiyuan 030012, Shanxi Province, China. wangjp8396@sohu.com</w:t>
      </w:r>
    </w:p>
    <w:p w:rsidR="00834D76" w:rsidRPr="00434DA9" w:rsidRDefault="00834D76" w:rsidP="00834D76">
      <w:pPr>
        <w:pStyle w:val="af6"/>
      </w:pPr>
      <w:r w:rsidRPr="00463330">
        <w:rPr>
          <w:rFonts w:ascii="Tahoma" w:hAnsi="Tahoma" w:cs="Tahoma"/>
          <w:spacing w:val="0"/>
        </w:rPr>
        <w:t>Telephone:</w:t>
      </w:r>
      <w:r>
        <w:t xml:space="preserve"> +86-351-4960141</w:t>
      </w:r>
    </w:p>
    <w:p w:rsidR="00834D76" w:rsidRDefault="00834D76" w:rsidP="00834D76">
      <w:pPr>
        <w:pStyle w:val="af6"/>
      </w:pPr>
      <w:r>
        <w:rPr>
          <w:rFonts w:ascii="Tahoma" w:hAnsi="Tahoma" w:cs="Tahoma"/>
        </w:rPr>
        <w:t>Received:</w:t>
      </w:r>
      <w:r>
        <w:t xml:space="preserve"> June 12, 2017 </w:t>
      </w:r>
      <w:r>
        <w:rPr>
          <w:rFonts w:hint="eastAsia"/>
        </w:rPr>
        <w:t xml:space="preserve">     </w:t>
      </w:r>
      <w:r>
        <w:rPr>
          <w:rFonts w:ascii="Tahoma" w:hAnsi="Tahoma" w:cs="Tahoma"/>
        </w:rPr>
        <w:t>Revised:</w:t>
      </w:r>
      <w:r>
        <w:t xml:space="preserve"> August 27, 2017 </w:t>
      </w:r>
      <w:r>
        <w:rPr>
          <w:rFonts w:hint="eastAsia"/>
        </w:rPr>
        <w:t xml:space="preserve">   </w:t>
      </w:r>
      <w:r>
        <w:rPr>
          <w:rFonts w:ascii="Tahoma" w:hAnsi="Tahoma" w:cs="Tahoma"/>
        </w:rPr>
        <w:t>Accepted:</w:t>
      </w:r>
      <w:r>
        <w:t xml:space="preserve"> September 5, 2017 </w:t>
      </w:r>
    </w:p>
    <w:p w:rsidR="00834D76" w:rsidRPr="00463330" w:rsidRDefault="00834D76" w:rsidP="00834D76">
      <w:pPr>
        <w:pStyle w:val="NormalParagraphStyle"/>
        <w:suppressAutoHyphens/>
        <w:rPr>
          <w:rFonts w:ascii="Times New Roman" w:hAnsi="Times New Roman" w:cs="Times New Roman"/>
          <w:sz w:val="18"/>
          <w:szCs w:val="18"/>
          <w:lang w:val="en-US"/>
        </w:rPr>
      </w:pPr>
      <w:r w:rsidRPr="00463330">
        <w:rPr>
          <w:rFonts w:ascii="Tahoma" w:hAnsi="Tahoma" w:cs="Tahoma"/>
          <w:sz w:val="18"/>
          <w:szCs w:val="18"/>
          <w:lang w:val="en-US"/>
        </w:rPr>
        <w:t xml:space="preserve">Published online: </w:t>
      </w:r>
      <w:r w:rsidRPr="00463330">
        <w:rPr>
          <w:rFonts w:ascii="Times New Roman" w:hAnsi="Times New Roman" w:cs="Times New Roman"/>
          <w:sz w:val="18"/>
          <w:szCs w:val="18"/>
          <w:lang w:val="en-US"/>
        </w:rPr>
        <w:t>September 28, 2017</w:t>
      </w:r>
    </w:p>
    <w:p w:rsidR="00834D76" w:rsidRPr="00463330" w:rsidRDefault="00834D76" w:rsidP="00834D76">
      <w:pPr>
        <w:pStyle w:val="NormalParagraphStyle"/>
        <w:rPr>
          <w:rFonts w:ascii="Century Gothic" w:hAnsi="Century Gothic" w:cs="Century Gothic"/>
          <w:b/>
          <w:bCs/>
          <w:spacing w:val="12"/>
          <w:lang w:val="en-US"/>
        </w:rPr>
      </w:pPr>
    </w:p>
    <w:p w:rsidR="00834D76" w:rsidRPr="00463330" w:rsidRDefault="00834D76" w:rsidP="00834D76">
      <w:pPr>
        <w:pStyle w:val="NormalParagraphStyle"/>
        <w:rPr>
          <w:rFonts w:ascii="Century Gothic" w:hAnsi="Century Gothic" w:cs="Century Gothic"/>
          <w:b/>
          <w:bCs/>
          <w:spacing w:val="12"/>
          <w:lang w:val="en-US"/>
        </w:rPr>
      </w:pPr>
      <w:r w:rsidRPr="00463330">
        <w:rPr>
          <w:rFonts w:ascii="Century Gothic" w:hAnsi="Century Gothic" w:cs="Century Gothic"/>
          <w:b/>
          <w:bCs/>
          <w:spacing w:val="12"/>
          <w:lang w:val="en-US"/>
        </w:rPr>
        <w:t>Abstract</w:t>
      </w:r>
    </w:p>
    <w:p w:rsidR="00834D76" w:rsidRPr="00344797" w:rsidRDefault="00834D76" w:rsidP="00834D76">
      <w:pPr>
        <w:pStyle w:val="E-1"/>
        <w:rPr>
          <w:rFonts w:ascii="Times New Roman" w:hAnsi="Times New Roman" w:cs="Times New Roman"/>
          <w:b/>
          <w:bCs/>
          <w:iCs/>
        </w:rPr>
      </w:pPr>
      <w:r w:rsidRPr="00344797">
        <w:rPr>
          <w:rFonts w:ascii="Times New Roman" w:hAnsi="Times New Roman" w:cs="Times New Roman"/>
          <w:b/>
          <w:bCs/>
          <w:iCs/>
        </w:rPr>
        <w:t>AIM</w:t>
      </w:r>
    </w:p>
    <w:p w:rsidR="00834D76" w:rsidRPr="00344797" w:rsidRDefault="00834D76" w:rsidP="00834D76">
      <w:pPr>
        <w:pStyle w:val="E-1"/>
      </w:pPr>
      <w:proofErr w:type="gramStart"/>
      <w:r>
        <w:t xml:space="preserve">To investigate the intestinal luminal </w:t>
      </w:r>
      <w:proofErr w:type="spellStart"/>
      <w:r>
        <w:t>microbiota</w:t>
      </w:r>
      <w:proofErr w:type="spellEnd"/>
      <w:r>
        <w:t xml:space="preserve"> (LM) and mucosa-associated </w:t>
      </w:r>
      <w:proofErr w:type="spellStart"/>
      <w:r>
        <w:t>microbiota</w:t>
      </w:r>
      <w:proofErr w:type="spellEnd"/>
      <w:r>
        <w:t xml:space="preserve"> (MAM) in Chinese patients with functional gastrointestinal disorders (FGIDs) and examine the association between these communities and the expression of toll-like receptor (TLR) 2 and TLR4.</w:t>
      </w:r>
      <w:proofErr w:type="gramEnd"/>
    </w:p>
    <w:p w:rsidR="00834D76" w:rsidRPr="00344797" w:rsidRDefault="00834D76" w:rsidP="00834D76">
      <w:pPr>
        <w:pStyle w:val="E-1"/>
        <w:rPr>
          <w:rFonts w:ascii="Times New Roman" w:hAnsi="Times New Roman" w:cs="Times New Roman"/>
          <w:b/>
          <w:bCs/>
          <w:iCs/>
        </w:rPr>
      </w:pPr>
      <w:r w:rsidRPr="00344797">
        <w:rPr>
          <w:rFonts w:ascii="Times New Roman" w:hAnsi="Times New Roman" w:cs="Times New Roman"/>
          <w:b/>
          <w:bCs/>
          <w:iCs/>
        </w:rPr>
        <w:t>METHODS</w:t>
      </w:r>
    </w:p>
    <w:p w:rsidR="00834D76" w:rsidRPr="00344797" w:rsidRDefault="00834D76" w:rsidP="00834D76">
      <w:pPr>
        <w:pStyle w:val="E-1"/>
      </w:pPr>
      <w:r>
        <w:rPr>
          <w:spacing w:val="-4"/>
        </w:rPr>
        <w:t>Thirty-two Chinese subjects who suffered from symptoms of FGIDs, as confirmed by gastroenterologists,</w:t>
      </w:r>
      <w:r>
        <w:t xml:space="preserve"> were enrolled in this study. Fresh </w:t>
      </w:r>
      <w:proofErr w:type="spellStart"/>
      <w:r>
        <w:t>faecal</w:t>
      </w:r>
      <w:proofErr w:type="spellEnd"/>
      <w:r>
        <w:t xml:space="preserve"> samples and descending colonic mucosal biopsies were collected from the subjects before (</w:t>
      </w:r>
      <w:proofErr w:type="spellStart"/>
      <w:r>
        <w:t>faecal</w:t>
      </w:r>
      <w:proofErr w:type="spellEnd"/>
      <w:r>
        <w:t xml:space="preserve">) and during (mucosal) ﬂexible colonoscopy. For analysis of the samples, we performed high-throughput sequencing of the V3-V4 region of the </w:t>
      </w:r>
      <w:r>
        <w:rPr>
          <w:rFonts w:ascii="Tahoma Italic" w:hAnsi="Tahoma Italic" w:cs="Tahoma Italic"/>
          <w:i/>
          <w:iCs/>
        </w:rPr>
        <w:t xml:space="preserve">16S </w:t>
      </w:r>
      <w:proofErr w:type="spellStart"/>
      <w:r>
        <w:rPr>
          <w:rFonts w:ascii="Tahoma Italic" w:hAnsi="Tahoma Italic" w:cs="Tahoma Italic"/>
          <w:i/>
          <w:iCs/>
        </w:rPr>
        <w:t>rRNA</w:t>
      </w:r>
      <w:proofErr w:type="spellEnd"/>
      <w:r>
        <w:t xml:space="preserve"> gene and reverse transcription (RT)-PCR to detect </w:t>
      </w:r>
      <w:r>
        <w:lastRenderedPageBreak/>
        <w:t xml:space="preserve">the expression of colonic TLR2 and TLR4. Differences in the stool and mucosal </w:t>
      </w:r>
      <w:proofErr w:type="spellStart"/>
      <w:r>
        <w:t>microbiota</w:t>
      </w:r>
      <w:proofErr w:type="spellEnd"/>
      <w:r>
        <w:t xml:space="preserve"> were examined and a correlation network analysis was performed.</w:t>
      </w:r>
    </w:p>
    <w:p w:rsidR="00834D76" w:rsidRPr="00344797" w:rsidRDefault="00834D76" w:rsidP="00834D76">
      <w:pPr>
        <w:pStyle w:val="E-1"/>
        <w:rPr>
          <w:rFonts w:ascii="Times New Roman" w:hAnsi="Times New Roman" w:cs="Times New Roman"/>
          <w:b/>
          <w:bCs/>
          <w:iCs/>
        </w:rPr>
      </w:pPr>
      <w:r w:rsidRPr="00344797">
        <w:rPr>
          <w:rFonts w:ascii="Times New Roman" w:hAnsi="Times New Roman" w:cs="Times New Roman"/>
          <w:b/>
          <w:bCs/>
          <w:iCs/>
        </w:rPr>
        <w:t>RESULTS</w:t>
      </w:r>
    </w:p>
    <w:p w:rsidR="00834D76" w:rsidRPr="00344797" w:rsidRDefault="00834D76" w:rsidP="00834D76">
      <w:pPr>
        <w:pStyle w:val="E-1"/>
      </w:pPr>
      <w:r>
        <w:t xml:space="preserve">The </w:t>
      </w:r>
      <w:proofErr w:type="spellStart"/>
      <w:r>
        <w:t>microbiota</w:t>
      </w:r>
      <w:proofErr w:type="spellEnd"/>
      <w:r>
        <w:t xml:space="preserve"> of </w:t>
      </w:r>
      <w:proofErr w:type="spellStart"/>
      <w:r>
        <w:t>faecal</w:t>
      </w:r>
      <w:proofErr w:type="spellEnd"/>
      <w:r>
        <w:t xml:space="preserve"> samples was significantly more diverse and richer than that of the mucosal samples, and the LM and MAM </w:t>
      </w:r>
      <w:proofErr w:type="gramStart"/>
      <w:r>
        <w:t>populations</w:t>
      </w:r>
      <w:proofErr w:type="gramEnd"/>
      <w:r>
        <w:t xml:space="preserve"> differed signiﬁcantly. TLR2 expression showed a significant positive co</w:t>
      </w:r>
      <w:r>
        <w:softHyphen/>
        <w:t xml:space="preserve">rrelation with TLR4 expression. In the MAM samples, the genera </w:t>
      </w:r>
      <w:proofErr w:type="spellStart"/>
      <w:r>
        <w:rPr>
          <w:rFonts w:ascii="Tahoma Italic" w:hAnsi="Tahoma Italic" w:cs="Tahoma Italic"/>
          <w:i/>
          <w:iCs/>
        </w:rPr>
        <w:t>Faecalibacterium</w:t>
      </w:r>
      <w:proofErr w:type="spellEnd"/>
      <w:r>
        <w:t xml:space="preserve"> and </w:t>
      </w:r>
      <w:proofErr w:type="spellStart"/>
      <w:r>
        <w:rPr>
          <w:rFonts w:ascii="Tahoma Italic" w:hAnsi="Tahoma Italic" w:cs="Tahoma Italic"/>
          <w:i/>
          <w:iCs/>
        </w:rPr>
        <w:t>Ruminococcus</w:t>
      </w:r>
      <w:proofErr w:type="spellEnd"/>
      <w:r>
        <w:t xml:space="preserve">, which belong to the family </w:t>
      </w:r>
      <w:proofErr w:type="spellStart"/>
      <w:r>
        <w:t>Ruminococcaceae</w:t>
      </w:r>
      <w:proofErr w:type="spellEnd"/>
      <w:r>
        <w:t>, were inversely correlated with TLR4 expression (</w:t>
      </w:r>
      <w:r>
        <w:rPr>
          <w:rFonts w:ascii="Tahoma Italic" w:hAnsi="Tahoma Italic" w:cs="Tahoma Italic"/>
          <w:i/>
          <w:iCs/>
        </w:rPr>
        <w:t>r</w:t>
      </w:r>
      <w:r>
        <w:t xml:space="preserve"> = -0.45817, </w:t>
      </w:r>
      <w:r>
        <w:rPr>
          <w:rFonts w:ascii="Tahoma Italic" w:hAnsi="Tahoma Italic" w:cs="Tahoma Italic"/>
          <w:i/>
          <w:iCs/>
          <w:caps/>
        </w:rPr>
        <w:t>p</w:t>
      </w:r>
      <w:r>
        <w:rPr>
          <w:caps/>
        </w:rPr>
        <w:t xml:space="preserve"> = </w:t>
      </w:r>
      <w:r>
        <w:t xml:space="preserve">0.0083 and </w:t>
      </w:r>
      <w:r>
        <w:rPr>
          <w:rFonts w:ascii="Tahoma Italic" w:hAnsi="Tahoma Italic" w:cs="Tahoma Italic"/>
          <w:i/>
          <w:iCs/>
        </w:rPr>
        <w:t>r</w:t>
      </w:r>
      <w:r>
        <w:t xml:space="preserve"> = -0.5306, </w:t>
      </w:r>
      <w:r>
        <w:rPr>
          <w:rFonts w:ascii="Tahoma Italic" w:hAnsi="Tahoma Italic" w:cs="Tahoma Italic"/>
          <w:i/>
          <w:iCs/>
          <w:caps/>
        </w:rPr>
        <w:t>p</w:t>
      </w:r>
      <w:r>
        <w:rPr>
          <w:caps/>
        </w:rPr>
        <w:t xml:space="preserve"> = </w:t>
      </w:r>
      <w:r>
        <w:t xml:space="preserve">0.0018, respectively). </w:t>
      </w:r>
      <w:proofErr w:type="spellStart"/>
      <w:r>
        <w:rPr>
          <w:rFonts w:ascii="Tahoma Italic" w:hAnsi="Tahoma Italic" w:cs="Tahoma Italic"/>
          <w:i/>
          <w:iCs/>
        </w:rPr>
        <w:t>Granulicatella</w:t>
      </w:r>
      <w:proofErr w:type="spellEnd"/>
      <w:r>
        <w:t xml:space="preserve">, which belongs to </w:t>
      </w:r>
      <w:proofErr w:type="spellStart"/>
      <w:r>
        <w:t>Carnobacteriaceae</w:t>
      </w:r>
      <w:proofErr w:type="spellEnd"/>
      <w:r>
        <w:t xml:space="preserve">, and </w:t>
      </w:r>
      <w:r>
        <w:rPr>
          <w:rFonts w:ascii="Tahoma Italic" w:hAnsi="Tahoma Italic" w:cs="Tahoma Italic"/>
          <w:i/>
          <w:iCs/>
        </w:rPr>
        <w:t>Streptococcus</w:t>
      </w:r>
      <w:r>
        <w:t xml:space="preserve">, which belongs to </w:t>
      </w:r>
      <w:proofErr w:type="spellStart"/>
      <w:r>
        <w:t>Streptococcaceae</w:t>
      </w:r>
      <w:proofErr w:type="spellEnd"/>
      <w:r>
        <w:t>, were inversely correlated with TLR2 expression (</w:t>
      </w:r>
      <w:r>
        <w:rPr>
          <w:rFonts w:ascii="Tahoma Italic" w:hAnsi="Tahoma Italic" w:cs="Tahoma Italic"/>
          <w:i/>
          <w:iCs/>
        </w:rPr>
        <w:t>r</w:t>
      </w:r>
      <w:r>
        <w:t xml:space="preserve"> = -0.5573, </w:t>
      </w:r>
      <w:r>
        <w:rPr>
          <w:rFonts w:ascii="Tahoma Italic" w:hAnsi="Tahoma Italic" w:cs="Tahoma Italic"/>
          <w:i/>
          <w:iCs/>
          <w:caps/>
        </w:rPr>
        <w:t>p</w:t>
      </w:r>
      <w:r>
        <w:rPr>
          <w:caps/>
        </w:rPr>
        <w:t xml:space="preserve"> = </w:t>
      </w:r>
      <w:r>
        <w:t xml:space="preserve">0.0010 and </w:t>
      </w:r>
      <w:r>
        <w:rPr>
          <w:rFonts w:ascii="Tahoma Italic" w:hAnsi="Tahoma Italic" w:cs="Tahoma Italic"/>
          <w:i/>
          <w:iCs/>
        </w:rPr>
        <w:t>r</w:t>
      </w:r>
      <w:r>
        <w:t xml:space="preserve"> = -0.5435, </w:t>
      </w:r>
      <w:r>
        <w:rPr>
          <w:rFonts w:ascii="Tahoma Italic" w:hAnsi="Tahoma Italic" w:cs="Tahoma Italic"/>
          <w:i/>
          <w:iCs/>
          <w:caps/>
        </w:rPr>
        <w:t>p</w:t>
      </w:r>
      <w:r>
        <w:rPr>
          <w:caps/>
        </w:rPr>
        <w:t xml:space="preserve"> = </w:t>
      </w:r>
      <w:r>
        <w:t xml:space="preserve">0.0013, respectively). In the LM samples, examination at phylum, class, or order level revealed no correlation with TLR4 expression. </w:t>
      </w:r>
      <w:proofErr w:type="spellStart"/>
      <w:r>
        <w:rPr>
          <w:rFonts w:ascii="Tahoma Italic" w:hAnsi="Tahoma Italic" w:cs="Tahoma Italic"/>
          <w:i/>
          <w:iCs/>
        </w:rPr>
        <w:t>Faecalibacterium</w:t>
      </w:r>
      <w:proofErr w:type="spellEnd"/>
      <w:r>
        <w:t xml:space="preserve">, which belongs to </w:t>
      </w:r>
      <w:proofErr w:type="spellStart"/>
      <w:r>
        <w:t>Ruminococcaceae</w:t>
      </w:r>
      <w:proofErr w:type="spellEnd"/>
      <w:r>
        <w:t xml:space="preserve">, and </w:t>
      </w:r>
      <w:r>
        <w:rPr>
          <w:rFonts w:ascii="Tahoma Italic" w:hAnsi="Tahoma Italic" w:cs="Tahoma Italic"/>
          <w:i/>
          <w:iCs/>
        </w:rPr>
        <w:t>Streptococcus</w:t>
      </w:r>
      <w:r>
        <w:t xml:space="preserve">, which belongs to </w:t>
      </w:r>
      <w:proofErr w:type="spellStart"/>
      <w:r>
        <w:t>Streptococcaceae</w:t>
      </w:r>
      <w:proofErr w:type="spellEnd"/>
      <w:r>
        <w:t>, were inversely correlated with TLR2 expression (</w:t>
      </w:r>
      <w:r>
        <w:rPr>
          <w:rFonts w:ascii="Tahoma Italic" w:hAnsi="Tahoma Italic" w:cs="Tahoma Italic"/>
          <w:i/>
          <w:iCs/>
        </w:rPr>
        <w:t>r</w:t>
      </w:r>
      <w:r>
        <w:t xml:space="preserve"> = -0.5743, </w:t>
      </w:r>
      <w:r>
        <w:rPr>
          <w:rFonts w:ascii="Tahoma Italic" w:hAnsi="Tahoma Italic" w:cs="Tahoma Italic"/>
          <w:i/>
          <w:iCs/>
          <w:caps/>
        </w:rPr>
        <w:t>p</w:t>
      </w:r>
      <w:r>
        <w:rPr>
          <w:caps/>
        </w:rPr>
        <w:t xml:space="preserve"> = </w:t>
      </w:r>
      <w:r>
        <w:t xml:space="preserve">0.0058 and </w:t>
      </w:r>
      <w:r>
        <w:rPr>
          <w:rFonts w:ascii="Tahoma Italic" w:hAnsi="Tahoma Italic" w:cs="Tahoma Italic"/>
          <w:i/>
          <w:iCs/>
        </w:rPr>
        <w:t>r</w:t>
      </w:r>
      <w:r>
        <w:t xml:space="preserve"> = -0.3905, </w:t>
      </w:r>
      <w:r>
        <w:rPr>
          <w:rFonts w:ascii="Tahoma Italic" w:hAnsi="Tahoma Italic" w:cs="Tahoma Italic"/>
          <w:i/>
          <w:iCs/>
          <w:caps/>
        </w:rPr>
        <w:t>p</w:t>
      </w:r>
      <w:r>
        <w:rPr>
          <w:caps/>
        </w:rPr>
        <w:t xml:space="preserve"> = </w:t>
      </w:r>
      <w:r>
        <w:t xml:space="preserve">0.0271, respectively). </w:t>
      </w:r>
    </w:p>
    <w:p w:rsidR="00834D76" w:rsidRPr="00344797" w:rsidRDefault="00834D76" w:rsidP="00834D76">
      <w:pPr>
        <w:pStyle w:val="E-1"/>
        <w:rPr>
          <w:rFonts w:ascii="Times New Roman" w:hAnsi="Times New Roman" w:cs="Times New Roman"/>
          <w:b/>
          <w:bCs/>
          <w:iCs/>
        </w:rPr>
      </w:pPr>
      <w:r w:rsidRPr="00344797">
        <w:rPr>
          <w:rFonts w:ascii="Times New Roman" w:hAnsi="Times New Roman" w:cs="Times New Roman"/>
          <w:b/>
          <w:bCs/>
          <w:iCs/>
        </w:rPr>
        <w:t>CONCLUSION</w:t>
      </w:r>
    </w:p>
    <w:p w:rsidR="00834D76" w:rsidRDefault="00834D76" w:rsidP="00834D76">
      <w:pPr>
        <w:pStyle w:val="E-1"/>
      </w:pPr>
      <w:r>
        <w:t>Microbial compositions of LM and MAM in Chinese patients with FGIDs are different. Expression of TLRs may be affected by the type of bacteria that are present in the gut.</w:t>
      </w:r>
    </w:p>
    <w:p w:rsidR="00834D76" w:rsidRDefault="00834D76" w:rsidP="00834D76">
      <w:pPr>
        <w:pStyle w:val="E-1"/>
        <w:rPr>
          <w:rFonts w:ascii="Times New Roman" w:hAnsi="Times New Roman" w:cs="Times New Roman"/>
          <w:b/>
          <w:bCs/>
        </w:rPr>
      </w:pPr>
    </w:p>
    <w:p w:rsidR="00834D76" w:rsidRDefault="00834D76" w:rsidP="00834D76">
      <w:pPr>
        <w:pStyle w:val="E-1"/>
      </w:pPr>
      <w:r>
        <w:rPr>
          <w:rFonts w:ascii="Times New Roman" w:hAnsi="Times New Roman" w:cs="Times New Roman"/>
          <w:b/>
          <w:bCs/>
        </w:rPr>
        <w:t>Key words:</w:t>
      </w:r>
      <w:r>
        <w:t xml:space="preserve"> Gastrointestinal </w:t>
      </w:r>
      <w:proofErr w:type="spellStart"/>
      <w:r>
        <w:t>microbiota</w:t>
      </w:r>
      <w:proofErr w:type="spellEnd"/>
      <w:r>
        <w:t xml:space="preserve">; </w:t>
      </w:r>
      <w:r>
        <w:rPr>
          <w:rFonts w:ascii="Tahoma Italic" w:hAnsi="Tahoma Italic" w:cs="Tahoma Italic"/>
          <w:i/>
          <w:iCs/>
        </w:rPr>
        <w:t xml:space="preserve">16S </w:t>
      </w:r>
      <w:proofErr w:type="spellStart"/>
      <w:r>
        <w:rPr>
          <w:rFonts w:ascii="Tahoma Italic" w:hAnsi="Tahoma Italic" w:cs="Tahoma Italic"/>
          <w:i/>
          <w:iCs/>
        </w:rPr>
        <w:t>rRNA</w:t>
      </w:r>
      <w:proofErr w:type="spellEnd"/>
      <w:r>
        <w:t xml:space="preserve"> gene; </w:t>
      </w:r>
      <w:r>
        <w:rPr>
          <w:caps/>
        </w:rPr>
        <w:t>t</w:t>
      </w:r>
      <w:r>
        <w:t xml:space="preserve">oll-like receptors; </w:t>
      </w:r>
      <w:r>
        <w:rPr>
          <w:caps/>
        </w:rPr>
        <w:t>h</w:t>
      </w:r>
      <w:r>
        <w:t>igh-throughput sequencing</w:t>
      </w:r>
    </w:p>
    <w:p w:rsidR="00834D76" w:rsidRDefault="00834D76" w:rsidP="00834D76">
      <w:pPr>
        <w:pStyle w:val="af4"/>
        <w:ind w:left="5250"/>
      </w:pPr>
    </w:p>
    <w:p w:rsidR="00834D76" w:rsidRDefault="00834D76" w:rsidP="00834D76">
      <w:pPr>
        <w:pStyle w:val="af4"/>
      </w:pPr>
      <w:r>
        <w:t xml:space="preserve">Dong LN, Wang JP, Liu P, Yang YF, </w:t>
      </w:r>
      <w:proofErr w:type="spellStart"/>
      <w:r>
        <w:t>Feng</w:t>
      </w:r>
      <w:proofErr w:type="spellEnd"/>
      <w:r>
        <w:t xml:space="preserve"> J, Han Y. </w:t>
      </w:r>
      <w:proofErr w:type="spellStart"/>
      <w:r>
        <w:t>Faecal</w:t>
      </w:r>
      <w:proofErr w:type="spellEnd"/>
      <w:r>
        <w:t xml:space="preserve"> and mucosal </w:t>
      </w:r>
      <w:proofErr w:type="spellStart"/>
      <w:r>
        <w:t>microbiota</w:t>
      </w:r>
      <w:proofErr w:type="spellEnd"/>
      <w:r>
        <w:t xml:space="preserve"> in patients with functional gastrointestinal disorders: Correlation with toll-like receptor 2/toll-like receptor 4 expression. </w:t>
      </w:r>
      <w:r>
        <w:rPr>
          <w:i/>
          <w:iCs/>
        </w:rPr>
        <w:t xml:space="preserve">World J </w:t>
      </w:r>
      <w:proofErr w:type="spellStart"/>
      <w:r>
        <w:rPr>
          <w:i/>
          <w:iCs/>
        </w:rPr>
        <w:t>Gastroenterol</w:t>
      </w:r>
      <w:proofErr w:type="spellEnd"/>
      <w:r>
        <w:t xml:space="preserve"> 2017; 23(36): 6665-</w:t>
      </w:r>
      <w:proofErr w:type="gramStart"/>
      <w:r>
        <w:t>6673  Available</w:t>
      </w:r>
      <w:proofErr w:type="gramEnd"/>
      <w:r>
        <w:t xml:space="preserve"> from: URL: http://www.wjgnet.com/1007-9327/full/v23/i36/6665.htm  DOI: http://dx.doi.org/10.3748/wjg.v23.i36.6665</w:t>
      </w:r>
    </w:p>
    <w:p w:rsidR="00834D76" w:rsidRDefault="00834D76" w:rsidP="00834D76">
      <w:pPr>
        <w:pStyle w:val="af7"/>
        <w:rPr>
          <w:rFonts w:hint="eastAsia"/>
          <w:lang w:val="en-US"/>
        </w:rPr>
      </w:pPr>
    </w:p>
    <w:p w:rsidR="00834D76" w:rsidRPr="00E00154" w:rsidRDefault="00834D76" w:rsidP="00834D76">
      <w:proofErr w:type="gramStart"/>
      <w:r>
        <w:rPr>
          <w:b/>
          <w:bCs/>
        </w:rPr>
        <w:t>© The Author(s) 201</w:t>
      </w:r>
      <w:r>
        <w:rPr>
          <w:rFonts w:hint="eastAsia"/>
          <w:b/>
          <w:bCs/>
        </w:rPr>
        <w:t>7</w:t>
      </w:r>
      <w:r w:rsidRPr="00E00154">
        <w:rPr>
          <w:b/>
          <w:bCs/>
        </w:rPr>
        <w:t>.</w:t>
      </w:r>
      <w:proofErr w:type="gramEnd"/>
      <w:r w:rsidRPr="00E00154">
        <w:t xml:space="preserve"> </w:t>
      </w:r>
      <w:proofErr w:type="gramStart"/>
      <w:r w:rsidRPr="00E00154">
        <w:t xml:space="preserve">Published by </w:t>
      </w:r>
      <w:proofErr w:type="spellStart"/>
      <w:r w:rsidRPr="00E00154">
        <w:t>Baishideng</w:t>
      </w:r>
      <w:proofErr w:type="spellEnd"/>
      <w:r w:rsidRPr="00E00154">
        <w:t xml:space="preserve"> Publishing Group Inc.</w:t>
      </w:r>
      <w:proofErr w:type="gramEnd"/>
      <w:r w:rsidRPr="00E00154">
        <w:t xml:space="preserve"> All rights reserved.</w:t>
      </w:r>
    </w:p>
    <w:p w:rsidR="00834D76" w:rsidRPr="00463330" w:rsidRDefault="00834D76" w:rsidP="00834D76">
      <w:pPr>
        <w:pStyle w:val="af7"/>
        <w:rPr>
          <w:lang w:val="en-US"/>
        </w:rPr>
      </w:pPr>
      <w:bookmarkStart w:id="0" w:name="_GoBack"/>
      <w:bookmarkEnd w:id="0"/>
    </w:p>
    <w:p w:rsidR="00834D76" w:rsidRDefault="00834D76" w:rsidP="00834D76">
      <w:pPr>
        <w:pStyle w:val="E-1"/>
      </w:pPr>
      <w:r>
        <w:rPr>
          <w:rFonts w:ascii="Times New Roman" w:hAnsi="Times New Roman" w:cs="Times New Roman"/>
          <w:b/>
          <w:bCs/>
          <w:spacing w:val="-3"/>
        </w:rPr>
        <w:t>Core tip:</w:t>
      </w:r>
      <w:r>
        <w:rPr>
          <w:b/>
          <w:bCs/>
        </w:rPr>
        <w:t xml:space="preserve"> </w:t>
      </w:r>
      <w:r>
        <w:t xml:space="preserve">To explore which bacteria regulate the expression of toll-like receptors (TLRs) and thereby affect intestinal functions, we performed high-throughput </w:t>
      </w:r>
      <w:proofErr w:type="spellStart"/>
      <w:r>
        <w:t>pyrosequencing</w:t>
      </w:r>
      <w:proofErr w:type="spellEnd"/>
      <w:r>
        <w:t xml:space="preserve"> of the bacterial </w:t>
      </w:r>
      <w:r>
        <w:rPr>
          <w:rFonts w:ascii="Tahoma Italic" w:hAnsi="Tahoma Italic" w:cs="Tahoma Italic"/>
          <w:i/>
          <w:iCs/>
        </w:rPr>
        <w:t xml:space="preserve">16S </w:t>
      </w:r>
      <w:proofErr w:type="spellStart"/>
      <w:r>
        <w:rPr>
          <w:rFonts w:ascii="Tahoma Italic" w:hAnsi="Tahoma Italic" w:cs="Tahoma Italic"/>
          <w:i/>
          <w:iCs/>
        </w:rPr>
        <w:t>rRNA</w:t>
      </w:r>
      <w:proofErr w:type="spellEnd"/>
      <w:r>
        <w:t xml:space="preserve"> gene, compared the microbial communities in the </w:t>
      </w:r>
      <w:proofErr w:type="spellStart"/>
      <w:r>
        <w:t>faeces</w:t>
      </w:r>
      <w:proofErr w:type="spellEnd"/>
      <w:r>
        <w:t xml:space="preserve"> and mucosa of Chinese patients with functional gastrointestinal disorders, and studied their association with the expression of colonic mucosal TLR2 and TLR4. Samples of luminal </w:t>
      </w:r>
      <w:proofErr w:type="spellStart"/>
      <w:r>
        <w:t>microbiota</w:t>
      </w:r>
      <w:proofErr w:type="spellEnd"/>
      <w:r>
        <w:t xml:space="preserve"> were different from those of mucosa-associated </w:t>
      </w:r>
      <w:proofErr w:type="spellStart"/>
      <w:r>
        <w:t>microbiota</w:t>
      </w:r>
      <w:proofErr w:type="spellEnd"/>
      <w:r>
        <w:t xml:space="preserve"> (MAM), and MAM samples were closely associated with TLR2/4 expression. The abundance of </w:t>
      </w:r>
      <w:proofErr w:type="spellStart"/>
      <w:r>
        <w:rPr>
          <w:rFonts w:ascii="Tahoma Italic" w:hAnsi="Tahoma Italic" w:cs="Tahoma Italic"/>
          <w:i/>
          <w:iCs/>
        </w:rPr>
        <w:t>Faecallibacterium</w:t>
      </w:r>
      <w:proofErr w:type="spellEnd"/>
      <w:r>
        <w:rPr>
          <w:rFonts w:ascii="Tahoma Italic" w:hAnsi="Tahoma Italic" w:cs="Tahoma Italic"/>
          <w:i/>
          <w:iCs/>
        </w:rPr>
        <w:t xml:space="preserve"> </w:t>
      </w:r>
      <w:r>
        <w:t>and</w:t>
      </w:r>
      <w:r>
        <w:rPr>
          <w:rFonts w:ascii="Tahoma Italic" w:hAnsi="Tahoma Italic" w:cs="Tahoma Italic"/>
          <w:i/>
          <w:iCs/>
        </w:rPr>
        <w:t xml:space="preserve"> </w:t>
      </w:r>
      <w:proofErr w:type="spellStart"/>
      <w:r>
        <w:rPr>
          <w:rFonts w:ascii="Tahoma Italic" w:hAnsi="Tahoma Italic" w:cs="Tahoma Italic"/>
          <w:i/>
          <w:iCs/>
        </w:rPr>
        <w:t>Ruminococcus</w:t>
      </w:r>
      <w:proofErr w:type="spellEnd"/>
      <w:r>
        <w:rPr>
          <w:rFonts w:ascii="Tahoma Italic" w:hAnsi="Tahoma Italic" w:cs="Tahoma Italic"/>
          <w:i/>
          <w:iCs/>
        </w:rPr>
        <w:t xml:space="preserve"> </w:t>
      </w:r>
      <w:r>
        <w:t xml:space="preserve">was lower in patients with gut disease, while the expression of TLRs is higher than in healthy controls. The presence of </w:t>
      </w:r>
      <w:proofErr w:type="spellStart"/>
      <w:r>
        <w:rPr>
          <w:rFonts w:ascii="Tahoma Italic" w:hAnsi="Tahoma Italic" w:cs="Tahoma Italic"/>
          <w:i/>
          <w:iCs/>
        </w:rPr>
        <w:t>Faecallibacterium</w:t>
      </w:r>
      <w:proofErr w:type="spellEnd"/>
      <w:r>
        <w:rPr>
          <w:rFonts w:ascii="Tahoma Italic" w:hAnsi="Tahoma Italic" w:cs="Tahoma Italic"/>
          <w:i/>
          <w:iCs/>
        </w:rPr>
        <w:t xml:space="preserve"> </w:t>
      </w:r>
      <w:r>
        <w:t>and</w:t>
      </w:r>
      <w:r>
        <w:rPr>
          <w:rFonts w:ascii="Tahoma Italic" w:hAnsi="Tahoma Italic" w:cs="Tahoma Italic"/>
          <w:i/>
          <w:iCs/>
        </w:rPr>
        <w:t xml:space="preserve"> </w:t>
      </w:r>
      <w:proofErr w:type="spellStart"/>
      <w:r>
        <w:rPr>
          <w:rFonts w:ascii="Tahoma Italic" w:hAnsi="Tahoma Italic" w:cs="Tahoma Italic"/>
          <w:i/>
          <w:iCs/>
        </w:rPr>
        <w:t>Ruminococcus</w:t>
      </w:r>
      <w:proofErr w:type="spellEnd"/>
      <w:r>
        <w:rPr>
          <w:rFonts w:ascii="Tahoma Italic" w:hAnsi="Tahoma Italic" w:cs="Tahoma Italic"/>
          <w:i/>
          <w:iCs/>
        </w:rPr>
        <w:t xml:space="preserve"> </w:t>
      </w:r>
      <w:r>
        <w:t xml:space="preserve">was significantly and negatively correlated with TLR4 expression, suggesting that these two bacteria, which colonize on the colonic mucosa, play a key role in gut diseases by regulating mucosal TLR4 expression. </w:t>
      </w:r>
      <w:proofErr w:type="spellStart"/>
      <w:r>
        <w:rPr>
          <w:rFonts w:ascii="Tahoma Italic" w:hAnsi="Tahoma Italic" w:cs="Tahoma Italic"/>
          <w:i/>
          <w:iCs/>
        </w:rPr>
        <w:t>Granulicatella</w:t>
      </w:r>
      <w:proofErr w:type="spellEnd"/>
      <w:r>
        <w:t xml:space="preserve">, which belongs to </w:t>
      </w:r>
      <w:proofErr w:type="spellStart"/>
      <w:r>
        <w:t>Carnobacteriaceae</w:t>
      </w:r>
      <w:proofErr w:type="spellEnd"/>
      <w:r>
        <w:t xml:space="preserve">, and </w:t>
      </w:r>
      <w:r>
        <w:rPr>
          <w:rFonts w:ascii="Tahoma Italic" w:hAnsi="Tahoma Italic" w:cs="Tahoma Italic"/>
          <w:i/>
          <w:iCs/>
        </w:rPr>
        <w:t>Streptococcus</w:t>
      </w:r>
      <w:r>
        <w:t xml:space="preserve">, which belongs to </w:t>
      </w:r>
      <w:proofErr w:type="spellStart"/>
      <w:r>
        <w:t>Streptococcaceae</w:t>
      </w:r>
      <w:proofErr w:type="spellEnd"/>
      <w:r>
        <w:t>, were inversely correlated with TLR2 expression. Because the two genera contained not only pathogenic species but also probiotic species, it will be important to establish a better understanding of the relationship between TLRs and bacterial strains in future studies.</w:t>
      </w:r>
    </w:p>
    <w:p w:rsidR="00834D76" w:rsidRPr="00344797" w:rsidRDefault="00834D76" w:rsidP="00834D76">
      <w:pPr>
        <w:pStyle w:val="af7"/>
        <w:rPr>
          <w:lang w:val="en-US"/>
        </w:rPr>
      </w:pPr>
    </w:p>
    <w:p w:rsidR="00834D76" w:rsidRPr="00344797" w:rsidRDefault="00834D76" w:rsidP="00834D76">
      <w:pPr>
        <w:pStyle w:val="af7"/>
        <w:rPr>
          <w:u w:val="single"/>
          <w:lang w:val="en-US"/>
        </w:rPr>
      </w:pPr>
      <w:r w:rsidRPr="00344797">
        <w:rPr>
          <w:u w:val="single"/>
          <w:lang w:val="en-US"/>
        </w:rPr>
        <w:t>INTRODUCTION</w:t>
      </w:r>
    </w:p>
    <w:p w:rsidR="00834D76" w:rsidRDefault="00834D76" w:rsidP="00834D76">
      <w:pPr>
        <w:pStyle w:val="af8"/>
      </w:pPr>
      <w:r>
        <w:t xml:space="preserve">The intestinal </w:t>
      </w:r>
      <w:proofErr w:type="spellStart"/>
      <w:r>
        <w:t>microbiota</w:t>
      </w:r>
      <w:proofErr w:type="spellEnd"/>
      <w:r>
        <w:t xml:space="preserve"> is a complex community of bacteria, </w:t>
      </w:r>
      <w:proofErr w:type="spellStart"/>
      <w:r>
        <w:t>archaea</w:t>
      </w:r>
      <w:proofErr w:type="spellEnd"/>
      <w:r>
        <w:t xml:space="preserve">, viruses, and </w:t>
      </w:r>
      <w:proofErr w:type="spellStart"/>
      <w:r>
        <w:t>eukarya</w:t>
      </w:r>
      <w:proofErr w:type="spellEnd"/>
      <w:r>
        <w:t>. A wide variety of bacterial species in the gastrointestinal tract exerts numerous effects on the host and in</w:t>
      </w:r>
      <w:r>
        <w:softHyphen/>
        <w:t xml:space="preserve">fluences a variety of gastrointestinal </w:t>
      </w:r>
      <w:proofErr w:type="gramStart"/>
      <w:r>
        <w:t>functions</w:t>
      </w:r>
      <w:r>
        <w:rPr>
          <w:vertAlign w:val="superscript"/>
        </w:rPr>
        <w:t>[</w:t>
      </w:r>
      <w:proofErr w:type="gramEnd"/>
      <w:r>
        <w:rPr>
          <w:vertAlign w:val="superscript"/>
        </w:rPr>
        <w:t>1]</w:t>
      </w:r>
      <w:r>
        <w:t xml:space="preserve">. </w:t>
      </w:r>
      <w:proofErr w:type="spellStart"/>
      <w:r>
        <w:t>Faecal</w:t>
      </w:r>
      <w:proofErr w:type="spellEnd"/>
      <w:r>
        <w:t xml:space="preserve"> samples (representing the luminal niche) are examined in most studies of the intestinal </w:t>
      </w:r>
      <w:proofErr w:type="spellStart"/>
      <w:r>
        <w:t>microbiota</w:t>
      </w:r>
      <w:proofErr w:type="spellEnd"/>
      <w:r>
        <w:t xml:space="preserve"> because their collection is simple. However, recent studies have shown that the microbial compositions of the luminal </w:t>
      </w:r>
      <w:proofErr w:type="spellStart"/>
      <w:r>
        <w:t>microbiota</w:t>
      </w:r>
      <w:proofErr w:type="spellEnd"/>
      <w:r>
        <w:t xml:space="preserve"> (LM) and the mucosa-associated </w:t>
      </w:r>
      <w:proofErr w:type="spellStart"/>
      <w:r>
        <w:t>microbiota</w:t>
      </w:r>
      <w:proofErr w:type="spellEnd"/>
      <w:r>
        <w:t xml:space="preserve"> (MAM) differ, suggesting that these two distinct microbial populations play different roles within the intestinal </w:t>
      </w:r>
      <w:proofErr w:type="spellStart"/>
      <w:r>
        <w:t>microbiota</w:t>
      </w:r>
      <w:proofErr w:type="spellEnd"/>
      <w:r>
        <w:t xml:space="preserve"> </w:t>
      </w:r>
      <w:proofErr w:type="gramStart"/>
      <w:r>
        <w:t>ecosystem</w:t>
      </w:r>
      <w:r>
        <w:rPr>
          <w:vertAlign w:val="superscript"/>
        </w:rPr>
        <w:t>[</w:t>
      </w:r>
      <w:proofErr w:type="gramEnd"/>
      <w:r>
        <w:rPr>
          <w:vertAlign w:val="superscript"/>
        </w:rPr>
        <w:t>2]</w:t>
      </w:r>
      <w:r>
        <w:t xml:space="preserve">. LM is present in the whole intestine, whereas MAM represents a special niche. Because MAM is in close contact with the host, it may play a more prominent role in the intestine, whereas LM may play a key role in metabolic activities and nutrient </w:t>
      </w:r>
      <w:proofErr w:type="gramStart"/>
      <w:r>
        <w:t>harvest</w:t>
      </w:r>
      <w:r>
        <w:rPr>
          <w:vertAlign w:val="superscript"/>
        </w:rPr>
        <w:t>[</w:t>
      </w:r>
      <w:proofErr w:type="gramEnd"/>
      <w:r>
        <w:rPr>
          <w:vertAlign w:val="superscript"/>
        </w:rPr>
        <w:t>3]</w:t>
      </w:r>
      <w:r>
        <w:t xml:space="preserve">. Toll-like receptors (TLRs) are pattern recognition receptors expressed by various cells in the gastrointestinal tract. TLRs detect conserved microbial products and play a central role in the activation of innate and adaptive immune pathways. TLR2 and TLR4 are two of the best characterized TLRs that respond to microbial membrane components. A number of studies have examined the role of TLR </w:t>
      </w:r>
      <w:proofErr w:type="spellStart"/>
      <w:r>
        <w:t>signalling</w:t>
      </w:r>
      <w:proofErr w:type="spellEnd"/>
      <w:r>
        <w:t xml:space="preserve"> in </w:t>
      </w:r>
      <w:proofErr w:type="spellStart"/>
      <w:r>
        <w:t>microbiota</w:t>
      </w:r>
      <w:proofErr w:type="spellEnd"/>
      <w:r>
        <w:t xml:space="preserve">-induced chronic inflammation and </w:t>
      </w:r>
      <w:proofErr w:type="gramStart"/>
      <w:r>
        <w:t>immunopathology</w:t>
      </w:r>
      <w:r>
        <w:rPr>
          <w:vertAlign w:val="superscript"/>
        </w:rPr>
        <w:t>[</w:t>
      </w:r>
      <w:proofErr w:type="gramEnd"/>
      <w:r>
        <w:rPr>
          <w:vertAlign w:val="superscript"/>
        </w:rPr>
        <w:t>4]</w:t>
      </w:r>
      <w:r>
        <w:t xml:space="preserve">. The </w:t>
      </w:r>
      <w:proofErr w:type="spellStart"/>
      <w:r>
        <w:t>microbiota</w:t>
      </w:r>
      <w:proofErr w:type="spellEnd"/>
      <w:r>
        <w:t xml:space="preserve"> may directly interact with the TLRs and regulate gut immune </w:t>
      </w:r>
      <w:proofErr w:type="gramStart"/>
      <w:r>
        <w:t>responses</w:t>
      </w:r>
      <w:r>
        <w:rPr>
          <w:vertAlign w:val="superscript"/>
        </w:rPr>
        <w:t>[</w:t>
      </w:r>
      <w:proofErr w:type="gramEnd"/>
      <w:r>
        <w:rPr>
          <w:vertAlign w:val="superscript"/>
        </w:rPr>
        <w:t>5]</w:t>
      </w:r>
      <w:r>
        <w:t>.</w:t>
      </w:r>
    </w:p>
    <w:p w:rsidR="00834D76" w:rsidRDefault="00834D76" w:rsidP="00834D76">
      <w:pPr>
        <w:pStyle w:val="10"/>
        <w:rPr>
          <w:spacing w:val="-9"/>
        </w:rPr>
      </w:pPr>
      <w:r>
        <w:rPr>
          <w:spacing w:val="-9"/>
        </w:rPr>
        <w:t xml:space="preserve">In some intestinal diseases, such as inflammatory bowel disease (IBD) or irritable bowel syndrome (IBS), the expression of TLR2 and TLR4 is increased and the </w:t>
      </w:r>
      <w:proofErr w:type="spellStart"/>
      <w:r>
        <w:rPr>
          <w:spacing w:val="-9"/>
        </w:rPr>
        <w:t>dysbiosis</w:t>
      </w:r>
      <w:proofErr w:type="spellEnd"/>
      <w:r>
        <w:rPr>
          <w:spacing w:val="-9"/>
        </w:rPr>
        <w:t xml:space="preserve"> is observed. However, limited data are available on the correlation between the intestinal </w:t>
      </w:r>
      <w:proofErr w:type="spellStart"/>
      <w:r>
        <w:rPr>
          <w:spacing w:val="-9"/>
        </w:rPr>
        <w:t>microbiota</w:t>
      </w:r>
      <w:proofErr w:type="spellEnd"/>
      <w:r>
        <w:rPr>
          <w:spacing w:val="-9"/>
        </w:rPr>
        <w:t xml:space="preserve"> and TLRs in humans. To explore which bacteria regulate the expression of TLRs and thereby affect intestinal functions, we performed high-throughput </w:t>
      </w:r>
      <w:proofErr w:type="spellStart"/>
      <w:r>
        <w:rPr>
          <w:spacing w:val="-9"/>
        </w:rPr>
        <w:t>pyrosequencing</w:t>
      </w:r>
      <w:proofErr w:type="spellEnd"/>
      <w:r>
        <w:rPr>
          <w:spacing w:val="-9"/>
        </w:rPr>
        <w:t xml:space="preserve"> of the bacterial </w:t>
      </w:r>
      <w:r>
        <w:rPr>
          <w:i/>
          <w:iCs/>
          <w:spacing w:val="-9"/>
        </w:rPr>
        <w:t xml:space="preserve">16S </w:t>
      </w:r>
      <w:proofErr w:type="spellStart"/>
      <w:r>
        <w:rPr>
          <w:i/>
          <w:iCs/>
          <w:spacing w:val="-9"/>
        </w:rPr>
        <w:t>rRNA</w:t>
      </w:r>
      <w:proofErr w:type="spellEnd"/>
      <w:r>
        <w:rPr>
          <w:spacing w:val="-9"/>
        </w:rPr>
        <w:t xml:space="preserve"> gene, compared the microbial communities in the </w:t>
      </w:r>
      <w:proofErr w:type="spellStart"/>
      <w:r>
        <w:rPr>
          <w:spacing w:val="-9"/>
        </w:rPr>
        <w:t>faeces</w:t>
      </w:r>
      <w:proofErr w:type="spellEnd"/>
      <w:r>
        <w:rPr>
          <w:spacing w:val="-9"/>
        </w:rPr>
        <w:t xml:space="preserve"> and mucosa of Chinese patients with functional gastrointestinal disorders (FGIDs), and studied their association with the expression of colonic mucosal TLR2 and TLR4. </w:t>
      </w:r>
    </w:p>
    <w:p w:rsidR="00834D76" w:rsidRPr="0062205B" w:rsidRDefault="00834D76" w:rsidP="00834D76">
      <w:pPr>
        <w:pStyle w:val="af7"/>
        <w:rPr>
          <w:lang w:val="en-US"/>
        </w:rPr>
      </w:pPr>
    </w:p>
    <w:p w:rsidR="00834D76" w:rsidRPr="00344797" w:rsidRDefault="00834D76" w:rsidP="00834D76">
      <w:pPr>
        <w:pStyle w:val="af7"/>
        <w:rPr>
          <w:w w:val="90"/>
          <w:u w:val="single"/>
          <w:lang w:val="en-US"/>
        </w:rPr>
      </w:pPr>
      <w:r w:rsidRPr="00344797">
        <w:rPr>
          <w:u w:val="single"/>
          <w:lang w:val="en-US"/>
        </w:rPr>
        <w:t>MATERIALS AND METHODS</w:t>
      </w:r>
    </w:p>
    <w:p w:rsidR="00834D76" w:rsidRPr="0062205B" w:rsidRDefault="00834D76" w:rsidP="00834D76">
      <w:pPr>
        <w:pStyle w:val="af9"/>
        <w:rPr>
          <w:lang w:val="en-US"/>
        </w:rPr>
      </w:pPr>
      <w:r w:rsidRPr="0062205B">
        <w:rPr>
          <w:lang w:val="en-US"/>
        </w:rPr>
        <w:t>Study subjects</w:t>
      </w:r>
    </w:p>
    <w:p w:rsidR="00834D76" w:rsidRDefault="00834D76" w:rsidP="00834D76">
      <w:pPr>
        <w:pStyle w:val="af8"/>
      </w:pPr>
      <w:r>
        <w:t xml:space="preserve">Thirty-two Chinese subjects aged between 18 and 65 years, who were diagnosed with FGIDs, were recruited at the Department of Gastroenterology, Shanxi Provincial People’s Hospital from 2013 to 2014. None of the subjects enrolled in the study had taken corticosteroids, opioids, probiotic and prebiotic supplements or antibiotics in the 6 </w:t>
      </w:r>
      <w:proofErr w:type="spellStart"/>
      <w:r>
        <w:t>mo</w:t>
      </w:r>
      <w:proofErr w:type="spellEnd"/>
      <w:r>
        <w:t xml:space="preserve"> preceding the study, no one had systemic comorbidity, and no one had a history of excessive alcohol intake (&gt; 20 alcoholic drinks per week). Patients with a prior history of gastrointestinal surgery or intestinal organic disease were excluded. All subjects provided signed informed consent before participation. The study was performed in </w:t>
      </w:r>
      <w:r>
        <w:lastRenderedPageBreak/>
        <w:t>accordance with the principles of the Declaration of Helsinki and the study protocol was approved by the Ethics Committee of Shanxi Provincial People’s Hospital, China.</w:t>
      </w:r>
    </w:p>
    <w:p w:rsidR="00834D76" w:rsidRPr="0062205B" w:rsidRDefault="00834D76" w:rsidP="00834D76">
      <w:pPr>
        <w:pStyle w:val="af9"/>
        <w:rPr>
          <w:lang w:val="en-US"/>
        </w:rPr>
      </w:pPr>
    </w:p>
    <w:p w:rsidR="00834D76" w:rsidRPr="0062205B" w:rsidRDefault="00834D76" w:rsidP="00834D76">
      <w:pPr>
        <w:pStyle w:val="af9"/>
        <w:rPr>
          <w:lang w:val="en-US"/>
        </w:rPr>
      </w:pPr>
      <w:r w:rsidRPr="0062205B">
        <w:rPr>
          <w:lang w:val="en-US"/>
        </w:rPr>
        <w:t>Stool sample processing and DNA extraction</w:t>
      </w:r>
    </w:p>
    <w:p w:rsidR="00834D76" w:rsidRDefault="00834D76" w:rsidP="00834D76">
      <w:pPr>
        <w:pStyle w:val="af8"/>
        <w:rPr>
          <w:spacing w:val="-9"/>
        </w:rPr>
      </w:pPr>
      <w:proofErr w:type="spellStart"/>
      <w:r>
        <w:rPr>
          <w:spacing w:val="-9"/>
        </w:rPr>
        <w:t>Faecal</w:t>
      </w:r>
      <w:proofErr w:type="spellEnd"/>
      <w:r>
        <w:rPr>
          <w:spacing w:val="-9"/>
        </w:rPr>
        <w:t xml:space="preserve"> samples were collected at home before bowel preparation, frozen immediately at -20</w:t>
      </w:r>
      <w:r>
        <w:rPr>
          <w:rFonts w:ascii="Arial" w:hAnsi="Arial" w:cs="Arial"/>
          <w:spacing w:val="-9"/>
        </w:rPr>
        <w:t> </w:t>
      </w:r>
      <w:r>
        <w:rPr>
          <w:rFonts w:ascii="宋体" w:cs="宋体" w:hint="eastAsia"/>
          <w:spacing w:val="-9"/>
        </w:rPr>
        <w:t>℃</w:t>
      </w:r>
      <w:r>
        <w:rPr>
          <w:spacing w:val="-9"/>
        </w:rPr>
        <w:t xml:space="preserve">, and transported within 6 h to the study </w:t>
      </w:r>
      <w:proofErr w:type="spellStart"/>
      <w:r>
        <w:rPr>
          <w:spacing w:val="-9"/>
        </w:rPr>
        <w:t>centre</w:t>
      </w:r>
      <w:proofErr w:type="spellEnd"/>
      <w:r>
        <w:rPr>
          <w:spacing w:val="-9"/>
        </w:rPr>
        <w:t>, where they were stored at -80</w:t>
      </w:r>
      <w:r>
        <w:rPr>
          <w:rFonts w:ascii="Arial" w:hAnsi="Arial" w:cs="Arial"/>
          <w:spacing w:val="-9"/>
        </w:rPr>
        <w:t> </w:t>
      </w:r>
      <w:r>
        <w:rPr>
          <w:rFonts w:ascii="宋体" w:cs="宋体" w:hint="eastAsia"/>
          <w:spacing w:val="-9"/>
        </w:rPr>
        <w:t>℃</w:t>
      </w:r>
      <w:r>
        <w:rPr>
          <w:spacing w:val="-9"/>
        </w:rPr>
        <w:t xml:space="preserve"> until analysis. Bacterial DNA was extracted from the </w:t>
      </w:r>
      <w:proofErr w:type="spellStart"/>
      <w:r>
        <w:rPr>
          <w:spacing w:val="-9"/>
        </w:rPr>
        <w:t>faecal</w:t>
      </w:r>
      <w:proofErr w:type="spellEnd"/>
      <w:r>
        <w:rPr>
          <w:spacing w:val="-9"/>
        </w:rPr>
        <w:t xml:space="preserve"> samples with the </w:t>
      </w:r>
      <w:proofErr w:type="spellStart"/>
      <w:r>
        <w:rPr>
          <w:spacing w:val="-9"/>
        </w:rPr>
        <w:t>QIAamp</w:t>
      </w:r>
      <w:proofErr w:type="spellEnd"/>
      <w:r>
        <w:rPr>
          <w:spacing w:val="-9"/>
        </w:rPr>
        <w:t xml:space="preserve"> DNA Stool Mini Kit (</w:t>
      </w:r>
      <w:proofErr w:type="spellStart"/>
      <w:r>
        <w:rPr>
          <w:spacing w:val="-9"/>
        </w:rPr>
        <w:t>Qiagen</w:t>
      </w:r>
      <w:proofErr w:type="spellEnd"/>
      <w:r>
        <w:rPr>
          <w:spacing w:val="-9"/>
        </w:rPr>
        <w:t xml:space="preserve">, Hilden, Germany), according to the </w:t>
      </w:r>
      <w:proofErr w:type="gramStart"/>
      <w:r>
        <w:rPr>
          <w:spacing w:val="-9"/>
        </w:rPr>
        <w:t>manufacturer’s</w:t>
      </w:r>
      <w:proofErr w:type="gramEnd"/>
      <w:r>
        <w:rPr>
          <w:spacing w:val="-9"/>
        </w:rPr>
        <w:t xml:space="preserve"> protocol. The DNA concentrations were quantified with an </w:t>
      </w:r>
      <w:proofErr w:type="spellStart"/>
      <w:r>
        <w:rPr>
          <w:spacing w:val="-9"/>
        </w:rPr>
        <w:t>Eppendorf</w:t>
      </w:r>
      <w:proofErr w:type="spellEnd"/>
      <w:r>
        <w:rPr>
          <w:spacing w:val="-9"/>
        </w:rPr>
        <w:t xml:space="preserve"> </w:t>
      </w:r>
      <w:proofErr w:type="spellStart"/>
      <w:r>
        <w:rPr>
          <w:spacing w:val="-9"/>
        </w:rPr>
        <w:t>BioSpectrometer</w:t>
      </w:r>
      <w:proofErr w:type="spellEnd"/>
      <w:r>
        <w:rPr>
          <w:spacing w:val="-9"/>
        </w:rPr>
        <w:t xml:space="preserve"> (</w:t>
      </w:r>
      <w:proofErr w:type="spellStart"/>
      <w:r>
        <w:rPr>
          <w:spacing w:val="-9"/>
        </w:rPr>
        <w:t>Eppendorf</w:t>
      </w:r>
      <w:proofErr w:type="spellEnd"/>
      <w:r>
        <w:rPr>
          <w:spacing w:val="-9"/>
        </w:rPr>
        <w:t>, Hamburg, Germany).</w:t>
      </w:r>
    </w:p>
    <w:p w:rsidR="00834D76" w:rsidRPr="0062205B" w:rsidRDefault="00834D76" w:rsidP="00834D76">
      <w:pPr>
        <w:pStyle w:val="af9"/>
        <w:rPr>
          <w:lang w:val="en-US"/>
        </w:rPr>
      </w:pPr>
    </w:p>
    <w:p w:rsidR="00834D76" w:rsidRPr="0062205B" w:rsidRDefault="00834D76" w:rsidP="00834D76">
      <w:pPr>
        <w:pStyle w:val="af9"/>
        <w:rPr>
          <w:lang w:val="en-US"/>
        </w:rPr>
      </w:pPr>
      <w:r w:rsidRPr="0062205B">
        <w:rPr>
          <w:lang w:val="en-US"/>
        </w:rPr>
        <w:t>Mucosal sample collection and genomic DNA extraction</w:t>
      </w:r>
    </w:p>
    <w:p w:rsidR="00834D76" w:rsidRDefault="00834D76" w:rsidP="00834D76">
      <w:pPr>
        <w:pStyle w:val="af8"/>
      </w:pPr>
      <w:r>
        <w:t xml:space="preserve">Colonic mucosal biopsies were collected from each subject during an </w:t>
      </w:r>
      <w:proofErr w:type="spellStart"/>
      <w:r>
        <w:t>unsedated</w:t>
      </w:r>
      <w:proofErr w:type="spellEnd"/>
      <w:r>
        <w:t xml:space="preserve"> flexible colonoscopy. Colonic mucosal biopsies were taken from the de</w:t>
      </w:r>
      <w:r>
        <w:softHyphen/>
        <w:t>scending colon. After removal from the colon, the biopsies were immediately frozen at -20</w:t>
      </w:r>
      <w:r>
        <w:rPr>
          <w:rFonts w:ascii="Arial" w:hAnsi="Arial" w:cs="Arial"/>
        </w:rPr>
        <w:t> </w:t>
      </w:r>
      <w:r>
        <w:rPr>
          <w:rFonts w:ascii="宋体" w:cs="宋体" w:hint="eastAsia"/>
          <w:spacing w:val="0"/>
        </w:rPr>
        <w:t>℃</w:t>
      </w:r>
      <w:r>
        <w:t xml:space="preserve"> and transported within 6 h to the study </w:t>
      </w:r>
      <w:proofErr w:type="spellStart"/>
      <w:r>
        <w:t>centre</w:t>
      </w:r>
      <w:proofErr w:type="spellEnd"/>
      <w:r>
        <w:t>, where they were stored at -80</w:t>
      </w:r>
      <w:r>
        <w:rPr>
          <w:rFonts w:ascii="Arial" w:hAnsi="Arial" w:cs="Arial"/>
        </w:rPr>
        <w:t> </w:t>
      </w:r>
      <w:r>
        <w:rPr>
          <w:rFonts w:ascii="宋体" w:cs="宋体" w:hint="eastAsia"/>
          <w:spacing w:val="0"/>
        </w:rPr>
        <w:t>℃</w:t>
      </w:r>
      <w:r>
        <w:t xml:space="preserve"> until analysis. Total genomic DNA was extracted from the colon samples with the </w:t>
      </w:r>
      <w:proofErr w:type="spellStart"/>
      <w:r>
        <w:t>QIAamp</w:t>
      </w:r>
      <w:proofErr w:type="spellEnd"/>
      <w:r>
        <w:t xml:space="preserve"> DNA Mini Kit (</w:t>
      </w:r>
      <w:proofErr w:type="spellStart"/>
      <w:r>
        <w:t>Qiagen</w:t>
      </w:r>
      <w:proofErr w:type="spellEnd"/>
      <w:r>
        <w:t xml:space="preserve">), according to the manufacturer’s instructions. The concentration and purity of the genomic DNA were measured with an </w:t>
      </w:r>
      <w:proofErr w:type="spellStart"/>
      <w:r>
        <w:t>Eppendorf</w:t>
      </w:r>
      <w:proofErr w:type="spellEnd"/>
      <w:r>
        <w:t xml:space="preserve"> </w:t>
      </w:r>
      <w:proofErr w:type="spellStart"/>
      <w:r>
        <w:t>BioSpectrometer</w:t>
      </w:r>
      <w:proofErr w:type="spellEnd"/>
      <w:r>
        <w:t>.</w:t>
      </w:r>
    </w:p>
    <w:p w:rsidR="00834D76" w:rsidRPr="0062205B" w:rsidRDefault="00834D76" w:rsidP="00834D76">
      <w:pPr>
        <w:pStyle w:val="af9"/>
        <w:rPr>
          <w:lang w:val="en-US"/>
        </w:rPr>
      </w:pPr>
    </w:p>
    <w:p w:rsidR="00834D76" w:rsidRPr="0062205B" w:rsidRDefault="00834D76" w:rsidP="00834D76">
      <w:pPr>
        <w:pStyle w:val="af9"/>
        <w:rPr>
          <w:b w:val="0"/>
          <w:bCs w:val="0"/>
          <w:lang w:val="en-US"/>
        </w:rPr>
      </w:pPr>
      <w:r w:rsidRPr="0062205B">
        <w:rPr>
          <w:lang w:val="en-US"/>
        </w:rPr>
        <w:t xml:space="preserve">PCR amplification of the V3-V4 region of bacterial 16S </w:t>
      </w:r>
      <w:proofErr w:type="spellStart"/>
      <w:r w:rsidRPr="0062205B">
        <w:rPr>
          <w:lang w:val="en-US"/>
        </w:rPr>
        <w:t>rRNA</w:t>
      </w:r>
      <w:proofErr w:type="spellEnd"/>
      <w:r w:rsidRPr="0062205B">
        <w:rPr>
          <w:lang w:val="en-US"/>
        </w:rPr>
        <w:t xml:space="preserve"> gene and </w:t>
      </w:r>
      <w:proofErr w:type="spellStart"/>
      <w:r w:rsidRPr="0062205B">
        <w:rPr>
          <w:lang w:val="en-US"/>
        </w:rPr>
        <w:t>Illumina</w:t>
      </w:r>
      <w:proofErr w:type="spellEnd"/>
      <w:r w:rsidRPr="0062205B">
        <w:rPr>
          <w:lang w:val="en-US"/>
        </w:rPr>
        <w:t xml:space="preserve"> sequencing</w:t>
      </w:r>
    </w:p>
    <w:p w:rsidR="00834D76" w:rsidRDefault="00834D76" w:rsidP="00834D76">
      <w:pPr>
        <w:pStyle w:val="af8"/>
      </w:pPr>
      <w:r>
        <w:t xml:space="preserve">The bacterial genomic DNA was used as the template for amplification of the V3-V4 </w:t>
      </w:r>
      <w:proofErr w:type="spellStart"/>
      <w:r>
        <w:t>hypervariable</w:t>
      </w:r>
      <w:proofErr w:type="spellEnd"/>
      <w:r>
        <w:t xml:space="preserve"> region of the </w:t>
      </w:r>
      <w:r>
        <w:rPr>
          <w:i/>
          <w:iCs/>
        </w:rPr>
        <w:t xml:space="preserve">16S </w:t>
      </w:r>
      <w:proofErr w:type="spellStart"/>
      <w:r>
        <w:rPr>
          <w:i/>
          <w:iCs/>
        </w:rPr>
        <w:t>rRNA</w:t>
      </w:r>
      <w:proofErr w:type="spellEnd"/>
      <w:r>
        <w:t xml:space="preserve"> gene with the forward primer 5′-GACTACHVGGGTATCTAATCC-3′ and the reverse primer 5′-CCTACGGGNGGCWGCAG-3′.</w:t>
      </w:r>
    </w:p>
    <w:p w:rsidR="00834D76" w:rsidRPr="0062205B" w:rsidRDefault="00834D76" w:rsidP="00834D76">
      <w:pPr>
        <w:pStyle w:val="af9"/>
        <w:rPr>
          <w:lang w:val="en-US"/>
        </w:rPr>
      </w:pPr>
    </w:p>
    <w:p w:rsidR="00834D76" w:rsidRPr="0062205B" w:rsidRDefault="00834D76" w:rsidP="00834D76">
      <w:pPr>
        <w:pStyle w:val="af9"/>
        <w:rPr>
          <w:b w:val="0"/>
          <w:bCs w:val="0"/>
          <w:lang w:val="en-US"/>
        </w:rPr>
      </w:pPr>
      <w:r w:rsidRPr="0062205B">
        <w:rPr>
          <w:lang w:val="en-US"/>
        </w:rPr>
        <w:t>Bioinformatics analysis</w:t>
      </w:r>
    </w:p>
    <w:p w:rsidR="00834D76" w:rsidRDefault="00834D76" w:rsidP="00834D76">
      <w:pPr>
        <w:pStyle w:val="af8"/>
      </w:pPr>
      <w:r>
        <w:t xml:space="preserve">Pairs of reads from the original DNA fragments were merged using FLASH, which was designed in case the original DNA fragments were shorter than twice the read length. The sequencing reads of each sample were given a unique barcode and </w:t>
      </w:r>
      <w:proofErr w:type="spellStart"/>
      <w:r>
        <w:t>analysed</w:t>
      </w:r>
      <w:proofErr w:type="spellEnd"/>
      <w:r>
        <w:t xml:space="preserve"> with the Quantitative Insights </w:t>
      </w:r>
      <w:proofErr w:type="gramStart"/>
      <w:r>
        <w:t>Into</w:t>
      </w:r>
      <w:proofErr w:type="gramEnd"/>
      <w:r>
        <w:t xml:space="preserve"> Microbial Ecology (QIIME) software and the UPARSE pipeline. In brief, the reads were filtered with the QIIME quality filters using the default settings for </w:t>
      </w:r>
      <w:proofErr w:type="spellStart"/>
      <w:r>
        <w:t>Illumina</w:t>
      </w:r>
      <w:proofErr w:type="spellEnd"/>
      <w:r>
        <w:t xml:space="preserve"> processing and the operational taxonomic units (OTUs) were selected using the UPARSE pipeline. The samples were sequenced on an </w:t>
      </w:r>
      <w:proofErr w:type="spellStart"/>
      <w:r>
        <w:t>Illumina</w:t>
      </w:r>
      <w:proofErr w:type="spellEnd"/>
      <w:r>
        <w:t xml:space="preserve"> </w:t>
      </w:r>
      <w:proofErr w:type="spellStart"/>
      <w:r>
        <w:t>MiSeq</w:t>
      </w:r>
      <w:proofErr w:type="spellEnd"/>
      <w:r>
        <w:t xml:space="preserve"> </w:t>
      </w:r>
      <w:proofErr w:type="spellStart"/>
      <w:r>
        <w:t>Benchtop</w:t>
      </w:r>
      <w:proofErr w:type="spellEnd"/>
      <w:r>
        <w:t xml:space="preserve"> Sequencer and the </w:t>
      </w:r>
      <w:proofErr w:type="spellStart"/>
      <w:r>
        <w:t>bioinformatic</w:t>
      </w:r>
      <w:proofErr w:type="spellEnd"/>
      <w:r>
        <w:t xml:space="preserve"> analysis was performed by </w:t>
      </w:r>
      <w:proofErr w:type="spellStart"/>
      <w:r>
        <w:t>Genesky</w:t>
      </w:r>
      <w:proofErr w:type="spellEnd"/>
      <w:r>
        <w:t xml:space="preserve"> Biotechnologies Inc. (Shanghai, China).</w:t>
      </w:r>
    </w:p>
    <w:p w:rsidR="00834D76" w:rsidRDefault="00834D76" w:rsidP="00834D76">
      <w:pPr>
        <w:pStyle w:val="10"/>
      </w:pPr>
      <w:r>
        <w:t>The size of the bacterial groups is expressed as percentage of the total bacteria.</w:t>
      </w:r>
    </w:p>
    <w:p w:rsidR="00834D76" w:rsidRPr="0062205B" w:rsidRDefault="00834D76" w:rsidP="00834D76">
      <w:pPr>
        <w:pStyle w:val="af9"/>
        <w:rPr>
          <w:lang w:val="en-US"/>
        </w:rPr>
      </w:pPr>
    </w:p>
    <w:p w:rsidR="00834D76" w:rsidRPr="0062205B" w:rsidRDefault="00834D76" w:rsidP="00834D76">
      <w:pPr>
        <w:pStyle w:val="af9"/>
        <w:rPr>
          <w:lang w:val="en-US"/>
        </w:rPr>
      </w:pPr>
      <w:r w:rsidRPr="0062205B">
        <w:rPr>
          <w:lang w:val="en-US"/>
        </w:rPr>
        <w:t>Quantitative real-time polymerase chain reaction</w:t>
      </w:r>
    </w:p>
    <w:p w:rsidR="00834D76" w:rsidRDefault="00834D76" w:rsidP="00834D76">
      <w:pPr>
        <w:pStyle w:val="af8"/>
      </w:pPr>
      <w:r>
        <w:lastRenderedPageBreak/>
        <w:t xml:space="preserve">Total mucosal RNA was extracted from the colonic biopsies using the </w:t>
      </w:r>
      <w:proofErr w:type="spellStart"/>
      <w:r>
        <w:t>TaKaRa</w:t>
      </w:r>
      <w:proofErr w:type="spellEnd"/>
      <w:r>
        <w:t xml:space="preserve"> </w:t>
      </w:r>
      <w:proofErr w:type="spellStart"/>
      <w:r>
        <w:t>MiniBEST</w:t>
      </w:r>
      <w:proofErr w:type="spellEnd"/>
      <w:r>
        <w:t xml:space="preserve"> Universal RNA Extraction Kit (</w:t>
      </w:r>
      <w:proofErr w:type="spellStart"/>
      <w:r>
        <w:t>TaKaRa</w:t>
      </w:r>
      <w:proofErr w:type="spellEnd"/>
      <w:r>
        <w:t xml:space="preserve">, Japan), according to the manufacturer’s instructions. After reverse transcription with </w:t>
      </w:r>
      <w:proofErr w:type="spellStart"/>
      <w:r>
        <w:t>PrimeScript</w:t>
      </w:r>
      <w:proofErr w:type="spellEnd"/>
      <w:r>
        <w:t xml:space="preserve"> Reverse Transcriptase Mix (</w:t>
      </w:r>
      <w:proofErr w:type="spellStart"/>
      <w:r>
        <w:t>TaKaRa</w:t>
      </w:r>
      <w:proofErr w:type="spellEnd"/>
      <w:r>
        <w:t xml:space="preserve">), the expression of </w:t>
      </w:r>
      <w:r>
        <w:rPr>
          <w:i/>
          <w:iCs/>
        </w:rPr>
        <w:t xml:space="preserve">TLR2 </w:t>
      </w:r>
      <w:r>
        <w:t xml:space="preserve">and </w:t>
      </w:r>
      <w:r>
        <w:rPr>
          <w:i/>
          <w:iCs/>
        </w:rPr>
        <w:t xml:space="preserve">TLR4 </w:t>
      </w:r>
      <w:r>
        <w:t>genes was deter</w:t>
      </w:r>
      <w:r>
        <w:softHyphen/>
        <w:t>mined by quantitative real-time polymerase chain reaction (</w:t>
      </w:r>
      <w:proofErr w:type="spellStart"/>
      <w:r>
        <w:t>qPCR</w:t>
      </w:r>
      <w:proofErr w:type="spellEnd"/>
      <w:r>
        <w:t>) and SYBR Green technology on a Bio-Rad CFX96 Q-PCR instrument (Bio-Rad, United States) in duplicate. The specific primers for TLR2 were: 5’-TGATGCTGCCATTCTCATTC-3’ (forward) and 5’-CGCAGCTCTCAGATTTACCC-3’ (reverse); and for TLR4: 5’-CAGGGCTTTTCTGAGTCGTC-3’ (forward) and 5’-TGAGCAGTCGTGCTGGTATC-3’ (reverse). Each amplifi</w:t>
      </w:r>
      <w:r>
        <w:softHyphen/>
        <w:t xml:space="preserve">cation reaction was run in duplicate in a final volume of 20 </w:t>
      </w:r>
      <w:r>
        <w:rPr>
          <w:rFonts w:ascii="Symbol" w:hAnsi="Symbol" w:cs="Symbol"/>
        </w:rPr>
        <w:t></w:t>
      </w:r>
      <w:r>
        <w:t xml:space="preserve">L. All </w:t>
      </w:r>
      <w:proofErr w:type="spellStart"/>
      <w:r>
        <w:t>qPCR</w:t>
      </w:r>
      <w:proofErr w:type="spellEnd"/>
      <w:r>
        <w:t xml:space="preserve"> amplifications were optimized and performed in 0.2 mL 96-well plates with the following cycling program: initial denaturation at 95</w:t>
      </w:r>
      <w:r>
        <w:rPr>
          <w:rFonts w:ascii="Arial" w:hAnsi="Arial" w:cs="Arial"/>
        </w:rPr>
        <w:t> </w:t>
      </w:r>
      <w:r>
        <w:rPr>
          <w:rFonts w:ascii="宋体" w:cs="宋体" w:hint="eastAsia"/>
        </w:rPr>
        <w:t>℃</w:t>
      </w:r>
      <w:r>
        <w:t xml:space="preserve"> for 10 min, followed by 40 cycles of 95</w:t>
      </w:r>
      <w:r>
        <w:rPr>
          <w:rFonts w:ascii="Arial" w:hAnsi="Arial" w:cs="Arial"/>
        </w:rPr>
        <w:t> </w:t>
      </w:r>
      <w:r>
        <w:rPr>
          <w:rFonts w:ascii="宋体" w:cs="宋体" w:hint="eastAsia"/>
        </w:rPr>
        <w:t>℃</w:t>
      </w:r>
      <w:r>
        <w:t xml:space="preserve"> for 15 s and 60</w:t>
      </w:r>
      <w:r>
        <w:rPr>
          <w:rFonts w:ascii="Arial" w:hAnsi="Arial" w:cs="Arial"/>
        </w:rPr>
        <w:t> </w:t>
      </w:r>
      <w:r>
        <w:rPr>
          <w:rFonts w:ascii="宋体" w:cs="宋体" w:hint="eastAsia"/>
        </w:rPr>
        <w:t>℃</w:t>
      </w:r>
      <w:r>
        <w:t xml:space="preserve"> for 30 s. Negative controls lacking the template DNA were included in triplicate. The relative amount of each mRNA was normalized to </w:t>
      </w:r>
      <w:r>
        <w:rPr>
          <w:i/>
          <w:iCs/>
        </w:rPr>
        <w:t>GAPDH</w:t>
      </w:r>
      <w:r>
        <w:t xml:space="preserve"> (forward: 5’-CCATCAATGACCCCTTCATTG-</w:t>
      </w:r>
      <w:proofErr w:type="gramStart"/>
      <w:r>
        <w:t>3’,</w:t>
      </w:r>
      <w:proofErr w:type="gramEnd"/>
      <w:r>
        <w:t xml:space="preserve"> reverse: 5’-CTTGACGGTGCCATGGAATT-3’) and data were </w:t>
      </w:r>
      <w:proofErr w:type="spellStart"/>
      <w:r>
        <w:t>analysed</w:t>
      </w:r>
      <w:proofErr w:type="spellEnd"/>
      <w:r>
        <w:t xml:space="preserve"> using the 2</w:t>
      </w:r>
      <w:r>
        <w:rPr>
          <w:vertAlign w:val="superscript"/>
        </w:rPr>
        <w:t>-ΔΔCT</w:t>
      </w:r>
      <w:r>
        <w:t xml:space="preserve"> method.</w:t>
      </w:r>
    </w:p>
    <w:p w:rsidR="00834D76" w:rsidRPr="0062205B" w:rsidRDefault="00834D76" w:rsidP="00834D76">
      <w:pPr>
        <w:pStyle w:val="af9"/>
        <w:rPr>
          <w:lang w:val="en-US"/>
        </w:rPr>
      </w:pPr>
    </w:p>
    <w:p w:rsidR="00834D76" w:rsidRPr="0062205B" w:rsidRDefault="00834D76" w:rsidP="00834D76">
      <w:pPr>
        <w:pStyle w:val="af9"/>
        <w:rPr>
          <w:lang w:val="en-US"/>
        </w:rPr>
      </w:pPr>
      <w:r w:rsidRPr="0062205B">
        <w:rPr>
          <w:lang w:val="en-US"/>
        </w:rPr>
        <w:t>Statistical analysis</w:t>
      </w:r>
    </w:p>
    <w:p w:rsidR="00834D76" w:rsidRDefault="00834D76" w:rsidP="00834D76">
      <w:pPr>
        <w:pStyle w:val="af8"/>
      </w:pPr>
      <w:r>
        <w:t xml:space="preserve">All statistical analyses were performed with SPSS 22.0 for Windows (SPSS Inc., United States). To determine the statistical differences between the two groups, we used the independent </w:t>
      </w:r>
      <w:r>
        <w:rPr>
          <w:i/>
          <w:iCs/>
        </w:rPr>
        <w:t xml:space="preserve">t </w:t>
      </w:r>
      <w:r>
        <w:t xml:space="preserve">test and the Mann-Whitney </w:t>
      </w:r>
      <w:r>
        <w:rPr>
          <w:spacing w:val="-9"/>
        </w:rPr>
        <w:t>test. Correlations were determined with Spearman’s correlation test. Heat maps were generated by R-packages for TLR2 and TLR4 as environmental factors, to reveal the relationship between the diversity and environmental factors based on the Pearson’s correlation analyses.</w:t>
      </w:r>
    </w:p>
    <w:p w:rsidR="00834D76" w:rsidRPr="0062205B" w:rsidRDefault="00834D76" w:rsidP="00834D76">
      <w:pPr>
        <w:pStyle w:val="af7"/>
        <w:rPr>
          <w:lang w:val="en-US"/>
        </w:rPr>
      </w:pPr>
    </w:p>
    <w:p w:rsidR="00834D76" w:rsidRPr="00344797" w:rsidRDefault="00834D76" w:rsidP="00834D76">
      <w:pPr>
        <w:pStyle w:val="af7"/>
        <w:rPr>
          <w:u w:val="single"/>
          <w:lang w:val="en-US"/>
        </w:rPr>
      </w:pPr>
      <w:r w:rsidRPr="00344797">
        <w:rPr>
          <w:u w:val="single"/>
          <w:lang w:val="en-US"/>
        </w:rPr>
        <w:t>RESULTS</w:t>
      </w:r>
    </w:p>
    <w:p w:rsidR="00834D76" w:rsidRPr="0062205B" w:rsidRDefault="00834D76" w:rsidP="00834D76">
      <w:pPr>
        <w:pStyle w:val="af9"/>
        <w:rPr>
          <w:lang w:val="en-US"/>
        </w:rPr>
      </w:pPr>
      <w:r w:rsidRPr="0062205B">
        <w:rPr>
          <w:lang w:val="en-US"/>
        </w:rPr>
        <w:t>Study population</w:t>
      </w:r>
    </w:p>
    <w:p w:rsidR="00834D76" w:rsidRDefault="00834D76" w:rsidP="00834D76">
      <w:pPr>
        <w:pStyle w:val="af8"/>
      </w:pPr>
      <w:r>
        <w:t xml:space="preserve">We investigated 64 samples from 32 subjects with FGIDs [14 with </w:t>
      </w:r>
      <w:proofErr w:type="spellStart"/>
      <w:r>
        <w:t>diarrhoea</w:t>
      </w:r>
      <w:proofErr w:type="spellEnd"/>
      <w:r>
        <w:t xml:space="preserve">-predominant IBS, 14 with functional dyspepsia (FD), and 4 with other diseases]. All subjects provided both a </w:t>
      </w:r>
      <w:proofErr w:type="spellStart"/>
      <w:r>
        <w:t>faecal</w:t>
      </w:r>
      <w:proofErr w:type="spellEnd"/>
      <w:r>
        <w:t xml:space="preserve"> sample and a colonic mucosal sample. The study population consisted of 50% females, and had a mean age of 49 years (range, 20-65 years) and a mean body mass index of 23.24 kg/m</w:t>
      </w:r>
      <w:r>
        <w:rPr>
          <w:vertAlign w:val="superscript"/>
        </w:rPr>
        <w:t>2</w:t>
      </w:r>
      <w:r>
        <w:t xml:space="preserve"> (range, 20-26 kg/m</w:t>
      </w:r>
      <w:r>
        <w:rPr>
          <w:vertAlign w:val="superscript"/>
        </w:rPr>
        <w:t>2</w:t>
      </w:r>
      <w:r>
        <w:t>).</w:t>
      </w:r>
    </w:p>
    <w:p w:rsidR="00834D76" w:rsidRPr="0062205B" w:rsidRDefault="00834D76" w:rsidP="00834D76">
      <w:pPr>
        <w:pStyle w:val="af9"/>
        <w:rPr>
          <w:lang w:val="en-US"/>
        </w:rPr>
      </w:pPr>
    </w:p>
    <w:p w:rsidR="00834D76" w:rsidRPr="0062205B" w:rsidRDefault="00834D76" w:rsidP="00834D76">
      <w:pPr>
        <w:pStyle w:val="af9"/>
        <w:rPr>
          <w:lang w:val="en-US"/>
        </w:rPr>
      </w:pPr>
      <w:r w:rsidRPr="0062205B">
        <w:rPr>
          <w:lang w:val="en-US"/>
        </w:rPr>
        <w:t xml:space="preserve">Characteristics of the </w:t>
      </w:r>
      <w:proofErr w:type="spellStart"/>
      <w:r w:rsidRPr="0062205B">
        <w:rPr>
          <w:lang w:val="en-US"/>
        </w:rPr>
        <w:t>pyrosequencing</w:t>
      </w:r>
      <w:proofErr w:type="spellEnd"/>
      <w:r w:rsidRPr="0062205B">
        <w:rPr>
          <w:lang w:val="en-US"/>
        </w:rPr>
        <w:t xml:space="preserve"> results</w:t>
      </w:r>
    </w:p>
    <w:p w:rsidR="00834D76" w:rsidRDefault="00834D76" w:rsidP="00834D76">
      <w:pPr>
        <w:pStyle w:val="af8"/>
        <w:rPr>
          <w:spacing w:val="-9"/>
        </w:rPr>
      </w:pPr>
      <w:r>
        <w:rPr>
          <w:spacing w:val="-9"/>
        </w:rPr>
        <w:t xml:space="preserve">We obtained a total of 4351929 raw reads and 3545053 reads remained after filtering. The sequencing analysis of the 64 samples identified 1026 OTUs. The rarefaction curves had a tendency to approach a saturation plateau, indicating that the number of samples in this study was sufficient. The same tendency was found in the Shannon-Wiener curves, indicating that the number of </w:t>
      </w:r>
      <w:r>
        <w:rPr>
          <w:i/>
          <w:iCs/>
          <w:spacing w:val="-9"/>
        </w:rPr>
        <w:t xml:space="preserve">16S </w:t>
      </w:r>
      <w:proofErr w:type="spellStart"/>
      <w:r>
        <w:rPr>
          <w:i/>
          <w:iCs/>
          <w:spacing w:val="-9"/>
        </w:rPr>
        <w:t>rRNA</w:t>
      </w:r>
      <w:proofErr w:type="spellEnd"/>
      <w:r>
        <w:rPr>
          <w:spacing w:val="-9"/>
        </w:rPr>
        <w:t xml:space="preserve"> gene sequences in the database was very abundant and reflected the vast majority of the </w:t>
      </w:r>
      <w:proofErr w:type="spellStart"/>
      <w:r>
        <w:rPr>
          <w:spacing w:val="-9"/>
        </w:rPr>
        <w:t>microbiota</w:t>
      </w:r>
      <w:proofErr w:type="spellEnd"/>
      <w:r>
        <w:rPr>
          <w:spacing w:val="-9"/>
        </w:rPr>
        <w:t xml:space="preserve">. The gut </w:t>
      </w:r>
      <w:proofErr w:type="spellStart"/>
      <w:r>
        <w:rPr>
          <w:spacing w:val="-9"/>
        </w:rPr>
        <w:t>faecal</w:t>
      </w:r>
      <w:proofErr w:type="spellEnd"/>
      <w:r>
        <w:rPr>
          <w:spacing w:val="-9"/>
        </w:rPr>
        <w:t xml:space="preserve"> samples showed significantly more diversity and </w:t>
      </w:r>
      <w:r>
        <w:rPr>
          <w:spacing w:val="-9"/>
        </w:rPr>
        <w:lastRenderedPageBreak/>
        <w:t xml:space="preserve">richness of the </w:t>
      </w:r>
      <w:proofErr w:type="spellStart"/>
      <w:r>
        <w:rPr>
          <w:spacing w:val="-9"/>
        </w:rPr>
        <w:t>microbiota</w:t>
      </w:r>
      <w:proofErr w:type="spellEnd"/>
      <w:r>
        <w:rPr>
          <w:spacing w:val="-9"/>
        </w:rPr>
        <w:t xml:space="preserve"> than the mucosal samples (Table 1) and samples of LM and MAM were significantly different (Figure 1A and B).</w:t>
      </w:r>
    </w:p>
    <w:p w:rsidR="00834D76" w:rsidRDefault="00834D76" w:rsidP="00834D76">
      <w:pPr>
        <w:pStyle w:val="10"/>
      </w:pPr>
      <w:r>
        <w:t xml:space="preserve">Significant differences between samples of LM and MAM were identified for almost all populated phyla. </w:t>
      </w:r>
      <w:proofErr w:type="spellStart"/>
      <w:r>
        <w:t>Bacteroidetes</w:t>
      </w:r>
      <w:proofErr w:type="spellEnd"/>
      <w:r>
        <w:t xml:space="preserve"> (44.7%) and </w:t>
      </w:r>
      <w:proofErr w:type="spellStart"/>
      <w:r>
        <w:t>Firmicutes</w:t>
      </w:r>
      <w:proofErr w:type="spellEnd"/>
      <w:r>
        <w:t xml:space="preserve"> (42.2%) were the most represented phyla in LM samples, followed by </w:t>
      </w:r>
      <w:proofErr w:type="spellStart"/>
      <w:r>
        <w:t>Proteobacteria</w:t>
      </w:r>
      <w:proofErr w:type="spellEnd"/>
      <w:r>
        <w:t xml:space="preserve"> (8.5%), whereas </w:t>
      </w:r>
      <w:proofErr w:type="spellStart"/>
      <w:r>
        <w:t>Proteobacteria</w:t>
      </w:r>
      <w:proofErr w:type="spellEnd"/>
      <w:r>
        <w:t xml:space="preserve"> (56.6%) was the most represented phylum in MAM samples, followed by </w:t>
      </w:r>
      <w:proofErr w:type="spellStart"/>
      <w:r>
        <w:t>Firmicutes</w:t>
      </w:r>
      <w:proofErr w:type="spellEnd"/>
      <w:r>
        <w:t xml:space="preserve"> (20.2%) and </w:t>
      </w:r>
      <w:proofErr w:type="spellStart"/>
      <w:r>
        <w:t>Bacteroidetes</w:t>
      </w:r>
      <w:proofErr w:type="spellEnd"/>
      <w:r>
        <w:t xml:space="preserve"> (12.7%) </w:t>
      </w:r>
      <w:proofErr w:type="gramStart"/>
      <w:r>
        <w:t>(</w:t>
      </w:r>
      <w:r>
        <w:rPr>
          <w:i/>
          <w:iCs/>
        </w:rPr>
        <w:t xml:space="preserve">P </w:t>
      </w:r>
      <w:r>
        <w:t>&lt; 0.05; Figure 2).</w:t>
      </w:r>
      <w:proofErr w:type="gramEnd"/>
      <w:r>
        <w:t xml:space="preserve"> </w:t>
      </w:r>
    </w:p>
    <w:p w:rsidR="00834D76" w:rsidRDefault="00834D76" w:rsidP="00834D76">
      <w:pPr>
        <w:pStyle w:val="10"/>
      </w:pPr>
      <w:r>
        <w:rPr>
          <w:spacing w:val="-11"/>
        </w:rPr>
        <w:t xml:space="preserve">Examination at the genus level showed that the relative abundance of </w:t>
      </w:r>
      <w:r>
        <w:rPr>
          <w:i/>
          <w:iCs/>
          <w:spacing w:val="-11"/>
        </w:rPr>
        <w:t>Escherichia-</w:t>
      </w:r>
      <w:proofErr w:type="spellStart"/>
      <w:r>
        <w:rPr>
          <w:i/>
          <w:iCs/>
          <w:spacing w:val="-11"/>
        </w:rPr>
        <w:t>Shigella</w:t>
      </w:r>
      <w:proofErr w:type="spellEnd"/>
      <w:r>
        <w:rPr>
          <w:spacing w:val="-11"/>
        </w:rPr>
        <w:t xml:space="preserve">, </w:t>
      </w:r>
      <w:r>
        <w:rPr>
          <w:i/>
          <w:iCs/>
          <w:spacing w:val="-11"/>
        </w:rPr>
        <w:t>Streptococcus</w:t>
      </w:r>
      <w:r>
        <w:rPr>
          <w:spacing w:val="-11"/>
        </w:rPr>
        <w:t xml:space="preserve">, </w:t>
      </w:r>
      <w:r>
        <w:rPr>
          <w:i/>
          <w:iCs/>
          <w:spacing w:val="-11"/>
        </w:rPr>
        <w:t xml:space="preserve">Clostridium </w:t>
      </w:r>
      <w:proofErr w:type="spellStart"/>
      <w:r>
        <w:rPr>
          <w:i/>
          <w:iCs/>
          <w:spacing w:val="-11"/>
        </w:rPr>
        <w:t>sensu</w:t>
      </w:r>
      <w:proofErr w:type="spellEnd"/>
      <w:r>
        <w:rPr>
          <w:i/>
          <w:iCs/>
          <w:spacing w:val="-11"/>
        </w:rPr>
        <w:t xml:space="preserve"> stricto1</w:t>
      </w:r>
      <w:r>
        <w:rPr>
          <w:spacing w:val="-11"/>
        </w:rPr>
        <w:t xml:space="preserve">, </w:t>
      </w:r>
      <w:proofErr w:type="spellStart"/>
      <w:r>
        <w:rPr>
          <w:i/>
          <w:iCs/>
          <w:spacing w:val="-11"/>
        </w:rPr>
        <w:t>Sphingomonas</w:t>
      </w:r>
      <w:proofErr w:type="spellEnd"/>
      <w:r>
        <w:rPr>
          <w:spacing w:val="-11"/>
        </w:rPr>
        <w:t xml:space="preserve">, </w:t>
      </w:r>
      <w:proofErr w:type="spellStart"/>
      <w:r>
        <w:rPr>
          <w:i/>
          <w:iCs/>
          <w:spacing w:val="-11"/>
        </w:rPr>
        <w:t>Acinetobacter</w:t>
      </w:r>
      <w:proofErr w:type="spellEnd"/>
      <w:r>
        <w:rPr>
          <w:spacing w:val="-11"/>
        </w:rPr>
        <w:t xml:space="preserve">, </w:t>
      </w:r>
      <w:proofErr w:type="spellStart"/>
      <w:r>
        <w:rPr>
          <w:i/>
          <w:iCs/>
          <w:spacing w:val="-11"/>
        </w:rPr>
        <w:t>Brevundimonas</w:t>
      </w:r>
      <w:proofErr w:type="spellEnd"/>
      <w:r>
        <w:rPr>
          <w:spacing w:val="-11"/>
        </w:rPr>
        <w:t xml:space="preserve">, and </w:t>
      </w:r>
      <w:proofErr w:type="spellStart"/>
      <w:r>
        <w:rPr>
          <w:i/>
          <w:iCs/>
          <w:spacing w:val="-11"/>
        </w:rPr>
        <w:t>Enhydrobacter</w:t>
      </w:r>
      <w:proofErr w:type="spellEnd"/>
      <w:r>
        <w:rPr>
          <w:spacing w:val="-11"/>
        </w:rPr>
        <w:t xml:space="preserve"> was significantly greater in samples of MAM than in LM samples,</w:t>
      </w:r>
      <w:r>
        <w:t xml:space="preserve"> whe</w:t>
      </w:r>
      <w:r>
        <w:softHyphen/>
        <w:t xml:space="preserve">reas abundance of </w:t>
      </w:r>
      <w:proofErr w:type="spellStart"/>
      <w:r>
        <w:rPr>
          <w:i/>
          <w:iCs/>
        </w:rPr>
        <w:t>Bacteroides</w:t>
      </w:r>
      <w:proofErr w:type="spellEnd"/>
      <w:r>
        <w:t xml:space="preserve">, </w:t>
      </w:r>
      <w:proofErr w:type="spellStart"/>
      <w:r>
        <w:rPr>
          <w:i/>
          <w:iCs/>
        </w:rPr>
        <w:t>Faecalibacterium</w:t>
      </w:r>
      <w:proofErr w:type="spellEnd"/>
      <w:r>
        <w:t xml:space="preserve">, </w:t>
      </w:r>
      <w:proofErr w:type="spellStart"/>
      <w:r>
        <w:rPr>
          <w:i/>
          <w:iCs/>
        </w:rPr>
        <w:t>Incertae</w:t>
      </w:r>
      <w:proofErr w:type="spellEnd"/>
      <w:r>
        <w:rPr>
          <w:i/>
          <w:iCs/>
        </w:rPr>
        <w:t xml:space="preserve"> </w:t>
      </w:r>
      <w:proofErr w:type="spellStart"/>
      <w:r>
        <w:rPr>
          <w:i/>
          <w:iCs/>
        </w:rPr>
        <w:t>sedis</w:t>
      </w:r>
      <w:proofErr w:type="spellEnd"/>
      <w:r>
        <w:t xml:space="preserve">, </w:t>
      </w:r>
      <w:proofErr w:type="spellStart"/>
      <w:r>
        <w:rPr>
          <w:i/>
          <w:iCs/>
        </w:rPr>
        <w:t>Subdoligranulum</w:t>
      </w:r>
      <w:proofErr w:type="spellEnd"/>
      <w:r>
        <w:t xml:space="preserve">, </w:t>
      </w:r>
      <w:proofErr w:type="spellStart"/>
      <w:r>
        <w:rPr>
          <w:i/>
          <w:iCs/>
        </w:rPr>
        <w:t>Pseudobutyrivibrio</w:t>
      </w:r>
      <w:proofErr w:type="spellEnd"/>
      <w:r>
        <w:t xml:space="preserve">, </w:t>
      </w:r>
      <w:proofErr w:type="spellStart"/>
      <w:r>
        <w:rPr>
          <w:i/>
          <w:iCs/>
        </w:rPr>
        <w:t>Megasphaera</w:t>
      </w:r>
      <w:proofErr w:type="spellEnd"/>
      <w:r>
        <w:t xml:space="preserve">, </w:t>
      </w:r>
      <w:proofErr w:type="spellStart"/>
      <w:r>
        <w:rPr>
          <w:i/>
          <w:iCs/>
        </w:rPr>
        <w:t>Parasutterella</w:t>
      </w:r>
      <w:proofErr w:type="spellEnd"/>
      <w:r>
        <w:t xml:space="preserve">, </w:t>
      </w:r>
      <w:proofErr w:type="spellStart"/>
      <w:r>
        <w:rPr>
          <w:i/>
          <w:iCs/>
        </w:rPr>
        <w:t>Akkermansia</w:t>
      </w:r>
      <w:proofErr w:type="spellEnd"/>
      <w:r>
        <w:t xml:space="preserve">, </w:t>
      </w:r>
      <w:proofErr w:type="spellStart"/>
      <w:r>
        <w:rPr>
          <w:i/>
          <w:iCs/>
        </w:rPr>
        <w:t>Alistipes</w:t>
      </w:r>
      <w:proofErr w:type="spellEnd"/>
      <w:r>
        <w:t xml:space="preserve">, and </w:t>
      </w:r>
      <w:proofErr w:type="spellStart"/>
      <w:r>
        <w:rPr>
          <w:i/>
          <w:iCs/>
        </w:rPr>
        <w:t>Lachnospira</w:t>
      </w:r>
      <w:proofErr w:type="spellEnd"/>
      <w:r>
        <w:t xml:space="preserve"> was significantly lower in samples of MAM than in LM samples (</w:t>
      </w:r>
      <w:r>
        <w:rPr>
          <w:i/>
          <w:iCs/>
        </w:rPr>
        <w:t xml:space="preserve">P </w:t>
      </w:r>
      <w:r>
        <w:t>&lt; 0.05).</w:t>
      </w:r>
    </w:p>
    <w:p w:rsidR="00834D76" w:rsidRPr="0062205B" w:rsidRDefault="00834D76" w:rsidP="00834D76">
      <w:pPr>
        <w:pStyle w:val="af9"/>
        <w:rPr>
          <w:caps/>
          <w:lang w:val="en-US"/>
        </w:rPr>
      </w:pPr>
    </w:p>
    <w:p w:rsidR="00834D76" w:rsidRPr="0062205B" w:rsidRDefault="00834D76" w:rsidP="00834D76">
      <w:pPr>
        <w:pStyle w:val="af9"/>
        <w:rPr>
          <w:lang w:val="en-US"/>
        </w:rPr>
      </w:pPr>
      <w:r w:rsidRPr="0062205B">
        <w:rPr>
          <w:caps/>
          <w:lang w:val="en-US"/>
        </w:rPr>
        <w:t>e</w:t>
      </w:r>
      <w:r w:rsidRPr="0062205B">
        <w:rPr>
          <w:lang w:val="en-US"/>
        </w:rPr>
        <w:t>xpression characteristics of mucosal TLR2 and TLR4</w:t>
      </w:r>
    </w:p>
    <w:p w:rsidR="00834D76" w:rsidRDefault="00834D76" w:rsidP="00834D76">
      <w:pPr>
        <w:pStyle w:val="af8"/>
      </w:pPr>
      <w:r>
        <w:t>We measured the mRNA expression of TLR2 (3.7394 ± 0.43514) and TLR4 (5.3866 ± 0.33556) in all samples and expression of TLR2 was significantly and positively correlated with that of TLR4 (</w:t>
      </w:r>
      <w:r>
        <w:rPr>
          <w:i/>
          <w:iCs/>
        </w:rPr>
        <w:t>r</w:t>
      </w:r>
      <w:r>
        <w:t xml:space="preserve"> = 0.492, </w:t>
      </w:r>
      <w:r>
        <w:rPr>
          <w:i/>
          <w:iCs/>
          <w:caps/>
        </w:rPr>
        <w:t>P</w:t>
      </w:r>
      <w:r>
        <w:rPr>
          <w:caps/>
        </w:rPr>
        <w:t xml:space="preserve"> = </w:t>
      </w:r>
      <w:r>
        <w:t>0.004) (Figure 3).</w:t>
      </w:r>
    </w:p>
    <w:p w:rsidR="00834D76" w:rsidRPr="0062205B" w:rsidRDefault="00834D76" w:rsidP="00834D76">
      <w:pPr>
        <w:pStyle w:val="af9"/>
        <w:rPr>
          <w:lang w:val="en-US"/>
        </w:rPr>
      </w:pPr>
    </w:p>
    <w:p w:rsidR="00834D76" w:rsidRPr="0062205B" w:rsidRDefault="00834D76" w:rsidP="00834D76">
      <w:pPr>
        <w:pStyle w:val="af9"/>
        <w:rPr>
          <w:lang w:val="en-US"/>
        </w:rPr>
      </w:pPr>
      <w:r w:rsidRPr="0062205B">
        <w:rPr>
          <w:lang w:val="en-US"/>
        </w:rPr>
        <w:t xml:space="preserve">Correlation between gut </w:t>
      </w:r>
      <w:proofErr w:type="spellStart"/>
      <w:r w:rsidRPr="0062205B">
        <w:rPr>
          <w:lang w:val="en-US"/>
        </w:rPr>
        <w:t>microbiota</w:t>
      </w:r>
      <w:proofErr w:type="spellEnd"/>
      <w:r w:rsidRPr="0062205B">
        <w:rPr>
          <w:lang w:val="en-US"/>
        </w:rPr>
        <w:t xml:space="preserve"> and TLR4 expression</w:t>
      </w:r>
    </w:p>
    <w:p w:rsidR="00834D76" w:rsidRDefault="00834D76" w:rsidP="00834D76">
      <w:pPr>
        <w:pStyle w:val="af8"/>
        <w:rPr>
          <w:spacing w:val="-9"/>
        </w:rPr>
      </w:pPr>
      <w:r>
        <w:rPr>
          <w:spacing w:val="-9"/>
        </w:rPr>
        <w:t>Regardless of phylum, class or order level, no bacterium was correlated with expression of TLR4 in LM samples.</w:t>
      </w:r>
    </w:p>
    <w:p w:rsidR="00834D76" w:rsidRDefault="00834D76" w:rsidP="00834D76">
      <w:pPr>
        <w:pStyle w:val="10"/>
      </w:pPr>
      <w:r>
        <w:t xml:space="preserve">At the phylum level, </w:t>
      </w:r>
      <w:proofErr w:type="spellStart"/>
      <w:r>
        <w:t>Firmicutes</w:t>
      </w:r>
      <w:proofErr w:type="spellEnd"/>
      <w:r>
        <w:t xml:space="preserve"> was inversely and significantly correlated with TLR4 expression in MAM samples (</w:t>
      </w:r>
      <w:r>
        <w:rPr>
          <w:i/>
          <w:iCs/>
        </w:rPr>
        <w:t>r</w:t>
      </w:r>
      <w:r>
        <w:t xml:space="preserve"> = -0.4676, </w:t>
      </w:r>
      <w:r>
        <w:rPr>
          <w:i/>
          <w:iCs/>
          <w:caps/>
        </w:rPr>
        <w:t>P</w:t>
      </w:r>
      <w:r>
        <w:rPr>
          <w:caps/>
        </w:rPr>
        <w:t xml:space="preserve"> = </w:t>
      </w:r>
      <w:r>
        <w:t xml:space="preserve">0.0070). At the class level, Clostridia, which belongs to </w:t>
      </w:r>
      <w:proofErr w:type="spellStart"/>
      <w:r>
        <w:t>Firmicutes</w:t>
      </w:r>
      <w:proofErr w:type="spellEnd"/>
      <w:r>
        <w:t>, was inversely and significantly correlated with TLR4 expression in MAM samples (</w:t>
      </w:r>
      <w:r>
        <w:rPr>
          <w:i/>
          <w:iCs/>
        </w:rPr>
        <w:t>r</w:t>
      </w:r>
      <w:r>
        <w:t xml:space="preserve"> = -0.3913, </w:t>
      </w:r>
      <w:r>
        <w:rPr>
          <w:i/>
          <w:iCs/>
          <w:caps/>
        </w:rPr>
        <w:t>P</w:t>
      </w:r>
      <w:r>
        <w:rPr>
          <w:caps/>
        </w:rPr>
        <w:t xml:space="preserve"> = </w:t>
      </w:r>
      <w:r>
        <w:t>0.0268). At the order level among the class Clostridia, the order Clostridia was inversely and significantly correlated with TLR4 expression (</w:t>
      </w:r>
      <w:r>
        <w:rPr>
          <w:i/>
          <w:iCs/>
        </w:rPr>
        <w:t>r</w:t>
      </w:r>
      <w:r>
        <w:t xml:space="preserve"> = -0.3906, </w:t>
      </w:r>
      <w:r>
        <w:rPr>
          <w:i/>
          <w:iCs/>
          <w:caps/>
        </w:rPr>
        <w:t>P</w:t>
      </w:r>
      <w:r>
        <w:rPr>
          <w:caps/>
        </w:rPr>
        <w:t xml:space="preserve"> = </w:t>
      </w:r>
      <w:r>
        <w:t xml:space="preserve">0.0271), as well as the families </w:t>
      </w:r>
      <w:proofErr w:type="spellStart"/>
      <w:r>
        <w:t>Defluviitaleaceae</w:t>
      </w:r>
      <w:proofErr w:type="spellEnd"/>
      <w:r>
        <w:t xml:space="preserve"> (</w:t>
      </w:r>
      <w:r>
        <w:rPr>
          <w:i/>
          <w:iCs/>
        </w:rPr>
        <w:t>r</w:t>
      </w:r>
      <w:r>
        <w:t xml:space="preserve"> = -0.4227, </w:t>
      </w:r>
      <w:r>
        <w:rPr>
          <w:i/>
          <w:iCs/>
          <w:caps/>
        </w:rPr>
        <w:t>P</w:t>
      </w:r>
      <w:r>
        <w:rPr>
          <w:caps/>
        </w:rPr>
        <w:t xml:space="preserve"> = </w:t>
      </w:r>
      <w:r>
        <w:t>0.0159),</w:t>
      </w:r>
      <w:r>
        <w:rPr>
          <w:b/>
          <w:bCs/>
        </w:rPr>
        <w:t xml:space="preserve"> </w:t>
      </w:r>
      <w:proofErr w:type="spellStart"/>
      <w:r>
        <w:t>Peptostreptococcaceae</w:t>
      </w:r>
      <w:proofErr w:type="spellEnd"/>
      <w:r>
        <w:t xml:space="preserve"> (</w:t>
      </w:r>
      <w:r>
        <w:rPr>
          <w:i/>
          <w:iCs/>
        </w:rPr>
        <w:t>r</w:t>
      </w:r>
      <w:r>
        <w:t xml:space="preserve"> = -0.3611, </w:t>
      </w:r>
      <w:r>
        <w:rPr>
          <w:i/>
          <w:iCs/>
          <w:caps/>
        </w:rPr>
        <w:t>P</w:t>
      </w:r>
      <w:r>
        <w:rPr>
          <w:caps/>
        </w:rPr>
        <w:t xml:space="preserve"> = </w:t>
      </w:r>
      <w:r>
        <w:t xml:space="preserve">0.0422), and </w:t>
      </w:r>
      <w:proofErr w:type="spellStart"/>
      <w:r>
        <w:t>Ruminococcaceae</w:t>
      </w:r>
      <w:proofErr w:type="spellEnd"/>
      <w:r>
        <w:t xml:space="preserve"> (</w:t>
      </w:r>
      <w:r>
        <w:rPr>
          <w:i/>
          <w:iCs/>
        </w:rPr>
        <w:t>r</w:t>
      </w:r>
      <w:r>
        <w:t xml:space="preserve"> = -0.4740, </w:t>
      </w:r>
      <w:r>
        <w:rPr>
          <w:i/>
          <w:iCs/>
          <w:caps/>
        </w:rPr>
        <w:t>P</w:t>
      </w:r>
      <w:r>
        <w:rPr>
          <w:caps/>
        </w:rPr>
        <w:t xml:space="preserve"> = </w:t>
      </w:r>
      <w:r>
        <w:t xml:space="preserve">0.0061), which belong to the order Clostridia. The genera </w:t>
      </w:r>
      <w:proofErr w:type="spellStart"/>
      <w:r>
        <w:rPr>
          <w:i/>
          <w:iCs/>
        </w:rPr>
        <w:t>Faecalibacterium</w:t>
      </w:r>
      <w:proofErr w:type="spellEnd"/>
      <w:r>
        <w:t xml:space="preserve"> and </w:t>
      </w:r>
      <w:proofErr w:type="spellStart"/>
      <w:r>
        <w:rPr>
          <w:i/>
          <w:iCs/>
        </w:rPr>
        <w:t>Ruminococcus</w:t>
      </w:r>
      <w:proofErr w:type="spellEnd"/>
      <w:r>
        <w:t xml:space="preserve">, which belong to the family </w:t>
      </w:r>
      <w:proofErr w:type="spellStart"/>
      <w:r>
        <w:t>Ruminococcaceae</w:t>
      </w:r>
      <w:proofErr w:type="spellEnd"/>
      <w:r>
        <w:t>, were also inversely and significantly correlated with TLR4 expression (</w:t>
      </w:r>
      <w:r>
        <w:rPr>
          <w:i/>
          <w:iCs/>
        </w:rPr>
        <w:t>r</w:t>
      </w:r>
      <w:r>
        <w:t xml:space="preserve"> = -0.45817, </w:t>
      </w:r>
      <w:r>
        <w:rPr>
          <w:i/>
          <w:iCs/>
          <w:caps/>
        </w:rPr>
        <w:t>P</w:t>
      </w:r>
      <w:r>
        <w:rPr>
          <w:caps/>
        </w:rPr>
        <w:t xml:space="preserve"> = </w:t>
      </w:r>
      <w:r>
        <w:t xml:space="preserve">0.0083 and </w:t>
      </w:r>
      <w:r>
        <w:rPr>
          <w:i/>
          <w:iCs/>
        </w:rPr>
        <w:t>r</w:t>
      </w:r>
      <w:r>
        <w:t xml:space="preserve"> = -0.5306, </w:t>
      </w:r>
      <w:r>
        <w:rPr>
          <w:i/>
          <w:iCs/>
          <w:caps/>
        </w:rPr>
        <w:t>P</w:t>
      </w:r>
      <w:r>
        <w:rPr>
          <w:caps/>
        </w:rPr>
        <w:t xml:space="preserve"> = </w:t>
      </w:r>
      <w:r>
        <w:t>0.0018, respectively) (Figure 4).</w:t>
      </w:r>
    </w:p>
    <w:p w:rsidR="00834D76" w:rsidRPr="0062205B" w:rsidRDefault="00834D76" w:rsidP="00834D76">
      <w:pPr>
        <w:pStyle w:val="af9"/>
        <w:rPr>
          <w:lang w:val="en-US"/>
        </w:rPr>
      </w:pPr>
    </w:p>
    <w:p w:rsidR="00834D76" w:rsidRPr="0062205B" w:rsidRDefault="00834D76" w:rsidP="00834D76">
      <w:pPr>
        <w:pStyle w:val="af9"/>
        <w:rPr>
          <w:lang w:val="en-US"/>
        </w:rPr>
      </w:pPr>
      <w:r w:rsidRPr="0062205B">
        <w:rPr>
          <w:lang w:val="en-US"/>
        </w:rPr>
        <w:t xml:space="preserve">Correlation between gut </w:t>
      </w:r>
      <w:proofErr w:type="spellStart"/>
      <w:r w:rsidRPr="0062205B">
        <w:rPr>
          <w:lang w:val="en-US"/>
        </w:rPr>
        <w:t>microbiota</w:t>
      </w:r>
      <w:proofErr w:type="spellEnd"/>
      <w:r w:rsidRPr="0062205B">
        <w:rPr>
          <w:lang w:val="en-US"/>
        </w:rPr>
        <w:t xml:space="preserve"> and TLR2 expression</w:t>
      </w:r>
    </w:p>
    <w:p w:rsidR="00834D76" w:rsidRDefault="00834D76" w:rsidP="00834D76">
      <w:pPr>
        <w:pStyle w:val="af8"/>
      </w:pPr>
      <w:r>
        <w:t xml:space="preserve">The presence of bacteria in both LM and MAM samples was correlated with TLR2 expression. However, the </w:t>
      </w:r>
      <w:proofErr w:type="gramStart"/>
      <w:r>
        <w:t xml:space="preserve">taxa of </w:t>
      </w:r>
      <w:proofErr w:type="spellStart"/>
      <w:r>
        <w:t>microbiota</w:t>
      </w:r>
      <w:proofErr w:type="spellEnd"/>
      <w:r>
        <w:t xml:space="preserve"> was</w:t>
      </w:r>
      <w:proofErr w:type="gramEnd"/>
      <w:r>
        <w:t xml:space="preserve"> very different in these two sample populations. </w:t>
      </w:r>
    </w:p>
    <w:p w:rsidR="00834D76" w:rsidRDefault="00834D76" w:rsidP="00834D76">
      <w:pPr>
        <w:pStyle w:val="10"/>
      </w:pPr>
      <w:r>
        <w:t>In LM samples, Clostridia and Bacilli at the class level were inversely and significantly correlated with TLR2 expression (</w:t>
      </w:r>
      <w:r>
        <w:rPr>
          <w:i/>
          <w:iCs/>
        </w:rPr>
        <w:t>r</w:t>
      </w:r>
      <w:r>
        <w:t xml:space="preserve"> = -0.4238, </w:t>
      </w:r>
      <w:r>
        <w:rPr>
          <w:i/>
          <w:iCs/>
          <w:caps/>
        </w:rPr>
        <w:t>P</w:t>
      </w:r>
      <w:r>
        <w:rPr>
          <w:caps/>
        </w:rPr>
        <w:t xml:space="preserve"> = </w:t>
      </w:r>
      <w:r>
        <w:t xml:space="preserve">0.0156 and </w:t>
      </w:r>
      <w:r>
        <w:rPr>
          <w:i/>
          <w:iCs/>
        </w:rPr>
        <w:t>r</w:t>
      </w:r>
      <w:r>
        <w:t xml:space="preserve"> = -0.4482, </w:t>
      </w:r>
      <w:r>
        <w:rPr>
          <w:i/>
          <w:iCs/>
          <w:caps/>
        </w:rPr>
        <w:t>P</w:t>
      </w:r>
      <w:r>
        <w:rPr>
          <w:caps/>
        </w:rPr>
        <w:t xml:space="preserve"> = </w:t>
      </w:r>
      <w:r>
        <w:t xml:space="preserve">0.0101, respectively), as well as </w:t>
      </w:r>
      <w:proofErr w:type="spellStart"/>
      <w:r>
        <w:t>Clostridiales</w:t>
      </w:r>
      <w:proofErr w:type="spellEnd"/>
      <w:r>
        <w:t xml:space="preserve"> at the </w:t>
      </w:r>
      <w:r>
        <w:lastRenderedPageBreak/>
        <w:t xml:space="preserve">order level, which belongs to Clostridia, and </w:t>
      </w:r>
      <w:proofErr w:type="spellStart"/>
      <w:r>
        <w:t>Lactobacillales</w:t>
      </w:r>
      <w:proofErr w:type="spellEnd"/>
      <w:r>
        <w:t>, which belongs to Bacilli (</w:t>
      </w:r>
      <w:r>
        <w:rPr>
          <w:i/>
          <w:iCs/>
        </w:rPr>
        <w:t>r</w:t>
      </w:r>
      <w:r>
        <w:t xml:space="preserve"> = -0.4482, </w:t>
      </w:r>
      <w:r>
        <w:rPr>
          <w:i/>
          <w:iCs/>
          <w:caps/>
        </w:rPr>
        <w:t>P</w:t>
      </w:r>
      <w:r>
        <w:rPr>
          <w:caps/>
        </w:rPr>
        <w:t xml:space="preserve"> = </w:t>
      </w:r>
      <w:r>
        <w:t xml:space="preserve">0.0156 and </w:t>
      </w:r>
      <w:r>
        <w:rPr>
          <w:i/>
          <w:iCs/>
        </w:rPr>
        <w:t>r</w:t>
      </w:r>
      <w:r>
        <w:t xml:space="preserve"> = -0.4207, </w:t>
      </w:r>
      <w:r>
        <w:rPr>
          <w:i/>
          <w:iCs/>
          <w:caps/>
        </w:rPr>
        <w:t>P</w:t>
      </w:r>
      <w:r>
        <w:rPr>
          <w:caps/>
        </w:rPr>
        <w:t xml:space="preserve"> = </w:t>
      </w:r>
      <w:r>
        <w:t xml:space="preserve">0.0165, respectively). At the family level, </w:t>
      </w:r>
      <w:proofErr w:type="spellStart"/>
      <w:r>
        <w:t>Ruminococcaceae</w:t>
      </w:r>
      <w:proofErr w:type="spellEnd"/>
      <w:r>
        <w:t xml:space="preserve">, which belongs to </w:t>
      </w:r>
      <w:proofErr w:type="spellStart"/>
      <w:r>
        <w:t>Clostridiales</w:t>
      </w:r>
      <w:proofErr w:type="spellEnd"/>
      <w:r>
        <w:t xml:space="preserve">, and </w:t>
      </w:r>
      <w:proofErr w:type="spellStart"/>
      <w:r>
        <w:t>Streptococcaceae</w:t>
      </w:r>
      <w:proofErr w:type="spellEnd"/>
      <w:r>
        <w:t xml:space="preserve">, which belongs to </w:t>
      </w:r>
      <w:proofErr w:type="spellStart"/>
      <w:r>
        <w:t>Lactobacillales</w:t>
      </w:r>
      <w:proofErr w:type="spellEnd"/>
      <w:r>
        <w:t>, were inversely and significantly correlated with TLR2 expression (</w:t>
      </w:r>
      <w:r>
        <w:rPr>
          <w:i/>
          <w:iCs/>
        </w:rPr>
        <w:t>r</w:t>
      </w:r>
      <w:r>
        <w:t xml:space="preserve"> = -0.4437, </w:t>
      </w:r>
      <w:r>
        <w:rPr>
          <w:i/>
          <w:iCs/>
          <w:caps/>
        </w:rPr>
        <w:t>P</w:t>
      </w:r>
      <w:r>
        <w:rPr>
          <w:caps/>
        </w:rPr>
        <w:t xml:space="preserve"> = </w:t>
      </w:r>
      <w:r>
        <w:t xml:space="preserve">0.0110 and </w:t>
      </w:r>
      <w:r>
        <w:rPr>
          <w:i/>
          <w:iCs/>
        </w:rPr>
        <w:t>r</w:t>
      </w:r>
      <w:r>
        <w:t xml:space="preserve"> = -0.3839, </w:t>
      </w:r>
      <w:r>
        <w:rPr>
          <w:i/>
          <w:iCs/>
          <w:caps/>
        </w:rPr>
        <w:t>P</w:t>
      </w:r>
      <w:r>
        <w:rPr>
          <w:caps/>
        </w:rPr>
        <w:t xml:space="preserve"> = </w:t>
      </w:r>
      <w:r>
        <w:t xml:space="preserve">0.0300, respectively). And at the genus level, </w:t>
      </w:r>
      <w:proofErr w:type="spellStart"/>
      <w:r>
        <w:rPr>
          <w:i/>
          <w:iCs/>
        </w:rPr>
        <w:t>Faecalibacterium</w:t>
      </w:r>
      <w:proofErr w:type="spellEnd"/>
      <w:r>
        <w:t xml:space="preserve">, which belongs to </w:t>
      </w:r>
      <w:proofErr w:type="spellStart"/>
      <w:r>
        <w:t>Ruminococcaceae</w:t>
      </w:r>
      <w:proofErr w:type="spellEnd"/>
      <w:r>
        <w:t xml:space="preserve">, and </w:t>
      </w:r>
      <w:r>
        <w:rPr>
          <w:i/>
          <w:iCs/>
        </w:rPr>
        <w:t>Streptococcus</w:t>
      </w:r>
      <w:r>
        <w:t xml:space="preserve">, which belongs to </w:t>
      </w:r>
      <w:proofErr w:type="spellStart"/>
      <w:r>
        <w:t>Streptococcaceae</w:t>
      </w:r>
      <w:proofErr w:type="spellEnd"/>
      <w:r>
        <w:t>, were inversely and significantly correlated with TLR2 expression (</w:t>
      </w:r>
      <w:r>
        <w:rPr>
          <w:i/>
          <w:iCs/>
        </w:rPr>
        <w:t>r</w:t>
      </w:r>
      <w:r>
        <w:t xml:space="preserve"> = -0.5743, </w:t>
      </w:r>
      <w:r>
        <w:rPr>
          <w:i/>
          <w:iCs/>
          <w:caps/>
        </w:rPr>
        <w:t>P</w:t>
      </w:r>
      <w:r>
        <w:rPr>
          <w:caps/>
        </w:rPr>
        <w:t xml:space="preserve"> = </w:t>
      </w:r>
      <w:r>
        <w:t xml:space="preserve">0.0058 and </w:t>
      </w:r>
      <w:r>
        <w:rPr>
          <w:i/>
          <w:iCs/>
        </w:rPr>
        <w:t>r</w:t>
      </w:r>
      <w:r>
        <w:t xml:space="preserve"> = -0.3905, </w:t>
      </w:r>
      <w:r>
        <w:rPr>
          <w:i/>
          <w:iCs/>
          <w:caps/>
        </w:rPr>
        <w:t>P</w:t>
      </w:r>
      <w:r>
        <w:rPr>
          <w:caps/>
        </w:rPr>
        <w:t xml:space="preserve"> = </w:t>
      </w:r>
      <w:r>
        <w:t xml:space="preserve">0.0271, respectively) (Figure 4). </w:t>
      </w:r>
    </w:p>
    <w:p w:rsidR="00834D76" w:rsidRDefault="00834D76" w:rsidP="00834D76">
      <w:pPr>
        <w:pStyle w:val="10"/>
        <w:rPr>
          <w:spacing w:val="-9"/>
        </w:rPr>
      </w:pPr>
      <w:r>
        <w:rPr>
          <w:spacing w:val="-9"/>
        </w:rPr>
        <w:t>In MAM samples, Bacilli at the class level was inversely and significantly correlated with TLR2 expression (</w:t>
      </w:r>
      <w:r>
        <w:rPr>
          <w:i/>
          <w:iCs/>
          <w:spacing w:val="-9"/>
        </w:rPr>
        <w:t>r</w:t>
      </w:r>
      <w:r>
        <w:rPr>
          <w:spacing w:val="-9"/>
        </w:rPr>
        <w:t xml:space="preserve"> = -0.4676, </w:t>
      </w:r>
      <w:r>
        <w:rPr>
          <w:i/>
          <w:iCs/>
          <w:caps/>
          <w:spacing w:val="-9"/>
        </w:rPr>
        <w:t>P</w:t>
      </w:r>
      <w:r>
        <w:rPr>
          <w:caps/>
          <w:spacing w:val="-9"/>
        </w:rPr>
        <w:t xml:space="preserve"> = </w:t>
      </w:r>
      <w:r>
        <w:rPr>
          <w:spacing w:val="-9"/>
        </w:rPr>
        <w:t xml:space="preserve">0.0070), as well as </w:t>
      </w:r>
      <w:proofErr w:type="spellStart"/>
      <w:r>
        <w:rPr>
          <w:spacing w:val="-9"/>
        </w:rPr>
        <w:t>Lactobacillales</w:t>
      </w:r>
      <w:proofErr w:type="spellEnd"/>
      <w:r>
        <w:rPr>
          <w:spacing w:val="-9"/>
        </w:rPr>
        <w:t xml:space="preserve"> at the order level, which belongs to Bacilli (</w:t>
      </w:r>
      <w:r>
        <w:rPr>
          <w:i/>
          <w:iCs/>
          <w:spacing w:val="-9"/>
        </w:rPr>
        <w:t>r</w:t>
      </w:r>
      <w:r>
        <w:rPr>
          <w:spacing w:val="-9"/>
        </w:rPr>
        <w:t xml:space="preserve"> = -0.4574, </w:t>
      </w:r>
      <w:r>
        <w:rPr>
          <w:i/>
          <w:iCs/>
          <w:caps/>
          <w:spacing w:val="-9"/>
        </w:rPr>
        <w:t>P</w:t>
      </w:r>
      <w:r>
        <w:rPr>
          <w:caps/>
          <w:spacing w:val="-9"/>
        </w:rPr>
        <w:t xml:space="preserve"> = </w:t>
      </w:r>
      <w:r>
        <w:rPr>
          <w:spacing w:val="-9"/>
        </w:rPr>
        <w:t xml:space="preserve">0.0085). At the family level, </w:t>
      </w:r>
      <w:proofErr w:type="spellStart"/>
      <w:r>
        <w:rPr>
          <w:spacing w:val="-9"/>
        </w:rPr>
        <w:t>Carnobacteriaceae</w:t>
      </w:r>
      <w:proofErr w:type="spellEnd"/>
      <w:r>
        <w:rPr>
          <w:spacing w:val="-9"/>
        </w:rPr>
        <w:t xml:space="preserve"> and </w:t>
      </w:r>
      <w:proofErr w:type="spellStart"/>
      <w:r>
        <w:rPr>
          <w:spacing w:val="-9"/>
        </w:rPr>
        <w:t>Streptococcaceae</w:t>
      </w:r>
      <w:proofErr w:type="spellEnd"/>
      <w:r>
        <w:rPr>
          <w:spacing w:val="-9"/>
        </w:rPr>
        <w:t xml:space="preserve">, which belong to </w:t>
      </w:r>
      <w:proofErr w:type="spellStart"/>
      <w:r>
        <w:rPr>
          <w:spacing w:val="-9"/>
        </w:rPr>
        <w:t>Lactobacillales</w:t>
      </w:r>
      <w:proofErr w:type="spellEnd"/>
      <w:r>
        <w:rPr>
          <w:spacing w:val="-9"/>
        </w:rPr>
        <w:t>, were inversely and significantly correlated with TLR2 expression (</w:t>
      </w:r>
      <w:r>
        <w:rPr>
          <w:i/>
          <w:iCs/>
          <w:spacing w:val="-9"/>
        </w:rPr>
        <w:t>r</w:t>
      </w:r>
      <w:r>
        <w:rPr>
          <w:spacing w:val="-9"/>
        </w:rPr>
        <w:t xml:space="preserve"> = -0.5554, </w:t>
      </w:r>
      <w:r>
        <w:rPr>
          <w:i/>
          <w:iCs/>
          <w:caps/>
          <w:spacing w:val="-9"/>
        </w:rPr>
        <w:t>P</w:t>
      </w:r>
      <w:r>
        <w:rPr>
          <w:caps/>
          <w:spacing w:val="-9"/>
        </w:rPr>
        <w:t xml:space="preserve"> = </w:t>
      </w:r>
      <w:r>
        <w:rPr>
          <w:spacing w:val="-9"/>
        </w:rPr>
        <w:t>0.0010 and</w:t>
      </w:r>
      <w:r>
        <w:rPr>
          <w:i/>
          <w:iCs/>
          <w:spacing w:val="-9"/>
        </w:rPr>
        <w:t xml:space="preserve"> r</w:t>
      </w:r>
      <w:r>
        <w:rPr>
          <w:spacing w:val="-9"/>
        </w:rPr>
        <w:t xml:space="preserve"> = -0.5445, </w:t>
      </w:r>
      <w:r>
        <w:rPr>
          <w:i/>
          <w:iCs/>
          <w:caps/>
          <w:spacing w:val="-9"/>
        </w:rPr>
        <w:t>P</w:t>
      </w:r>
      <w:r>
        <w:rPr>
          <w:caps/>
          <w:spacing w:val="-9"/>
        </w:rPr>
        <w:t xml:space="preserve"> = </w:t>
      </w:r>
      <w:r>
        <w:rPr>
          <w:spacing w:val="-9"/>
        </w:rPr>
        <w:t xml:space="preserve">0.0013, respectively). And at the genus level, </w:t>
      </w:r>
      <w:proofErr w:type="spellStart"/>
      <w:r>
        <w:rPr>
          <w:i/>
          <w:iCs/>
          <w:spacing w:val="-9"/>
        </w:rPr>
        <w:t>Granulicatella</w:t>
      </w:r>
      <w:proofErr w:type="spellEnd"/>
      <w:r>
        <w:rPr>
          <w:spacing w:val="-9"/>
        </w:rPr>
        <w:t xml:space="preserve">, which belongs to </w:t>
      </w:r>
      <w:proofErr w:type="spellStart"/>
      <w:r>
        <w:rPr>
          <w:spacing w:val="-9"/>
        </w:rPr>
        <w:t>Carnobacteriaceae</w:t>
      </w:r>
      <w:proofErr w:type="spellEnd"/>
      <w:r>
        <w:rPr>
          <w:spacing w:val="-9"/>
        </w:rPr>
        <w:t xml:space="preserve">, and </w:t>
      </w:r>
      <w:r>
        <w:rPr>
          <w:i/>
          <w:iCs/>
          <w:spacing w:val="-9"/>
        </w:rPr>
        <w:t>Streptococcus</w:t>
      </w:r>
      <w:r>
        <w:rPr>
          <w:spacing w:val="-9"/>
        </w:rPr>
        <w:t xml:space="preserve">, which belongs to </w:t>
      </w:r>
      <w:proofErr w:type="spellStart"/>
      <w:r>
        <w:rPr>
          <w:spacing w:val="-9"/>
        </w:rPr>
        <w:t>Streptococcaceae</w:t>
      </w:r>
      <w:proofErr w:type="spellEnd"/>
      <w:r>
        <w:rPr>
          <w:spacing w:val="-9"/>
        </w:rPr>
        <w:t>, were correlated with TLR2 expression (</w:t>
      </w:r>
      <w:r>
        <w:rPr>
          <w:i/>
          <w:iCs/>
          <w:spacing w:val="-9"/>
        </w:rPr>
        <w:t>r</w:t>
      </w:r>
      <w:r>
        <w:rPr>
          <w:spacing w:val="-9"/>
        </w:rPr>
        <w:t xml:space="preserve"> = -0.5573, </w:t>
      </w:r>
      <w:r>
        <w:rPr>
          <w:i/>
          <w:iCs/>
          <w:caps/>
          <w:spacing w:val="-9"/>
        </w:rPr>
        <w:t>P</w:t>
      </w:r>
      <w:r>
        <w:rPr>
          <w:caps/>
          <w:spacing w:val="-9"/>
        </w:rPr>
        <w:t xml:space="preserve"> = </w:t>
      </w:r>
      <w:r>
        <w:rPr>
          <w:spacing w:val="-9"/>
        </w:rPr>
        <w:t xml:space="preserve">0.0010 and </w:t>
      </w:r>
      <w:r>
        <w:rPr>
          <w:i/>
          <w:iCs/>
          <w:spacing w:val="-9"/>
        </w:rPr>
        <w:t>r</w:t>
      </w:r>
      <w:r>
        <w:rPr>
          <w:spacing w:val="-9"/>
        </w:rPr>
        <w:t xml:space="preserve"> = -0.5435, </w:t>
      </w:r>
      <w:r>
        <w:rPr>
          <w:i/>
          <w:iCs/>
          <w:caps/>
          <w:spacing w:val="-9"/>
        </w:rPr>
        <w:t>P</w:t>
      </w:r>
      <w:r>
        <w:rPr>
          <w:caps/>
          <w:spacing w:val="-9"/>
        </w:rPr>
        <w:t xml:space="preserve"> = </w:t>
      </w:r>
      <w:r>
        <w:rPr>
          <w:spacing w:val="-9"/>
        </w:rPr>
        <w:t xml:space="preserve">0.0013, respectively) (Figure 4). </w:t>
      </w:r>
    </w:p>
    <w:p w:rsidR="00834D76" w:rsidRPr="0062205B" w:rsidRDefault="00834D76" w:rsidP="00834D76">
      <w:pPr>
        <w:pStyle w:val="af7"/>
        <w:rPr>
          <w:lang w:val="en-US"/>
        </w:rPr>
      </w:pPr>
    </w:p>
    <w:p w:rsidR="00834D76" w:rsidRPr="00344797" w:rsidRDefault="00834D76" w:rsidP="00834D76">
      <w:pPr>
        <w:pStyle w:val="af7"/>
        <w:rPr>
          <w:u w:val="single"/>
          <w:lang w:val="en-US"/>
        </w:rPr>
      </w:pPr>
      <w:r w:rsidRPr="00344797">
        <w:rPr>
          <w:u w:val="single"/>
          <w:lang w:val="en-US"/>
        </w:rPr>
        <w:t>DISCUSSION</w:t>
      </w:r>
    </w:p>
    <w:p w:rsidR="00834D76" w:rsidRDefault="00834D76" w:rsidP="00834D76">
      <w:pPr>
        <w:pStyle w:val="af8"/>
      </w:pPr>
      <w:r>
        <w:t xml:space="preserve">Deep sequencing showed that more than 95% of the sequences in all stool and mucosal samples belonged to the three most popular bacterial phyla, consisting of </w:t>
      </w:r>
      <w:proofErr w:type="spellStart"/>
      <w:r>
        <w:t>Firmicutes</w:t>
      </w:r>
      <w:proofErr w:type="spellEnd"/>
      <w:r>
        <w:t xml:space="preserve">, </w:t>
      </w:r>
      <w:proofErr w:type="spellStart"/>
      <w:r>
        <w:t>Bacteroidetes</w:t>
      </w:r>
      <w:proofErr w:type="spellEnd"/>
      <w:r>
        <w:t xml:space="preserve">, and </w:t>
      </w:r>
      <w:proofErr w:type="spellStart"/>
      <w:r>
        <w:t>Prote</w:t>
      </w:r>
      <w:r>
        <w:softHyphen/>
        <w:t>obacteria</w:t>
      </w:r>
      <w:proofErr w:type="spellEnd"/>
      <w:r>
        <w:t xml:space="preserve">. This is consistent with the findings of previous </w:t>
      </w:r>
      <w:proofErr w:type="gramStart"/>
      <w:r>
        <w:t>studies</w:t>
      </w:r>
      <w:r>
        <w:rPr>
          <w:vertAlign w:val="superscript"/>
        </w:rPr>
        <w:t>[</w:t>
      </w:r>
      <w:proofErr w:type="gramEnd"/>
      <w:r>
        <w:rPr>
          <w:vertAlign w:val="superscript"/>
        </w:rPr>
        <w:t>6]</w:t>
      </w:r>
      <w:r>
        <w:t xml:space="preserve">, which showed that these phyla account for the majority of the gut </w:t>
      </w:r>
      <w:proofErr w:type="spellStart"/>
      <w:r>
        <w:t>microbiota</w:t>
      </w:r>
      <w:proofErr w:type="spellEnd"/>
      <w:r>
        <w:t xml:space="preserve"> in both stool and mucosal samples. The </w:t>
      </w:r>
      <w:proofErr w:type="spellStart"/>
      <w:r>
        <w:t>faecal</w:t>
      </w:r>
      <w:proofErr w:type="spellEnd"/>
      <w:r>
        <w:t xml:space="preserve"> samples displayed significantly greater bacterial diversity and richness than the mucosal samples, as in the study of </w:t>
      </w:r>
      <w:proofErr w:type="spellStart"/>
      <w:r>
        <w:t>Ringel</w:t>
      </w:r>
      <w:proofErr w:type="spellEnd"/>
      <w:r>
        <w:t xml:space="preserve"> </w:t>
      </w:r>
      <w:r>
        <w:rPr>
          <w:i/>
          <w:iCs/>
        </w:rPr>
        <w:t xml:space="preserve">et </w:t>
      </w:r>
      <w:proofErr w:type="gramStart"/>
      <w:r>
        <w:rPr>
          <w:i/>
          <w:iCs/>
        </w:rPr>
        <w:t>al</w:t>
      </w:r>
      <w:r>
        <w:rPr>
          <w:vertAlign w:val="superscript"/>
        </w:rPr>
        <w:t>[</w:t>
      </w:r>
      <w:proofErr w:type="gramEnd"/>
      <w:r>
        <w:rPr>
          <w:vertAlign w:val="superscript"/>
        </w:rPr>
        <w:t>2]</w:t>
      </w:r>
      <w:r>
        <w:t xml:space="preserve">. Comparing the proportions of the dominant bacterial taxa in the </w:t>
      </w:r>
      <w:proofErr w:type="spellStart"/>
      <w:r>
        <w:t>faecal</w:t>
      </w:r>
      <w:proofErr w:type="spellEnd"/>
      <w:r>
        <w:t xml:space="preserve"> and mucosal samples revealed significant differences. In this study, </w:t>
      </w:r>
      <w:proofErr w:type="spellStart"/>
      <w:r>
        <w:t>Proteobacteria</w:t>
      </w:r>
      <w:proofErr w:type="spellEnd"/>
      <w:r>
        <w:t xml:space="preserve"> was the predominant phylum in MAM samples. This is different from other reports and might reflect geographical </w:t>
      </w:r>
      <w:proofErr w:type="gramStart"/>
      <w:r>
        <w:t>differences</w:t>
      </w:r>
      <w:r>
        <w:rPr>
          <w:vertAlign w:val="superscript"/>
        </w:rPr>
        <w:t>[</w:t>
      </w:r>
      <w:proofErr w:type="gramEnd"/>
      <w:r>
        <w:rPr>
          <w:vertAlign w:val="superscript"/>
        </w:rPr>
        <w:t>7]</w:t>
      </w:r>
      <w:r>
        <w:t xml:space="preserve">. It is well known that the Chinese diet and genetics are very different from those in Western countries and these factors markedly influence the gut </w:t>
      </w:r>
      <w:proofErr w:type="spellStart"/>
      <w:r>
        <w:t>microbiota</w:t>
      </w:r>
      <w:proofErr w:type="spellEnd"/>
      <w:r>
        <w:t xml:space="preserve">. Furthermore, MAM samples were taken from a distinct location in the colon, whereas LM samples displayed the whole intestinal </w:t>
      </w:r>
      <w:proofErr w:type="spellStart"/>
      <w:r>
        <w:t>microbiota</w:t>
      </w:r>
      <w:proofErr w:type="spellEnd"/>
      <w:r>
        <w:t>. Therefore, MAM samples may reflect a stronger relationship with the host.</w:t>
      </w:r>
    </w:p>
    <w:p w:rsidR="00834D76" w:rsidRDefault="00834D76" w:rsidP="00834D76">
      <w:pPr>
        <w:pStyle w:val="10"/>
      </w:pPr>
      <w:r>
        <w:t xml:space="preserve">A correlation analysis was performed between the two bacterial populations at the phylum, class, order, family, and genus levels and the expression of TLR2 and TLR4. The results showed that although the </w:t>
      </w:r>
      <w:proofErr w:type="spellStart"/>
      <w:r>
        <w:t>Proteobacteria</w:t>
      </w:r>
      <w:proofErr w:type="spellEnd"/>
      <w:r>
        <w:t xml:space="preserve"> was the predominant phylum in MAM samples, the bacteria that correlated strongest with expression of TLRs were part of the phylum </w:t>
      </w:r>
      <w:proofErr w:type="spellStart"/>
      <w:r>
        <w:t>Firmicutes</w:t>
      </w:r>
      <w:proofErr w:type="spellEnd"/>
      <w:r>
        <w:rPr>
          <w:i/>
          <w:iCs/>
        </w:rPr>
        <w:t>.</w:t>
      </w:r>
      <w:r>
        <w:t xml:space="preserve"> The taxa that showed a significant correlation was selected and studied from the phylum to genus level. Finally, </w:t>
      </w:r>
      <w:proofErr w:type="spellStart"/>
      <w:r>
        <w:rPr>
          <w:i/>
          <w:iCs/>
        </w:rPr>
        <w:t>Faecalibacterium</w:t>
      </w:r>
      <w:proofErr w:type="spellEnd"/>
      <w:r>
        <w:rPr>
          <w:i/>
          <w:iCs/>
        </w:rPr>
        <w:t xml:space="preserve">, </w:t>
      </w:r>
      <w:proofErr w:type="spellStart"/>
      <w:r>
        <w:rPr>
          <w:i/>
          <w:iCs/>
        </w:rPr>
        <w:t>Ruminococccaceae</w:t>
      </w:r>
      <w:proofErr w:type="spellEnd"/>
      <w:r>
        <w:t xml:space="preserve">, </w:t>
      </w:r>
      <w:r>
        <w:rPr>
          <w:i/>
          <w:iCs/>
        </w:rPr>
        <w:t>Streptococcus</w:t>
      </w:r>
      <w:r>
        <w:t xml:space="preserve"> and </w:t>
      </w:r>
      <w:proofErr w:type="spellStart"/>
      <w:r>
        <w:rPr>
          <w:i/>
          <w:iCs/>
        </w:rPr>
        <w:t>Granulicatella</w:t>
      </w:r>
      <w:proofErr w:type="spellEnd"/>
      <w:r>
        <w:t xml:space="preserve"> genera were the </w:t>
      </w:r>
      <w:r>
        <w:lastRenderedPageBreak/>
        <w:t>bacteria that correlated strongest with TLRs ex</w:t>
      </w:r>
      <w:r>
        <w:softHyphen/>
        <w:t>pression. Although a positive correlation existed between the expression of TLR2 and TLR4, the types of bacteria associated with TLR4 expression were very different from those related to the expression of TLR2. However, this was in accordance with their distinct microbial compositions. The bacteria that correlated with TLR4 expression were only found in MAM sam</w:t>
      </w:r>
      <w:r>
        <w:softHyphen/>
        <w:t>ples. Bacteria that correlated with TLR2 expression originated from both LM and MAM. Both TLR4 and TLR2 expression were negatively correlated with MAM, however, TLR2 expression was mainly associated with bacteria belonging to the Bacilli class, whereas TLR4 expression was mainly associated with bacteria belonging to the Clostridia class.</w:t>
      </w:r>
    </w:p>
    <w:p w:rsidR="00834D76" w:rsidRDefault="00834D76" w:rsidP="00834D76">
      <w:pPr>
        <w:pStyle w:val="10"/>
      </w:pPr>
      <w:r>
        <w:t xml:space="preserve">The enteric commensal bacteria of the genus </w:t>
      </w:r>
      <w:proofErr w:type="spellStart"/>
      <w:r>
        <w:rPr>
          <w:i/>
          <w:iCs/>
        </w:rPr>
        <w:t>Faecallibacterium</w:t>
      </w:r>
      <w:proofErr w:type="spellEnd"/>
      <w:r>
        <w:t>, which belongs to the group Clos</w:t>
      </w:r>
      <w:r>
        <w:softHyphen/>
        <w:t xml:space="preserve">tridium, exert an anti-inflammatory </w:t>
      </w:r>
      <w:proofErr w:type="gramStart"/>
      <w:r>
        <w:t>effect</w:t>
      </w:r>
      <w:r>
        <w:rPr>
          <w:vertAlign w:val="superscript"/>
        </w:rPr>
        <w:t>[</w:t>
      </w:r>
      <w:proofErr w:type="gramEnd"/>
      <w:r>
        <w:rPr>
          <w:vertAlign w:val="superscript"/>
        </w:rPr>
        <w:t>8]</w:t>
      </w:r>
      <w:r>
        <w:t xml:space="preserve">. In the present study, </w:t>
      </w:r>
      <w:proofErr w:type="spellStart"/>
      <w:r>
        <w:rPr>
          <w:i/>
          <w:iCs/>
        </w:rPr>
        <w:t>Faecallibacterium</w:t>
      </w:r>
      <w:proofErr w:type="spellEnd"/>
      <w:r>
        <w:t xml:space="preserve"> from LM samples was negatively correlated with the expression of TLR2 and </w:t>
      </w:r>
      <w:proofErr w:type="spellStart"/>
      <w:r>
        <w:rPr>
          <w:i/>
          <w:iCs/>
        </w:rPr>
        <w:t>Faecallibacterium</w:t>
      </w:r>
      <w:proofErr w:type="spellEnd"/>
      <w:r>
        <w:t xml:space="preserve"> from MAM samples was negatively correlated with the expression of TLR4. </w:t>
      </w:r>
      <w:proofErr w:type="spellStart"/>
      <w:r>
        <w:rPr>
          <w:i/>
          <w:iCs/>
        </w:rPr>
        <w:t>Faecallibacterium</w:t>
      </w:r>
      <w:proofErr w:type="spellEnd"/>
      <w:r>
        <w:t xml:space="preserve"> richness was reduced in patients with IBS and </w:t>
      </w:r>
      <w:proofErr w:type="gramStart"/>
      <w:r>
        <w:t>IBD</w:t>
      </w:r>
      <w:r>
        <w:rPr>
          <w:vertAlign w:val="superscript"/>
        </w:rPr>
        <w:t>[</w:t>
      </w:r>
      <w:proofErr w:type="gramEnd"/>
      <w:r>
        <w:rPr>
          <w:vertAlign w:val="superscript"/>
        </w:rPr>
        <w:t>9,10]</w:t>
      </w:r>
      <w:r>
        <w:t xml:space="preserve">. TLR </w:t>
      </w:r>
      <w:proofErr w:type="spellStart"/>
      <w:r>
        <w:t>signalling</w:t>
      </w:r>
      <w:proofErr w:type="spellEnd"/>
      <w:r>
        <w:t xml:space="preserve">, activated by pathogens, is involved in the pathogenesis of several infectious and inflammatory diseases. Imbalanced relationships among the environment, genetics, and host immunity may promote aberrant TLR </w:t>
      </w:r>
      <w:proofErr w:type="spellStart"/>
      <w:r>
        <w:t>signalling</w:t>
      </w:r>
      <w:proofErr w:type="spellEnd"/>
      <w:r>
        <w:t xml:space="preserve">, thereby contributing on a large scale to acute and chronic intestinal inflammatory processes, such as IBD, colitis, and colorectal </w:t>
      </w:r>
      <w:proofErr w:type="gramStart"/>
      <w:r>
        <w:t>cancer</w:t>
      </w:r>
      <w:r>
        <w:rPr>
          <w:vertAlign w:val="superscript"/>
        </w:rPr>
        <w:t>[</w:t>
      </w:r>
      <w:proofErr w:type="gramEnd"/>
      <w:r>
        <w:rPr>
          <w:vertAlign w:val="superscript"/>
        </w:rPr>
        <w:t>11]</w:t>
      </w:r>
      <w:r>
        <w:t xml:space="preserve">. In our previous study, the expression of TLR2 and TLR4 was increased in </w:t>
      </w:r>
      <w:proofErr w:type="spellStart"/>
      <w:r>
        <w:t>diarrhoea</w:t>
      </w:r>
      <w:proofErr w:type="spellEnd"/>
      <w:r>
        <w:t xml:space="preserve">-predominant IBS patients and decrease of Clostridia was strongly associated with higher TLR2 and TLR4 </w:t>
      </w:r>
      <w:proofErr w:type="gramStart"/>
      <w:r>
        <w:t>expression</w:t>
      </w:r>
      <w:r>
        <w:rPr>
          <w:vertAlign w:val="superscript"/>
        </w:rPr>
        <w:t>[</w:t>
      </w:r>
      <w:proofErr w:type="gramEnd"/>
      <w:r>
        <w:rPr>
          <w:vertAlign w:val="superscript"/>
        </w:rPr>
        <w:t>12]</w:t>
      </w:r>
      <w:r>
        <w:t xml:space="preserve">. In an animal study, </w:t>
      </w:r>
      <w:proofErr w:type="spellStart"/>
      <w:r>
        <w:rPr>
          <w:i/>
          <w:iCs/>
        </w:rPr>
        <w:t>Faecallibacterium</w:t>
      </w:r>
      <w:proofErr w:type="spellEnd"/>
      <w:r>
        <w:rPr>
          <w:i/>
          <w:iCs/>
        </w:rPr>
        <w:t xml:space="preserve"> </w:t>
      </w:r>
      <w:proofErr w:type="spellStart"/>
      <w:r>
        <w:rPr>
          <w:i/>
          <w:iCs/>
        </w:rPr>
        <w:t>prausnitzii</w:t>
      </w:r>
      <w:proofErr w:type="spellEnd"/>
      <w:r>
        <w:t xml:space="preserve"> and its supernatant (SN) had beneficial effects on intestinal epithelial barrier impairment in a chronic low-grade inflammation </w:t>
      </w:r>
      <w:proofErr w:type="gramStart"/>
      <w:r>
        <w:t>model</w:t>
      </w:r>
      <w:r>
        <w:rPr>
          <w:vertAlign w:val="superscript"/>
        </w:rPr>
        <w:t>[</w:t>
      </w:r>
      <w:proofErr w:type="gramEnd"/>
      <w:r>
        <w:rPr>
          <w:vertAlign w:val="superscript"/>
        </w:rPr>
        <w:t>13]</w:t>
      </w:r>
      <w:r>
        <w:t xml:space="preserve">. Round </w:t>
      </w:r>
      <w:r>
        <w:rPr>
          <w:i/>
          <w:iCs/>
        </w:rPr>
        <w:t xml:space="preserve">et </w:t>
      </w:r>
      <w:proofErr w:type="gramStart"/>
      <w:r>
        <w:rPr>
          <w:i/>
          <w:iCs/>
        </w:rPr>
        <w:t>al</w:t>
      </w:r>
      <w:r>
        <w:rPr>
          <w:vertAlign w:val="superscript"/>
        </w:rPr>
        <w:t>[</w:t>
      </w:r>
      <w:proofErr w:type="gramEnd"/>
      <w:r>
        <w:rPr>
          <w:vertAlign w:val="superscript"/>
        </w:rPr>
        <w:t>14]</w:t>
      </w:r>
      <w:r>
        <w:t xml:space="preserve"> showed that unlike pathogens whose TLR ligands trigger inflammation, some commensal bacteria exploit the TLR pathway to actively suppress immune reactions. The anti-inflammatory effect of </w:t>
      </w:r>
      <w:proofErr w:type="spellStart"/>
      <w:r>
        <w:rPr>
          <w:i/>
          <w:iCs/>
        </w:rPr>
        <w:t>Faecallibacterium</w:t>
      </w:r>
      <w:proofErr w:type="spellEnd"/>
      <w:r>
        <w:rPr>
          <w:i/>
          <w:iCs/>
        </w:rPr>
        <w:t xml:space="preserve"> </w:t>
      </w:r>
      <w:r>
        <w:t xml:space="preserve">may be involved in the </w:t>
      </w:r>
      <w:proofErr w:type="spellStart"/>
      <w:r>
        <w:t>upregulation</w:t>
      </w:r>
      <w:proofErr w:type="spellEnd"/>
      <w:r>
        <w:t xml:space="preserve"> of the TLRs expression. </w:t>
      </w:r>
      <w:proofErr w:type="spellStart"/>
      <w:r>
        <w:rPr>
          <w:i/>
          <w:iCs/>
        </w:rPr>
        <w:t>Ruminococcus</w:t>
      </w:r>
      <w:proofErr w:type="spellEnd"/>
      <w:r>
        <w:t xml:space="preserve"> is another common bacterium that is decreased in patients with IBD or IBS. In addition, a reduction in the relative abundance of potentially </w:t>
      </w:r>
      <w:proofErr w:type="spellStart"/>
      <w:r>
        <w:t>immunomodulatory</w:t>
      </w:r>
      <w:proofErr w:type="spellEnd"/>
      <w:r>
        <w:t xml:space="preserve"> gut bacteria including </w:t>
      </w:r>
      <w:proofErr w:type="spellStart"/>
      <w:r>
        <w:rPr>
          <w:i/>
          <w:iCs/>
        </w:rPr>
        <w:t>Ruminococcus</w:t>
      </w:r>
      <w:proofErr w:type="spellEnd"/>
      <w:r>
        <w:t xml:space="preserve"> is associated with exaggerated inflammatory cytokine responses to TLR ligands and subsequent development of </w:t>
      </w:r>
      <w:proofErr w:type="spellStart"/>
      <w:r>
        <w:t>IgE</w:t>
      </w:r>
      <w:proofErr w:type="spellEnd"/>
      <w:r>
        <w:t xml:space="preserve">-associated </w:t>
      </w:r>
      <w:proofErr w:type="gramStart"/>
      <w:r>
        <w:t>eczema</w:t>
      </w:r>
      <w:r>
        <w:rPr>
          <w:vertAlign w:val="superscript"/>
        </w:rPr>
        <w:t>[</w:t>
      </w:r>
      <w:proofErr w:type="gramEnd"/>
      <w:r>
        <w:rPr>
          <w:vertAlign w:val="superscript"/>
        </w:rPr>
        <w:t>15]</w:t>
      </w:r>
      <w:r>
        <w:t xml:space="preserve">. In the present study, the decrease of </w:t>
      </w:r>
      <w:proofErr w:type="spellStart"/>
      <w:r>
        <w:rPr>
          <w:i/>
          <w:iCs/>
        </w:rPr>
        <w:t>Faecallibacterium</w:t>
      </w:r>
      <w:proofErr w:type="spellEnd"/>
      <w:r>
        <w:t xml:space="preserve"> and </w:t>
      </w:r>
      <w:proofErr w:type="spellStart"/>
      <w:r>
        <w:rPr>
          <w:i/>
          <w:iCs/>
        </w:rPr>
        <w:t>Ruminococcus</w:t>
      </w:r>
      <w:proofErr w:type="spellEnd"/>
      <w:r>
        <w:t xml:space="preserve"> in MAM samples was strongly associated with higher TLR4 expression, suggesting that the decrease of mucosal </w:t>
      </w:r>
      <w:proofErr w:type="spellStart"/>
      <w:r>
        <w:rPr>
          <w:i/>
          <w:iCs/>
        </w:rPr>
        <w:t>Faecallibacterium</w:t>
      </w:r>
      <w:proofErr w:type="spellEnd"/>
      <w:r>
        <w:t xml:space="preserve"> and </w:t>
      </w:r>
      <w:proofErr w:type="spellStart"/>
      <w:r>
        <w:rPr>
          <w:i/>
          <w:iCs/>
        </w:rPr>
        <w:t>Ruminococcus</w:t>
      </w:r>
      <w:proofErr w:type="spellEnd"/>
      <w:r>
        <w:t xml:space="preserve"> induced an increase in expression of TLR4 mRNA, which plays an important role in the causation of immune related gut diseases including IBD and IBS. </w:t>
      </w:r>
    </w:p>
    <w:p w:rsidR="00834D76" w:rsidRDefault="00834D76" w:rsidP="00834D76">
      <w:pPr>
        <w:pStyle w:val="10"/>
      </w:pPr>
      <w:r>
        <w:rPr>
          <w:i/>
          <w:iCs/>
        </w:rPr>
        <w:t>Streptococcus</w:t>
      </w:r>
      <w:r>
        <w:t xml:space="preserve"> is a genus of (spherical) </w:t>
      </w:r>
      <w:proofErr w:type="spellStart"/>
      <w:r>
        <w:t>coccus</w:t>
      </w:r>
      <w:proofErr w:type="spellEnd"/>
      <w:r>
        <w:t xml:space="preserve"> Gram-positive bacteria belonging to the phylum </w:t>
      </w:r>
      <w:proofErr w:type="spellStart"/>
      <w:r>
        <w:t>Firmicutes</w:t>
      </w:r>
      <w:proofErr w:type="spellEnd"/>
      <w:r>
        <w:t xml:space="preserve"> phylum and the order </w:t>
      </w:r>
      <w:proofErr w:type="spellStart"/>
      <w:r>
        <w:t>Lactobacillales</w:t>
      </w:r>
      <w:proofErr w:type="spellEnd"/>
      <w:r>
        <w:t xml:space="preserve">. Some streptococcal species, </w:t>
      </w:r>
      <w:r>
        <w:rPr>
          <w:i/>
          <w:iCs/>
        </w:rPr>
        <w:t>e.g.,</w:t>
      </w:r>
      <w:r>
        <w:t xml:space="preserve"> </w:t>
      </w:r>
      <w:r>
        <w:rPr>
          <w:i/>
          <w:iCs/>
        </w:rPr>
        <w:t>S</w:t>
      </w:r>
      <w:r>
        <w:t xml:space="preserve">. </w:t>
      </w:r>
      <w:proofErr w:type="spellStart"/>
      <w:r>
        <w:rPr>
          <w:i/>
          <w:iCs/>
        </w:rPr>
        <w:t>pneumoniae</w:t>
      </w:r>
      <w:proofErr w:type="spellEnd"/>
      <w:r>
        <w:t xml:space="preserve">, are pathogenic. Tomlinson </w:t>
      </w:r>
      <w:r>
        <w:rPr>
          <w:i/>
          <w:iCs/>
        </w:rPr>
        <w:t xml:space="preserve">et </w:t>
      </w:r>
      <w:proofErr w:type="gramStart"/>
      <w:r>
        <w:rPr>
          <w:i/>
          <w:iCs/>
        </w:rPr>
        <w:t>al</w:t>
      </w:r>
      <w:r>
        <w:rPr>
          <w:vertAlign w:val="superscript"/>
        </w:rPr>
        <w:t>[</w:t>
      </w:r>
      <w:proofErr w:type="gramEnd"/>
      <w:r>
        <w:rPr>
          <w:vertAlign w:val="superscript"/>
        </w:rPr>
        <w:t>16]</w:t>
      </w:r>
      <w:r>
        <w:t xml:space="preserve"> suggested that leukocyte responses to bacterial lipoproteins are required for TLR2- and IL-1R-associated kinase-4-mediated inflammatory responses to </w:t>
      </w:r>
      <w:r>
        <w:rPr>
          <w:i/>
          <w:iCs/>
        </w:rPr>
        <w:t>S</w:t>
      </w:r>
      <w:r>
        <w:t xml:space="preserve">. </w:t>
      </w:r>
      <w:proofErr w:type="spellStart"/>
      <w:r>
        <w:rPr>
          <w:i/>
          <w:iCs/>
        </w:rPr>
        <w:t>pneumoniae</w:t>
      </w:r>
      <w:proofErr w:type="spellEnd"/>
      <w:r>
        <w:t xml:space="preserve">. However, many other streptococcal species, </w:t>
      </w:r>
      <w:r>
        <w:rPr>
          <w:i/>
          <w:iCs/>
        </w:rPr>
        <w:t>e.g.</w:t>
      </w:r>
      <w:r>
        <w:t xml:space="preserve">, </w:t>
      </w:r>
      <w:r>
        <w:rPr>
          <w:i/>
          <w:iCs/>
        </w:rPr>
        <w:t>S</w:t>
      </w:r>
      <w:r>
        <w:t xml:space="preserve">. </w:t>
      </w:r>
      <w:proofErr w:type="spellStart"/>
      <w:r>
        <w:rPr>
          <w:i/>
          <w:iCs/>
        </w:rPr>
        <w:t>thermophilus</w:t>
      </w:r>
      <w:proofErr w:type="spellEnd"/>
      <w:r>
        <w:t xml:space="preserve">, are not </w:t>
      </w:r>
      <w:proofErr w:type="gramStart"/>
      <w:r>
        <w:t>pathogenic</w:t>
      </w:r>
      <w:r>
        <w:rPr>
          <w:vertAlign w:val="superscript"/>
        </w:rPr>
        <w:t>[</w:t>
      </w:r>
      <w:proofErr w:type="gramEnd"/>
      <w:r>
        <w:rPr>
          <w:vertAlign w:val="superscript"/>
        </w:rPr>
        <w:t>17]</w:t>
      </w:r>
      <w:r>
        <w:t xml:space="preserve"> and are part of the commensal human </w:t>
      </w:r>
      <w:proofErr w:type="spellStart"/>
      <w:r>
        <w:lastRenderedPageBreak/>
        <w:t>microbiota</w:t>
      </w:r>
      <w:proofErr w:type="spellEnd"/>
      <w:r>
        <w:t xml:space="preserve"> of the mouth, skin, intestine, and upper respiratory tract. S. </w:t>
      </w:r>
      <w:proofErr w:type="spellStart"/>
      <w:r>
        <w:rPr>
          <w:i/>
          <w:iCs/>
        </w:rPr>
        <w:t>thermophilus</w:t>
      </w:r>
      <w:proofErr w:type="spellEnd"/>
      <w:r>
        <w:t xml:space="preserve"> is considered a probiotic and is a key strain of VSL#3, which is considered a therapeutic </w:t>
      </w:r>
      <w:proofErr w:type="spellStart"/>
      <w:r>
        <w:t>immunomodulatory</w:t>
      </w:r>
      <w:proofErr w:type="spellEnd"/>
      <w:r>
        <w:t xml:space="preserve"> </w:t>
      </w:r>
      <w:proofErr w:type="gramStart"/>
      <w:r>
        <w:t>tool</w:t>
      </w:r>
      <w:r>
        <w:rPr>
          <w:vertAlign w:val="superscript"/>
        </w:rPr>
        <w:t>[</w:t>
      </w:r>
      <w:proofErr w:type="gramEnd"/>
      <w:r>
        <w:rPr>
          <w:vertAlign w:val="superscript"/>
        </w:rPr>
        <w:t>18]</w:t>
      </w:r>
      <w:r>
        <w:t xml:space="preserve">. </w:t>
      </w:r>
      <w:proofErr w:type="spellStart"/>
      <w:r>
        <w:t>Streptococcaceae</w:t>
      </w:r>
      <w:proofErr w:type="spellEnd"/>
      <w:r>
        <w:t xml:space="preserve"> was negatively correlated with TLR2 expression in samples of both MAM and LM in our study. Although there is no direct evidence of inhibition of TLRs by </w:t>
      </w:r>
      <w:proofErr w:type="spellStart"/>
      <w:r>
        <w:t>Streptococcaceae</w:t>
      </w:r>
      <w:proofErr w:type="spellEnd"/>
      <w:r>
        <w:t xml:space="preserve">, some beneficial streptococcal species may affect disease processes </w:t>
      </w:r>
      <w:r>
        <w:rPr>
          <w:i/>
          <w:iCs/>
        </w:rPr>
        <w:t>via</w:t>
      </w:r>
      <w:r>
        <w:t xml:space="preserve"> the TLR2 pathway. Future research will explore which species belonging to </w:t>
      </w:r>
      <w:proofErr w:type="spellStart"/>
      <w:r>
        <w:t>Streptococcaceae</w:t>
      </w:r>
      <w:proofErr w:type="spellEnd"/>
      <w:r>
        <w:t xml:space="preserve"> can influence the expression of TLR2. </w:t>
      </w:r>
      <w:proofErr w:type="spellStart"/>
      <w:r>
        <w:t>Granulicatella</w:t>
      </w:r>
      <w:proofErr w:type="spellEnd"/>
      <w:r>
        <w:t xml:space="preserve"> is part of the normal body flora and is often difficult to culture in traditional media. A few reports mention that it can induce an infection similar to </w:t>
      </w:r>
      <w:proofErr w:type="gramStart"/>
      <w:r>
        <w:t>Streptococci</w:t>
      </w:r>
      <w:r>
        <w:rPr>
          <w:vertAlign w:val="superscript"/>
        </w:rPr>
        <w:t>[</w:t>
      </w:r>
      <w:proofErr w:type="gramEnd"/>
      <w:r>
        <w:rPr>
          <w:vertAlign w:val="superscript"/>
        </w:rPr>
        <w:t>19]</w:t>
      </w:r>
      <w:r>
        <w:t>.</w:t>
      </w:r>
    </w:p>
    <w:p w:rsidR="00834D76" w:rsidRDefault="00834D76" w:rsidP="00834D76">
      <w:pPr>
        <w:pStyle w:val="10"/>
      </w:pPr>
      <w:r>
        <w:t xml:space="preserve">The composition of LM samples was different than that of MAM; MAM samples showed a stronger correlation with the expression of TLR2 and TLR4. The abundance of </w:t>
      </w:r>
      <w:proofErr w:type="spellStart"/>
      <w:r>
        <w:rPr>
          <w:i/>
          <w:iCs/>
        </w:rPr>
        <w:t>Faecallibacterium</w:t>
      </w:r>
      <w:proofErr w:type="spellEnd"/>
      <w:r>
        <w:rPr>
          <w:i/>
          <w:iCs/>
        </w:rPr>
        <w:t xml:space="preserve"> </w:t>
      </w:r>
      <w:r>
        <w:t>and</w:t>
      </w:r>
      <w:r>
        <w:rPr>
          <w:i/>
          <w:iCs/>
        </w:rPr>
        <w:t xml:space="preserve"> </w:t>
      </w:r>
      <w:proofErr w:type="spellStart"/>
      <w:r>
        <w:rPr>
          <w:i/>
          <w:iCs/>
        </w:rPr>
        <w:t>Ruminococcus</w:t>
      </w:r>
      <w:proofErr w:type="spellEnd"/>
      <w:r>
        <w:rPr>
          <w:i/>
          <w:iCs/>
        </w:rPr>
        <w:t xml:space="preserve"> </w:t>
      </w:r>
      <w:r>
        <w:t xml:space="preserve">was lower in IBD and IBS, while TLRs expression was higher in patients than in healthy controls. </w:t>
      </w:r>
      <w:proofErr w:type="spellStart"/>
      <w:r>
        <w:rPr>
          <w:i/>
          <w:iCs/>
        </w:rPr>
        <w:t>Faecallibacterium</w:t>
      </w:r>
      <w:proofErr w:type="spellEnd"/>
      <w:r>
        <w:rPr>
          <w:i/>
          <w:iCs/>
        </w:rPr>
        <w:t xml:space="preserve"> </w:t>
      </w:r>
      <w:r>
        <w:t>and</w:t>
      </w:r>
      <w:r>
        <w:rPr>
          <w:i/>
          <w:iCs/>
        </w:rPr>
        <w:t xml:space="preserve"> </w:t>
      </w:r>
      <w:proofErr w:type="spellStart"/>
      <w:r>
        <w:rPr>
          <w:i/>
          <w:iCs/>
        </w:rPr>
        <w:t>Ruminococcus</w:t>
      </w:r>
      <w:proofErr w:type="spellEnd"/>
      <w:r>
        <w:rPr>
          <w:i/>
          <w:iCs/>
        </w:rPr>
        <w:t xml:space="preserve"> </w:t>
      </w:r>
      <w:r>
        <w:t xml:space="preserve">were significantly and negatively correlated with TLR4 expression, suggesting that these two bacteria colonizing on the colonic mucosa play a key role in the pathogenesis of gut diseases by regulating the expression of mucosal TLR4. </w:t>
      </w:r>
      <w:proofErr w:type="spellStart"/>
      <w:r>
        <w:rPr>
          <w:i/>
          <w:iCs/>
        </w:rPr>
        <w:t>Granulicatella</w:t>
      </w:r>
      <w:proofErr w:type="spellEnd"/>
      <w:r>
        <w:t xml:space="preserve">, which belongs to </w:t>
      </w:r>
      <w:proofErr w:type="spellStart"/>
      <w:r>
        <w:t>Carno</w:t>
      </w:r>
      <w:r>
        <w:softHyphen/>
        <w:t>bacteriaceae</w:t>
      </w:r>
      <w:proofErr w:type="spellEnd"/>
      <w:r>
        <w:t xml:space="preserve">, and </w:t>
      </w:r>
      <w:r>
        <w:rPr>
          <w:i/>
          <w:iCs/>
        </w:rPr>
        <w:t>Streptococcus</w:t>
      </w:r>
      <w:r>
        <w:t xml:space="preserve">, which belongs to </w:t>
      </w:r>
      <w:proofErr w:type="spellStart"/>
      <w:r>
        <w:t>Streptococcaceae</w:t>
      </w:r>
      <w:proofErr w:type="spellEnd"/>
      <w:r>
        <w:t xml:space="preserve">, were inversely correlated with TLR2 expression. </w:t>
      </w:r>
    </w:p>
    <w:p w:rsidR="00834D76" w:rsidRDefault="00834D76" w:rsidP="00834D76">
      <w:pPr>
        <w:pStyle w:val="10"/>
      </w:pPr>
      <w:r>
        <w:t xml:space="preserve">One limitation of our study was the small biopsy from the colonic endoscopy and multiple sampling might cause bleeding, therefore we were not able to measure the expression of proteins. The other limitation of our study was the scattered distribution of the correlation between species levels, which might be explained by the restriction of </w:t>
      </w:r>
      <w:proofErr w:type="spellStart"/>
      <w:r>
        <w:t>pyrosequencing</w:t>
      </w:r>
      <w:proofErr w:type="spellEnd"/>
      <w:r>
        <w:t xml:space="preserve"> of species levels, therefore we did not report the results. It will be important to establish a better understanding of the relationship between TLRs and bacteria strains in future studies. Probiotics play an important role in the treatment and prevention of diseases. Further studies will have to verify the relationship between TLRs and </w:t>
      </w:r>
      <w:proofErr w:type="gramStart"/>
      <w:r>
        <w:t>bacteria</w:t>
      </w:r>
      <w:r>
        <w:rPr>
          <w:vertAlign w:val="superscript"/>
        </w:rPr>
        <w:t>[</w:t>
      </w:r>
      <w:proofErr w:type="gramEnd"/>
      <w:r>
        <w:rPr>
          <w:vertAlign w:val="superscript"/>
        </w:rPr>
        <w:t>20,21]</w:t>
      </w:r>
      <w:r>
        <w:t>.</w:t>
      </w:r>
    </w:p>
    <w:p w:rsidR="00834D76" w:rsidRPr="0062205B" w:rsidRDefault="00834D76" w:rsidP="00834D76">
      <w:pPr>
        <w:pStyle w:val="af7"/>
        <w:rPr>
          <w:lang w:val="en-US"/>
        </w:rPr>
      </w:pPr>
    </w:p>
    <w:p w:rsidR="00834D76" w:rsidRPr="00344797" w:rsidRDefault="00834D76" w:rsidP="00834D76">
      <w:pPr>
        <w:pStyle w:val="af7"/>
        <w:rPr>
          <w:u w:val="single"/>
          <w:lang w:val="en-US"/>
        </w:rPr>
      </w:pPr>
      <w:r w:rsidRPr="00344797">
        <w:rPr>
          <w:u w:val="single"/>
          <w:lang w:val="en-US"/>
        </w:rPr>
        <w:t>COMMENTS</w:t>
      </w:r>
    </w:p>
    <w:p w:rsidR="00834D76" w:rsidRPr="0062205B" w:rsidRDefault="00834D76" w:rsidP="00834D76">
      <w:pPr>
        <w:pStyle w:val="af9"/>
        <w:rPr>
          <w:lang w:val="en-US"/>
        </w:rPr>
      </w:pPr>
      <w:r w:rsidRPr="0062205B">
        <w:rPr>
          <w:lang w:val="en-US"/>
        </w:rPr>
        <w:t>Background</w:t>
      </w:r>
    </w:p>
    <w:p w:rsidR="00834D76" w:rsidRPr="0062205B" w:rsidRDefault="00834D76" w:rsidP="00834D76">
      <w:pPr>
        <w:pStyle w:val="8BF4"/>
      </w:pPr>
      <w:r>
        <w:rPr>
          <w:caps/>
        </w:rPr>
        <w:t>t</w:t>
      </w:r>
      <w:r>
        <w:t xml:space="preserve">oll-like receptors (TLRs) detect conserved microbial products and play a central role in the activation of innate and adaptive immune pathways. TLR2 and TLR4 are two of the best characterized TLRs that respond to microbial membrane components. </w:t>
      </w:r>
      <w:proofErr w:type="spellStart"/>
      <w:r>
        <w:t>Faecal</w:t>
      </w:r>
      <w:proofErr w:type="spellEnd"/>
      <w:r>
        <w:t xml:space="preserve"> samples (representing the luminal niche) were used in most studies on intestinal </w:t>
      </w:r>
      <w:proofErr w:type="spellStart"/>
      <w:r>
        <w:t>microbiota</w:t>
      </w:r>
      <w:proofErr w:type="spellEnd"/>
      <w:r>
        <w:t xml:space="preserve"> because their collection is easy. However, more recent studies revealed distinct microbial composition between luminal </w:t>
      </w:r>
      <w:proofErr w:type="spellStart"/>
      <w:r>
        <w:t>microbiota</w:t>
      </w:r>
      <w:proofErr w:type="spellEnd"/>
      <w:r>
        <w:t xml:space="preserve"> (LM) and mucosa-associated </w:t>
      </w:r>
      <w:proofErr w:type="spellStart"/>
      <w:r>
        <w:t>microbiota</w:t>
      </w:r>
      <w:proofErr w:type="spellEnd"/>
      <w:r>
        <w:t xml:space="preserve"> (MAM). To explore which bacteria may regulate the expression of TLRs and thereby affect intestinal functions, we performed high-throughput </w:t>
      </w:r>
      <w:proofErr w:type="spellStart"/>
      <w:r>
        <w:t>pyrosequencing</w:t>
      </w:r>
      <w:proofErr w:type="spellEnd"/>
      <w:r>
        <w:t xml:space="preserve"> of the bacterial </w:t>
      </w:r>
      <w:r>
        <w:rPr>
          <w:i/>
          <w:iCs/>
        </w:rPr>
        <w:t xml:space="preserve">16S </w:t>
      </w:r>
      <w:proofErr w:type="spellStart"/>
      <w:r>
        <w:rPr>
          <w:i/>
          <w:iCs/>
        </w:rPr>
        <w:t>rRNA</w:t>
      </w:r>
      <w:proofErr w:type="spellEnd"/>
      <w:r>
        <w:t xml:space="preserve"> gene, compared the microbial communities in the </w:t>
      </w:r>
      <w:proofErr w:type="spellStart"/>
      <w:r>
        <w:t>faeces</w:t>
      </w:r>
      <w:proofErr w:type="spellEnd"/>
      <w:r>
        <w:t xml:space="preserve"> and mucosa of Chinese patients with functional gastrointestinal disorders, and studied their association with the expression of colonic mucosal TLR2 and TLR4. LM differed from MAM; MAM showed a stronger association with the expression of TLR2 and TLR4. </w:t>
      </w:r>
    </w:p>
    <w:p w:rsidR="00834D76" w:rsidRPr="0062205B" w:rsidRDefault="00834D76" w:rsidP="00834D76">
      <w:pPr>
        <w:pStyle w:val="af9"/>
        <w:rPr>
          <w:lang w:val="en-US"/>
        </w:rPr>
      </w:pPr>
      <w:r w:rsidRPr="0062205B">
        <w:rPr>
          <w:lang w:val="en-US"/>
        </w:rPr>
        <w:t>Research frontiers</w:t>
      </w:r>
    </w:p>
    <w:p w:rsidR="00834D76" w:rsidRPr="0062205B" w:rsidRDefault="00834D76" w:rsidP="00834D76">
      <w:pPr>
        <w:pStyle w:val="8BF4"/>
      </w:pPr>
      <w:r>
        <w:t xml:space="preserve">Recent advances in the understanding of intestinal immunology suggest that functional gastrointestinal disorders (FGIDs) may not all be ‘functional’, as considered for decades. This view was largely developed by the absence of active inﬂammation. </w:t>
      </w:r>
      <w:proofErr w:type="spellStart"/>
      <w:r>
        <w:t>Faecal</w:t>
      </w:r>
      <w:proofErr w:type="spellEnd"/>
      <w:r>
        <w:t xml:space="preserve"> </w:t>
      </w:r>
      <w:proofErr w:type="spellStart"/>
      <w:r>
        <w:t>microbiota</w:t>
      </w:r>
      <w:proofErr w:type="spellEnd"/>
      <w:r>
        <w:t xml:space="preserve"> and MAM play a vital role in gut immunity. It will be </w:t>
      </w:r>
      <w:r>
        <w:lastRenderedPageBreak/>
        <w:t>important to establish a better understanding of the relationship between TLRs and bacteria strains in FGIDs.</w:t>
      </w:r>
    </w:p>
    <w:p w:rsidR="00834D76" w:rsidRPr="0062205B" w:rsidRDefault="00834D76" w:rsidP="00834D76">
      <w:pPr>
        <w:pStyle w:val="af9"/>
        <w:rPr>
          <w:lang w:val="en-US"/>
        </w:rPr>
      </w:pPr>
      <w:r w:rsidRPr="0062205B">
        <w:rPr>
          <w:lang w:val="en-US"/>
        </w:rPr>
        <w:t>Innovations and breakthroughs</w:t>
      </w:r>
    </w:p>
    <w:p w:rsidR="00834D76" w:rsidRPr="0062205B" w:rsidRDefault="00834D76" w:rsidP="00834D76">
      <w:pPr>
        <w:pStyle w:val="8BF4"/>
      </w:pPr>
      <w:r>
        <w:t xml:space="preserve">In some intestinal diseases, such as inflammatory bowel disease or irritable bowel syndrome, the expression of TLR2 and TLR4 is increased and </w:t>
      </w:r>
      <w:proofErr w:type="spellStart"/>
      <w:r>
        <w:t>dysbiosis</w:t>
      </w:r>
      <w:proofErr w:type="spellEnd"/>
      <w:r>
        <w:t xml:space="preserve"> is observed. However, limited data are available on the correlation between the intestinal </w:t>
      </w:r>
      <w:proofErr w:type="spellStart"/>
      <w:r>
        <w:t>microbiota</w:t>
      </w:r>
      <w:proofErr w:type="spellEnd"/>
      <w:r>
        <w:t xml:space="preserve"> and TLRs in humans. In this study, the abundance of </w:t>
      </w:r>
      <w:proofErr w:type="spellStart"/>
      <w:r>
        <w:rPr>
          <w:i/>
          <w:iCs/>
        </w:rPr>
        <w:t>Faecallibacterium</w:t>
      </w:r>
      <w:proofErr w:type="spellEnd"/>
      <w:r>
        <w:rPr>
          <w:i/>
          <w:iCs/>
        </w:rPr>
        <w:t xml:space="preserve"> </w:t>
      </w:r>
      <w:r>
        <w:t>and</w:t>
      </w:r>
      <w:r>
        <w:rPr>
          <w:i/>
          <w:iCs/>
        </w:rPr>
        <w:t xml:space="preserve"> </w:t>
      </w:r>
      <w:proofErr w:type="spellStart"/>
      <w:r>
        <w:rPr>
          <w:i/>
          <w:iCs/>
        </w:rPr>
        <w:t>Ruminococcus</w:t>
      </w:r>
      <w:proofErr w:type="spellEnd"/>
      <w:r>
        <w:rPr>
          <w:i/>
          <w:iCs/>
        </w:rPr>
        <w:t xml:space="preserve"> </w:t>
      </w:r>
      <w:r>
        <w:t xml:space="preserve">was lower in many gut diseases, while the TLRs expression was higher than in healthy controls. </w:t>
      </w:r>
      <w:proofErr w:type="spellStart"/>
      <w:r>
        <w:rPr>
          <w:i/>
          <w:iCs/>
        </w:rPr>
        <w:t>Faecallibacterium</w:t>
      </w:r>
      <w:proofErr w:type="spellEnd"/>
      <w:r>
        <w:rPr>
          <w:i/>
          <w:iCs/>
        </w:rPr>
        <w:t xml:space="preserve"> </w:t>
      </w:r>
      <w:r>
        <w:t>and</w:t>
      </w:r>
      <w:r>
        <w:rPr>
          <w:i/>
          <w:iCs/>
        </w:rPr>
        <w:t xml:space="preserve"> </w:t>
      </w:r>
      <w:proofErr w:type="spellStart"/>
      <w:r>
        <w:rPr>
          <w:i/>
          <w:iCs/>
        </w:rPr>
        <w:t>Ruminococcus</w:t>
      </w:r>
      <w:proofErr w:type="spellEnd"/>
      <w:r>
        <w:rPr>
          <w:i/>
          <w:iCs/>
        </w:rPr>
        <w:t xml:space="preserve"> </w:t>
      </w:r>
      <w:r>
        <w:t xml:space="preserve">were significantly and negatively correlated with TLR4 expression, suggesting that these two bacteria colonizing on the colonic mucosa play a key role in gut diseases by regulating the expression of mucosal TLR4. </w:t>
      </w:r>
      <w:proofErr w:type="spellStart"/>
      <w:r>
        <w:rPr>
          <w:i/>
          <w:iCs/>
        </w:rPr>
        <w:t>Granulicatella</w:t>
      </w:r>
      <w:proofErr w:type="spellEnd"/>
      <w:r>
        <w:t xml:space="preserve">, which belongs to </w:t>
      </w:r>
      <w:proofErr w:type="spellStart"/>
      <w:r>
        <w:t>Carnobacteriaceae</w:t>
      </w:r>
      <w:proofErr w:type="spellEnd"/>
      <w:r>
        <w:t xml:space="preserve">, and </w:t>
      </w:r>
      <w:r>
        <w:rPr>
          <w:i/>
          <w:iCs/>
        </w:rPr>
        <w:t>Streptococcus</w:t>
      </w:r>
      <w:r>
        <w:t xml:space="preserve">, which belongs to </w:t>
      </w:r>
      <w:proofErr w:type="spellStart"/>
      <w:r>
        <w:t>Streptococcaceae</w:t>
      </w:r>
      <w:proofErr w:type="spellEnd"/>
      <w:r>
        <w:t xml:space="preserve">, were inversely correlated with TLR2. </w:t>
      </w:r>
    </w:p>
    <w:p w:rsidR="00834D76" w:rsidRPr="0062205B" w:rsidRDefault="00834D76" w:rsidP="00834D76">
      <w:pPr>
        <w:pStyle w:val="af9"/>
        <w:rPr>
          <w:lang w:val="en-US"/>
        </w:rPr>
      </w:pPr>
      <w:r w:rsidRPr="0062205B">
        <w:rPr>
          <w:lang w:val="en-US"/>
        </w:rPr>
        <w:t>Applications</w:t>
      </w:r>
    </w:p>
    <w:p w:rsidR="00834D76" w:rsidRPr="0062205B" w:rsidRDefault="00834D76" w:rsidP="00834D76">
      <w:pPr>
        <w:pStyle w:val="8BF4"/>
      </w:pPr>
      <w:r>
        <w:t xml:space="preserve">Probiotics play an important role in the treatment and prevention of diseases. Further studies will have to verify the relationship between inflammatory proteins and bacteria. The bacteria may be used as probiotics in the treatment of diseases by regulating immunity. </w:t>
      </w:r>
    </w:p>
    <w:p w:rsidR="00834D76" w:rsidRPr="0062205B" w:rsidRDefault="00834D76" w:rsidP="00834D76">
      <w:pPr>
        <w:pStyle w:val="af9"/>
        <w:rPr>
          <w:lang w:val="en-US"/>
        </w:rPr>
      </w:pPr>
      <w:r w:rsidRPr="0062205B">
        <w:rPr>
          <w:lang w:val="en-US"/>
        </w:rPr>
        <w:t>Terminology</w:t>
      </w:r>
    </w:p>
    <w:p w:rsidR="00834D76" w:rsidRPr="0062205B" w:rsidRDefault="00834D76" w:rsidP="00834D76">
      <w:pPr>
        <w:pStyle w:val="8BF4"/>
      </w:pPr>
      <w:r>
        <w:t>According</w:t>
      </w:r>
      <w:r>
        <w:rPr>
          <w:rStyle w:val="15"/>
        </w:rPr>
        <w:t xml:space="preserve"> </w:t>
      </w:r>
      <w:r>
        <w:t>to</w:t>
      </w:r>
      <w:r>
        <w:rPr>
          <w:rStyle w:val="15"/>
        </w:rPr>
        <w:t xml:space="preserve"> </w:t>
      </w:r>
      <w:r>
        <w:t>the</w:t>
      </w:r>
      <w:r>
        <w:rPr>
          <w:rStyle w:val="15"/>
        </w:rPr>
        <w:t xml:space="preserve"> </w:t>
      </w:r>
      <w:r>
        <w:t xml:space="preserve">literature, they described the </w:t>
      </w:r>
      <w:proofErr w:type="spellStart"/>
      <w:r>
        <w:t>microbiota</w:t>
      </w:r>
      <w:proofErr w:type="spellEnd"/>
      <w:r>
        <w:t xml:space="preserve"> from </w:t>
      </w:r>
      <w:proofErr w:type="spellStart"/>
      <w:r>
        <w:t>faecal</w:t>
      </w:r>
      <w:proofErr w:type="spellEnd"/>
      <w:r>
        <w:t xml:space="preserve"> samples as LM.</w:t>
      </w:r>
    </w:p>
    <w:p w:rsidR="00834D76" w:rsidRPr="0062205B" w:rsidRDefault="00834D76" w:rsidP="00834D76">
      <w:pPr>
        <w:pStyle w:val="af9"/>
        <w:rPr>
          <w:lang w:val="en-US"/>
        </w:rPr>
      </w:pPr>
      <w:r w:rsidRPr="0062205B">
        <w:rPr>
          <w:lang w:val="en-US"/>
        </w:rPr>
        <w:t>Peer-review</w:t>
      </w:r>
    </w:p>
    <w:p w:rsidR="00834D76" w:rsidRDefault="00834D76" w:rsidP="00834D76">
      <w:pPr>
        <w:pStyle w:val="8BF4"/>
      </w:pPr>
      <w:r>
        <w:t>This is an interesting paper that investigated the intestinal LM and the MAM in Chinese patients with FGIDs and examined the association between these communities and the expression of TLR2 and TLR4. The manuscript is well written.</w:t>
      </w:r>
    </w:p>
    <w:p w:rsidR="00834D76" w:rsidRPr="0062205B" w:rsidRDefault="00834D76" w:rsidP="00834D76">
      <w:pPr>
        <w:pStyle w:val="af7"/>
        <w:rPr>
          <w:lang w:val="en-US"/>
        </w:rPr>
      </w:pPr>
    </w:p>
    <w:p w:rsidR="00834D76" w:rsidRPr="0062205B" w:rsidRDefault="00834D76" w:rsidP="00834D76">
      <w:pPr>
        <w:pStyle w:val="af7"/>
        <w:rPr>
          <w:lang w:val="en-US"/>
        </w:rPr>
      </w:pPr>
      <w:r w:rsidRPr="0062205B">
        <w:rPr>
          <w:lang w:val="en-US"/>
        </w:rPr>
        <w:t>REFERENCES</w:t>
      </w:r>
    </w:p>
    <w:p w:rsidR="00834D76" w:rsidRDefault="00834D76" w:rsidP="00834D76">
      <w:pPr>
        <w:pStyle w:val="-1"/>
      </w:pPr>
      <w:r>
        <w:t>1</w:t>
      </w:r>
      <w:r>
        <w:tab/>
      </w:r>
      <w:proofErr w:type="spellStart"/>
      <w:r>
        <w:rPr>
          <w:b/>
          <w:bCs/>
        </w:rPr>
        <w:t>Kataoka</w:t>
      </w:r>
      <w:proofErr w:type="spellEnd"/>
      <w:r>
        <w:rPr>
          <w:b/>
          <w:bCs/>
        </w:rPr>
        <w:t xml:space="preserve"> K</w:t>
      </w:r>
      <w:r>
        <w:t xml:space="preserve">. </w:t>
      </w:r>
      <w:proofErr w:type="gramStart"/>
      <w:r>
        <w:t xml:space="preserve">The intestinal </w:t>
      </w:r>
      <w:proofErr w:type="spellStart"/>
      <w:r>
        <w:t>microbiota</w:t>
      </w:r>
      <w:proofErr w:type="spellEnd"/>
      <w:r>
        <w:t xml:space="preserve"> and its role in human health and disease.</w:t>
      </w:r>
      <w:proofErr w:type="gramEnd"/>
      <w:r>
        <w:t xml:space="preserve"> </w:t>
      </w:r>
      <w:r>
        <w:rPr>
          <w:i/>
          <w:iCs/>
        </w:rPr>
        <w:t>J Med Invest</w:t>
      </w:r>
      <w:r>
        <w:t xml:space="preserve"> 2016; </w:t>
      </w:r>
      <w:r>
        <w:rPr>
          <w:b/>
          <w:bCs/>
        </w:rPr>
        <w:t>63</w:t>
      </w:r>
      <w:r>
        <w:t>: 27-37 [PMID: 27040049 DOI: 10.2152/jmi.63.27]</w:t>
      </w:r>
    </w:p>
    <w:p w:rsidR="00834D76" w:rsidRDefault="00834D76" w:rsidP="00834D76">
      <w:pPr>
        <w:pStyle w:val="-1"/>
      </w:pPr>
      <w:r>
        <w:t>2</w:t>
      </w:r>
      <w:r>
        <w:tab/>
      </w:r>
      <w:proofErr w:type="spellStart"/>
      <w:r>
        <w:rPr>
          <w:b/>
          <w:bCs/>
        </w:rPr>
        <w:t>Ringel</w:t>
      </w:r>
      <w:proofErr w:type="spellEnd"/>
      <w:r>
        <w:rPr>
          <w:b/>
          <w:bCs/>
        </w:rPr>
        <w:t xml:space="preserve"> Y</w:t>
      </w:r>
      <w:r>
        <w:t xml:space="preserve">, </w:t>
      </w:r>
      <w:proofErr w:type="spellStart"/>
      <w:r>
        <w:t>Maharshak</w:t>
      </w:r>
      <w:proofErr w:type="spellEnd"/>
      <w:r>
        <w:t xml:space="preserve"> N, </w:t>
      </w:r>
      <w:proofErr w:type="spellStart"/>
      <w:r>
        <w:t>Ringel-Kulka</w:t>
      </w:r>
      <w:proofErr w:type="spellEnd"/>
      <w:r>
        <w:t xml:space="preserve"> T, </w:t>
      </w:r>
      <w:proofErr w:type="spellStart"/>
      <w:r>
        <w:t>Wolber</w:t>
      </w:r>
      <w:proofErr w:type="spellEnd"/>
      <w:r>
        <w:t xml:space="preserve"> EA, Sartor RB, Carroll IM. High throughput sequencing reveals distinct microbial populations within the mucosal and luminal niches in healthy individuals. </w:t>
      </w:r>
      <w:r>
        <w:rPr>
          <w:i/>
          <w:iCs/>
        </w:rPr>
        <w:t>Gut Microbes</w:t>
      </w:r>
      <w:r>
        <w:t xml:space="preserve"> 2015; </w:t>
      </w:r>
      <w:r>
        <w:rPr>
          <w:b/>
          <w:bCs/>
        </w:rPr>
        <w:t>6</w:t>
      </w:r>
      <w:r>
        <w:t>: 173-181 [PMID: 25915459 DOI: 10.1080/19490976.2015.1044711]</w:t>
      </w:r>
    </w:p>
    <w:p w:rsidR="00834D76" w:rsidRDefault="00834D76" w:rsidP="00834D76">
      <w:pPr>
        <w:pStyle w:val="-1"/>
      </w:pPr>
      <w:r>
        <w:t>3</w:t>
      </w:r>
      <w:r>
        <w:tab/>
      </w:r>
      <w:proofErr w:type="spellStart"/>
      <w:r>
        <w:rPr>
          <w:b/>
          <w:bCs/>
        </w:rPr>
        <w:t>Sundin</w:t>
      </w:r>
      <w:proofErr w:type="spellEnd"/>
      <w:r>
        <w:rPr>
          <w:b/>
          <w:bCs/>
        </w:rPr>
        <w:t xml:space="preserve"> J</w:t>
      </w:r>
      <w:r>
        <w:t xml:space="preserve">, Rangel I, Fuentes S, </w:t>
      </w:r>
      <w:proofErr w:type="spellStart"/>
      <w:r>
        <w:t>Heikamp</w:t>
      </w:r>
      <w:proofErr w:type="spellEnd"/>
      <w:r>
        <w:t xml:space="preserve">-de Jong I, </w:t>
      </w:r>
      <w:proofErr w:type="spellStart"/>
      <w:r>
        <w:t>Hultgren-Hörnquist</w:t>
      </w:r>
      <w:proofErr w:type="spellEnd"/>
      <w:r>
        <w:t xml:space="preserve"> E, de </w:t>
      </w:r>
      <w:proofErr w:type="spellStart"/>
      <w:r>
        <w:t>Vos</w:t>
      </w:r>
      <w:proofErr w:type="spellEnd"/>
      <w:r>
        <w:t xml:space="preserve"> WM, </w:t>
      </w:r>
      <w:proofErr w:type="spellStart"/>
      <w:r>
        <w:t>Brummer</w:t>
      </w:r>
      <w:proofErr w:type="spellEnd"/>
      <w:r>
        <w:t xml:space="preserve"> RJ. Altered </w:t>
      </w:r>
      <w:proofErr w:type="spellStart"/>
      <w:r>
        <w:t>faecal</w:t>
      </w:r>
      <w:proofErr w:type="spellEnd"/>
      <w:r>
        <w:t xml:space="preserve"> and mucosal microbial composition in post-infectious irritable bowel syndrome patients correlates with mucosal lymphocyte phenotypes and psychological distress. </w:t>
      </w:r>
      <w:r>
        <w:rPr>
          <w:i/>
          <w:iCs/>
        </w:rPr>
        <w:t xml:space="preserve">Aliment </w:t>
      </w:r>
      <w:proofErr w:type="spellStart"/>
      <w:r>
        <w:rPr>
          <w:i/>
          <w:iCs/>
        </w:rPr>
        <w:t>Pharmacol</w:t>
      </w:r>
      <w:proofErr w:type="spellEnd"/>
      <w:r>
        <w:rPr>
          <w:i/>
          <w:iCs/>
        </w:rPr>
        <w:t xml:space="preserve"> </w:t>
      </w:r>
      <w:proofErr w:type="spellStart"/>
      <w:r>
        <w:rPr>
          <w:i/>
          <w:iCs/>
        </w:rPr>
        <w:t>Ther</w:t>
      </w:r>
      <w:proofErr w:type="spellEnd"/>
      <w:r>
        <w:t xml:space="preserve"> 2015; </w:t>
      </w:r>
      <w:r>
        <w:rPr>
          <w:b/>
          <w:bCs/>
        </w:rPr>
        <w:t>41</w:t>
      </w:r>
      <w:r>
        <w:t>: 342-351 [PMID: 25521822 DOI: 10.1111/apt.13055]</w:t>
      </w:r>
    </w:p>
    <w:p w:rsidR="00834D76" w:rsidRDefault="00834D76" w:rsidP="00834D76">
      <w:pPr>
        <w:pStyle w:val="-1"/>
      </w:pPr>
      <w:r>
        <w:t>4</w:t>
      </w:r>
      <w:r>
        <w:tab/>
      </w:r>
      <w:r>
        <w:rPr>
          <w:b/>
          <w:bCs/>
        </w:rPr>
        <w:t>Kramer CD</w:t>
      </w:r>
      <w:r>
        <w:t xml:space="preserve">, </w:t>
      </w:r>
      <w:proofErr w:type="spellStart"/>
      <w:r>
        <w:t>Genco</w:t>
      </w:r>
      <w:proofErr w:type="spellEnd"/>
      <w:r>
        <w:t xml:space="preserve"> CA. </w:t>
      </w:r>
      <w:proofErr w:type="spellStart"/>
      <w:r>
        <w:t>Microbiota</w:t>
      </w:r>
      <w:proofErr w:type="spellEnd"/>
      <w:r>
        <w:t xml:space="preserve">, Immune Subversion, and Chronic Inflammation. </w:t>
      </w:r>
      <w:r>
        <w:rPr>
          <w:i/>
          <w:iCs/>
        </w:rPr>
        <w:t xml:space="preserve">Front </w:t>
      </w:r>
      <w:proofErr w:type="spellStart"/>
      <w:r>
        <w:rPr>
          <w:i/>
          <w:iCs/>
        </w:rPr>
        <w:t>Immunol</w:t>
      </w:r>
      <w:proofErr w:type="spellEnd"/>
      <w:r>
        <w:t xml:space="preserve"> 2017; </w:t>
      </w:r>
      <w:r>
        <w:rPr>
          <w:b/>
          <w:bCs/>
        </w:rPr>
        <w:t>8</w:t>
      </w:r>
      <w:r>
        <w:t>: 255 [PMID: 28348558 DOI: 10.3389/fimmu.2017.00255]</w:t>
      </w:r>
    </w:p>
    <w:p w:rsidR="00834D76" w:rsidRDefault="00834D76" w:rsidP="00834D76">
      <w:pPr>
        <w:pStyle w:val="-1"/>
      </w:pPr>
      <w:r>
        <w:t>5</w:t>
      </w:r>
      <w:r>
        <w:tab/>
      </w:r>
      <w:r>
        <w:rPr>
          <w:b/>
          <w:bCs/>
        </w:rPr>
        <w:t xml:space="preserve">de </w:t>
      </w:r>
      <w:proofErr w:type="spellStart"/>
      <w:r>
        <w:rPr>
          <w:b/>
          <w:bCs/>
        </w:rPr>
        <w:t>Kivit</w:t>
      </w:r>
      <w:proofErr w:type="spellEnd"/>
      <w:r>
        <w:rPr>
          <w:b/>
          <w:bCs/>
        </w:rPr>
        <w:t xml:space="preserve"> S</w:t>
      </w:r>
      <w:r>
        <w:t xml:space="preserve">, Tobin MC, Forsyth CB, </w:t>
      </w:r>
      <w:proofErr w:type="spellStart"/>
      <w:r>
        <w:t>Keshavarzian</w:t>
      </w:r>
      <w:proofErr w:type="spellEnd"/>
      <w:r>
        <w:t xml:space="preserve"> A, </w:t>
      </w:r>
      <w:proofErr w:type="spellStart"/>
      <w:r>
        <w:t>Landay</w:t>
      </w:r>
      <w:proofErr w:type="spellEnd"/>
      <w:r>
        <w:t xml:space="preserve"> AL. Regulation of Intestinal Immune Responses through TLR Activation: Implications for Pro- and Prebiotics. </w:t>
      </w:r>
      <w:r>
        <w:rPr>
          <w:i/>
          <w:iCs/>
        </w:rPr>
        <w:t xml:space="preserve">Front </w:t>
      </w:r>
      <w:proofErr w:type="spellStart"/>
      <w:r>
        <w:rPr>
          <w:i/>
          <w:iCs/>
        </w:rPr>
        <w:t>Immunol</w:t>
      </w:r>
      <w:proofErr w:type="spellEnd"/>
      <w:r>
        <w:t xml:space="preserve"> 2014; </w:t>
      </w:r>
      <w:r>
        <w:rPr>
          <w:b/>
          <w:bCs/>
        </w:rPr>
        <w:t>5</w:t>
      </w:r>
      <w:r>
        <w:t>: 60 [PMID: 24600450 DOI: 10.3389/fimmu.2014.00060]</w:t>
      </w:r>
    </w:p>
    <w:p w:rsidR="00834D76" w:rsidRDefault="00834D76" w:rsidP="00834D76">
      <w:pPr>
        <w:pStyle w:val="-1"/>
      </w:pPr>
      <w:r>
        <w:t>6</w:t>
      </w:r>
      <w:r>
        <w:tab/>
      </w:r>
      <w:proofErr w:type="spellStart"/>
      <w:r>
        <w:rPr>
          <w:b/>
          <w:bCs/>
        </w:rPr>
        <w:t>Thursby</w:t>
      </w:r>
      <w:proofErr w:type="spellEnd"/>
      <w:r>
        <w:rPr>
          <w:b/>
          <w:bCs/>
        </w:rPr>
        <w:t xml:space="preserve"> E</w:t>
      </w:r>
      <w:r>
        <w:t xml:space="preserve">, </w:t>
      </w:r>
      <w:proofErr w:type="spellStart"/>
      <w:r>
        <w:t>Juge</w:t>
      </w:r>
      <w:proofErr w:type="spellEnd"/>
      <w:r>
        <w:t xml:space="preserve"> N. Introduction to the human gut </w:t>
      </w:r>
      <w:proofErr w:type="spellStart"/>
      <w:r>
        <w:t>microbiota</w:t>
      </w:r>
      <w:proofErr w:type="spellEnd"/>
      <w:r>
        <w:t xml:space="preserve">. </w:t>
      </w:r>
      <w:proofErr w:type="spellStart"/>
      <w:r>
        <w:rPr>
          <w:i/>
          <w:iCs/>
        </w:rPr>
        <w:t>Biochem</w:t>
      </w:r>
      <w:proofErr w:type="spellEnd"/>
      <w:r>
        <w:rPr>
          <w:i/>
          <w:iCs/>
        </w:rPr>
        <w:t xml:space="preserve"> J</w:t>
      </w:r>
      <w:r>
        <w:t xml:space="preserve"> 2017; </w:t>
      </w:r>
      <w:r>
        <w:rPr>
          <w:b/>
          <w:bCs/>
        </w:rPr>
        <w:t>474</w:t>
      </w:r>
      <w:r>
        <w:t>: 1823-1836 [PMID: 28512250 DOI: 10.1042/BCJ20160510]</w:t>
      </w:r>
    </w:p>
    <w:p w:rsidR="00834D76" w:rsidRDefault="00834D76" w:rsidP="00834D76">
      <w:pPr>
        <w:pStyle w:val="-1"/>
      </w:pPr>
      <w:r>
        <w:t>7</w:t>
      </w:r>
      <w:r>
        <w:tab/>
      </w:r>
      <w:r>
        <w:rPr>
          <w:b/>
          <w:bCs/>
        </w:rPr>
        <w:t>Escobar JS</w:t>
      </w:r>
      <w:r>
        <w:t xml:space="preserve">, Klotz B, Valdes BE, </w:t>
      </w:r>
      <w:proofErr w:type="spellStart"/>
      <w:r>
        <w:t>Agudelo</w:t>
      </w:r>
      <w:proofErr w:type="spellEnd"/>
      <w:r>
        <w:t xml:space="preserve"> GM. The gut </w:t>
      </w:r>
      <w:proofErr w:type="spellStart"/>
      <w:r>
        <w:t>microbiota</w:t>
      </w:r>
      <w:proofErr w:type="spellEnd"/>
      <w:r>
        <w:t xml:space="preserve"> of Colombians differs from that of Americans, Europeans and Asians. </w:t>
      </w:r>
      <w:r>
        <w:rPr>
          <w:i/>
          <w:iCs/>
        </w:rPr>
        <w:t xml:space="preserve">BMC </w:t>
      </w:r>
      <w:proofErr w:type="spellStart"/>
      <w:r>
        <w:rPr>
          <w:i/>
          <w:iCs/>
        </w:rPr>
        <w:t>Microbiol</w:t>
      </w:r>
      <w:proofErr w:type="spellEnd"/>
      <w:r>
        <w:t xml:space="preserve"> 2014; </w:t>
      </w:r>
      <w:r>
        <w:rPr>
          <w:b/>
          <w:bCs/>
        </w:rPr>
        <w:t>14</w:t>
      </w:r>
      <w:r>
        <w:t>: 311 [PMID: 25495462 DOI: 10.1186/s12866-014-0311-6]</w:t>
      </w:r>
    </w:p>
    <w:p w:rsidR="00834D76" w:rsidRDefault="00834D76" w:rsidP="00834D76">
      <w:pPr>
        <w:pStyle w:val="-1"/>
      </w:pPr>
      <w:r>
        <w:t>8</w:t>
      </w:r>
      <w:r>
        <w:tab/>
      </w:r>
      <w:proofErr w:type="spellStart"/>
      <w:r>
        <w:rPr>
          <w:b/>
          <w:bCs/>
        </w:rPr>
        <w:t>Hornef</w:t>
      </w:r>
      <w:proofErr w:type="spellEnd"/>
      <w:r>
        <w:rPr>
          <w:b/>
          <w:bCs/>
        </w:rPr>
        <w:t xml:space="preserve"> MW</w:t>
      </w:r>
      <w:r>
        <w:t xml:space="preserve">, Pabst O. Real friends: </w:t>
      </w:r>
      <w:proofErr w:type="spellStart"/>
      <w:r>
        <w:t>Faecalibacterium</w:t>
      </w:r>
      <w:proofErr w:type="spellEnd"/>
      <w:r>
        <w:t xml:space="preserve"> </w:t>
      </w:r>
      <w:proofErr w:type="spellStart"/>
      <w:r>
        <w:t>prausnitzii</w:t>
      </w:r>
      <w:proofErr w:type="spellEnd"/>
      <w:r>
        <w:t xml:space="preserve"> supports mucosal immune homeostasis. </w:t>
      </w:r>
      <w:r>
        <w:rPr>
          <w:i/>
          <w:iCs/>
        </w:rPr>
        <w:t>Gut</w:t>
      </w:r>
      <w:r>
        <w:t xml:space="preserve"> 2016; </w:t>
      </w:r>
      <w:r>
        <w:rPr>
          <w:b/>
          <w:bCs/>
        </w:rPr>
        <w:t>65</w:t>
      </w:r>
      <w:r>
        <w:t>: 365-367 [PMID: 26531718 DOI: 10.1136/gutjnl-2015-310027]</w:t>
      </w:r>
    </w:p>
    <w:p w:rsidR="00834D76" w:rsidRDefault="00834D76" w:rsidP="00834D76">
      <w:pPr>
        <w:pStyle w:val="-1"/>
      </w:pPr>
      <w:r>
        <w:t>9</w:t>
      </w:r>
      <w:r>
        <w:tab/>
      </w:r>
      <w:proofErr w:type="spellStart"/>
      <w:r>
        <w:rPr>
          <w:b/>
          <w:bCs/>
        </w:rPr>
        <w:t>Machiels</w:t>
      </w:r>
      <w:proofErr w:type="spellEnd"/>
      <w:r>
        <w:rPr>
          <w:b/>
          <w:bCs/>
        </w:rPr>
        <w:t xml:space="preserve"> K</w:t>
      </w:r>
      <w:r>
        <w:t xml:space="preserve">, </w:t>
      </w:r>
      <w:proofErr w:type="spellStart"/>
      <w:r>
        <w:t>Joossens</w:t>
      </w:r>
      <w:proofErr w:type="spellEnd"/>
      <w:r>
        <w:t xml:space="preserve"> M, </w:t>
      </w:r>
      <w:proofErr w:type="spellStart"/>
      <w:r>
        <w:t>Sabino</w:t>
      </w:r>
      <w:proofErr w:type="spellEnd"/>
      <w:r>
        <w:t xml:space="preserve"> J, De </w:t>
      </w:r>
      <w:proofErr w:type="spellStart"/>
      <w:r>
        <w:t>Preter</w:t>
      </w:r>
      <w:proofErr w:type="spellEnd"/>
      <w:r>
        <w:t xml:space="preserve"> V, </w:t>
      </w:r>
      <w:proofErr w:type="spellStart"/>
      <w:r>
        <w:t>Arijs</w:t>
      </w:r>
      <w:proofErr w:type="spellEnd"/>
      <w:r>
        <w:t xml:space="preserve"> I, </w:t>
      </w:r>
      <w:proofErr w:type="spellStart"/>
      <w:r>
        <w:t>Eeckhaut</w:t>
      </w:r>
      <w:proofErr w:type="spellEnd"/>
      <w:r>
        <w:t xml:space="preserve"> V, Ballet V, </w:t>
      </w:r>
      <w:proofErr w:type="spellStart"/>
      <w:r>
        <w:t>Claes</w:t>
      </w:r>
      <w:proofErr w:type="spellEnd"/>
      <w:r>
        <w:t xml:space="preserve"> K, Van </w:t>
      </w:r>
      <w:proofErr w:type="spellStart"/>
      <w:r>
        <w:t>Immerseel</w:t>
      </w:r>
      <w:proofErr w:type="spellEnd"/>
      <w:r>
        <w:t xml:space="preserve"> F, </w:t>
      </w:r>
      <w:proofErr w:type="spellStart"/>
      <w:r>
        <w:t>Verbeke</w:t>
      </w:r>
      <w:proofErr w:type="spellEnd"/>
      <w:r>
        <w:t xml:space="preserve"> K, </w:t>
      </w:r>
      <w:proofErr w:type="spellStart"/>
      <w:r>
        <w:t>Ferrante</w:t>
      </w:r>
      <w:proofErr w:type="spellEnd"/>
      <w:r>
        <w:t xml:space="preserve"> M, </w:t>
      </w:r>
      <w:proofErr w:type="spellStart"/>
      <w:r>
        <w:t>Verhaegen</w:t>
      </w:r>
      <w:proofErr w:type="spellEnd"/>
      <w:r>
        <w:t xml:space="preserve"> J, </w:t>
      </w:r>
      <w:proofErr w:type="spellStart"/>
      <w:r>
        <w:t>Rutgeerts</w:t>
      </w:r>
      <w:proofErr w:type="spellEnd"/>
      <w:r>
        <w:t xml:space="preserve"> P, </w:t>
      </w:r>
      <w:proofErr w:type="spellStart"/>
      <w:r>
        <w:t>Vermeire</w:t>
      </w:r>
      <w:proofErr w:type="spellEnd"/>
      <w:r>
        <w:t xml:space="preserve"> S. A decrease of the butyrate-producing species </w:t>
      </w:r>
      <w:proofErr w:type="spellStart"/>
      <w:r>
        <w:t>Roseburia</w:t>
      </w:r>
      <w:proofErr w:type="spellEnd"/>
      <w:r>
        <w:t xml:space="preserve"> </w:t>
      </w:r>
      <w:proofErr w:type="spellStart"/>
      <w:r>
        <w:t>hominis</w:t>
      </w:r>
      <w:proofErr w:type="spellEnd"/>
      <w:r>
        <w:t xml:space="preserve"> and </w:t>
      </w:r>
      <w:proofErr w:type="spellStart"/>
      <w:r>
        <w:t>Faecalibacterium</w:t>
      </w:r>
      <w:proofErr w:type="spellEnd"/>
      <w:r>
        <w:t xml:space="preserve"> </w:t>
      </w:r>
      <w:proofErr w:type="spellStart"/>
      <w:r>
        <w:t>prausnitzii</w:t>
      </w:r>
      <w:proofErr w:type="spellEnd"/>
      <w:r>
        <w:t xml:space="preserve"> defines </w:t>
      </w:r>
      <w:proofErr w:type="spellStart"/>
      <w:r>
        <w:t>dysbiosis</w:t>
      </w:r>
      <w:proofErr w:type="spellEnd"/>
      <w:r>
        <w:t xml:space="preserve"> </w:t>
      </w:r>
      <w:r>
        <w:lastRenderedPageBreak/>
        <w:t xml:space="preserve">in patients with ulcerative colitis. </w:t>
      </w:r>
      <w:r>
        <w:rPr>
          <w:i/>
          <w:iCs/>
        </w:rPr>
        <w:t>Gut</w:t>
      </w:r>
      <w:r>
        <w:t xml:space="preserve"> 2014; </w:t>
      </w:r>
      <w:r>
        <w:rPr>
          <w:b/>
          <w:bCs/>
        </w:rPr>
        <w:t>63</w:t>
      </w:r>
      <w:r>
        <w:t>: 1275-1283 [PMID: 24021287 DOI: 10.1136/gutjnl-2013-304833]</w:t>
      </w:r>
    </w:p>
    <w:p w:rsidR="00834D76" w:rsidRDefault="00834D76" w:rsidP="00834D76">
      <w:pPr>
        <w:pStyle w:val="-1"/>
      </w:pPr>
      <w:r>
        <w:t>10</w:t>
      </w:r>
      <w:r>
        <w:tab/>
      </w:r>
      <w:r>
        <w:rPr>
          <w:b/>
          <w:bCs/>
        </w:rPr>
        <w:t>Lopez-</w:t>
      </w:r>
      <w:proofErr w:type="spellStart"/>
      <w:r>
        <w:rPr>
          <w:b/>
          <w:bCs/>
        </w:rPr>
        <w:t>Siles</w:t>
      </w:r>
      <w:proofErr w:type="spellEnd"/>
      <w:r>
        <w:rPr>
          <w:b/>
          <w:bCs/>
        </w:rPr>
        <w:t xml:space="preserve"> M</w:t>
      </w:r>
      <w:r>
        <w:t xml:space="preserve">, Martinez-Medina M, </w:t>
      </w:r>
      <w:proofErr w:type="spellStart"/>
      <w:r>
        <w:t>Abellà</w:t>
      </w:r>
      <w:proofErr w:type="spellEnd"/>
      <w:r>
        <w:t xml:space="preserve"> C, </w:t>
      </w:r>
      <w:proofErr w:type="spellStart"/>
      <w:r>
        <w:t>Busquets</w:t>
      </w:r>
      <w:proofErr w:type="spellEnd"/>
      <w:r>
        <w:t xml:space="preserve"> D, </w:t>
      </w:r>
      <w:proofErr w:type="spellStart"/>
      <w:r>
        <w:t>Sabat</w:t>
      </w:r>
      <w:proofErr w:type="spellEnd"/>
      <w:r>
        <w:t xml:space="preserve">-Mir M, Duncan SH, </w:t>
      </w:r>
      <w:proofErr w:type="spellStart"/>
      <w:r>
        <w:t>Aldeguer</w:t>
      </w:r>
      <w:proofErr w:type="spellEnd"/>
      <w:r>
        <w:t xml:space="preserve"> X, Flint HJ, Garcia-Gil LJ. Mucosa-associated </w:t>
      </w:r>
      <w:proofErr w:type="spellStart"/>
      <w:r>
        <w:t>Faecalibacterium</w:t>
      </w:r>
      <w:proofErr w:type="spellEnd"/>
      <w:r>
        <w:t xml:space="preserve"> </w:t>
      </w:r>
      <w:proofErr w:type="spellStart"/>
      <w:r>
        <w:t>prausnitzii</w:t>
      </w:r>
      <w:proofErr w:type="spellEnd"/>
      <w:r>
        <w:t xml:space="preserve"> </w:t>
      </w:r>
      <w:proofErr w:type="spellStart"/>
      <w:r>
        <w:t>phylotype</w:t>
      </w:r>
      <w:proofErr w:type="spellEnd"/>
      <w:r>
        <w:t xml:space="preserve"> richness is reduced in patients with inflammatory bowel disease. </w:t>
      </w:r>
      <w:proofErr w:type="spellStart"/>
      <w:r>
        <w:rPr>
          <w:i/>
          <w:iCs/>
        </w:rPr>
        <w:t>Appl</w:t>
      </w:r>
      <w:proofErr w:type="spellEnd"/>
      <w:r>
        <w:rPr>
          <w:i/>
          <w:iCs/>
        </w:rPr>
        <w:t xml:space="preserve"> Environ </w:t>
      </w:r>
      <w:proofErr w:type="spellStart"/>
      <w:r>
        <w:rPr>
          <w:i/>
          <w:iCs/>
        </w:rPr>
        <w:t>Microbiol</w:t>
      </w:r>
      <w:proofErr w:type="spellEnd"/>
      <w:r>
        <w:t xml:space="preserve"> 2015; </w:t>
      </w:r>
      <w:r>
        <w:rPr>
          <w:b/>
          <w:bCs/>
        </w:rPr>
        <w:t>81</w:t>
      </w:r>
      <w:r>
        <w:t>: 7582-7592 [PMID: 26296733 DOI: 10.1128/AEM.02006-15]</w:t>
      </w:r>
    </w:p>
    <w:p w:rsidR="00834D76" w:rsidRDefault="00834D76" w:rsidP="00834D76">
      <w:pPr>
        <w:pStyle w:val="-1"/>
      </w:pPr>
      <w:r>
        <w:t>11</w:t>
      </w:r>
      <w:r>
        <w:tab/>
      </w:r>
      <w:proofErr w:type="spellStart"/>
      <w:r>
        <w:rPr>
          <w:b/>
          <w:bCs/>
        </w:rPr>
        <w:t>Frosali</w:t>
      </w:r>
      <w:proofErr w:type="spellEnd"/>
      <w:r>
        <w:rPr>
          <w:b/>
          <w:bCs/>
        </w:rPr>
        <w:t xml:space="preserve"> S</w:t>
      </w:r>
      <w:r>
        <w:t xml:space="preserve">, </w:t>
      </w:r>
      <w:proofErr w:type="spellStart"/>
      <w:r>
        <w:t>Pagliari</w:t>
      </w:r>
      <w:proofErr w:type="spellEnd"/>
      <w:r>
        <w:t xml:space="preserve"> D, </w:t>
      </w:r>
      <w:proofErr w:type="spellStart"/>
      <w:r>
        <w:t>Gambassi</w:t>
      </w:r>
      <w:proofErr w:type="spellEnd"/>
      <w:r>
        <w:t xml:space="preserve"> G, </w:t>
      </w:r>
      <w:proofErr w:type="spellStart"/>
      <w:r>
        <w:t>Landolfi</w:t>
      </w:r>
      <w:proofErr w:type="spellEnd"/>
      <w:r>
        <w:t xml:space="preserve"> R, </w:t>
      </w:r>
      <w:proofErr w:type="spellStart"/>
      <w:r>
        <w:t>Pandolfi</w:t>
      </w:r>
      <w:proofErr w:type="spellEnd"/>
      <w:r>
        <w:t xml:space="preserve"> F, </w:t>
      </w:r>
      <w:proofErr w:type="spellStart"/>
      <w:r>
        <w:t>Cianci</w:t>
      </w:r>
      <w:proofErr w:type="spellEnd"/>
      <w:r>
        <w:t xml:space="preserve"> R. How the Intricate Interaction among Toll-Like Receptors, </w:t>
      </w:r>
      <w:proofErr w:type="spellStart"/>
      <w:r>
        <w:t>Microbiota</w:t>
      </w:r>
      <w:proofErr w:type="spellEnd"/>
      <w:r>
        <w:t xml:space="preserve">, and Intestinal Immunity Can Influence Gastrointestinal Pathology. </w:t>
      </w:r>
      <w:r>
        <w:rPr>
          <w:i/>
          <w:iCs/>
        </w:rPr>
        <w:t xml:space="preserve">J </w:t>
      </w:r>
      <w:proofErr w:type="spellStart"/>
      <w:r>
        <w:rPr>
          <w:i/>
          <w:iCs/>
        </w:rPr>
        <w:t>Immunol</w:t>
      </w:r>
      <w:proofErr w:type="spellEnd"/>
      <w:r>
        <w:rPr>
          <w:i/>
          <w:iCs/>
        </w:rPr>
        <w:t xml:space="preserve"> Res</w:t>
      </w:r>
      <w:r>
        <w:t xml:space="preserve"> 2015; </w:t>
      </w:r>
      <w:r>
        <w:rPr>
          <w:b/>
          <w:bCs/>
        </w:rPr>
        <w:t>2015</w:t>
      </w:r>
      <w:r>
        <w:t>: 489821 [PMID: 26090491 DOI: 10.1155/2015/489821]</w:t>
      </w:r>
    </w:p>
    <w:p w:rsidR="00834D76" w:rsidRDefault="00834D76" w:rsidP="00834D76">
      <w:pPr>
        <w:pStyle w:val="-1"/>
      </w:pPr>
      <w:r>
        <w:t>12</w:t>
      </w:r>
      <w:r>
        <w:tab/>
      </w:r>
      <w:proofErr w:type="spellStart"/>
      <w:r>
        <w:rPr>
          <w:b/>
          <w:bCs/>
        </w:rPr>
        <w:t>Guo</w:t>
      </w:r>
      <w:proofErr w:type="spellEnd"/>
      <w:r>
        <w:rPr>
          <w:b/>
          <w:bCs/>
        </w:rPr>
        <w:t xml:space="preserve"> WT</w:t>
      </w:r>
      <w:r>
        <w:t xml:space="preserve">, Liu P, Dong LN, Wang JP. [The correlation study between the changes of intestinal mucosa predominant bacteria and Toll-like receptor 2, Toll-like receptor 4 gene expressions in diarrhea-predominant irritable bowel syndrome patients]. </w:t>
      </w:r>
      <w:proofErr w:type="spellStart"/>
      <w:r>
        <w:rPr>
          <w:i/>
          <w:iCs/>
        </w:rPr>
        <w:t>Zhonghua</w:t>
      </w:r>
      <w:proofErr w:type="spellEnd"/>
      <w:r>
        <w:rPr>
          <w:i/>
          <w:iCs/>
        </w:rPr>
        <w:t xml:space="preserve"> </w:t>
      </w:r>
      <w:proofErr w:type="spellStart"/>
      <w:r>
        <w:rPr>
          <w:i/>
          <w:iCs/>
        </w:rPr>
        <w:t>Neike</w:t>
      </w:r>
      <w:proofErr w:type="spellEnd"/>
      <w:r>
        <w:rPr>
          <w:i/>
          <w:iCs/>
        </w:rPr>
        <w:t xml:space="preserve"> </w:t>
      </w:r>
      <w:proofErr w:type="spellStart"/>
      <w:r>
        <w:rPr>
          <w:i/>
          <w:iCs/>
        </w:rPr>
        <w:t>Zazhi</w:t>
      </w:r>
      <w:proofErr w:type="spellEnd"/>
      <w:r>
        <w:t xml:space="preserve"> 2016; </w:t>
      </w:r>
      <w:r>
        <w:rPr>
          <w:b/>
          <w:bCs/>
        </w:rPr>
        <w:t>55</w:t>
      </w:r>
      <w:r>
        <w:t>: 541-543 [PMID: 27373290 DOI: 10.3760/cma.j.issn.0578-1426.2016.07.011]</w:t>
      </w:r>
    </w:p>
    <w:p w:rsidR="00834D76" w:rsidRDefault="00834D76" w:rsidP="00834D76">
      <w:pPr>
        <w:pStyle w:val="-1"/>
      </w:pPr>
      <w:r>
        <w:t>13</w:t>
      </w:r>
      <w:r>
        <w:tab/>
      </w:r>
      <w:r>
        <w:rPr>
          <w:b/>
          <w:bCs/>
        </w:rPr>
        <w:t>Martín R</w:t>
      </w:r>
      <w:r>
        <w:t xml:space="preserve">, </w:t>
      </w:r>
      <w:proofErr w:type="spellStart"/>
      <w:r>
        <w:t>Miquel</w:t>
      </w:r>
      <w:proofErr w:type="spellEnd"/>
      <w:r>
        <w:t xml:space="preserve"> S, Chain F, </w:t>
      </w:r>
      <w:proofErr w:type="spellStart"/>
      <w:r>
        <w:t>Natividad</w:t>
      </w:r>
      <w:proofErr w:type="spellEnd"/>
      <w:r>
        <w:t xml:space="preserve"> JM, Jury J, Lu J, </w:t>
      </w:r>
      <w:proofErr w:type="spellStart"/>
      <w:r>
        <w:t>Sokol</w:t>
      </w:r>
      <w:proofErr w:type="spellEnd"/>
      <w:r>
        <w:t xml:space="preserve"> H, </w:t>
      </w:r>
      <w:proofErr w:type="spellStart"/>
      <w:r>
        <w:t>Theodorou</w:t>
      </w:r>
      <w:proofErr w:type="spellEnd"/>
      <w:r>
        <w:t xml:space="preserve"> V, </w:t>
      </w:r>
      <w:proofErr w:type="spellStart"/>
      <w:r>
        <w:t>Bercik</w:t>
      </w:r>
      <w:proofErr w:type="spellEnd"/>
      <w:r>
        <w:t xml:space="preserve"> P, </w:t>
      </w:r>
      <w:proofErr w:type="spellStart"/>
      <w:r>
        <w:t>Verdu</w:t>
      </w:r>
      <w:proofErr w:type="spellEnd"/>
      <w:r>
        <w:t xml:space="preserve"> EF, </w:t>
      </w:r>
      <w:proofErr w:type="spellStart"/>
      <w:r>
        <w:t>Langella</w:t>
      </w:r>
      <w:proofErr w:type="spellEnd"/>
      <w:r>
        <w:t xml:space="preserve"> P, </w:t>
      </w:r>
      <w:proofErr w:type="spellStart"/>
      <w:r>
        <w:t>Bermúdez-Humarán</w:t>
      </w:r>
      <w:proofErr w:type="spellEnd"/>
      <w:r>
        <w:t xml:space="preserve"> LG. </w:t>
      </w:r>
      <w:proofErr w:type="spellStart"/>
      <w:r>
        <w:t>Faecalibacterium</w:t>
      </w:r>
      <w:proofErr w:type="spellEnd"/>
      <w:r>
        <w:t xml:space="preserve"> </w:t>
      </w:r>
      <w:proofErr w:type="spellStart"/>
      <w:r>
        <w:t>prausnitzii</w:t>
      </w:r>
      <w:proofErr w:type="spellEnd"/>
      <w:r>
        <w:t xml:space="preserve"> prevents physiological damages in a chronic low-grade inflammation murine model. </w:t>
      </w:r>
      <w:r>
        <w:rPr>
          <w:i/>
          <w:iCs/>
        </w:rPr>
        <w:t xml:space="preserve">BMC </w:t>
      </w:r>
      <w:proofErr w:type="spellStart"/>
      <w:r>
        <w:rPr>
          <w:i/>
          <w:iCs/>
        </w:rPr>
        <w:t>Microbiol</w:t>
      </w:r>
      <w:proofErr w:type="spellEnd"/>
      <w:r>
        <w:t xml:space="preserve"> 2015; </w:t>
      </w:r>
      <w:r>
        <w:rPr>
          <w:b/>
          <w:bCs/>
        </w:rPr>
        <w:t>15</w:t>
      </w:r>
      <w:r>
        <w:t>: 67 [PMID: 25888448 DOI: 10.1186/s12866-015-0400-1]</w:t>
      </w:r>
    </w:p>
    <w:p w:rsidR="00834D76" w:rsidRDefault="00834D76" w:rsidP="00834D76">
      <w:pPr>
        <w:pStyle w:val="-1"/>
      </w:pPr>
      <w:r>
        <w:t>14</w:t>
      </w:r>
      <w:r>
        <w:tab/>
      </w:r>
      <w:r>
        <w:rPr>
          <w:b/>
          <w:bCs/>
        </w:rPr>
        <w:t>Round JL</w:t>
      </w:r>
      <w:r>
        <w:t xml:space="preserve">, Lee SM, Li J, Tran G, </w:t>
      </w:r>
      <w:proofErr w:type="spellStart"/>
      <w:r>
        <w:t>Jabri</w:t>
      </w:r>
      <w:proofErr w:type="spellEnd"/>
      <w:r>
        <w:t xml:space="preserve"> B, </w:t>
      </w:r>
      <w:proofErr w:type="spellStart"/>
      <w:r>
        <w:t>Chatila</w:t>
      </w:r>
      <w:proofErr w:type="spellEnd"/>
      <w:r>
        <w:t xml:space="preserve"> TA, </w:t>
      </w:r>
      <w:proofErr w:type="spellStart"/>
      <w:r>
        <w:t>Mazmanian</w:t>
      </w:r>
      <w:proofErr w:type="spellEnd"/>
      <w:r>
        <w:t xml:space="preserve"> SK. The Toll-like receptor 2 pathway establishes colonization by a commensal of the human </w:t>
      </w:r>
      <w:proofErr w:type="spellStart"/>
      <w:r>
        <w:t>microbiota</w:t>
      </w:r>
      <w:proofErr w:type="spellEnd"/>
      <w:r>
        <w:t xml:space="preserve">. </w:t>
      </w:r>
      <w:r>
        <w:rPr>
          <w:i/>
          <w:iCs/>
        </w:rPr>
        <w:t>Science</w:t>
      </w:r>
      <w:r>
        <w:t xml:space="preserve"> 2011; </w:t>
      </w:r>
      <w:r>
        <w:rPr>
          <w:b/>
          <w:bCs/>
        </w:rPr>
        <w:t>332</w:t>
      </w:r>
      <w:r>
        <w:t>: 974-977 [PMID: 21512004 DOI: 10.1126/science.1206095]</w:t>
      </w:r>
    </w:p>
    <w:p w:rsidR="00834D76" w:rsidRDefault="00834D76" w:rsidP="00834D76">
      <w:pPr>
        <w:pStyle w:val="-1"/>
      </w:pPr>
      <w:r>
        <w:t>15</w:t>
      </w:r>
      <w:r>
        <w:tab/>
      </w:r>
      <w:r>
        <w:rPr>
          <w:b/>
          <w:bCs/>
        </w:rPr>
        <w:t>West CE</w:t>
      </w:r>
      <w:r>
        <w:t xml:space="preserve">, </w:t>
      </w:r>
      <w:proofErr w:type="spellStart"/>
      <w:r>
        <w:t>Rydén</w:t>
      </w:r>
      <w:proofErr w:type="spellEnd"/>
      <w:r>
        <w:t xml:space="preserve"> P, </w:t>
      </w:r>
      <w:proofErr w:type="spellStart"/>
      <w:r>
        <w:t>Lundin</w:t>
      </w:r>
      <w:proofErr w:type="spellEnd"/>
      <w:r>
        <w:t xml:space="preserve"> D, </w:t>
      </w:r>
      <w:proofErr w:type="spellStart"/>
      <w:r>
        <w:t>Engstrand</w:t>
      </w:r>
      <w:proofErr w:type="spellEnd"/>
      <w:r>
        <w:t xml:space="preserve"> L, </w:t>
      </w:r>
      <w:proofErr w:type="spellStart"/>
      <w:r>
        <w:t>Tulic</w:t>
      </w:r>
      <w:proofErr w:type="spellEnd"/>
      <w:r>
        <w:t xml:space="preserve"> MK, Prescott SL. Gut </w:t>
      </w:r>
      <w:proofErr w:type="spellStart"/>
      <w:r>
        <w:t>microbiome</w:t>
      </w:r>
      <w:proofErr w:type="spellEnd"/>
      <w:r>
        <w:t xml:space="preserve"> and innate immune response patterns in </w:t>
      </w:r>
      <w:proofErr w:type="spellStart"/>
      <w:r>
        <w:t>IgE</w:t>
      </w:r>
      <w:proofErr w:type="spellEnd"/>
      <w:r>
        <w:t xml:space="preserve">-associated eczema. </w:t>
      </w:r>
      <w:proofErr w:type="spellStart"/>
      <w:r>
        <w:rPr>
          <w:i/>
          <w:iCs/>
        </w:rPr>
        <w:t>Clin</w:t>
      </w:r>
      <w:proofErr w:type="spellEnd"/>
      <w:r>
        <w:rPr>
          <w:i/>
          <w:iCs/>
        </w:rPr>
        <w:t xml:space="preserve"> </w:t>
      </w:r>
      <w:proofErr w:type="spellStart"/>
      <w:r>
        <w:rPr>
          <w:i/>
          <w:iCs/>
        </w:rPr>
        <w:t>Exp</w:t>
      </w:r>
      <w:proofErr w:type="spellEnd"/>
      <w:r>
        <w:rPr>
          <w:i/>
          <w:iCs/>
        </w:rPr>
        <w:t xml:space="preserve"> Allergy</w:t>
      </w:r>
      <w:r>
        <w:t xml:space="preserve"> 2015; </w:t>
      </w:r>
      <w:r>
        <w:rPr>
          <w:b/>
          <w:bCs/>
        </w:rPr>
        <w:t>45</w:t>
      </w:r>
      <w:r>
        <w:t>: 1419-1429 [PMID: 25944283 DOI: 10.1111/cea.12566]</w:t>
      </w:r>
    </w:p>
    <w:p w:rsidR="00834D76" w:rsidRDefault="00834D76" w:rsidP="00834D76">
      <w:pPr>
        <w:pStyle w:val="-1"/>
      </w:pPr>
      <w:r>
        <w:t>16</w:t>
      </w:r>
      <w:r>
        <w:tab/>
      </w:r>
      <w:r>
        <w:rPr>
          <w:b/>
          <w:bCs/>
        </w:rPr>
        <w:t>Tomlinson G</w:t>
      </w:r>
      <w:r>
        <w:t xml:space="preserve">, </w:t>
      </w:r>
      <w:proofErr w:type="spellStart"/>
      <w:r>
        <w:t>Chimalapati</w:t>
      </w:r>
      <w:proofErr w:type="spellEnd"/>
      <w:r>
        <w:t xml:space="preserve"> S, Pollard T, Lapp T, Cohen J, </w:t>
      </w:r>
      <w:proofErr w:type="spellStart"/>
      <w:r>
        <w:t>Camberlein</w:t>
      </w:r>
      <w:proofErr w:type="spellEnd"/>
      <w:r>
        <w:t xml:space="preserve"> E, Stafford S, </w:t>
      </w:r>
      <w:proofErr w:type="spellStart"/>
      <w:r>
        <w:t>Periselneris</w:t>
      </w:r>
      <w:proofErr w:type="spellEnd"/>
      <w:r>
        <w:t xml:space="preserve"> J, Aldridge C, Vollmer W, Picard C, Casanova JL, </w:t>
      </w:r>
      <w:proofErr w:type="spellStart"/>
      <w:r>
        <w:t>Noursadeghi</w:t>
      </w:r>
      <w:proofErr w:type="spellEnd"/>
      <w:r>
        <w:t xml:space="preserve"> M, Brown J. TLR-mediated inflammatory responses to Streptococcus </w:t>
      </w:r>
      <w:proofErr w:type="spellStart"/>
      <w:r>
        <w:t>pneumoniae</w:t>
      </w:r>
      <w:proofErr w:type="spellEnd"/>
      <w:r>
        <w:t xml:space="preserve"> are highly dependent on surface expression of bacterial lipoproteins. </w:t>
      </w:r>
      <w:r>
        <w:rPr>
          <w:i/>
          <w:iCs/>
        </w:rPr>
        <w:t xml:space="preserve">J </w:t>
      </w:r>
      <w:proofErr w:type="spellStart"/>
      <w:r>
        <w:rPr>
          <w:i/>
          <w:iCs/>
        </w:rPr>
        <w:t>Immunol</w:t>
      </w:r>
      <w:proofErr w:type="spellEnd"/>
      <w:r>
        <w:t xml:space="preserve"> 2014; </w:t>
      </w:r>
      <w:r>
        <w:rPr>
          <w:b/>
          <w:bCs/>
        </w:rPr>
        <w:t>193</w:t>
      </w:r>
      <w:r>
        <w:t>: 3736-3745 [PMID: 25172490 DOI: 10.4049/jimmunol.1401413]</w:t>
      </w:r>
    </w:p>
    <w:p w:rsidR="00834D76" w:rsidRDefault="00834D76" w:rsidP="00834D76">
      <w:pPr>
        <w:pStyle w:val="-1"/>
        <w:rPr>
          <w:spacing w:val="-2"/>
        </w:rPr>
      </w:pPr>
      <w:r>
        <w:t>17</w:t>
      </w:r>
      <w:r>
        <w:tab/>
      </w:r>
      <w:proofErr w:type="spellStart"/>
      <w:r>
        <w:rPr>
          <w:b/>
          <w:bCs/>
          <w:spacing w:val="-2"/>
        </w:rPr>
        <w:t>Marcial</w:t>
      </w:r>
      <w:proofErr w:type="spellEnd"/>
      <w:r>
        <w:rPr>
          <w:b/>
          <w:bCs/>
          <w:spacing w:val="-2"/>
        </w:rPr>
        <w:t xml:space="preserve"> G</w:t>
      </w:r>
      <w:r>
        <w:rPr>
          <w:spacing w:val="-2"/>
        </w:rPr>
        <w:t xml:space="preserve">, </w:t>
      </w:r>
      <w:proofErr w:type="spellStart"/>
      <w:r>
        <w:rPr>
          <w:spacing w:val="-2"/>
        </w:rPr>
        <w:t>Villena</w:t>
      </w:r>
      <w:proofErr w:type="spellEnd"/>
      <w:r>
        <w:rPr>
          <w:spacing w:val="-2"/>
        </w:rPr>
        <w:t xml:space="preserve"> J, Faller G, </w:t>
      </w:r>
      <w:proofErr w:type="spellStart"/>
      <w:r>
        <w:rPr>
          <w:spacing w:val="-2"/>
        </w:rPr>
        <w:t>Hensel</w:t>
      </w:r>
      <w:proofErr w:type="spellEnd"/>
      <w:r>
        <w:rPr>
          <w:spacing w:val="-2"/>
        </w:rPr>
        <w:t xml:space="preserve"> A, de </w:t>
      </w:r>
      <w:proofErr w:type="spellStart"/>
      <w:r>
        <w:rPr>
          <w:spacing w:val="-2"/>
        </w:rPr>
        <w:t>Valdéz</w:t>
      </w:r>
      <w:proofErr w:type="spellEnd"/>
      <w:r>
        <w:rPr>
          <w:spacing w:val="-2"/>
        </w:rPr>
        <w:t xml:space="preserve"> GF. </w:t>
      </w:r>
      <w:proofErr w:type="spellStart"/>
      <w:r>
        <w:rPr>
          <w:spacing w:val="-2"/>
        </w:rPr>
        <w:t>Exopoly</w:t>
      </w:r>
      <w:r>
        <w:rPr>
          <w:spacing w:val="-2"/>
        </w:rPr>
        <w:softHyphen/>
        <w:t>saccharide-producing</w:t>
      </w:r>
      <w:proofErr w:type="spellEnd"/>
      <w:r>
        <w:rPr>
          <w:spacing w:val="-2"/>
        </w:rPr>
        <w:t xml:space="preserve"> Streptococcus </w:t>
      </w:r>
      <w:proofErr w:type="spellStart"/>
      <w:r>
        <w:rPr>
          <w:spacing w:val="-2"/>
        </w:rPr>
        <w:t>thermophilus</w:t>
      </w:r>
      <w:proofErr w:type="spellEnd"/>
      <w:r>
        <w:rPr>
          <w:spacing w:val="-2"/>
        </w:rPr>
        <w:t xml:space="preserve"> CRL1190 reduces the inflammatory response caused by Helicobacter pylori. </w:t>
      </w:r>
      <w:proofErr w:type="spellStart"/>
      <w:r>
        <w:rPr>
          <w:i/>
          <w:iCs/>
          <w:spacing w:val="-2"/>
        </w:rPr>
        <w:t>Benef</w:t>
      </w:r>
      <w:proofErr w:type="spellEnd"/>
      <w:r>
        <w:rPr>
          <w:i/>
          <w:iCs/>
          <w:spacing w:val="-2"/>
        </w:rPr>
        <w:t xml:space="preserve"> Microbes</w:t>
      </w:r>
      <w:r>
        <w:rPr>
          <w:spacing w:val="-2"/>
        </w:rPr>
        <w:t xml:space="preserve"> 2017; </w:t>
      </w:r>
      <w:r>
        <w:rPr>
          <w:b/>
          <w:bCs/>
          <w:spacing w:val="-2"/>
        </w:rPr>
        <w:t>8</w:t>
      </w:r>
      <w:r>
        <w:rPr>
          <w:spacing w:val="-2"/>
        </w:rPr>
        <w:t>: 451-461 [PMID: 28504579 DOI: 10.3920/BM2016.0186]</w:t>
      </w:r>
    </w:p>
    <w:p w:rsidR="00834D76" w:rsidRDefault="00834D76" w:rsidP="00834D76">
      <w:pPr>
        <w:pStyle w:val="-1"/>
      </w:pPr>
      <w:r>
        <w:t>18</w:t>
      </w:r>
      <w:r>
        <w:tab/>
      </w:r>
      <w:proofErr w:type="spellStart"/>
      <w:r>
        <w:rPr>
          <w:b/>
          <w:bCs/>
        </w:rPr>
        <w:t>Ekmekciu</w:t>
      </w:r>
      <w:proofErr w:type="spellEnd"/>
      <w:r>
        <w:rPr>
          <w:b/>
          <w:bCs/>
        </w:rPr>
        <w:t xml:space="preserve"> I</w:t>
      </w:r>
      <w:r>
        <w:t xml:space="preserve">, von Klitzing E, </w:t>
      </w:r>
      <w:proofErr w:type="spellStart"/>
      <w:r>
        <w:t>Fiebiger</w:t>
      </w:r>
      <w:proofErr w:type="spellEnd"/>
      <w:r>
        <w:t xml:space="preserve"> U, Neumann C, </w:t>
      </w:r>
      <w:proofErr w:type="spellStart"/>
      <w:r>
        <w:t>Bacher</w:t>
      </w:r>
      <w:proofErr w:type="spellEnd"/>
      <w:r>
        <w:t xml:space="preserve"> P, </w:t>
      </w:r>
      <w:proofErr w:type="spellStart"/>
      <w:r>
        <w:t>Scheffold</w:t>
      </w:r>
      <w:proofErr w:type="spellEnd"/>
      <w:r>
        <w:t xml:space="preserve"> A, </w:t>
      </w:r>
      <w:proofErr w:type="spellStart"/>
      <w:r>
        <w:t>Bereswill</w:t>
      </w:r>
      <w:proofErr w:type="spellEnd"/>
      <w:r>
        <w:t xml:space="preserve"> S, </w:t>
      </w:r>
      <w:proofErr w:type="spellStart"/>
      <w:r>
        <w:t>Heimesaat</w:t>
      </w:r>
      <w:proofErr w:type="spellEnd"/>
      <w:r>
        <w:t xml:space="preserve"> MM. The Probiotic Compound VSL#3 Modulates Mucosal, Peripheral, and Systemic Immunity Following Murine Broad-Spectrum Antibiotic Treatment. </w:t>
      </w:r>
      <w:r>
        <w:rPr>
          <w:i/>
          <w:iCs/>
        </w:rPr>
        <w:t xml:space="preserve">Front Cell Infect </w:t>
      </w:r>
      <w:proofErr w:type="spellStart"/>
      <w:r>
        <w:rPr>
          <w:i/>
          <w:iCs/>
        </w:rPr>
        <w:t>Microbiol</w:t>
      </w:r>
      <w:proofErr w:type="spellEnd"/>
      <w:r>
        <w:t xml:space="preserve"> 2017; </w:t>
      </w:r>
      <w:r>
        <w:rPr>
          <w:b/>
          <w:bCs/>
        </w:rPr>
        <w:t>7</w:t>
      </w:r>
      <w:r>
        <w:t>: 167 [PMID: 28529928 DOI: 10.3389/fcimb.2017.00167]</w:t>
      </w:r>
    </w:p>
    <w:p w:rsidR="00834D76" w:rsidRDefault="00834D76" w:rsidP="00834D76">
      <w:pPr>
        <w:pStyle w:val="-1"/>
      </w:pPr>
      <w:r>
        <w:t>19</w:t>
      </w:r>
      <w:r>
        <w:tab/>
      </w:r>
      <w:r>
        <w:rPr>
          <w:b/>
          <w:bCs/>
        </w:rPr>
        <w:t>York J</w:t>
      </w:r>
      <w:r>
        <w:t xml:space="preserve">, </w:t>
      </w:r>
      <w:proofErr w:type="spellStart"/>
      <w:r>
        <w:t>Fisahn</w:t>
      </w:r>
      <w:proofErr w:type="spellEnd"/>
      <w:r>
        <w:t xml:space="preserve"> C, Chapman J. Vertebral Osteomyelitis Due to </w:t>
      </w:r>
      <w:proofErr w:type="spellStart"/>
      <w:r>
        <w:t>Granulicatella</w:t>
      </w:r>
      <w:proofErr w:type="spellEnd"/>
      <w:r>
        <w:t xml:space="preserve"> </w:t>
      </w:r>
      <w:proofErr w:type="spellStart"/>
      <w:r>
        <w:t>Adiacens</w:t>
      </w:r>
      <w:proofErr w:type="spellEnd"/>
      <w:r>
        <w:t xml:space="preserve">, a Nutritionally Variant Streptococci. </w:t>
      </w:r>
      <w:proofErr w:type="spellStart"/>
      <w:r>
        <w:rPr>
          <w:i/>
          <w:iCs/>
        </w:rPr>
        <w:t>Cureus</w:t>
      </w:r>
      <w:proofErr w:type="spellEnd"/>
      <w:r>
        <w:t xml:space="preserve"> 2016; </w:t>
      </w:r>
      <w:r>
        <w:rPr>
          <w:b/>
          <w:bCs/>
        </w:rPr>
        <w:t>8</w:t>
      </w:r>
      <w:r>
        <w:t>: e808 [PMID: 27800289]</w:t>
      </w:r>
    </w:p>
    <w:p w:rsidR="00834D76" w:rsidRDefault="00834D76" w:rsidP="00834D76">
      <w:pPr>
        <w:pStyle w:val="-1"/>
        <w:rPr>
          <w:spacing w:val="-4"/>
        </w:rPr>
      </w:pPr>
      <w:r>
        <w:t>20</w:t>
      </w:r>
      <w:r>
        <w:tab/>
      </w:r>
      <w:r>
        <w:rPr>
          <w:b/>
          <w:bCs/>
        </w:rPr>
        <w:t>Uccello M</w:t>
      </w:r>
      <w:r>
        <w:t xml:space="preserve">, </w:t>
      </w:r>
      <w:proofErr w:type="spellStart"/>
      <w:r>
        <w:t>Malaguarnera</w:t>
      </w:r>
      <w:proofErr w:type="spellEnd"/>
      <w:r>
        <w:t xml:space="preserve"> G, </w:t>
      </w:r>
      <w:proofErr w:type="spellStart"/>
      <w:r>
        <w:t>Basile</w:t>
      </w:r>
      <w:proofErr w:type="spellEnd"/>
      <w:r>
        <w:t xml:space="preserve"> F, </w:t>
      </w:r>
      <w:proofErr w:type="spellStart"/>
      <w:r>
        <w:t>D’agata</w:t>
      </w:r>
      <w:proofErr w:type="spellEnd"/>
      <w:r>
        <w:t xml:space="preserve"> V, </w:t>
      </w:r>
      <w:proofErr w:type="spellStart"/>
      <w:r>
        <w:t>Malaguarnera</w:t>
      </w:r>
      <w:proofErr w:type="spellEnd"/>
      <w:r>
        <w:t xml:space="preserve"> M, </w:t>
      </w:r>
      <w:proofErr w:type="spellStart"/>
      <w:r>
        <w:t>Bertino</w:t>
      </w:r>
      <w:proofErr w:type="spellEnd"/>
      <w:r>
        <w:t xml:space="preserve"> G, </w:t>
      </w:r>
      <w:proofErr w:type="spellStart"/>
      <w:r>
        <w:t>Vacante</w:t>
      </w:r>
      <w:proofErr w:type="spellEnd"/>
      <w:r>
        <w:t xml:space="preserve"> M, </w:t>
      </w:r>
      <w:proofErr w:type="spellStart"/>
      <w:r>
        <w:t>Drago</w:t>
      </w:r>
      <w:proofErr w:type="spellEnd"/>
      <w:r>
        <w:t xml:space="preserve"> F, </w:t>
      </w:r>
      <w:proofErr w:type="spellStart"/>
      <w:r>
        <w:t>Biondi</w:t>
      </w:r>
      <w:proofErr w:type="spellEnd"/>
      <w:r>
        <w:t xml:space="preserve"> A. Potential role of probiotics on colorectal cancer prevention. </w:t>
      </w:r>
      <w:r>
        <w:rPr>
          <w:i/>
          <w:iCs/>
        </w:rPr>
        <w:t xml:space="preserve">BMC </w:t>
      </w:r>
      <w:proofErr w:type="spellStart"/>
      <w:r>
        <w:rPr>
          <w:i/>
          <w:iCs/>
        </w:rPr>
        <w:t>Surg</w:t>
      </w:r>
      <w:proofErr w:type="spellEnd"/>
      <w:r>
        <w:t xml:space="preserve"> 2012; </w:t>
      </w:r>
      <w:r>
        <w:rPr>
          <w:b/>
          <w:bCs/>
        </w:rPr>
        <w:t xml:space="preserve">12 </w:t>
      </w:r>
      <w:proofErr w:type="spellStart"/>
      <w:r>
        <w:rPr>
          <w:spacing w:val="-4"/>
        </w:rPr>
        <w:t>Suppl</w:t>
      </w:r>
      <w:proofErr w:type="spellEnd"/>
      <w:r>
        <w:rPr>
          <w:spacing w:val="-4"/>
        </w:rPr>
        <w:t xml:space="preserve"> 1: S35 [PMID: 23173670 DOI: 10.1186/1471-2482-12-S1-S35]</w:t>
      </w:r>
    </w:p>
    <w:p w:rsidR="00834D76" w:rsidRDefault="00834D76" w:rsidP="00834D76">
      <w:pPr>
        <w:pStyle w:val="-1"/>
      </w:pPr>
      <w:r>
        <w:t>21</w:t>
      </w:r>
      <w:r>
        <w:tab/>
      </w:r>
      <w:r>
        <w:rPr>
          <w:b/>
          <w:bCs/>
        </w:rPr>
        <w:t>Sánchez B</w:t>
      </w:r>
      <w:r>
        <w:t>, Delgado S, Blanco-</w:t>
      </w:r>
      <w:proofErr w:type="spellStart"/>
      <w:r>
        <w:t>Míguez</w:t>
      </w:r>
      <w:proofErr w:type="spellEnd"/>
      <w:r>
        <w:t xml:space="preserve"> A, </w:t>
      </w:r>
      <w:proofErr w:type="spellStart"/>
      <w:r>
        <w:t>Lourenço</w:t>
      </w:r>
      <w:proofErr w:type="spellEnd"/>
      <w:r>
        <w:t xml:space="preserve"> A, </w:t>
      </w:r>
      <w:proofErr w:type="spellStart"/>
      <w:r>
        <w:t>Gueimonde</w:t>
      </w:r>
      <w:proofErr w:type="spellEnd"/>
      <w:r>
        <w:t xml:space="preserve"> M, </w:t>
      </w:r>
      <w:proofErr w:type="spellStart"/>
      <w:r>
        <w:t>Margolles</w:t>
      </w:r>
      <w:proofErr w:type="spellEnd"/>
      <w:r>
        <w:t xml:space="preserve"> A. Probiotics, gut </w:t>
      </w:r>
      <w:proofErr w:type="spellStart"/>
      <w:r>
        <w:t>microbiota</w:t>
      </w:r>
      <w:proofErr w:type="spellEnd"/>
      <w:r>
        <w:t xml:space="preserve">, and their influence on host health and disease. </w:t>
      </w:r>
      <w:proofErr w:type="spellStart"/>
      <w:r>
        <w:rPr>
          <w:i/>
          <w:iCs/>
        </w:rPr>
        <w:t>Mol</w:t>
      </w:r>
      <w:proofErr w:type="spellEnd"/>
      <w:r>
        <w:rPr>
          <w:i/>
          <w:iCs/>
        </w:rPr>
        <w:t xml:space="preserve"> </w:t>
      </w:r>
      <w:proofErr w:type="spellStart"/>
      <w:r>
        <w:rPr>
          <w:i/>
          <w:iCs/>
        </w:rPr>
        <w:t>Nutr</w:t>
      </w:r>
      <w:proofErr w:type="spellEnd"/>
      <w:r>
        <w:rPr>
          <w:i/>
          <w:iCs/>
        </w:rPr>
        <w:t xml:space="preserve"> Food Res</w:t>
      </w:r>
      <w:r>
        <w:t xml:space="preserve"> 2017; </w:t>
      </w:r>
      <w:r>
        <w:rPr>
          <w:b/>
          <w:bCs/>
        </w:rPr>
        <w:t>61</w:t>
      </w:r>
      <w:r>
        <w:t>: [PMID: 27500859 DOI: 10.1002/mnfr.201600240]</w:t>
      </w:r>
    </w:p>
    <w:p w:rsidR="00834D76" w:rsidRDefault="00834D76" w:rsidP="00834D76">
      <w:pPr>
        <w:rPr>
          <w:rFonts w:hint="eastAsia"/>
        </w:rPr>
      </w:pPr>
    </w:p>
    <w:p w:rsidR="00834D76" w:rsidRDefault="00834D76" w:rsidP="00834D76">
      <w:r>
        <w:t>Figure Legends</w:t>
      </w:r>
    </w:p>
    <w:p w:rsidR="00834D76" w:rsidRDefault="00834D76" w:rsidP="00834D76">
      <w:pPr>
        <w:pStyle w:val="8BF4"/>
        <w:rPr>
          <w:rFonts w:hint="eastAsia"/>
          <w:b/>
          <w:bCs/>
        </w:rPr>
      </w:pPr>
      <w:r>
        <w:rPr>
          <w:b/>
          <w:bCs/>
          <w:noProof/>
        </w:rPr>
        <w:lastRenderedPageBreak/>
        <w:drawing>
          <wp:inline distT="0" distB="0" distL="0" distR="0">
            <wp:extent cx="2559341" cy="1876508"/>
            <wp:effectExtent l="0" t="0" r="0" b="0"/>
            <wp:docPr id="4" name="图片 4" descr="D:\学排版\WJG\组版\WJGv23i36\PMC-36\fig-36\WJG-23-6665-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学排版\WJG\组版\WJGv23i36\PMC-36\fig-36\WJG-23-6665-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009" cy="1876998"/>
                    </a:xfrm>
                    <a:prstGeom prst="rect">
                      <a:avLst/>
                    </a:prstGeom>
                    <a:noFill/>
                    <a:ln>
                      <a:noFill/>
                    </a:ln>
                  </pic:spPr>
                </pic:pic>
              </a:graphicData>
            </a:graphic>
          </wp:inline>
        </w:drawing>
      </w:r>
    </w:p>
    <w:p w:rsidR="00834D76" w:rsidRDefault="00834D76" w:rsidP="00834D76">
      <w:pPr>
        <w:pStyle w:val="8BF4"/>
      </w:pPr>
      <w:r>
        <w:rPr>
          <w:b/>
          <w:bCs/>
        </w:rPr>
        <w:t xml:space="preserve">Figure </w:t>
      </w:r>
      <w:proofErr w:type="gramStart"/>
      <w:r>
        <w:rPr>
          <w:b/>
          <w:bCs/>
        </w:rPr>
        <w:t xml:space="preserve">1  </w:t>
      </w:r>
      <w:r>
        <w:rPr>
          <w:b/>
          <w:bCs/>
          <w:i/>
          <w:iCs/>
        </w:rPr>
        <w:t>16S</w:t>
      </w:r>
      <w:proofErr w:type="gramEnd"/>
      <w:r>
        <w:rPr>
          <w:b/>
          <w:bCs/>
          <w:i/>
          <w:iCs/>
        </w:rPr>
        <w:t xml:space="preserve"> </w:t>
      </w:r>
      <w:proofErr w:type="spellStart"/>
      <w:r>
        <w:rPr>
          <w:b/>
          <w:bCs/>
          <w:i/>
          <w:iCs/>
        </w:rPr>
        <w:t>rRNA</w:t>
      </w:r>
      <w:proofErr w:type="spellEnd"/>
      <w:r>
        <w:rPr>
          <w:b/>
          <w:bCs/>
        </w:rPr>
        <w:t xml:space="preserve"> gene surveys reveal a clear separation between luminal </w:t>
      </w:r>
      <w:proofErr w:type="spellStart"/>
      <w:r>
        <w:rPr>
          <w:b/>
          <w:bCs/>
        </w:rPr>
        <w:t>microbiota</w:t>
      </w:r>
      <w:proofErr w:type="spellEnd"/>
      <w:r>
        <w:rPr>
          <w:b/>
          <w:bCs/>
        </w:rPr>
        <w:t xml:space="preserve"> and mucosa-associated </w:t>
      </w:r>
      <w:proofErr w:type="spellStart"/>
      <w:r>
        <w:rPr>
          <w:b/>
          <w:bCs/>
        </w:rPr>
        <w:t>microbiota</w:t>
      </w:r>
      <w:proofErr w:type="spellEnd"/>
      <w:r>
        <w:rPr>
          <w:b/>
          <w:bCs/>
        </w:rPr>
        <w:t>.</w:t>
      </w:r>
      <w:r>
        <w:t xml:space="preserve"> A: </w:t>
      </w:r>
      <w:proofErr w:type="spellStart"/>
      <w:r>
        <w:t>Dendrogram</w:t>
      </w:r>
      <w:proofErr w:type="spellEnd"/>
      <w:r>
        <w:t xml:space="preserve"> obtained from the complete linkage hierarchical clustering of the stool and mucosa samples based on the total operational taxonomic units; B: Principal coordinate analysis plot based on the weighted </w:t>
      </w:r>
      <w:proofErr w:type="spellStart"/>
      <w:r>
        <w:t>UniFrac</w:t>
      </w:r>
      <w:proofErr w:type="spellEnd"/>
      <w:r>
        <w:t xml:space="preserve"> metric.</w:t>
      </w:r>
    </w:p>
    <w:p w:rsidR="00834D76" w:rsidRDefault="00834D76" w:rsidP="00834D76">
      <w:pPr>
        <w:pStyle w:val="8BF4"/>
        <w:rPr>
          <w:rFonts w:hint="eastAsia"/>
          <w:b/>
          <w:bCs/>
        </w:rPr>
      </w:pPr>
      <w:r>
        <w:rPr>
          <w:b/>
          <w:bCs/>
          <w:noProof/>
        </w:rPr>
        <w:drawing>
          <wp:inline distT="0" distB="0" distL="0" distR="0">
            <wp:extent cx="2576195" cy="977900"/>
            <wp:effectExtent l="0" t="0" r="0" b="0"/>
            <wp:docPr id="5" name="图片 5" descr="D:\学排版\WJG\组版\WJGv23i36\PMC-36\fig-36\WJG-23-6665-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学排版\WJG\组版\WJGv23i36\PMC-36\fig-36\WJG-23-6665-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6195" cy="977900"/>
                    </a:xfrm>
                    <a:prstGeom prst="rect">
                      <a:avLst/>
                    </a:prstGeom>
                    <a:noFill/>
                    <a:ln>
                      <a:noFill/>
                    </a:ln>
                  </pic:spPr>
                </pic:pic>
              </a:graphicData>
            </a:graphic>
          </wp:inline>
        </w:drawing>
      </w:r>
    </w:p>
    <w:p w:rsidR="00834D76" w:rsidRDefault="00834D76" w:rsidP="00834D76">
      <w:pPr>
        <w:pStyle w:val="8BF4"/>
      </w:pPr>
      <w:r>
        <w:rPr>
          <w:b/>
          <w:bCs/>
        </w:rPr>
        <w:t xml:space="preserve">Figure </w:t>
      </w:r>
      <w:proofErr w:type="gramStart"/>
      <w:r>
        <w:rPr>
          <w:b/>
          <w:bCs/>
        </w:rPr>
        <w:t>2  Relative</w:t>
      </w:r>
      <w:proofErr w:type="gramEnd"/>
      <w:r>
        <w:rPr>
          <w:b/>
          <w:bCs/>
        </w:rPr>
        <w:t xml:space="preserve"> abundance of bacterial genera in the stool and mucosa samples.</w:t>
      </w:r>
      <w:r>
        <w:t xml:space="preserve"> Statistically significant differences were observed for all genera (</w:t>
      </w:r>
      <w:r>
        <w:rPr>
          <w:i/>
          <w:iCs/>
        </w:rPr>
        <w:t>P</w:t>
      </w:r>
      <w:r>
        <w:t xml:space="preserve"> &lt; 0.05). LM: Luminal </w:t>
      </w:r>
      <w:proofErr w:type="spellStart"/>
      <w:r>
        <w:t>microbiota</w:t>
      </w:r>
      <w:proofErr w:type="spellEnd"/>
      <w:r>
        <w:t xml:space="preserve">; MAM: Mucosa-associated </w:t>
      </w:r>
      <w:proofErr w:type="spellStart"/>
      <w:r>
        <w:t>microbiota</w:t>
      </w:r>
      <w:proofErr w:type="spellEnd"/>
      <w:r>
        <w:t>.</w:t>
      </w:r>
    </w:p>
    <w:p w:rsidR="00834D76" w:rsidRDefault="00834D76" w:rsidP="00834D76">
      <w:pPr>
        <w:pStyle w:val="8BF4"/>
        <w:rPr>
          <w:rFonts w:hint="eastAsia"/>
          <w:b/>
          <w:bCs/>
        </w:rPr>
      </w:pPr>
      <w:r>
        <w:rPr>
          <w:b/>
          <w:bCs/>
          <w:noProof/>
        </w:rPr>
        <w:drawing>
          <wp:inline distT="0" distB="0" distL="0" distR="0">
            <wp:extent cx="1980090" cy="1502796"/>
            <wp:effectExtent l="0" t="0" r="1270" b="2540"/>
            <wp:docPr id="6" name="图片 6" descr="D:\学排版\WJG\组版\WJGv23i36\PMC-36\fig-36\WJG-23-6665-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学排版\WJG\组版\WJGv23i36\PMC-36\fig-36\WJG-23-6665-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0248" cy="1502916"/>
                    </a:xfrm>
                    <a:prstGeom prst="rect">
                      <a:avLst/>
                    </a:prstGeom>
                    <a:noFill/>
                    <a:ln>
                      <a:noFill/>
                    </a:ln>
                  </pic:spPr>
                </pic:pic>
              </a:graphicData>
            </a:graphic>
          </wp:inline>
        </w:drawing>
      </w:r>
    </w:p>
    <w:p w:rsidR="00834D76" w:rsidRDefault="00834D76" w:rsidP="00834D76">
      <w:pPr>
        <w:pStyle w:val="8BF4"/>
      </w:pPr>
      <w:r>
        <w:rPr>
          <w:b/>
          <w:bCs/>
        </w:rPr>
        <w:t>Figure 3  The expression of toll-like receptor 2 is significantly and positively correlated with toll-like receptor 4 expression (</w:t>
      </w:r>
      <w:r>
        <w:rPr>
          <w:b/>
          <w:bCs/>
          <w:i/>
          <w:iCs/>
        </w:rPr>
        <w:t>r</w:t>
      </w:r>
      <w:r>
        <w:rPr>
          <w:b/>
          <w:bCs/>
        </w:rPr>
        <w:t xml:space="preserve"> = 0.492, </w:t>
      </w:r>
      <w:r>
        <w:rPr>
          <w:b/>
          <w:bCs/>
          <w:i/>
          <w:iCs/>
        </w:rPr>
        <w:t>P</w:t>
      </w:r>
      <w:r>
        <w:rPr>
          <w:b/>
          <w:bCs/>
        </w:rPr>
        <w:t xml:space="preserve"> = 0.004).</w:t>
      </w:r>
      <w:r>
        <w:t xml:space="preserve"> TLR: Toll-like receptor.</w:t>
      </w:r>
    </w:p>
    <w:p w:rsidR="00834D76" w:rsidRDefault="00834D76" w:rsidP="00834D76">
      <w:pPr>
        <w:pStyle w:val="8BF4"/>
        <w:rPr>
          <w:rFonts w:hint="eastAsia"/>
          <w:b/>
          <w:bCs/>
        </w:rPr>
      </w:pPr>
      <w:r>
        <w:rPr>
          <w:b/>
          <w:bCs/>
          <w:noProof/>
        </w:rPr>
        <w:drawing>
          <wp:inline distT="0" distB="0" distL="0" distR="0">
            <wp:extent cx="1463040" cy="1637665"/>
            <wp:effectExtent l="0" t="0" r="3810" b="635"/>
            <wp:docPr id="7" name="图片 7" descr="D:\学排版\WJG\组版\WJGv23i36\PMC-36\fig-36\WJG-23-6665-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学排版\WJG\组版\WJGv23i36\PMC-36\fig-36\WJG-23-6665-g00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040" cy="1637665"/>
                    </a:xfrm>
                    <a:prstGeom prst="rect">
                      <a:avLst/>
                    </a:prstGeom>
                    <a:noFill/>
                    <a:ln>
                      <a:noFill/>
                    </a:ln>
                  </pic:spPr>
                </pic:pic>
              </a:graphicData>
            </a:graphic>
          </wp:inline>
        </w:drawing>
      </w:r>
    </w:p>
    <w:p w:rsidR="00834D76" w:rsidRDefault="00834D76" w:rsidP="00834D76">
      <w:pPr>
        <w:pStyle w:val="8BF4"/>
      </w:pPr>
      <w:r>
        <w:rPr>
          <w:b/>
          <w:bCs/>
        </w:rPr>
        <w:lastRenderedPageBreak/>
        <w:t xml:space="preserve">Figure </w:t>
      </w:r>
      <w:proofErr w:type="gramStart"/>
      <w:r>
        <w:rPr>
          <w:b/>
          <w:bCs/>
        </w:rPr>
        <w:t xml:space="preserve">4  </w:t>
      </w:r>
      <w:proofErr w:type="spellStart"/>
      <w:r>
        <w:rPr>
          <w:b/>
          <w:bCs/>
        </w:rPr>
        <w:t>Correlogram</w:t>
      </w:r>
      <w:proofErr w:type="spellEnd"/>
      <w:proofErr w:type="gramEnd"/>
      <w:r>
        <w:rPr>
          <w:b/>
          <w:bCs/>
        </w:rPr>
        <w:t xml:space="preserve"> showing the Pearson’s correlation between key genera and toll-like receptors in both </w:t>
      </w:r>
      <w:proofErr w:type="spellStart"/>
      <w:r>
        <w:rPr>
          <w:b/>
          <w:bCs/>
        </w:rPr>
        <w:t>faecal</w:t>
      </w:r>
      <w:proofErr w:type="spellEnd"/>
      <w:r>
        <w:rPr>
          <w:b/>
          <w:bCs/>
        </w:rPr>
        <w:t xml:space="preserve"> and mucosa samples.</w:t>
      </w:r>
      <w:r>
        <w:t xml:space="preserve"> Blue circles designate a positive correlation, while red ones designate a negative correlation. X means no significant result according to the significance level of 0.05. TLR: Toll-like receptor; MAM: Mucosa-associated </w:t>
      </w:r>
      <w:proofErr w:type="spellStart"/>
      <w:r>
        <w:t>microbiota</w:t>
      </w:r>
      <w:proofErr w:type="spellEnd"/>
      <w:r>
        <w:t xml:space="preserve">; LM: Luminal </w:t>
      </w:r>
      <w:proofErr w:type="spellStart"/>
      <w:r>
        <w:t>microbiota</w:t>
      </w:r>
      <w:proofErr w:type="spellEnd"/>
      <w:r>
        <w:t>.</w:t>
      </w:r>
    </w:p>
    <w:p w:rsidR="00834D76" w:rsidRPr="0062205B" w:rsidRDefault="00834D76" w:rsidP="00834D76"/>
    <w:p w:rsidR="00834D76" w:rsidRDefault="00834D76" w:rsidP="00834D76">
      <w:pPr>
        <w:rPr>
          <w:rFonts w:hint="eastAsia"/>
        </w:rPr>
      </w:pPr>
      <w:r>
        <w:t>Footnotes</w:t>
      </w:r>
    </w:p>
    <w:p w:rsidR="00834D76" w:rsidRDefault="00834D76" w:rsidP="00834D76">
      <w:pPr>
        <w:pStyle w:val="af6"/>
      </w:pPr>
      <w:r>
        <w:rPr>
          <w:rFonts w:ascii="Tahoma" w:hAnsi="Tahoma" w:cs="Tahoma"/>
        </w:rPr>
        <w:t>Manuscript source:</w:t>
      </w:r>
      <w:r>
        <w:t xml:space="preserve"> Unsolicited manuscript</w:t>
      </w:r>
    </w:p>
    <w:p w:rsidR="00834D76" w:rsidRDefault="00834D76" w:rsidP="00834D76">
      <w:pPr>
        <w:shd w:val="clear" w:color="auto" w:fill="FFFFFF"/>
        <w:snapToGrid w:val="0"/>
        <w:spacing w:line="360" w:lineRule="auto"/>
        <w:rPr>
          <w:rFonts w:ascii="Book Antiqua" w:hAnsi="Book Antiqua" w:cs="Helvetica"/>
          <w:b/>
          <w:sz w:val="24"/>
          <w:szCs w:val="24"/>
        </w:rPr>
      </w:pPr>
      <w:r>
        <w:rPr>
          <w:rFonts w:ascii="Book Antiqua" w:hAnsi="Book Antiqua" w:cs="Helvetica"/>
          <w:b/>
          <w:sz w:val="24"/>
          <w:szCs w:val="24"/>
        </w:rPr>
        <w:t xml:space="preserve">Specialty type: </w:t>
      </w:r>
      <w:r>
        <w:rPr>
          <w:rFonts w:ascii="Book Antiqua" w:hAnsi="Book Antiqua" w:cs="Helvetica"/>
          <w:sz w:val="24"/>
          <w:szCs w:val="24"/>
        </w:rPr>
        <w:t>Gastroenterology and</w:t>
      </w:r>
      <w:r>
        <w:rPr>
          <w:rFonts w:ascii="Book Antiqua" w:hAnsi="Book Antiqua" w:cs="Helvetica" w:hint="eastAsia"/>
          <w:sz w:val="24"/>
          <w:szCs w:val="24"/>
        </w:rPr>
        <w:t xml:space="preserve"> </w:t>
      </w:r>
      <w:proofErr w:type="spellStart"/>
      <w:r>
        <w:rPr>
          <w:rFonts w:ascii="Book Antiqua" w:hAnsi="Book Antiqua" w:cs="Helvetica"/>
          <w:sz w:val="24"/>
          <w:szCs w:val="24"/>
        </w:rPr>
        <w:t>hepatology</w:t>
      </w:r>
      <w:proofErr w:type="spellEnd"/>
    </w:p>
    <w:p w:rsidR="00834D76" w:rsidRDefault="00834D76" w:rsidP="00834D76">
      <w:pPr>
        <w:shd w:val="clear" w:color="auto" w:fill="FFFFFF"/>
        <w:snapToGrid w:val="0"/>
        <w:spacing w:line="360" w:lineRule="auto"/>
        <w:rPr>
          <w:rFonts w:ascii="Book Antiqua" w:hAnsi="Book Antiqua" w:cs="Helvetica"/>
          <w:sz w:val="24"/>
          <w:szCs w:val="24"/>
        </w:rPr>
      </w:pPr>
      <w:r>
        <w:rPr>
          <w:rFonts w:ascii="Book Antiqua" w:hAnsi="Book Antiqua" w:cs="Helvetica"/>
          <w:b/>
          <w:sz w:val="24"/>
          <w:szCs w:val="24"/>
        </w:rPr>
        <w:t>Country of origin:</w:t>
      </w:r>
      <w:r>
        <w:rPr>
          <w:rFonts w:ascii="Book Antiqua" w:hAnsi="Book Antiqua" w:cs="Helvetica"/>
          <w:sz w:val="24"/>
          <w:szCs w:val="24"/>
        </w:rPr>
        <w:t xml:space="preserve"> </w:t>
      </w:r>
      <w:r>
        <w:rPr>
          <w:rFonts w:ascii="Book Antiqua" w:hAnsi="Book Antiqua" w:cs="Helvetica" w:hint="eastAsia"/>
          <w:sz w:val="24"/>
          <w:szCs w:val="24"/>
        </w:rPr>
        <w:t>China</w:t>
      </w:r>
    </w:p>
    <w:p w:rsidR="00834D76" w:rsidRDefault="00834D76" w:rsidP="00834D76">
      <w:pPr>
        <w:shd w:val="clear" w:color="auto" w:fill="FFFFFF"/>
        <w:snapToGrid w:val="0"/>
        <w:spacing w:line="360" w:lineRule="auto"/>
        <w:rPr>
          <w:rFonts w:ascii="Book Antiqua" w:hAnsi="Book Antiqua" w:cs="Helvetica"/>
          <w:b/>
          <w:sz w:val="24"/>
          <w:szCs w:val="24"/>
        </w:rPr>
      </w:pPr>
      <w:r>
        <w:rPr>
          <w:rFonts w:ascii="Book Antiqua" w:hAnsi="Book Antiqua" w:cs="Helvetica"/>
          <w:b/>
          <w:sz w:val="24"/>
          <w:szCs w:val="24"/>
        </w:rPr>
        <w:t>Peer-review report classification</w:t>
      </w:r>
    </w:p>
    <w:p w:rsidR="00834D76" w:rsidRDefault="00834D76" w:rsidP="00834D76">
      <w:pPr>
        <w:shd w:val="clear" w:color="auto" w:fill="FFFFFF"/>
        <w:snapToGrid w:val="0"/>
        <w:spacing w:line="360" w:lineRule="auto"/>
        <w:rPr>
          <w:rFonts w:ascii="Book Antiqua" w:hAnsi="Book Antiqua" w:cs="Helvetica"/>
          <w:sz w:val="24"/>
          <w:szCs w:val="24"/>
        </w:rPr>
      </w:pPr>
      <w:r>
        <w:rPr>
          <w:rFonts w:ascii="Book Antiqua" w:hAnsi="Book Antiqua" w:cs="Helvetica"/>
          <w:sz w:val="24"/>
          <w:szCs w:val="24"/>
        </w:rPr>
        <w:t xml:space="preserve">Grade </w:t>
      </w:r>
      <w:proofErr w:type="gramStart"/>
      <w:r>
        <w:rPr>
          <w:rFonts w:ascii="Book Antiqua" w:hAnsi="Book Antiqua" w:cs="Helvetica"/>
          <w:sz w:val="24"/>
          <w:szCs w:val="24"/>
        </w:rPr>
        <w:t>A</w:t>
      </w:r>
      <w:proofErr w:type="gramEnd"/>
      <w:r>
        <w:rPr>
          <w:rFonts w:ascii="Book Antiqua" w:hAnsi="Book Antiqua" w:cs="Helvetica"/>
          <w:sz w:val="24"/>
          <w:szCs w:val="24"/>
        </w:rPr>
        <w:t xml:space="preserve"> (Excellent): </w:t>
      </w:r>
      <w:r>
        <w:rPr>
          <w:rFonts w:ascii="Book Antiqua" w:hAnsi="Book Antiqua" w:cs="Helvetica" w:hint="eastAsia"/>
          <w:sz w:val="24"/>
          <w:szCs w:val="24"/>
        </w:rPr>
        <w:t>0</w:t>
      </w:r>
    </w:p>
    <w:p w:rsidR="00834D76" w:rsidRDefault="00834D76" w:rsidP="00834D76">
      <w:pPr>
        <w:shd w:val="clear" w:color="auto" w:fill="FFFFFF"/>
        <w:snapToGrid w:val="0"/>
        <w:spacing w:line="360" w:lineRule="auto"/>
        <w:rPr>
          <w:rFonts w:ascii="Book Antiqua" w:hAnsi="Book Antiqua" w:cs="Helvetica"/>
          <w:sz w:val="24"/>
          <w:szCs w:val="24"/>
        </w:rPr>
      </w:pPr>
      <w:r>
        <w:rPr>
          <w:rFonts w:ascii="Book Antiqua" w:hAnsi="Book Antiqua" w:cs="Helvetica"/>
          <w:sz w:val="24"/>
          <w:szCs w:val="24"/>
        </w:rPr>
        <w:t xml:space="preserve">Grade B (Very good): </w:t>
      </w:r>
      <w:r>
        <w:rPr>
          <w:rFonts w:ascii="Book Antiqua" w:hAnsi="Book Antiqua" w:cs="Helvetica" w:hint="eastAsia"/>
          <w:sz w:val="24"/>
          <w:szCs w:val="24"/>
        </w:rPr>
        <w:t xml:space="preserve">B, </w:t>
      </w:r>
      <w:r>
        <w:rPr>
          <w:rFonts w:ascii="Book Antiqua" w:hAnsi="Book Antiqua" w:cs="Helvetica"/>
          <w:sz w:val="24"/>
          <w:szCs w:val="24"/>
        </w:rPr>
        <w:t>B</w:t>
      </w:r>
    </w:p>
    <w:p w:rsidR="00834D76" w:rsidRDefault="00834D76" w:rsidP="00834D76">
      <w:pPr>
        <w:shd w:val="clear" w:color="auto" w:fill="FFFFFF"/>
        <w:snapToGrid w:val="0"/>
        <w:spacing w:line="360" w:lineRule="auto"/>
        <w:rPr>
          <w:rFonts w:ascii="Book Antiqua" w:hAnsi="Book Antiqua" w:cs="Helvetica"/>
          <w:sz w:val="24"/>
          <w:szCs w:val="24"/>
        </w:rPr>
      </w:pPr>
      <w:r>
        <w:rPr>
          <w:rFonts w:ascii="Book Antiqua" w:hAnsi="Book Antiqua" w:cs="Helvetica"/>
          <w:sz w:val="24"/>
          <w:szCs w:val="24"/>
        </w:rPr>
        <w:t>Grade C (Good): C</w:t>
      </w:r>
    </w:p>
    <w:p w:rsidR="00834D76" w:rsidRDefault="00834D76" w:rsidP="00834D76">
      <w:pPr>
        <w:shd w:val="clear" w:color="auto" w:fill="FFFFFF"/>
        <w:snapToGrid w:val="0"/>
        <w:spacing w:line="360" w:lineRule="auto"/>
        <w:rPr>
          <w:rFonts w:ascii="Book Antiqua" w:hAnsi="Book Antiqua" w:cs="Helvetica"/>
          <w:sz w:val="24"/>
          <w:szCs w:val="24"/>
        </w:rPr>
      </w:pPr>
      <w:r>
        <w:rPr>
          <w:rFonts w:ascii="Book Antiqua" w:hAnsi="Book Antiqua" w:cs="Helvetica"/>
          <w:sz w:val="24"/>
          <w:szCs w:val="24"/>
        </w:rPr>
        <w:t xml:space="preserve">Grade D (Fair): </w:t>
      </w:r>
      <w:r>
        <w:rPr>
          <w:rFonts w:ascii="Book Antiqua" w:hAnsi="Book Antiqua" w:cs="Helvetica" w:hint="eastAsia"/>
          <w:sz w:val="24"/>
          <w:szCs w:val="24"/>
        </w:rPr>
        <w:t>0</w:t>
      </w:r>
    </w:p>
    <w:p w:rsidR="00834D76" w:rsidRDefault="00834D76" w:rsidP="00834D76">
      <w:pPr>
        <w:spacing w:line="360" w:lineRule="auto"/>
        <w:rPr>
          <w:rFonts w:ascii="Book Antiqua" w:hAnsi="Book Antiqua" w:cs="Helvetica"/>
          <w:sz w:val="24"/>
          <w:szCs w:val="24"/>
        </w:rPr>
      </w:pPr>
      <w:r>
        <w:rPr>
          <w:rFonts w:ascii="Book Antiqua" w:hAnsi="Book Antiqua" w:cs="Helvetica"/>
          <w:sz w:val="24"/>
          <w:szCs w:val="24"/>
        </w:rPr>
        <w:t xml:space="preserve">Grade E (Poor): </w:t>
      </w:r>
      <w:r>
        <w:rPr>
          <w:rFonts w:ascii="Book Antiqua" w:hAnsi="Book Antiqua" w:cs="Helvetica" w:hint="eastAsia"/>
          <w:sz w:val="24"/>
          <w:szCs w:val="24"/>
        </w:rPr>
        <w:t>0</w:t>
      </w:r>
    </w:p>
    <w:p w:rsidR="00834D76" w:rsidRPr="00434DA9" w:rsidRDefault="00834D76" w:rsidP="00834D76">
      <w:pPr>
        <w:pStyle w:val="af6"/>
      </w:pPr>
      <w:r>
        <w:rPr>
          <w:rFonts w:ascii="Tahoma" w:hAnsi="Tahoma" w:cs="Tahoma"/>
          <w:lang w:val="it-IT"/>
        </w:rPr>
        <w:t>Institutional review board statement</w:t>
      </w:r>
      <w:r w:rsidRPr="00463330">
        <w:rPr>
          <w:rFonts w:ascii="Tahoma" w:hAnsi="Tahoma" w:cs="Tahoma"/>
        </w:rPr>
        <w:t>:</w:t>
      </w:r>
      <w:r>
        <w:t xml:space="preserve"> The study was approved by the Ethics Committee of Shanxi Provincial People’s Hospital.</w:t>
      </w:r>
    </w:p>
    <w:p w:rsidR="00834D76" w:rsidRPr="00434DA9" w:rsidRDefault="00834D76" w:rsidP="00834D76">
      <w:pPr>
        <w:pStyle w:val="af6"/>
      </w:pPr>
      <w:r>
        <w:rPr>
          <w:rFonts w:ascii="Tahoma" w:hAnsi="Tahoma" w:cs="Tahoma"/>
          <w:lang w:val="it-IT"/>
        </w:rPr>
        <w:t>Conflict-of-interest statement</w:t>
      </w:r>
      <w:r w:rsidRPr="00463330">
        <w:rPr>
          <w:rFonts w:ascii="Tahoma" w:hAnsi="Tahoma" w:cs="Tahoma"/>
        </w:rPr>
        <w:t>:</w:t>
      </w:r>
      <w:r>
        <w:t xml:space="preserve"> The authors declare that they have no competing interests.</w:t>
      </w:r>
    </w:p>
    <w:p w:rsidR="00834D76" w:rsidRPr="00434DA9" w:rsidRDefault="00834D76" w:rsidP="00834D76">
      <w:pPr>
        <w:pStyle w:val="af6"/>
      </w:pPr>
      <w:r>
        <w:rPr>
          <w:rFonts w:ascii="Tahoma" w:hAnsi="Tahoma" w:cs="Tahoma"/>
          <w:lang w:val="it-IT"/>
        </w:rPr>
        <w:t>Data sharing statement</w:t>
      </w:r>
      <w:r w:rsidRPr="00463330">
        <w:rPr>
          <w:rFonts w:ascii="Tahoma" w:hAnsi="Tahoma" w:cs="Tahoma"/>
        </w:rPr>
        <w:t>:</w:t>
      </w:r>
      <w:r>
        <w:t xml:space="preserve"> No additional data are available.</w:t>
      </w:r>
    </w:p>
    <w:p w:rsidR="00834D76" w:rsidRPr="00434DA9" w:rsidRDefault="00834D76" w:rsidP="00834D76">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34D76" w:rsidRDefault="00834D76" w:rsidP="00834D76">
      <w:pPr>
        <w:pStyle w:val="af6"/>
      </w:pPr>
      <w:r>
        <w:rPr>
          <w:rFonts w:ascii="Tahoma" w:hAnsi="Tahoma" w:cs="Tahoma"/>
        </w:rPr>
        <w:t>Peer-review started:</w:t>
      </w:r>
      <w:r>
        <w:t xml:space="preserve"> June 12, 2017</w:t>
      </w:r>
    </w:p>
    <w:p w:rsidR="00834D76" w:rsidRDefault="00834D76" w:rsidP="00834D76">
      <w:pPr>
        <w:pStyle w:val="af6"/>
      </w:pPr>
      <w:r>
        <w:rPr>
          <w:rFonts w:ascii="Tahoma" w:hAnsi="Tahoma" w:cs="Tahoma"/>
        </w:rPr>
        <w:t>First decision:</w:t>
      </w:r>
      <w:r>
        <w:t xml:space="preserve"> July 27, 2017</w:t>
      </w:r>
    </w:p>
    <w:p w:rsidR="00834D76" w:rsidRDefault="00834D76" w:rsidP="00834D76">
      <w:pPr>
        <w:pStyle w:val="af6"/>
      </w:pPr>
      <w:r>
        <w:rPr>
          <w:rFonts w:ascii="Tahoma" w:hAnsi="Tahoma" w:cs="Tahoma"/>
        </w:rPr>
        <w:t>Article in press:</w:t>
      </w:r>
      <w:r>
        <w:t xml:space="preserve"> September 5, 2017</w:t>
      </w:r>
    </w:p>
    <w:p w:rsidR="00834D76" w:rsidRPr="00344797" w:rsidRDefault="00834D76" w:rsidP="00834D76">
      <w:pPr>
        <w:pStyle w:val="afa"/>
        <w:rPr>
          <w:rFonts w:ascii="Times New Roman" w:hAnsi="Times New Roman" w:cs="Times New Roman"/>
          <w:spacing w:val="-1"/>
        </w:rPr>
      </w:pPr>
      <w:r>
        <w:rPr>
          <w:rFonts w:ascii="Times New Roman" w:hAnsi="Times New Roman" w:cs="Times New Roman"/>
          <w:b/>
          <w:bCs/>
          <w:spacing w:val="-1"/>
        </w:rPr>
        <w:t>P- Reviewer</w:t>
      </w:r>
      <w:r>
        <w:rPr>
          <w:rFonts w:ascii="Times New Roman" w:hAnsi="Times New Roman" w:cs="Times New Roman"/>
        </w:rPr>
        <w:t>:</w:t>
      </w:r>
      <w:r>
        <w:rPr>
          <w:rFonts w:ascii="Times New Roman" w:hAnsi="Times New Roman" w:cs="Times New Roman"/>
          <w:spacing w:val="-1"/>
        </w:rPr>
        <w:t xml:space="preserve"> </w:t>
      </w:r>
      <w:proofErr w:type="spellStart"/>
      <w:r>
        <w:rPr>
          <w:rFonts w:ascii="Times New Roman" w:hAnsi="Times New Roman" w:cs="Times New Roman"/>
          <w:spacing w:val="-1"/>
        </w:rPr>
        <w:t>Biondi</w:t>
      </w:r>
      <w:proofErr w:type="spellEnd"/>
      <w:r>
        <w:rPr>
          <w:rFonts w:ascii="Times New Roman" w:hAnsi="Times New Roman" w:cs="Times New Roman"/>
          <w:spacing w:val="-1"/>
        </w:rPr>
        <w:t xml:space="preserve"> A, </w:t>
      </w:r>
      <w:proofErr w:type="spellStart"/>
      <w:r>
        <w:rPr>
          <w:rFonts w:ascii="Times New Roman" w:hAnsi="Times New Roman" w:cs="Times New Roman"/>
          <w:spacing w:val="-1"/>
        </w:rPr>
        <w:t>Kucherlapati</w:t>
      </w:r>
      <w:proofErr w:type="spellEnd"/>
      <w:r>
        <w:rPr>
          <w:rFonts w:ascii="Times New Roman" w:hAnsi="Times New Roman" w:cs="Times New Roman"/>
          <w:spacing w:val="-1"/>
        </w:rPr>
        <w:t xml:space="preserve"> </w:t>
      </w:r>
      <w:r>
        <w:rPr>
          <w:rFonts w:ascii="Times New Roman" w:hAnsi="Times New Roman" w:cs="Times New Roman"/>
          <w:caps/>
          <w:spacing w:val="-1"/>
        </w:rPr>
        <w:t>mh</w:t>
      </w:r>
      <w:r>
        <w:rPr>
          <w:rFonts w:ascii="Times New Roman" w:hAnsi="Times New Roman" w:cs="Times New Roman"/>
          <w:spacing w:val="-1"/>
        </w:rPr>
        <w:t xml:space="preserve">, </w:t>
      </w:r>
      <w:proofErr w:type="spellStart"/>
      <w:r>
        <w:rPr>
          <w:rFonts w:ascii="Times New Roman" w:hAnsi="Times New Roman" w:cs="Times New Roman"/>
          <w:spacing w:val="-1"/>
        </w:rPr>
        <w:t>Teramoto</w:t>
      </w:r>
      <w:proofErr w:type="spellEnd"/>
      <w:r>
        <w:rPr>
          <w:rFonts w:ascii="Times New Roman" w:hAnsi="Times New Roman" w:cs="Times New Roman"/>
          <w:spacing w:val="-1"/>
        </w:rPr>
        <w:t xml:space="preserve">-Matsubara </w:t>
      </w:r>
      <w:r>
        <w:rPr>
          <w:rFonts w:ascii="Times New Roman" w:hAnsi="Times New Roman" w:cs="Times New Roman"/>
          <w:caps/>
          <w:spacing w:val="-1"/>
        </w:rPr>
        <w:t>ot</w:t>
      </w:r>
      <w:r>
        <w:rPr>
          <w:rFonts w:ascii="Times New Roman" w:hAnsi="Times New Roman" w:cs="Times New Roman"/>
          <w:spacing w:val="-1"/>
        </w:rPr>
        <w:t xml:space="preserve">    </w:t>
      </w:r>
      <w:r>
        <w:rPr>
          <w:rFonts w:ascii="Times New Roman" w:hAnsi="Times New Roman" w:cs="Times New Roman"/>
          <w:b/>
          <w:bCs/>
        </w:rPr>
        <w:t>S-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spacing w:val="-1"/>
        </w:rPr>
        <w:t>Ma YJ</w:t>
      </w:r>
      <w:r>
        <w:rPr>
          <w:rFonts w:ascii="Times New Roman" w:hAnsi="Times New Roman" w:cs="Times New Roman"/>
        </w:rPr>
        <w:t xml:space="preserve">    </w:t>
      </w:r>
      <w:r>
        <w:rPr>
          <w:rFonts w:ascii="Times New Roman" w:hAnsi="Times New Roman" w:cs="Times New Roman"/>
          <w:b/>
          <w:bCs/>
        </w:rPr>
        <w:t>L- Editor</w:t>
      </w:r>
      <w:r>
        <w:rPr>
          <w:rFonts w:ascii="Times New Roman" w:hAnsi="Times New Roman" w:cs="Times New Roman"/>
        </w:rPr>
        <w:t xml:space="preserve">: </w:t>
      </w:r>
      <w:r>
        <w:rPr>
          <w:rFonts w:ascii="Times New Roman" w:hAnsi="Times New Roman" w:cs="Times New Roman"/>
          <w:spacing w:val="-1"/>
        </w:rPr>
        <w:t>Wang TQ</w:t>
      </w:r>
      <w:r>
        <w:rPr>
          <w:rFonts w:ascii="Times New Roman" w:hAnsi="Times New Roman" w:cs="Times New Roman"/>
        </w:rPr>
        <w:t xml:space="preserve">    </w:t>
      </w:r>
      <w:r>
        <w:rPr>
          <w:rFonts w:ascii="Times New Roman" w:hAnsi="Times New Roman" w:cs="Times New Roman"/>
          <w:b/>
          <w:bCs/>
        </w:rPr>
        <w:t>E-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Zhang FF</w:t>
      </w:r>
    </w:p>
    <w:p w:rsidR="00834D76" w:rsidRPr="00344797" w:rsidRDefault="00834D76" w:rsidP="00834D76">
      <w:pPr>
        <w:rPr>
          <w:rFonts w:hint="eastAsia"/>
        </w:rPr>
      </w:pPr>
    </w:p>
    <w:p w:rsidR="00834D76" w:rsidRDefault="00834D76" w:rsidP="00834D76">
      <w:pPr>
        <w:rPr>
          <w:rFonts w:hint="eastAsia"/>
        </w:rPr>
      </w:pPr>
    </w:p>
    <w:p w:rsidR="00834D76" w:rsidRDefault="00834D76" w:rsidP="00834D76">
      <w:pPr>
        <w:rPr>
          <w:rFonts w:hint="eastAsia"/>
        </w:rPr>
      </w:pPr>
    </w:p>
    <w:p w:rsidR="00834D76" w:rsidRDefault="00834D76" w:rsidP="00834D76">
      <w:pPr>
        <w:rPr>
          <w:rFonts w:hint="eastAsia"/>
        </w:rPr>
      </w:pPr>
    </w:p>
    <w:p w:rsidR="00834D76" w:rsidRDefault="00834D76" w:rsidP="00834D76">
      <w:pPr>
        <w:rPr>
          <w:rFonts w:hint="eastAsia"/>
        </w:rPr>
      </w:pPr>
    </w:p>
    <w:p w:rsidR="00834D76" w:rsidRDefault="00834D76" w:rsidP="00834D76">
      <w:pPr>
        <w:rPr>
          <w:rFonts w:hint="eastAsia"/>
        </w:rPr>
      </w:pPr>
    </w:p>
    <w:p w:rsidR="00834D76" w:rsidRDefault="00834D76" w:rsidP="00834D76">
      <w:pPr>
        <w:rPr>
          <w:rFonts w:hint="eastAsia"/>
        </w:rPr>
      </w:pPr>
    </w:p>
    <w:p w:rsidR="00834D76" w:rsidRDefault="00834D76" w:rsidP="00834D76">
      <w:pPr>
        <w:rPr>
          <w:rFonts w:hint="eastAsia"/>
        </w:rPr>
      </w:pPr>
    </w:p>
    <w:p w:rsidR="00834D76" w:rsidRPr="0062205B" w:rsidRDefault="00834D76" w:rsidP="00834D76">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1766570"/>
                <wp:effectExtent l="9525" t="7620" r="12065" b="698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766570"/>
                        </a:xfrm>
                        <a:prstGeom prst="rect">
                          <a:avLst/>
                        </a:prstGeom>
                        <a:solidFill>
                          <a:srgbClr val="FFFFFF"/>
                        </a:solidFill>
                        <a:ln w="9525">
                          <a:solidFill>
                            <a:srgbClr val="000000"/>
                          </a:solidFill>
                          <a:miter lim="800000"/>
                          <a:headEnd/>
                          <a:tailEnd/>
                        </a:ln>
                      </wps:spPr>
                      <wps:txbx>
                        <w:txbxContent>
                          <w:p w:rsidR="00834D76" w:rsidRPr="0062205B" w:rsidRDefault="00834D76" w:rsidP="00834D76">
                            <w:pPr>
                              <w:rPr>
                                <w:b/>
                                <w:bCs/>
                              </w:rPr>
                            </w:pPr>
                            <w:r w:rsidRPr="0062205B">
                              <w:rPr>
                                <w:b/>
                                <w:bCs/>
                              </w:rPr>
                              <w:t xml:space="preserve">Table </w:t>
                            </w:r>
                            <w:proofErr w:type="gramStart"/>
                            <w:r w:rsidRPr="0062205B">
                              <w:rPr>
                                <w:b/>
                                <w:bCs/>
                              </w:rPr>
                              <w:t>1  Comparison</w:t>
                            </w:r>
                            <w:proofErr w:type="gramEnd"/>
                            <w:r w:rsidRPr="0062205B">
                              <w:rPr>
                                <w:b/>
                                <w:bCs/>
                              </w:rPr>
                              <w:t xml:space="preserve"> of the richness and diversity of mucosa-associated </w:t>
                            </w:r>
                            <w:proofErr w:type="spellStart"/>
                            <w:r w:rsidRPr="0062205B">
                              <w:rPr>
                                <w:b/>
                                <w:bCs/>
                              </w:rPr>
                              <w:t>microbiota</w:t>
                            </w:r>
                            <w:proofErr w:type="spellEnd"/>
                            <w:r w:rsidRPr="0062205B">
                              <w:rPr>
                                <w:b/>
                                <w:bCs/>
                              </w:rPr>
                              <w:t xml:space="preserve"> and luminal </w:t>
                            </w:r>
                            <w:proofErr w:type="spellStart"/>
                            <w:r w:rsidRPr="0062205B">
                              <w:rPr>
                                <w:b/>
                                <w:bCs/>
                              </w:rPr>
                              <w:t>microbiota</w:t>
                            </w:r>
                            <w:proofErr w:type="spellEnd"/>
                          </w:p>
                          <w:tbl>
                            <w:tblPr>
                              <w:tblW w:w="5000" w:type="pct"/>
                              <w:tblBorders>
                                <w:top w:val="single" w:sz="6" w:space="0" w:color="000000"/>
                                <w:bottom w:val="single" w:sz="6" w:space="0" w:color="000000"/>
                              </w:tblBorders>
                              <w:tblCellMar>
                                <w:left w:w="0" w:type="dxa"/>
                                <w:right w:w="0" w:type="dxa"/>
                              </w:tblCellMar>
                              <w:tblLook w:val="0000" w:firstRow="0" w:lastRow="0" w:firstColumn="0" w:lastColumn="0" w:noHBand="0" w:noVBand="0"/>
                            </w:tblPr>
                            <w:tblGrid>
                              <w:gridCol w:w="1192"/>
                              <w:gridCol w:w="2077"/>
                              <w:gridCol w:w="2079"/>
                              <w:gridCol w:w="2079"/>
                              <w:gridCol w:w="2075"/>
                            </w:tblGrid>
                            <w:tr w:rsidR="00834D76" w:rsidRPr="0062205B" w:rsidTr="0062205B">
                              <w:tblPrEx>
                                <w:tblCellMar>
                                  <w:top w:w="0" w:type="dxa"/>
                                  <w:left w:w="0" w:type="dxa"/>
                                  <w:bottom w:w="0" w:type="dxa"/>
                                  <w:right w:w="0" w:type="dxa"/>
                                </w:tblCellMar>
                              </w:tblPrEx>
                              <w:trPr>
                                <w:trHeight w:hRule="exact" w:val="525"/>
                              </w:trPr>
                              <w:tc>
                                <w:tcPr>
                                  <w:tcW w:w="627" w:type="pct"/>
                                  <w:tcBorders>
                                    <w:top w:val="single" w:sz="6" w:space="0" w:color="000000"/>
                                    <w:bottom w:val="single" w:sz="6" w:space="0" w:color="000000"/>
                                  </w:tcBorders>
                                  <w:tcMar>
                                    <w:top w:w="28" w:type="dxa"/>
                                    <w:left w:w="28" w:type="dxa"/>
                                    <w:bottom w:w="28" w:type="dxa"/>
                                    <w:right w:w="28" w:type="dxa"/>
                                  </w:tcMar>
                                </w:tcPr>
                                <w:p w:rsidR="00834D76" w:rsidRPr="0062205B" w:rsidRDefault="00834D76" w:rsidP="0062205B">
                                  <w:pPr>
                                    <w:autoSpaceDE w:val="0"/>
                                    <w:autoSpaceDN w:val="0"/>
                                    <w:adjustRightInd w:val="0"/>
                                    <w:jc w:val="left"/>
                                    <w:rPr>
                                      <w:rFonts w:ascii="Albertus-Bold" w:hAnsi="Albertus-Bold"/>
                                      <w:b/>
                                      <w:kern w:val="0"/>
                                      <w:sz w:val="24"/>
                                      <w:szCs w:val="24"/>
                                    </w:rPr>
                                  </w:pPr>
                                </w:p>
                              </w:tc>
                              <w:tc>
                                <w:tcPr>
                                  <w:tcW w:w="1093" w:type="pct"/>
                                  <w:tcBorders>
                                    <w:top w:val="single" w:sz="6" w:space="0" w:color="000000"/>
                                    <w:bottom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62205B">
                                    <w:rPr>
                                      <w:rFonts w:ascii="Albertus-Bold" w:hAnsi="Albertus-Bold" w:cs="Albertus-Bold"/>
                                      <w:b/>
                                      <w:bCs/>
                                      <w:color w:val="000000"/>
                                      <w:kern w:val="0"/>
                                      <w:sz w:val="14"/>
                                      <w:szCs w:val="14"/>
                                      <w:lang w:val="zh-CN"/>
                                    </w:rPr>
                                    <w:t>ACE</w:t>
                                  </w:r>
                                </w:p>
                              </w:tc>
                              <w:tc>
                                <w:tcPr>
                                  <w:tcW w:w="1094" w:type="pct"/>
                                  <w:tcBorders>
                                    <w:top w:val="single" w:sz="6" w:space="0" w:color="000000"/>
                                    <w:bottom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62205B">
                                    <w:rPr>
                                      <w:rFonts w:ascii="Albertus-Bold" w:hAnsi="Albertus-Bold" w:cs="Albertus-Bold"/>
                                      <w:b/>
                                      <w:bCs/>
                                      <w:color w:val="000000"/>
                                      <w:kern w:val="0"/>
                                      <w:sz w:val="14"/>
                                      <w:szCs w:val="14"/>
                                      <w:lang w:val="zh-CN"/>
                                    </w:rPr>
                                    <w:t>Chao</w:t>
                                  </w:r>
                                </w:p>
                              </w:tc>
                              <w:tc>
                                <w:tcPr>
                                  <w:tcW w:w="1094" w:type="pct"/>
                                  <w:tcBorders>
                                    <w:top w:val="single" w:sz="6" w:space="0" w:color="000000"/>
                                    <w:bottom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62205B">
                                    <w:rPr>
                                      <w:rFonts w:ascii="Albertus-Bold" w:hAnsi="Albertus-Bold" w:cs="Albertus-Bold"/>
                                      <w:b/>
                                      <w:bCs/>
                                      <w:color w:val="000000"/>
                                      <w:kern w:val="0"/>
                                      <w:sz w:val="14"/>
                                      <w:szCs w:val="14"/>
                                      <w:lang w:val="zh-CN"/>
                                    </w:rPr>
                                    <w:t>Shannon</w:t>
                                  </w:r>
                                </w:p>
                              </w:tc>
                              <w:tc>
                                <w:tcPr>
                                  <w:tcW w:w="1093" w:type="pct"/>
                                  <w:tcBorders>
                                    <w:top w:val="single" w:sz="6" w:space="0" w:color="000000"/>
                                    <w:bottom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62205B">
                                    <w:rPr>
                                      <w:rFonts w:ascii="Albertus-Bold" w:hAnsi="Albertus-Bold" w:cs="Albertus-Bold"/>
                                      <w:b/>
                                      <w:bCs/>
                                      <w:color w:val="000000"/>
                                      <w:kern w:val="0"/>
                                      <w:sz w:val="14"/>
                                      <w:szCs w:val="14"/>
                                      <w:lang w:val="zh-CN"/>
                                    </w:rPr>
                                    <w:t>Simpson</w:t>
                                  </w:r>
                                </w:p>
                              </w:tc>
                            </w:tr>
                            <w:tr w:rsidR="00834D76" w:rsidRPr="0062205B" w:rsidTr="0062205B">
                              <w:tblPrEx>
                                <w:tblCellMar>
                                  <w:top w:w="0" w:type="dxa"/>
                                  <w:left w:w="0" w:type="dxa"/>
                                  <w:bottom w:w="0" w:type="dxa"/>
                                  <w:right w:w="0" w:type="dxa"/>
                                </w:tblCellMar>
                              </w:tblPrEx>
                              <w:trPr>
                                <w:trHeight w:val="60"/>
                              </w:trPr>
                              <w:tc>
                                <w:tcPr>
                                  <w:tcW w:w="627" w:type="pct"/>
                                  <w:tcBorders>
                                    <w:top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MAM</w:t>
                                  </w:r>
                                </w:p>
                              </w:tc>
                              <w:tc>
                                <w:tcPr>
                                  <w:tcW w:w="1093" w:type="pct"/>
                                  <w:tcBorders>
                                    <w:top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160.72 ± 51.62</w:t>
                                  </w:r>
                                </w:p>
                              </w:tc>
                              <w:tc>
                                <w:tcPr>
                                  <w:tcW w:w="1094" w:type="pct"/>
                                  <w:tcBorders>
                                    <w:top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151.56 ± 48.63</w:t>
                                  </w:r>
                                </w:p>
                              </w:tc>
                              <w:tc>
                                <w:tcPr>
                                  <w:tcW w:w="1094" w:type="pct"/>
                                  <w:tcBorders>
                                    <w:top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 xml:space="preserve">  2.29 ± 1.24</w:t>
                                  </w:r>
                                </w:p>
                              </w:tc>
                              <w:tc>
                                <w:tcPr>
                                  <w:tcW w:w="1093" w:type="pct"/>
                                  <w:tcBorders>
                                    <w:top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0.33 ± 0.32</w:t>
                                  </w:r>
                                </w:p>
                              </w:tc>
                            </w:tr>
                            <w:tr w:rsidR="00834D76" w:rsidRPr="0062205B" w:rsidTr="0062205B">
                              <w:tblPrEx>
                                <w:tblCellMar>
                                  <w:top w:w="0" w:type="dxa"/>
                                  <w:left w:w="0" w:type="dxa"/>
                                  <w:bottom w:w="0" w:type="dxa"/>
                                  <w:right w:w="0" w:type="dxa"/>
                                </w:tblCellMar>
                              </w:tblPrEx>
                              <w:trPr>
                                <w:trHeight w:val="60"/>
                              </w:trPr>
                              <w:tc>
                                <w:tcPr>
                                  <w:tcW w:w="627"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LM</w:t>
                                  </w:r>
                                </w:p>
                              </w:tc>
                              <w:tc>
                                <w:tcPr>
                                  <w:tcW w:w="1093"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195.50 ± 42.04</w:t>
                                  </w:r>
                                </w:p>
                              </w:tc>
                              <w:tc>
                                <w:tcPr>
                                  <w:tcW w:w="1094"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188.65 ± 42.70</w:t>
                                  </w:r>
                                </w:p>
                              </w:tc>
                              <w:tc>
                                <w:tcPr>
                                  <w:tcW w:w="1094"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2.901 ± 0.54</w:t>
                                  </w:r>
                                </w:p>
                              </w:tc>
                              <w:tc>
                                <w:tcPr>
                                  <w:tcW w:w="1093"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0.13 ± 0.07</w:t>
                                  </w:r>
                                </w:p>
                              </w:tc>
                            </w:tr>
                            <w:tr w:rsidR="00834D76" w:rsidRPr="0062205B" w:rsidTr="0062205B">
                              <w:tblPrEx>
                                <w:tblCellMar>
                                  <w:top w:w="0" w:type="dxa"/>
                                  <w:left w:w="0" w:type="dxa"/>
                                  <w:bottom w:w="0" w:type="dxa"/>
                                  <w:right w:w="0" w:type="dxa"/>
                                </w:tblCellMar>
                              </w:tblPrEx>
                              <w:trPr>
                                <w:trHeight w:val="60"/>
                              </w:trPr>
                              <w:tc>
                                <w:tcPr>
                                  <w:tcW w:w="627"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2205B">
                                    <w:rPr>
                                      <w:rFonts w:ascii="Book Antiqua" w:hAnsi="Book Antiqua" w:cs="Book Antiqua"/>
                                      <w:i/>
                                      <w:iCs/>
                                      <w:color w:val="000000"/>
                                      <w:kern w:val="0"/>
                                      <w:sz w:val="14"/>
                                      <w:szCs w:val="14"/>
                                    </w:rPr>
                                    <w:t>P</w:t>
                                  </w:r>
                                  <w:r w:rsidRPr="0062205B">
                                    <w:rPr>
                                      <w:rFonts w:ascii="Book Antiqua" w:hAnsi="Book Antiqua" w:cs="Book Antiqua"/>
                                      <w:bCs/>
                                      <w:color w:val="000000"/>
                                      <w:kern w:val="0"/>
                                      <w:sz w:val="14"/>
                                      <w:szCs w:val="14"/>
                                    </w:rPr>
                                    <w:t xml:space="preserve"> value</w:t>
                                  </w:r>
                                </w:p>
                              </w:tc>
                              <w:tc>
                                <w:tcPr>
                                  <w:tcW w:w="1093"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0.004</w:t>
                                  </w:r>
                                  <w:r w:rsidRPr="0062205B">
                                    <w:rPr>
                                      <w:rFonts w:ascii="Book Antiqua" w:hAnsi="Book Antiqua" w:cs="Book Antiqua"/>
                                      <w:bCs/>
                                      <w:color w:val="000000"/>
                                      <w:kern w:val="0"/>
                                      <w:sz w:val="14"/>
                                      <w:szCs w:val="14"/>
                                      <w:vertAlign w:val="superscript"/>
                                    </w:rPr>
                                    <w:t>b</w:t>
                                  </w:r>
                                </w:p>
                              </w:tc>
                              <w:tc>
                                <w:tcPr>
                                  <w:tcW w:w="1094"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0.002</w:t>
                                  </w:r>
                                  <w:r w:rsidRPr="0062205B">
                                    <w:rPr>
                                      <w:rFonts w:ascii="Book Antiqua" w:hAnsi="Book Antiqua" w:cs="Book Antiqua"/>
                                      <w:bCs/>
                                      <w:color w:val="000000"/>
                                      <w:kern w:val="0"/>
                                      <w:sz w:val="14"/>
                                      <w:szCs w:val="14"/>
                                      <w:vertAlign w:val="superscript"/>
                                    </w:rPr>
                                    <w:t>b</w:t>
                                  </w:r>
                                </w:p>
                              </w:tc>
                              <w:tc>
                                <w:tcPr>
                                  <w:tcW w:w="1094"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0.012</w:t>
                                  </w:r>
                                  <w:r w:rsidRPr="0062205B">
                                    <w:rPr>
                                      <w:rFonts w:ascii="Book Antiqua" w:hAnsi="Book Antiqua" w:cs="Book Antiqua"/>
                                      <w:bCs/>
                                      <w:color w:val="000000"/>
                                      <w:kern w:val="0"/>
                                      <w:sz w:val="14"/>
                                      <w:szCs w:val="14"/>
                                      <w:vertAlign w:val="superscript"/>
                                    </w:rPr>
                                    <w:t>a</w:t>
                                  </w:r>
                                </w:p>
                              </w:tc>
                              <w:tc>
                                <w:tcPr>
                                  <w:tcW w:w="1093"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0.001</w:t>
                                  </w:r>
                                  <w:r w:rsidRPr="0062205B">
                                    <w:rPr>
                                      <w:rFonts w:ascii="Book Antiqua" w:hAnsi="Book Antiqua" w:cs="Book Antiqua"/>
                                      <w:bCs/>
                                      <w:color w:val="000000"/>
                                      <w:kern w:val="0"/>
                                      <w:sz w:val="14"/>
                                      <w:szCs w:val="14"/>
                                      <w:vertAlign w:val="superscript"/>
                                    </w:rPr>
                                    <w:t>b</w:t>
                                  </w:r>
                                </w:p>
                              </w:tc>
                            </w:tr>
                          </w:tbl>
                          <w:p w:rsidR="00834D76" w:rsidRPr="00455819" w:rsidRDefault="00834D76" w:rsidP="00834D76">
                            <w:pPr>
                              <w:pStyle w:val="afb"/>
                              <w:rPr>
                                <w:vertAlign w:val="superscript"/>
                              </w:rPr>
                            </w:pPr>
                            <w:proofErr w:type="spellStart"/>
                            <w:proofErr w:type="gramStart"/>
                            <w:r w:rsidRPr="0062205B">
                              <w:rPr>
                                <w:b w:val="0"/>
                                <w:vertAlign w:val="superscript"/>
                              </w:rPr>
                              <w:t>a</w:t>
                            </w:r>
                            <w:r w:rsidRPr="0062205B">
                              <w:rPr>
                                <w:b w:val="0"/>
                                <w:bCs w:val="0"/>
                                <w:i/>
                                <w:iCs/>
                              </w:rPr>
                              <w:t>P</w:t>
                            </w:r>
                            <w:proofErr w:type="spellEnd"/>
                            <w:proofErr w:type="gramEnd"/>
                            <w:r w:rsidRPr="0062205B">
                              <w:rPr>
                                <w:b w:val="0"/>
                              </w:rPr>
                              <w:t xml:space="preserve"> &lt; 0.05, </w:t>
                            </w:r>
                            <w:proofErr w:type="spellStart"/>
                            <w:r w:rsidRPr="0062205B">
                              <w:rPr>
                                <w:b w:val="0"/>
                                <w:vertAlign w:val="superscript"/>
                              </w:rPr>
                              <w:t>b</w:t>
                            </w:r>
                            <w:r w:rsidRPr="0062205B">
                              <w:rPr>
                                <w:b w:val="0"/>
                                <w:bCs w:val="0"/>
                                <w:i/>
                                <w:iCs/>
                              </w:rPr>
                              <w:t>P</w:t>
                            </w:r>
                            <w:proofErr w:type="spellEnd"/>
                            <w:r w:rsidRPr="0062205B">
                              <w:rPr>
                                <w:b w:val="0"/>
                              </w:rPr>
                              <w:t xml:space="preserve"> &lt; 0.01, MAM </w:t>
                            </w:r>
                            <w:proofErr w:type="spellStart"/>
                            <w:r w:rsidRPr="0062205B">
                              <w:rPr>
                                <w:b w:val="0"/>
                                <w:bCs w:val="0"/>
                                <w:i/>
                                <w:iCs/>
                              </w:rPr>
                              <w:t>vs</w:t>
                            </w:r>
                            <w:proofErr w:type="spellEnd"/>
                            <w:r w:rsidRPr="0062205B">
                              <w:rPr>
                                <w:b w:val="0"/>
                              </w:rPr>
                              <w:t xml:space="preserve"> LM. MAM: Mucosa-associated </w:t>
                            </w:r>
                            <w:proofErr w:type="spellStart"/>
                            <w:r w:rsidRPr="0062205B">
                              <w:rPr>
                                <w:b w:val="0"/>
                              </w:rPr>
                              <w:t>microbiota</w:t>
                            </w:r>
                            <w:proofErr w:type="spellEnd"/>
                            <w:r w:rsidRPr="0062205B">
                              <w:rPr>
                                <w:b w:val="0"/>
                              </w:rPr>
                              <w:t xml:space="preserve">; LM: Luminal </w:t>
                            </w:r>
                            <w:proofErr w:type="spellStart"/>
                            <w:r w:rsidRPr="0062205B">
                              <w:rPr>
                                <w:b w:val="0"/>
                              </w:rPr>
                              <w:t>microbiota</w:t>
                            </w:r>
                            <w:proofErr w:type="spellEnd"/>
                            <w:r w:rsidRPr="0062205B">
                              <w:rPr>
                                <w:b w:val="0"/>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416.05pt;height:139.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">
                <v:textbox style="mso-fit-shape-to-text:t">
                  <w:txbxContent>
                    <w:p w:rsidR="00834D76" w:rsidRPr="0062205B" w:rsidRDefault="00834D76" w:rsidP="00834D76">
                      <w:pPr>
                        <w:rPr>
                          <w:b/>
                          <w:bCs/>
                        </w:rPr>
                      </w:pPr>
                      <w:r w:rsidRPr="0062205B">
                        <w:rPr>
                          <w:b/>
                          <w:bCs/>
                        </w:rPr>
                        <w:t xml:space="preserve">Table </w:t>
                      </w:r>
                      <w:proofErr w:type="gramStart"/>
                      <w:r w:rsidRPr="0062205B">
                        <w:rPr>
                          <w:b/>
                          <w:bCs/>
                        </w:rPr>
                        <w:t>1  Comparison</w:t>
                      </w:r>
                      <w:proofErr w:type="gramEnd"/>
                      <w:r w:rsidRPr="0062205B">
                        <w:rPr>
                          <w:b/>
                          <w:bCs/>
                        </w:rPr>
                        <w:t xml:space="preserve"> of the richness and diversity of mucosa-associated </w:t>
                      </w:r>
                      <w:proofErr w:type="spellStart"/>
                      <w:r w:rsidRPr="0062205B">
                        <w:rPr>
                          <w:b/>
                          <w:bCs/>
                        </w:rPr>
                        <w:t>microbiota</w:t>
                      </w:r>
                      <w:proofErr w:type="spellEnd"/>
                      <w:r w:rsidRPr="0062205B">
                        <w:rPr>
                          <w:b/>
                          <w:bCs/>
                        </w:rPr>
                        <w:t xml:space="preserve"> and luminal </w:t>
                      </w:r>
                      <w:proofErr w:type="spellStart"/>
                      <w:r w:rsidRPr="0062205B">
                        <w:rPr>
                          <w:b/>
                          <w:bCs/>
                        </w:rPr>
                        <w:t>microbiota</w:t>
                      </w:r>
                      <w:proofErr w:type="spellEnd"/>
                    </w:p>
                    <w:tbl>
                      <w:tblPr>
                        <w:tblW w:w="5000" w:type="pct"/>
                        <w:tblBorders>
                          <w:top w:val="single" w:sz="6" w:space="0" w:color="000000"/>
                          <w:bottom w:val="single" w:sz="6" w:space="0" w:color="000000"/>
                        </w:tblBorders>
                        <w:tblCellMar>
                          <w:left w:w="0" w:type="dxa"/>
                          <w:right w:w="0" w:type="dxa"/>
                        </w:tblCellMar>
                        <w:tblLook w:val="0000" w:firstRow="0" w:lastRow="0" w:firstColumn="0" w:lastColumn="0" w:noHBand="0" w:noVBand="0"/>
                      </w:tblPr>
                      <w:tblGrid>
                        <w:gridCol w:w="1192"/>
                        <w:gridCol w:w="2077"/>
                        <w:gridCol w:w="2079"/>
                        <w:gridCol w:w="2079"/>
                        <w:gridCol w:w="2075"/>
                      </w:tblGrid>
                      <w:tr w:rsidR="00834D76" w:rsidRPr="0062205B" w:rsidTr="0062205B">
                        <w:tblPrEx>
                          <w:tblCellMar>
                            <w:top w:w="0" w:type="dxa"/>
                            <w:left w:w="0" w:type="dxa"/>
                            <w:bottom w:w="0" w:type="dxa"/>
                            <w:right w:w="0" w:type="dxa"/>
                          </w:tblCellMar>
                        </w:tblPrEx>
                        <w:trPr>
                          <w:trHeight w:hRule="exact" w:val="525"/>
                        </w:trPr>
                        <w:tc>
                          <w:tcPr>
                            <w:tcW w:w="627" w:type="pct"/>
                            <w:tcBorders>
                              <w:top w:val="single" w:sz="6" w:space="0" w:color="000000"/>
                              <w:bottom w:val="single" w:sz="6" w:space="0" w:color="000000"/>
                            </w:tcBorders>
                            <w:tcMar>
                              <w:top w:w="28" w:type="dxa"/>
                              <w:left w:w="28" w:type="dxa"/>
                              <w:bottom w:w="28" w:type="dxa"/>
                              <w:right w:w="28" w:type="dxa"/>
                            </w:tcMar>
                          </w:tcPr>
                          <w:p w:rsidR="00834D76" w:rsidRPr="0062205B" w:rsidRDefault="00834D76" w:rsidP="0062205B">
                            <w:pPr>
                              <w:autoSpaceDE w:val="0"/>
                              <w:autoSpaceDN w:val="0"/>
                              <w:adjustRightInd w:val="0"/>
                              <w:jc w:val="left"/>
                              <w:rPr>
                                <w:rFonts w:ascii="Albertus-Bold" w:hAnsi="Albertus-Bold"/>
                                <w:b/>
                                <w:kern w:val="0"/>
                                <w:sz w:val="24"/>
                                <w:szCs w:val="24"/>
                              </w:rPr>
                            </w:pPr>
                          </w:p>
                        </w:tc>
                        <w:tc>
                          <w:tcPr>
                            <w:tcW w:w="1093" w:type="pct"/>
                            <w:tcBorders>
                              <w:top w:val="single" w:sz="6" w:space="0" w:color="000000"/>
                              <w:bottom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62205B">
                              <w:rPr>
                                <w:rFonts w:ascii="Albertus-Bold" w:hAnsi="Albertus-Bold" w:cs="Albertus-Bold"/>
                                <w:b/>
                                <w:bCs/>
                                <w:color w:val="000000"/>
                                <w:kern w:val="0"/>
                                <w:sz w:val="14"/>
                                <w:szCs w:val="14"/>
                                <w:lang w:val="zh-CN"/>
                              </w:rPr>
                              <w:t>ACE</w:t>
                            </w:r>
                          </w:p>
                        </w:tc>
                        <w:tc>
                          <w:tcPr>
                            <w:tcW w:w="1094" w:type="pct"/>
                            <w:tcBorders>
                              <w:top w:val="single" w:sz="6" w:space="0" w:color="000000"/>
                              <w:bottom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62205B">
                              <w:rPr>
                                <w:rFonts w:ascii="Albertus-Bold" w:hAnsi="Albertus-Bold" w:cs="Albertus-Bold"/>
                                <w:b/>
                                <w:bCs/>
                                <w:color w:val="000000"/>
                                <w:kern w:val="0"/>
                                <w:sz w:val="14"/>
                                <w:szCs w:val="14"/>
                                <w:lang w:val="zh-CN"/>
                              </w:rPr>
                              <w:t>Chao</w:t>
                            </w:r>
                          </w:p>
                        </w:tc>
                        <w:tc>
                          <w:tcPr>
                            <w:tcW w:w="1094" w:type="pct"/>
                            <w:tcBorders>
                              <w:top w:val="single" w:sz="6" w:space="0" w:color="000000"/>
                              <w:bottom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62205B">
                              <w:rPr>
                                <w:rFonts w:ascii="Albertus-Bold" w:hAnsi="Albertus-Bold" w:cs="Albertus-Bold"/>
                                <w:b/>
                                <w:bCs/>
                                <w:color w:val="000000"/>
                                <w:kern w:val="0"/>
                                <w:sz w:val="14"/>
                                <w:szCs w:val="14"/>
                                <w:lang w:val="zh-CN"/>
                              </w:rPr>
                              <w:t>Shannon</w:t>
                            </w:r>
                          </w:p>
                        </w:tc>
                        <w:tc>
                          <w:tcPr>
                            <w:tcW w:w="1093" w:type="pct"/>
                            <w:tcBorders>
                              <w:top w:val="single" w:sz="6" w:space="0" w:color="000000"/>
                              <w:bottom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62205B">
                              <w:rPr>
                                <w:rFonts w:ascii="Albertus-Bold" w:hAnsi="Albertus-Bold" w:cs="Albertus-Bold"/>
                                <w:b/>
                                <w:bCs/>
                                <w:color w:val="000000"/>
                                <w:kern w:val="0"/>
                                <w:sz w:val="14"/>
                                <w:szCs w:val="14"/>
                                <w:lang w:val="zh-CN"/>
                              </w:rPr>
                              <w:t>Simpson</w:t>
                            </w:r>
                          </w:p>
                        </w:tc>
                      </w:tr>
                      <w:tr w:rsidR="00834D76" w:rsidRPr="0062205B" w:rsidTr="0062205B">
                        <w:tblPrEx>
                          <w:tblCellMar>
                            <w:top w:w="0" w:type="dxa"/>
                            <w:left w:w="0" w:type="dxa"/>
                            <w:bottom w:w="0" w:type="dxa"/>
                            <w:right w:w="0" w:type="dxa"/>
                          </w:tblCellMar>
                        </w:tblPrEx>
                        <w:trPr>
                          <w:trHeight w:val="60"/>
                        </w:trPr>
                        <w:tc>
                          <w:tcPr>
                            <w:tcW w:w="627" w:type="pct"/>
                            <w:tcBorders>
                              <w:top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MAM</w:t>
                            </w:r>
                          </w:p>
                        </w:tc>
                        <w:tc>
                          <w:tcPr>
                            <w:tcW w:w="1093" w:type="pct"/>
                            <w:tcBorders>
                              <w:top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160.72 ± 51.62</w:t>
                            </w:r>
                          </w:p>
                        </w:tc>
                        <w:tc>
                          <w:tcPr>
                            <w:tcW w:w="1094" w:type="pct"/>
                            <w:tcBorders>
                              <w:top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151.56 ± 48.63</w:t>
                            </w:r>
                          </w:p>
                        </w:tc>
                        <w:tc>
                          <w:tcPr>
                            <w:tcW w:w="1094" w:type="pct"/>
                            <w:tcBorders>
                              <w:top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 xml:space="preserve">  2.29 ± 1.24</w:t>
                            </w:r>
                          </w:p>
                        </w:tc>
                        <w:tc>
                          <w:tcPr>
                            <w:tcW w:w="1093" w:type="pct"/>
                            <w:tcBorders>
                              <w:top w:val="single" w:sz="6" w:space="0" w:color="000000"/>
                            </w:tcBorders>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0.33 ± 0.32</w:t>
                            </w:r>
                          </w:p>
                        </w:tc>
                      </w:tr>
                      <w:tr w:rsidR="00834D76" w:rsidRPr="0062205B" w:rsidTr="0062205B">
                        <w:tblPrEx>
                          <w:tblCellMar>
                            <w:top w:w="0" w:type="dxa"/>
                            <w:left w:w="0" w:type="dxa"/>
                            <w:bottom w:w="0" w:type="dxa"/>
                            <w:right w:w="0" w:type="dxa"/>
                          </w:tblCellMar>
                        </w:tblPrEx>
                        <w:trPr>
                          <w:trHeight w:val="60"/>
                        </w:trPr>
                        <w:tc>
                          <w:tcPr>
                            <w:tcW w:w="627"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LM</w:t>
                            </w:r>
                          </w:p>
                        </w:tc>
                        <w:tc>
                          <w:tcPr>
                            <w:tcW w:w="1093"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195.50 ± 42.04</w:t>
                            </w:r>
                          </w:p>
                        </w:tc>
                        <w:tc>
                          <w:tcPr>
                            <w:tcW w:w="1094"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188.65 ± 42.70</w:t>
                            </w:r>
                          </w:p>
                        </w:tc>
                        <w:tc>
                          <w:tcPr>
                            <w:tcW w:w="1094"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2.901 ± 0.54</w:t>
                            </w:r>
                          </w:p>
                        </w:tc>
                        <w:tc>
                          <w:tcPr>
                            <w:tcW w:w="1093"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0.13 ± 0.07</w:t>
                            </w:r>
                          </w:p>
                        </w:tc>
                      </w:tr>
                      <w:tr w:rsidR="00834D76" w:rsidRPr="0062205B" w:rsidTr="0062205B">
                        <w:tblPrEx>
                          <w:tblCellMar>
                            <w:top w:w="0" w:type="dxa"/>
                            <w:left w:w="0" w:type="dxa"/>
                            <w:bottom w:w="0" w:type="dxa"/>
                            <w:right w:w="0" w:type="dxa"/>
                          </w:tblCellMar>
                        </w:tblPrEx>
                        <w:trPr>
                          <w:trHeight w:val="60"/>
                        </w:trPr>
                        <w:tc>
                          <w:tcPr>
                            <w:tcW w:w="627"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2205B">
                              <w:rPr>
                                <w:rFonts w:ascii="Book Antiqua" w:hAnsi="Book Antiqua" w:cs="Book Antiqua"/>
                                <w:i/>
                                <w:iCs/>
                                <w:color w:val="000000"/>
                                <w:kern w:val="0"/>
                                <w:sz w:val="14"/>
                                <w:szCs w:val="14"/>
                              </w:rPr>
                              <w:t>P</w:t>
                            </w:r>
                            <w:r w:rsidRPr="0062205B">
                              <w:rPr>
                                <w:rFonts w:ascii="Book Antiqua" w:hAnsi="Book Antiqua" w:cs="Book Antiqua"/>
                                <w:bCs/>
                                <w:color w:val="000000"/>
                                <w:kern w:val="0"/>
                                <w:sz w:val="14"/>
                                <w:szCs w:val="14"/>
                              </w:rPr>
                              <w:t xml:space="preserve"> value</w:t>
                            </w:r>
                          </w:p>
                        </w:tc>
                        <w:tc>
                          <w:tcPr>
                            <w:tcW w:w="1093"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0.004</w:t>
                            </w:r>
                            <w:r w:rsidRPr="0062205B">
                              <w:rPr>
                                <w:rFonts w:ascii="Book Antiqua" w:hAnsi="Book Antiqua" w:cs="Book Antiqua"/>
                                <w:bCs/>
                                <w:color w:val="000000"/>
                                <w:kern w:val="0"/>
                                <w:sz w:val="14"/>
                                <w:szCs w:val="14"/>
                                <w:vertAlign w:val="superscript"/>
                              </w:rPr>
                              <w:t>b</w:t>
                            </w:r>
                          </w:p>
                        </w:tc>
                        <w:tc>
                          <w:tcPr>
                            <w:tcW w:w="1094"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0.002</w:t>
                            </w:r>
                            <w:r w:rsidRPr="0062205B">
                              <w:rPr>
                                <w:rFonts w:ascii="Book Antiqua" w:hAnsi="Book Antiqua" w:cs="Book Antiqua"/>
                                <w:bCs/>
                                <w:color w:val="000000"/>
                                <w:kern w:val="0"/>
                                <w:sz w:val="14"/>
                                <w:szCs w:val="14"/>
                                <w:vertAlign w:val="superscript"/>
                              </w:rPr>
                              <w:t>b</w:t>
                            </w:r>
                          </w:p>
                        </w:tc>
                        <w:tc>
                          <w:tcPr>
                            <w:tcW w:w="1094"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0.012</w:t>
                            </w:r>
                            <w:r w:rsidRPr="0062205B">
                              <w:rPr>
                                <w:rFonts w:ascii="Book Antiqua" w:hAnsi="Book Antiqua" w:cs="Book Antiqua"/>
                                <w:bCs/>
                                <w:color w:val="000000"/>
                                <w:kern w:val="0"/>
                                <w:sz w:val="14"/>
                                <w:szCs w:val="14"/>
                                <w:vertAlign w:val="superscript"/>
                              </w:rPr>
                              <w:t>a</w:t>
                            </w:r>
                          </w:p>
                        </w:tc>
                        <w:tc>
                          <w:tcPr>
                            <w:tcW w:w="1093" w:type="pct"/>
                            <w:tcMar>
                              <w:top w:w="28" w:type="dxa"/>
                              <w:left w:w="28" w:type="dxa"/>
                              <w:bottom w:w="28" w:type="dxa"/>
                              <w:right w:w="28" w:type="dxa"/>
                            </w:tcMar>
                          </w:tcPr>
                          <w:p w:rsidR="00834D76" w:rsidRPr="0062205B" w:rsidRDefault="00834D76" w:rsidP="0062205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2205B">
                              <w:rPr>
                                <w:rFonts w:ascii="Book Antiqua" w:hAnsi="Book Antiqua" w:cs="Book Antiqua"/>
                                <w:bCs/>
                                <w:color w:val="000000"/>
                                <w:kern w:val="0"/>
                                <w:sz w:val="14"/>
                                <w:szCs w:val="14"/>
                              </w:rPr>
                              <w:t>0.001</w:t>
                            </w:r>
                            <w:r w:rsidRPr="0062205B">
                              <w:rPr>
                                <w:rFonts w:ascii="Book Antiqua" w:hAnsi="Book Antiqua" w:cs="Book Antiqua"/>
                                <w:bCs/>
                                <w:color w:val="000000"/>
                                <w:kern w:val="0"/>
                                <w:sz w:val="14"/>
                                <w:szCs w:val="14"/>
                                <w:vertAlign w:val="superscript"/>
                              </w:rPr>
                              <w:t>b</w:t>
                            </w:r>
                          </w:p>
                        </w:tc>
                      </w:tr>
                    </w:tbl>
                    <w:p w:rsidR="00834D76" w:rsidRPr="00455819" w:rsidRDefault="00834D76" w:rsidP="00834D76">
                      <w:pPr>
                        <w:pStyle w:val="afb"/>
                        <w:rPr>
                          <w:vertAlign w:val="superscript"/>
                        </w:rPr>
                      </w:pPr>
                      <w:proofErr w:type="spellStart"/>
                      <w:proofErr w:type="gramStart"/>
                      <w:r w:rsidRPr="0062205B">
                        <w:rPr>
                          <w:b w:val="0"/>
                          <w:vertAlign w:val="superscript"/>
                        </w:rPr>
                        <w:t>a</w:t>
                      </w:r>
                      <w:r w:rsidRPr="0062205B">
                        <w:rPr>
                          <w:b w:val="0"/>
                          <w:bCs w:val="0"/>
                          <w:i/>
                          <w:iCs/>
                        </w:rPr>
                        <w:t>P</w:t>
                      </w:r>
                      <w:proofErr w:type="spellEnd"/>
                      <w:proofErr w:type="gramEnd"/>
                      <w:r w:rsidRPr="0062205B">
                        <w:rPr>
                          <w:b w:val="0"/>
                        </w:rPr>
                        <w:t xml:space="preserve"> &lt; 0.05, </w:t>
                      </w:r>
                      <w:proofErr w:type="spellStart"/>
                      <w:r w:rsidRPr="0062205B">
                        <w:rPr>
                          <w:b w:val="0"/>
                          <w:vertAlign w:val="superscript"/>
                        </w:rPr>
                        <w:t>b</w:t>
                      </w:r>
                      <w:r w:rsidRPr="0062205B">
                        <w:rPr>
                          <w:b w:val="0"/>
                          <w:bCs w:val="0"/>
                          <w:i/>
                          <w:iCs/>
                        </w:rPr>
                        <w:t>P</w:t>
                      </w:r>
                      <w:proofErr w:type="spellEnd"/>
                      <w:r w:rsidRPr="0062205B">
                        <w:rPr>
                          <w:b w:val="0"/>
                        </w:rPr>
                        <w:t xml:space="preserve"> &lt; 0.01, MAM </w:t>
                      </w:r>
                      <w:proofErr w:type="spellStart"/>
                      <w:r w:rsidRPr="0062205B">
                        <w:rPr>
                          <w:b w:val="0"/>
                          <w:bCs w:val="0"/>
                          <w:i/>
                          <w:iCs/>
                        </w:rPr>
                        <w:t>vs</w:t>
                      </w:r>
                      <w:proofErr w:type="spellEnd"/>
                      <w:r w:rsidRPr="0062205B">
                        <w:rPr>
                          <w:b w:val="0"/>
                        </w:rPr>
                        <w:t xml:space="preserve"> LM. MAM: Mucosa-associated </w:t>
                      </w:r>
                      <w:proofErr w:type="spellStart"/>
                      <w:r w:rsidRPr="0062205B">
                        <w:rPr>
                          <w:b w:val="0"/>
                        </w:rPr>
                        <w:t>microbiota</w:t>
                      </w:r>
                      <w:proofErr w:type="spellEnd"/>
                      <w:r w:rsidRPr="0062205B">
                        <w:rPr>
                          <w:b w:val="0"/>
                        </w:rPr>
                        <w:t xml:space="preserve">; LM: Luminal </w:t>
                      </w:r>
                      <w:proofErr w:type="spellStart"/>
                      <w:r w:rsidRPr="0062205B">
                        <w:rPr>
                          <w:b w:val="0"/>
                        </w:rPr>
                        <w:t>microbiota</w:t>
                      </w:r>
                      <w:proofErr w:type="spellEnd"/>
                      <w:r w:rsidRPr="0062205B">
                        <w:rPr>
                          <w:b w:val="0"/>
                        </w:rPr>
                        <w:t>.</w:t>
                      </w:r>
                    </w:p>
                  </w:txbxContent>
                </v:textbox>
                <w10:wrap type="square"/>
              </v:shape>
            </w:pict>
          </mc:Fallback>
        </mc:AlternateContent>
      </w:r>
    </w:p>
    <w:p w:rsidR="00834D76" w:rsidRDefault="00834D76" w:rsidP="00834D76">
      <w:pPr>
        <w:rPr>
          <w:rFonts w:hint="eastAsia"/>
        </w:rPr>
      </w:pPr>
    </w:p>
    <w:p w:rsidR="00834D76" w:rsidRDefault="00834D76" w:rsidP="00834D76">
      <w:pPr>
        <w:rPr>
          <w:rFonts w:hint="eastAsia"/>
        </w:rPr>
      </w:pPr>
    </w:p>
    <w:p w:rsidR="00834D76" w:rsidRDefault="00834D76" w:rsidP="00834D76">
      <w:pPr>
        <w:rPr>
          <w:rFonts w:hint="eastAsia"/>
        </w:rPr>
      </w:pPr>
    </w:p>
    <w:p w:rsidR="00834D76" w:rsidRDefault="00834D76" w:rsidP="00834D76">
      <w:pPr>
        <w:rPr>
          <w:rFonts w:hint="eastAsia"/>
        </w:rPr>
      </w:pPr>
    </w:p>
    <w:p w:rsidR="00834D76" w:rsidRDefault="00834D76" w:rsidP="00834D76">
      <w:pPr>
        <w:rPr>
          <w:rFonts w:hint="eastAsia"/>
        </w:rPr>
      </w:pPr>
    </w:p>
    <w:p w:rsidR="00834D76" w:rsidRDefault="00834D76" w:rsidP="00834D76">
      <w:pPr>
        <w:rPr>
          <w:rFonts w:hint="eastAsia"/>
        </w:rPr>
      </w:pPr>
    </w:p>
    <w:p w:rsidR="00834D76" w:rsidRDefault="00834D76" w:rsidP="00834D76">
      <w:pPr>
        <w:rPr>
          <w:rFonts w:hint="eastAsia"/>
        </w:rPr>
      </w:pPr>
    </w:p>
    <w:p w:rsidR="00834D76" w:rsidRDefault="00834D76" w:rsidP="00834D76">
      <w:pPr>
        <w:rPr>
          <w:rFonts w:hint="eastAsia"/>
        </w:rPr>
      </w:pPr>
    </w:p>
    <w:p w:rsidR="00834D76" w:rsidRDefault="00834D76" w:rsidP="00834D76">
      <w:pPr>
        <w:rPr>
          <w:rFonts w:hint="eastAsia"/>
        </w:rPr>
      </w:pPr>
    </w:p>
    <w:p w:rsidR="00834D76" w:rsidRDefault="00834D76" w:rsidP="00834D76">
      <w:pPr>
        <w:rPr>
          <w:rFonts w:hint="eastAsia"/>
        </w:rPr>
      </w:pPr>
    </w:p>
    <w:p w:rsidR="00EE48DE" w:rsidRPr="00834D76" w:rsidRDefault="00EE48DE" w:rsidP="00B657F9"/>
    <w:sectPr w:rsidR="00EE48DE" w:rsidRPr="00834D76" w:rsidSect="00A21CED">
      <w:headerReference w:type="default" r:id="rId13"/>
      <w:footerReference w:type="default" r:id="rId14"/>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CF4" w:rsidRDefault="00716CF4">
      <w:r>
        <w:separator/>
      </w:r>
    </w:p>
  </w:endnote>
  <w:endnote w:type="continuationSeparator" w:id="0">
    <w:p w:rsidR="00716CF4" w:rsidRDefault="00716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lbertus-Bold">
    <w:altName w:val="Times New Roman"/>
    <w:panose1 w:val="00000000000000000000"/>
    <w:charset w:val="00"/>
    <w:family w:val="auto"/>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834D76">
          <w:rPr>
            <w:noProof/>
          </w:rPr>
          <w:t>14</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CF4" w:rsidRDefault="00716CF4">
      <w:r>
        <w:separator/>
      </w:r>
    </w:p>
  </w:footnote>
  <w:footnote w:type="continuationSeparator" w:id="0">
    <w:p w:rsidR="00716CF4" w:rsidRDefault="00716C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0DEB"/>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16CF4"/>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34D76"/>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D72C4"/>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93F5B"/>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442E"/>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uiPriority w:val="99"/>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8BF4">
    <w:name w:val="徠曅&lt;8BF4&gt;柧"/>
    <w:basedOn w:val="a"/>
    <w:uiPriority w:val="99"/>
    <w:rsid w:val="00834D76"/>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f5">
    <w:name w:val="作者"/>
    <w:basedOn w:val="a"/>
    <w:uiPriority w:val="99"/>
    <w:rsid w:val="00834D76"/>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uiPriority w:val="99"/>
    <w:rsid w:val="00834D76"/>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uiPriority w:val="99"/>
    <w:rsid w:val="00834D76"/>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uiPriority w:val="99"/>
    <w:rsid w:val="00834D76"/>
    <w:pPr>
      <w:suppressAutoHyphens/>
      <w:spacing w:line="360" w:lineRule="atLeast"/>
      <w:jc w:val="left"/>
    </w:pPr>
    <w:rPr>
      <w:rFonts w:ascii="Univers" w:hAnsi="Univers" w:cs="Univers"/>
      <w:b/>
      <w:bCs/>
      <w:spacing w:val="-2"/>
    </w:rPr>
  </w:style>
  <w:style w:type="paragraph" w:customStyle="1" w:styleId="af8">
    <w:name w:val="惓暥暥_"/>
    <w:basedOn w:val="NormalParagraphStyle"/>
    <w:uiPriority w:val="99"/>
    <w:rsid w:val="00834D76"/>
    <w:pPr>
      <w:suppressAutoHyphens/>
    </w:pPr>
    <w:rPr>
      <w:rFonts w:ascii="Verdana" w:hAnsi="Verdana" w:cs="Verdana"/>
      <w:spacing w:val="-7"/>
      <w:sz w:val="18"/>
      <w:szCs w:val="18"/>
      <w:lang w:val="en-US"/>
    </w:rPr>
  </w:style>
  <w:style w:type="paragraph" w:customStyle="1" w:styleId="10">
    <w:name w:val="惓暥暥_1"/>
    <w:basedOn w:val="NormalParagraphStyle"/>
    <w:uiPriority w:val="99"/>
    <w:rsid w:val="00834D76"/>
    <w:pPr>
      <w:suppressAutoHyphens/>
      <w:ind w:firstLine="283"/>
    </w:pPr>
    <w:rPr>
      <w:rFonts w:ascii="Verdana" w:hAnsi="Verdana" w:cs="Verdana"/>
      <w:spacing w:val="-7"/>
      <w:sz w:val="18"/>
      <w:szCs w:val="18"/>
      <w:lang w:val="en-US"/>
    </w:rPr>
  </w:style>
  <w:style w:type="paragraph" w:customStyle="1" w:styleId="af9">
    <w:name w:val="二级标题"/>
    <w:basedOn w:val="a"/>
    <w:uiPriority w:val="99"/>
    <w:rsid w:val="00834D76"/>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uiPriority w:val="99"/>
    <w:rsid w:val="00834D76"/>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uiPriority w:val="99"/>
    <w:rsid w:val="00834D76"/>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15">
    <w:name w:val="15"/>
    <w:uiPriority w:val="99"/>
    <w:rsid w:val="00834D76"/>
    <w:rPr>
      <w:rFonts w:ascii="Times New Roman" w:hAnsi="Times New Roman" w:cs="Times New Roman"/>
      <w:color w:val="0000FF"/>
      <w:w w:val="100"/>
      <w:sz w:val="20"/>
      <w:szCs w:val="20"/>
      <w:u w:val="thick" w:color="0000FF"/>
    </w:rPr>
  </w:style>
  <w:style w:type="paragraph" w:customStyle="1" w:styleId="afb">
    <w:name w:val="表注"/>
    <w:basedOn w:val="a"/>
    <w:uiPriority w:val="99"/>
    <w:rsid w:val="00834D76"/>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uiPriority w:val="99"/>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8BF4">
    <w:name w:val="徠曅&lt;8BF4&gt;柧"/>
    <w:basedOn w:val="a"/>
    <w:uiPriority w:val="99"/>
    <w:rsid w:val="00834D76"/>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f5">
    <w:name w:val="作者"/>
    <w:basedOn w:val="a"/>
    <w:uiPriority w:val="99"/>
    <w:rsid w:val="00834D76"/>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uiPriority w:val="99"/>
    <w:rsid w:val="00834D76"/>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uiPriority w:val="99"/>
    <w:rsid w:val="00834D76"/>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uiPriority w:val="99"/>
    <w:rsid w:val="00834D76"/>
    <w:pPr>
      <w:suppressAutoHyphens/>
      <w:spacing w:line="360" w:lineRule="atLeast"/>
      <w:jc w:val="left"/>
    </w:pPr>
    <w:rPr>
      <w:rFonts w:ascii="Univers" w:hAnsi="Univers" w:cs="Univers"/>
      <w:b/>
      <w:bCs/>
      <w:spacing w:val="-2"/>
    </w:rPr>
  </w:style>
  <w:style w:type="paragraph" w:customStyle="1" w:styleId="af8">
    <w:name w:val="惓暥暥_"/>
    <w:basedOn w:val="NormalParagraphStyle"/>
    <w:uiPriority w:val="99"/>
    <w:rsid w:val="00834D76"/>
    <w:pPr>
      <w:suppressAutoHyphens/>
    </w:pPr>
    <w:rPr>
      <w:rFonts w:ascii="Verdana" w:hAnsi="Verdana" w:cs="Verdana"/>
      <w:spacing w:val="-7"/>
      <w:sz w:val="18"/>
      <w:szCs w:val="18"/>
      <w:lang w:val="en-US"/>
    </w:rPr>
  </w:style>
  <w:style w:type="paragraph" w:customStyle="1" w:styleId="10">
    <w:name w:val="惓暥暥_1"/>
    <w:basedOn w:val="NormalParagraphStyle"/>
    <w:uiPriority w:val="99"/>
    <w:rsid w:val="00834D76"/>
    <w:pPr>
      <w:suppressAutoHyphens/>
      <w:ind w:firstLine="283"/>
    </w:pPr>
    <w:rPr>
      <w:rFonts w:ascii="Verdana" w:hAnsi="Verdana" w:cs="Verdana"/>
      <w:spacing w:val="-7"/>
      <w:sz w:val="18"/>
      <w:szCs w:val="18"/>
      <w:lang w:val="en-US"/>
    </w:rPr>
  </w:style>
  <w:style w:type="paragraph" w:customStyle="1" w:styleId="af9">
    <w:name w:val="二级标题"/>
    <w:basedOn w:val="a"/>
    <w:uiPriority w:val="99"/>
    <w:rsid w:val="00834D76"/>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uiPriority w:val="99"/>
    <w:rsid w:val="00834D76"/>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uiPriority w:val="99"/>
    <w:rsid w:val="00834D76"/>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15">
    <w:name w:val="15"/>
    <w:uiPriority w:val="99"/>
    <w:rsid w:val="00834D76"/>
    <w:rPr>
      <w:rFonts w:ascii="Times New Roman" w:hAnsi="Times New Roman" w:cs="Times New Roman"/>
      <w:color w:val="0000FF"/>
      <w:w w:val="100"/>
      <w:sz w:val="20"/>
      <w:szCs w:val="20"/>
      <w:u w:val="thick" w:color="0000FF"/>
    </w:rPr>
  </w:style>
  <w:style w:type="paragraph" w:customStyle="1" w:styleId="afb">
    <w:name w:val="表注"/>
    <w:basedOn w:val="a"/>
    <w:uiPriority w:val="99"/>
    <w:rsid w:val="00834D76"/>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A8080-B945-48E8-9BB3-496A845B4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17</Pages>
  <Words>5867</Words>
  <Characters>33447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39236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User</cp:lastModifiedBy>
  <cp:revision>113</cp:revision>
  <cp:lastPrinted>2017-07-31T17:15:00Z</cp:lastPrinted>
  <dcterms:created xsi:type="dcterms:W3CDTF">2017-06-13T15:12:00Z</dcterms:created>
  <dcterms:modified xsi:type="dcterms:W3CDTF">2017-09-23T12:14:00Z</dcterms:modified>
</cp:coreProperties>
</file>