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D26971" w:rsidRDefault="00B77E3C">
            <w:pPr>
              <w:spacing w:line="360" w:lineRule="auto"/>
              <w:rPr>
                <w:rFonts w:ascii="Book Antiqua" w:hAnsi="Book Antiqua"/>
                <w:color w:val="000000"/>
                <w:sz w:val="24"/>
                <w:szCs w:val="24"/>
              </w:rPr>
            </w:pPr>
            <w:r w:rsidRPr="00B77E3C">
              <w:rPr>
                <w:rFonts w:ascii="Book Antiqua" w:hAnsi="Book Antiqua"/>
                <w:color w:val="000000"/>
                <w:sz w:val="24"/>
                <w:szCs w:val="24"/>
              </w:rPr>
              <w:t xml:space="preserve">HLA-DQ: Celiac disease </w:t>
            </w:r>
            <w:proofErr w:type="spellStart"/>
            <w:r w:rsidRPr="00B77E3C">
              <w:rPr>
                <w:rFonts w:ascii="Book Antiqua" w:hAnsi="Book Antiqua"/>
                <w:i/>
                <w:color w:val="000000"/>
                <w:sz w:val="24"/>
                <w:szCs w:val="24"/>
              </w:rPr>
              <w:t>vs</w:t>
            </w:r>
            <w:proofErr w:type="spellEnd"/>
            <w:r w:rsidRPr="00B77E3C">
              <w:rPr>
                <w:rFonts w:ascii="Book Antiqua" w:hAnsi="Book Antiqua"/>
                <w:color w:val="000000"/>
                <w:sz w:val="24"/>
                <w:szCs w:val="24"/>
              </w:rPr>
              <w:t xml:space="preserve"> inflammatory bowel disease</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D26971" w:rsidRDefault="00B77E3C" w:rsidP="00B77E3C">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B77E3C">
              <w:rPr>
                <w:rFonts w:ascii="Book Antiqua" w:hAnsi="Book Antiqua" w:cs="Book Antiqua"/>
                <w:color w:val="000000"/>
                <w:sz w:val="24"/>
                <w:szCs w:val="24"/>
              </w:rPr>
              <w:t xml:space="preserve">Marta Maia </w:t>
            </w:r>
            <w:proofErr w:type="spellStart"/>
            <w:r w:rsidRPr="00B77E3C">
              <w:rPr>
                <w:rFonts w:ascii="Book Antiqua" w:hAnsi="Book Antiqua" w:cs="Book Antiqua"/>
                <w:color w:val="000000"/>
                <w:sz w:val="24"/>
                <w:szCs w:val="24"/>
              </w:rPr>
              <w:t>Bosca</w:t>
            </w:r>
            <w:proofErr w:type="spellEnd"/>
            <w:r w:rsidRPr="00B77E3C">
              <w:rPr>
                <w:rFonts w:ascii="Book Antiqua" w:hAnsi="Book Antiqua" w:cs="Book Antiqua"/>
                <w:color w:val="000000"/>
                <w:sz w:val="24"/>
                <w:szCs w:val="24"/>
              </w:rPr>
              <w:t xml:space="preserve">-Watts, Miguel </w:t>
            </w:r>
            <w:proofErr w:type="spellStart"/>
            <w:r w:rsidRPr="00B77E3C">
              <w:rPr>
                <w:rFonts w:ascii="Book Antiqua" w:hAnsi="Book Antiqua" w:cs="Book Antiqua"/>
                <w:color w:val="000000"/>
                <w:sz w:val="24"/>
                <w:szCs w:val="24"/>
              </w:rPr>
              <w:t>Minguez</w:t>
            </w:r>
            <w:proofErr w:type="spellEnd"/>
            <w:r w:rsidRPr="00B77E3C">
              <w:rPr>
                <w:rFonts w:ascii="Book Antiqua" w:hAnsi="Book Antiqua" w:cs="Book Antiqua"/>
                <w:color w:val="000000"/>
                <w:sz w:val="24"/>
                <w:szCs w:val="24"/>
              </w:rPr>
              <w:t xml:space="preserve">, Dolores </w:t>
            </w:r>
            <w:proofErr w:type="spellStart"/>
            <w:r w:rsidRPr="00B77E3C">
              <w:rPr>
                <w:rFonts w:ascii="Book Antiqua" w:hAnsi="Book Antiqua" w:cs="Book Antiqua"/>
                <w:color w:val="000000"/>
                <w:sz w:val="24"/>
                <w:szCs w:val="24"/>
              </w:rPr>
              <w:t>Planelles</w:t>
            </w:r>
            <w:proofErr w:type="spellEnd"/>
            <w:r w:rsidRPr="00B77E3C">
              <w:rPr>
                <w:rFonts w:ascii="Book Antiqua" w:hAnsi="Book Antiqua" w:cs="Book Antiqua"/>
                <w:color w:val="000000"/>
                <w:sz w:val="24"/>
                <w:szCs w:val="24"/>
              </w:rPr>
              <w:t>, Samuel Navarro, Alejandro Rodriguez, Jesus Santiago, Joan Tosca, Francisco Mora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D26971" w:rsidRDefault="00B77E3C">
            <w:pPr>
              <w:pStyle w:val="af4"/>
              <w:spacing w:line="360" w:lineRule="auto"/>
              <w:rPr>
                <w:rFonts w:ascii="Book Antiqua" w:hAnsi="Book Antiqua"/>
                <w:sz w:val="24"/>
                <w:szCs w:val="24"/>
                <w:lang w:val="zh-CN"/>
              </w:rPr>
            </w:pPr>
            <w:proofErr w:type="spellStart"/>
            <w:r w:rsidRPr="00B77E3C">
              <w:rPr>
                <w:rFonts w:ascii="Book Antiqua" w:hAnsi="Book Antiqua"/>
                <w:sz w:val="24"/>
                <w:szCs w:val="24"/>
              </w:rPr>
              <w:t>Bosca</w:t>
            </w:r>
            <w:proofErr w:type="spellEnd"/>
            <w:r w:rsidRPr="00B77E3C">
              <w:rPr>
                <w:rFonts w:ascii="Book Antiqua" w:hAnsi="Book Antiqua"/>
                <w:sz w:val="24"/>
                <w:szCs w:val="24"/>
              </w:rPr>
              <w:t xml:space="preserve">-Watts MM, </w:t>
            </w:r>
            <w:proofErr w:type="spellStart"/>
            <w:r w:rsidRPr="00B77E3C">
              <w:rPr>
                <w:rFonts w:ascii="Book Antiqua" w:hAnsi="Book Antiqua"/>
                <w:sz w:val="24"/>
                <w:szCs w:val="24"/>
              </w:rPr>
              <w:t>Minguez</w:t>
            </w:r>
            <w:proofErr w:type="spellEnd"/>
            <w:r w:rsidRPr="00B77E3C">
              <w:rPr>
                <w:rFonts w:ascii="Book Antiqua" w:hAnsi="Book Antiqua"/>
                <w:sz w:val="24"/>
                <w:szCs w:val="24"/>
              </w:rPr>
              <w:t xml:space="preserve"> M, </w:t>
            </w:r>
            <w:proofErr w:type="spellStart"/>
            <w:r w:rsidRPr="00B77E3C">
              <w:rPr>
                <w:rFonts w:ascii="Book Antiqua" w:hAnsi="Book Antiqua"/>
                <w:sz w:val="24"/>
                <w:szCs w:val="24"/>
              </w:rPr>
              <w:t>Planelles</w:t>
            </w:r>
            <w:proofErr w:type="spellEnd"/>
            <w:r w:rsidRPr="00B77E3C">
              <w:rPr>
                <w:rFonts w:ascii="Book Antiqua" w:hAnsi="Book Antiqua"/>
                <w:sz w:val="24"/>
                <w:szCs w:val="24"/>
              </w:rPr>
              <w:t xml:space="preserve"> D, Navarro S, Rodriguez A, Santiago J, Tosca J, Mora F. HLA-DQ: Celiac disease </w:t>
            </w:r>
            <w:proofErr w:type="spellStart"/>
            <w:r w:rsidRPr="00B77E3C">
              <w:rPr>
                <w:rFonts w:ascii="Book Antiqua" w:hAnsi="Book Antiqua"/>
                <w:sz w:val="24"/>
                <w:szCs w:val="24"/>
              </w:rPr>
              <w:t>vs</w:t>
            </w:r>
            <w:proofErr w:type="spellEnd"/>
            <w:r w:rsidRPr="00B77E3C">
              <w:rPr>
                <w:rFonts w:ascii="Book Antiqua" w:hAnsi="Book Antiqua"/>
                <w:sz w:val="24"/>
                <w:szCs w:val="24"/>
              </w:rPr>
              <w:t xml:space="preserve"> inflammatory bowel disease. World J </w:t>
            </w:r>
            <w:proofErr w:type="spellStart"/>
            <w:r w:rsidRPr="00B77E3C">
              <w:rPr>
                <w:rFonts w:ascii="Book Antiqua" w:hAnsi="Book Antiqua"/>
                <w:sz w:val="24"/>
                <w:szCs w:val="24"/>
              </w:rPr>
              <w:t>Gastroenterol</w:t>
            </w:r>
            <w:proofErr w:type="spellEnd"/>
            <w:r w:rsidRPr="00B77E3C">
              <w:rPr>
                <w:rFonts w:ascii="Book Antiqua" w:hAnsi="Book Antiqua"/>
                <w:sz w:val="24"/>
                <w:szCs w:val="24"/>
              </w:rPr>
              <w:t xml:space="preserve"> 2018; 24(1): 96-103</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657F9" w:rsidRPr="00B77E3C" w:rsidRDefault="00B77E3C" w:rsidP="003B7833">
            <w:pPr>
              <w:pStyle w:val="af3"/>
              <w:spacing w:line="360" w:lineRule="auto"/>
              <w:rPr>
                <w:rFonts w:ascii="Book Antiqua" w:hAnsi="Book Antiqua"/>
                <w:b w:val="0"/>
                <w:bCs w:val="0"/>
                <w:sz w:val="24"/>
                <w:szCs w:val="24"/>
                <w:lang w:val="en-US"/>
              </w:rPr>
            </w:pPr>
            <w:r w:rsidRPr="00B77E3C">
              <w:rPr>
                <w:rFonts w:ascii="Book Antiqua" w:hAnsi="Book Antiqua"/>
                <w:b w:val="0"/>
                <w:sz w:val="24"/>
                <w:szCs w:val="24"/>
                <w:lang w:val="en-US"/>
              </w:rPr>
              <w:t>http://www.wjgnet.com/1007-9327/full/v24/i1/96.htm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657F9" w:rsidRPr="00B77E3C" w:rsidRDefault="00B77E3C" w:rsidP="003B7833">
            <w:pPr>
              <w:pStyle w:val="af3"/>
              <w:spacing w:line="360" w:lineRule="auto"/>
              <w:rPr>
                <w:rFonts w:ascii="Book Antiqua" w:hAnsi="Book Antiqua"/>
                <w:b w:val="0"/>
                <w:bCs w:val="0"/>
                <w:sz w:val="24"/>
                <w:szCs w:val="24"/>
                <w:lang w:val="en-US"/>
              </w:rPr>
            </w:pPr>
            <w:r w:rsidRPr="00B77E3C">
              <w:rPr>
                <w:rFonts w:ascii="Book Antiqua" w:hAnsi="Book Antiqua"/>
                <w:b w:val="0"/>
                <w:sz w:val="24"/>
                <w:szCs w:val="24"/>
                <w:lang w:val="en-US"/>
              </w:rPr>
              <w:t>http://dx.doi.org/10.3748/wjg.v24.i1.96</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D26971" w:rsidRDefault="00931943">
            <w:pPr>
              <w:pStyle w:val="ad"/>
              <w:spacing w:line="360" w:lineRule="auto"/>
              <w:rPr>
                <w:rFonts w:ascii="Book Antiqua" w:hAnsi="Book Antiqua"/>
                <w:color w:val="000000"/>
                <w:sz w:val="24"/>
                <w:szCs w:val="24"/>
                <w:lang w:val="zh-CN"/>
              </w:rPr>
            </w:pPr>
            <w:r w:rsidRPr="00B77E3C">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w:t>
            </w:r>
            <w:r w:rsidRPr="00B77E3C">
              <w:rPr>
                <w:rFonts w:ascii="Book Antiqua" w:hAnsi="Book Antiqua"/>
                <w:color w:val="000000"/>
                <w:sz w:val="24"/>
                <w:szCs w:val="24"/>
              </w:rPr>
              <w:t>Creative Commons Attribution Non Commercial (CC BY-NC 4.0) license, which permits others to distribute, remix, adapt, build upon this work non-commercially, and license their derivative works on different terms, provided the original work is properly cited</w:t>
            </w:r>
            <w:r w:rsidRPr="00B77E3C">
              <w:rPr>
                <w:rFonts w:ascii="Book Antiqua" w:hAnsi="Book Antiqua"/>
                <w:color w:val="000000"/>
                <w:sz w:val="24"/>
                <w:szCs w:val="24"/>
              </w:rPr>
              <w:t xml:space="preserve">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D26971" w:rsidRDefault="00B77E3C">
            <w:pPr>
              <w:pStyle w:val="E-1"/>
              <w:spacing w:line="360" w:lineRule="auto"/>
              <w:rPr>
                <w:rFonts w:ascii="Book Antiqua" w:hAnsi="Book Antiqua"/>
                <w:bCs/>
                <w:sz w:val="24"/>
                <w:szCs w:val="24"/>
              </w:rPr>
            </w:pPr>
            <w:r w:rsidRPr="00B77E3C">
              <w:rPr>
                <w:rFonts w:ascii="Book Antiqua" w:hAnsi="Book Antiqua"/>
                <w:sz w:val="24"/>
                <w:szCs w:val="24"/>
              </w:rPr>
              <w:t>The higher risk for celiac disease (</w:t>
            </w:r>
            <w:proofErr w:type="spellStart"/>
            <w:r w:rsidRPr="00B77E3C">
              <w:rPr>
                <w:rFonts w:ascii="Book Antiqua" w:hAnsi="Book Antiqua"/>
                <w:sz w:val="24"/>
                <w:szCs w:val="24"/>
              </w:rPr>
              <w:t>CeD</w:t>
            </w:r>
            <w:proofErr w:type="spellEnd"/>
            <w:r w:rsidRPr="00B77E3C">
              <w:rPr>
                <w:rFonts w:ascii="Book Antiqua" w:hAnsi="Book Antiqua"/>
                <w:sz w:val="24"/>
                <w:szCs w:val="24"/>
              </w:rPr>
              <w:t xml:space="preserve">) in inflammatory bowel disease (IBD) is controversial. Since the involvement of </w:t>
            </w:r>
            <w:r w:rsidRPr="00B77E3C">
              <w:rPr>
                <w:rFonts w:ascii="Book Antiqua" w:hAnsi="Book Antiqua"/>
                <w:sz w:val="24"/>
                <w:szCs w:val="24"/>
              </w:rPr>
              <w:lastRenderedPageBreak/>
              <w:t>human leucocyte antigen (HLA)-DQ2 and -DQ8 antigens (HLA-</w:t>
            </w:r>
            <w:proofErr w:type="spellStart"/>
            <w:r w:rsidRPr="00B77E3C">
              <w:rPr>
                <w:rFonts w:ascii="Book Antiqua" w:hAnsi="Book Antiqua"/>
                <w:sz w:val="24"/>
                <w:szCs w:val="24"/>
              </w:rPr>
              <w:t>CeD</w:t>
            </w:r>
            <w:proofErr w:type="spellEnd"/>
            <w:r w:rsidRPr="00B77E3C">
              <w:rPr>
                <w:rFonts w:ascii="Book Antiqua" w:hAnsi="Book Antiqua"/>
                <w:sz w:val="24"/>
                <w:szCs w:val="24"/>
              </w:rPr>
              <w:t xml:space="preserve">) in the susceptibility to </w:t>
            </w:r>
            <w:proofErr w:type="spellStart"/>
            <w:r w:rsidRPr="00B77E3C">
              <w:rPr>
                <w:rFonts w:ascii="Book Antiqua" w:hAnsi="Book Antiqua"/>
                <w:sz w:val="24"/>
                <w:szCs w:val="24"/>
              </w:rPr>
              <w:t>CeD</w:t>
            </w:r>
            <w:proofErr w:type="spellEnd"/>
            <w:r w:rsidRPr="00B77E3C">
              <w:rPr>
                <w:rFonts w:ascii="Book Antiqua" w:hAnsi="Book Antiqua"/>
                <w:sz w:val="24"/>
                <w:szCs w:val="24"/>
              </w:rPr>
              <w:t xml:space="preserve"> is clearly established and it has been accepted as a useful test to exclude </w:t>
            </w:r>
            <w:proofErr w:type="spellStart"/>
            <w:r w:rsidRPr="00B77E3C">
              <w:rPr>
                <w:rFonts w:ascii="Book Antiqua" w:hAnsi="Book Antiqua"/>
                <w:sz w:val="24"/>
                <w:szCs w:val="24"/>
              </w:rPr>
              <w:t>CeD</w:t>
            </w:r>
            <w:proofErr w:type="spellEnd"/>
            <w:r w:rsidRPr="00B77E3C">
              <w:rPr>
                <w:rFonts w:ascii="Book Antiqua" w:hAnsi="Book Antiqua"/>
                <w:sz w:val="24"/>
                <w:szCs w:val="24"/>
              </w:rPr>
              <w:t>, we determined the frequency of HLA-</w:t>
            </w:r>
            <w:proofErr w:type="spellStart"/>
            <w:r w:rsidRPr="00B77E3C">
              <w:rPr>
                <w:rFonts w:ascii="Book Antiqua" w:hAnsi="Book Antiqua"/>
                <w:sz w:val="24"/>
                <w:szCs w:val="24"/>
              </w:rPr>
              <w:t>CeD</w:t>
            </w:r>
            <w:proofErr w:type="spellEnd"/>
            <w:r w:rsidRPr="00B77E3C">
              <w:rPr>
                <w:rFonts w:ascii="Book Antiqua" w:hAnsi="Book Antiqua"/>
                <w:sz w:val="24"/>
                <w:szCs w:val="24"/>
              </w:rPr>
              <w:t xml:space="preserve"> in IBD patients. We observed that HLA-</w:t>
            </w:r>
            <w:proofErr w:type="spellStart"/>
            <w:r w:rsidRPr="00B77E3C">
              <w:rPr>
                <w:rFonts w:ascii="Book Antiqua" w:hAnsi="Book Antiqua"/>
                <w:sz w:val="24"/>
                <w:szCs w:val="24"/>
              </w:rPr>
              <w:t>CeD</w:t>
            </w:r>
            <w:proofErr w:type="spellEnd"/>
            <w:r w:rsidRPr="00B77E3C">
              <w:rPr>
                <w:rFonts w:ascii="Book Antiqua" w:hAnsi="Book Antiqua"/>
                <w:sz w:val="24"/>
                <w:szCs w:val="24"/>
              </w:rPr>
              <w:t xml:space="preserve"> is not more frequent in IBD patients, with an even lower frequency of HLA-DQ2 and -DQ8 in ulcerative colitis and </w:t>
            </w:r>
            <w:proofErr w:type="spellStart"/>
            <w:r w:rsidRPr="00B77E3C">
              <w:rPr>
                <w:rFonts w:ascii="Book Antiqua" w:hAnsi="Book Antiqua"/>
                <w:sz w:val="24"/>
                <w:szCs w:val="24"/>
              </w:rPr>
              <w:t>Crohn’s</w:t>
            </w:r>
            <w:proofErr w:type="spellEnd"/>
            <w:r w:rsidRPr="00B77E3C">
              <w:rPr>
                <w:rFonts w:ascii="Book Antiqua" w:hAnsi="Book Antiqua"/>
                <w:sz w:val="24"/>
                <w:szCs w:val="24"/>
              </w:rPr>
              <w:t xml:space="preserve"> disease respectively. On the other hand, HLA-DQ2.2 was present in 34% of the </w:t>
            </w:r>
            <w:proofErr w:type="spellStart"/>
            <w:r w:rsidRPr="00B77E3C">
              <w:rPr>
                <w:rFonts w:ascii="Book Antiqua" w:hAnsi="Book Antiqua"/>
                <w:sz w:val="24"/>
                <w:szCs w:val="24"/>
              </w:rPr>
              <w:t>Crohn’s</w:t>
            </w:r>
            <w:proofErr w:type="spellEnd"/>
            <w:r w:rsidRPr="00B77E3C">
              <w:rPr>
                <w:rFonts w:ascii="Book Antiqua" w:hAnsi="Book Antiqua"/>
                <w:sz w:val="24"/>
                <w:szCs w:val="24"/>
              </w:rPr>
              <w:t xml:space="preserve"> disease patients and may constitute a genetic risk factor.</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D26971" w:rsidRDefault="00B77E3C">
            <w:pPr>
              <w:pStyle w:val="E-1"/>
              <w:spacing w:line="360" w:lineRule="auto"/>
              <w:rPr>
                <w:rFonts w:ascii="Book Antiqua" w:hAnsi="Book Antiqua"/>
                <w:spacing w:val="-4"/>
                <w:sz w:val="24"/>
                <w:szCs w:val="24"/>
              </w:rPr>
            </w:pPr>
            <w:r w:rsidRPr="00B77E3C">
              <w:rPr>
                <w:rFonts w:ascii="Book Antiqua" w:hAnsi="Book Antiqua"/>
                <w:sz w:val="24"/>
                <w:szCs w:val="24"/>
              </w:rPr>
              <w:t xml:space="preserve">Genetic predisposition; Celiac disease; Inflammatory bowel disease; </w:t>
            </w:r>
            <w:proofErr w:type="spellStart"/>
            <w:r w:rsidRPr="00B77E3C">
              <w:rPr>
                <w:rFonts w:ascii="Book Antiqua" w:hAnsi="Book Antiqua"/>
                <w:sz w:val="24"/>
                <w:szCs w:val="24"/>
              </w:rPr>
              <w:t>Crohn’s</w:t>
            </w:r>
            <w:proofErr w:type="spellEnd"/>
            <w:r w:rsidRPr="00B77E3C">
              <w:rPr>
                <w:rFonts w:ascii="Book Antiqua" w:hAnsi="Book Antiqua"/>
                <w:sz w:val="24"/>
                <w:szCs w:val="24"/>
              </w:rPr>
              <w:t xml:space="preserve"> disease; Human leucocyte antigen; Ulcerative colitis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D26971" w:rsidRDefault="00B77E3C">
            <w:pPr>
              <w:pStyle w:val="af3"/>
              <w:spacing w:line="360" w:lineRule="auto"/>
              <w:rPr>
                <w:rFonts w:ascii="Book Antiqua" w:hAnsi="Book Antiqua"/>
                <w:b w:val="0"/>
                <w:sz w:val="24"/>
                <w:szCs w:val="24"/>
                <w:lang w:val="en-US"/>
              </w:rPr>
            </w:pPr>
            <w:r>
              <w:rPr>
                <w:rFonts w:ascii="Book Antiqua" w:hAnsi="Book Antiqua"/>
                <w:b w:val="0"/>
                <w:sz w:val="24"/>
                <w:szCs w:val="24"/>
                <w:lang w:val="en-US"/>
              </w:rPr>
              <w:t>© The Author(s) 201</w:t>
            </w:r>
            <w:r>
              <w:rPr>
                <w:rFonts w:ascii="Book Antiqua" w:hAnsi="Book Antiqua" w:hint="eastAsia"/>
                <w:b w:val="0"/>
                <w:sz w:val="24"/>
                <w:szCs w:val="24"/>
                <w:lang w:val="en-US"/>
              </w:rPr>
              <w:t>8</w:t>
            </w:r>
            <w:r w:rsidR="00931943">
              <w:rPr>
                <w:rFonts w:ascii="Book Antiqua" w:hAnsi="Book Antiqua"/>
                <w:b w:val="0"/>
                <w:sz w:val="24"/>
                <w:szCs w:val="24"/>
                <w:lang w:val="en-US"/>
              </w:rPr>
              <w:t xml:space="preserve">. Published by </w:t>
            </w:r>
            <w:proofErr w:type="spellStart"/>
            <w:r w:rsidR="00931943">
              <w:rPr>
                <w:rFonts w:ascii="Book Antiqua" w:hAnsi="Book Antiqua"/>
                <w:b w:val="0"/>
                <w:sz w:val="24"/>
                <w:szCs w:val="24"/>
                <w:lang w:val="en-US"/>
              </w:rPr>
              <w:t>Baishideng</w:t>
            </w:r>
            <w:proofErr w:type="spellEnd"/>
            <w:r w:rsidR="00931943">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D26971" w:rsidRDefault="00931943">
            <w:pPr>
              <w:pStyle w:val="af3"/>
              <w:spacing w:line="360" w:lineRule="auto"/>
              <w:rPr>
                <w:rFonts w:ascii="Book Antiqua" w:hAnsi="Book Antiqua"/>
                <w:b w:val="0"/>
                <w:i/>
                <w:sz w:val="24"/>
                <w:szCs w:val="24"/>
                <w:lang w:val="en-US"/>
              </w:rPr>
            </w:pPr>
            <w:r>
              <w:rPr>
                <w:rFonts w:ascii="Book Antiqua" w:hAnsi="Book Antiqua"/>
                <w:b w:val="0"/>
                <w:sz w:val="24"/>
                <w:szCs w:val="24"/>
              </w:rPr>
              <w:t xml:space="preserve">World Journal of </w:t>
            </w:r>
            <w:r>
              <w:rPr>
                <w:rFonts w:ascii="Book Antiqua" w:hAnsi="Book Antiqua"/>
                <w:b w:val="0"/>
                <w:sz w:val="24"/>
                <w:szCs w:val="24"/>
              </w:rPr>
              <w:t>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D26971" w:rsidRDefault="00931943">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D26971" w:rsidRDefault="00931943">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D26971" w:rsidRDefault="00931943">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B77E3C" w:rsidRDefault="00B77E3C" w:rsidP="00B657F9">
      <w:pPr>
        <w:rPr>
          <w:rFonts w:hint="eastAsia"/>
        </w:rPr>
      </w:pPr>
    </w:p>
    <w:p w:rsidR="00B77E3C" w:rsidRDefault="00B77E3C" w:rsidP="00B657F9">
      <w:pPr>
        <w:rPr>
          <w:rFonts w:hint="eastAsia"/>
        </w:rPr>
      </w:pPr>
    </w:p>
    <w:p w:rsidR="00B77E3C" w:rsidRDefault="00B77E3C" w:rsidP="00B657F9">
      <w:pPr>
        <w:rPr>
          <w:rFonts w:hint="eastAsia"/>
        </w:rPr>
      </w:pPr>
    </w:p>
    <w:p w:rsidR="00B77E3C" w:rsidRDefault="00B77E3C" w:rsidP="00B657F9">
      <w:pPr>
        <w:rPr>
          <w:rFonts w:hint="eastAsia"/>
        </w:rPr>
      </w:pPr>
    </w:p>
    <w:p w:rsidR="00B77E3C" w:rsidRDefault="00B77E3C" w:rsidP="00B657F9">
      <w:pPr>
        <w:rPr>
          <w:rFonts w:hint="eastAsia"/>
        </w:rPr>
      </w:pPr>
    </w:p>
    <w:p w:rsidR="00B77E3C" w:rsidRPr="00B77E3C" w:rsidRDefault="00B77E3C" w:rsidP="00B77E3C">
      <w:pPr>
        <w:pStyle w:val="NormalParagraphStyle"/>
        <w:ind w:firstLineChars="900" w:firstLine="2160"/>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Pr>
          <w:rFonts w:hint="eastAsia"/>
          <w:lang w:val="en-US"/>
        </w:rPr>
        <w:lastRenderedPageBreak/>
        <w:t xml:space="preserve">                                            </w:t>
      </w:r>
      <w:r w:rsidRPr="00B77E3C">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t>Observational Study</w:t>
      </w:r>
    </w:p>
    <w:p w:rsidR="00B77E3C" w:rsidRPr="00B77E3C" w:rsidRDefault="00B77E3C" w:rsidP="00B77E3C">
      <w:pPr>
        <w:pStyle w:val="NormalParagraphStyle"/>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pPr>
    </w:p>
    <w:p w:rsidR="00B77E3C" w:rsidRPr="0041797D" w:rsidRDefault="00B77E3C" w:rsidP="00B77E3C">
      <w:pPr>
        <w:pStyle w:val="af3"/>
        <w:rPr>
          <w:lang w:val="en-US"/>
        </w:rPr>
      </w:pPr>
      <w:r w:rsidRPr="0041797D">
        <w:rPr>
          <w:lang w:val="en-US"/>
        </w:rPr>
        <w:t xml:space="preserve">HLA-DQ: Celiac disease </w:t>
      </w:r>
      <w:proofErr w:type="spellStart"/>
      <w:r w:rsidRPr="0041797D">
        <w:rPr>
          <w:rFonts w:ascii="Tahoma Bold Italic" w:hAnsi="Tahoma Bold Italic" w:cs="Tahoma Bold Italic"/>
          <w:i/>
          <w:iCs/>
          <w:lang w:val="en-US"/>
        </w:rPr>
        <w:t>vs</w:t>
      </w:r>
      <w:proofErr w:type="spellEnd"/>
      <w:r w:rsidRPr="0041797D">
        <w:rPr>
          <w:lang w:val="en-US"/>
        </w:rPr>
        <w:t xml:space="preserve"> inflammatory bowel disease</w:t>
      </w:r>
    </w:p>
    <w:p w:rsidR="00B77E3C" w:rsidRDefault="00B77E3C" w:rsidP="00B77E3C">
      <w:pPr>
        <w:rPr>
          <w:rFonts w:hint="eastAsia"/>
        </w:rPr>
      </w:pPr>
    </w:p>
    <w:p w:rsidR="00B77E3C" w:rsidRPr="0041797D" w:rsidRDefault="00B77E3C" w:rsidP="00B77E3C">
      <w:pPr>
        <w:pStyle w:val="af5"/>
        <w:rPr>
          <w:lang w:val="en-US"/>
        </w:rPr>
      </w:pPr>
      <w:r w:rsidRPr="0041797D">
        <w:rPr>
          <w:lang w:val="en-US"/>
        </w:rPr>
        <w:t xml:space="preserve">Marta Maia </w:t>
      </w:r>
      <w:proofErr w:type="spellStart"/>
      <w:r w:rsidRPr="0041797D">
        <w:rPr>
          <w:lang w:val="en-US"/>
        </w:rPr>
        <w:t>Bosca</w:t>
      </w:r>
      <w:proofErr w:type="spellEnd"/>
      <w:r w:rsidRPr="0041797D">
        <w:rPr>
          <w:lang w:val="en-US"/>
        </w:rPr>
        <w:t xml:space="preserve">-Watts, Miguel </w:t>
      </w:r>
      <w:proofErr w:type="spellStart"/>
      <w:r w:rsidRPr="0041797D">
        <w:rPr>
          <w:lang w:val="en-US"/>
        </w:rPr>
        <w:t>Minguez</w:t>
      </w:r>
      <w:proofErr w:type="spellEnd"/>
      <w:r w:rsidRPr="0041797D">
        <w:rPr>
          <w:lang w:val="en-US"/>
        </w:rPr>
        <w:t xml:space="preserve">, Dolores </w:t>
      </w:r>
      <w:proofErr w:type="spellStart"/>
      <w:r w:rsidRPr="0041797D">
        <w:rPr>
          <w:lang w:val="en-US"/>
        </w:rPr>
        <w:t>Planelles</w:t>
      </w:r>
      <w:proofErr w:type="spellEnd"/>
      <w:r w:rsidRPr="0041797D">
        <w:rPr>
          <w:lang w:val="en-US"/>
        </w:rPr>
        <w:t>, Samuel Navarro, Alejandro Rodriguez, Jesus Santiago, Joan Tosca, Francisco Mora</w:t>
      </w:r>
    </w:p>
    <w:p w:rsidR="00B77E3C" w:rsidRDefault="00B77E3C" w:rsidP="00B77E3C">
      <w:pPr>
        <w:rPr>
          <w:rFonts w:hint="eastAsia"/>
        </w:rPr>
      </w:pPr>
    </w:p>
    <w:p w:rsidR="00B77E3C" w:rsidRPr="0041797D" w:rsidRDefault="00B77E3C" w:rsidP="00B77E3C">
      <w:pPr>
        <w:suppressAutoHyphens/>
        <w:autoSpaceDE w:val="0"/>
        <w:autoSpaceDN w:val="0"/>
        <w:adjustRightInd w:val="0"/>
        <w:spacing w:line="210" w:lineRule="atLeast"/>
        <w:textAlignment w:val="center"/>
        <w:rPr>
          <w:rFonts w:hint="eastAsia"/>
          <w:color w:val="000000"/>
          <w:spacing w:val="-2"/>
          <w:kern w:val="0"/>
          <w:sz w:val="18"/>
          <w:szCs w:val="18"/>
        </w:rPr>
      </w:pPr>
      <w:r w:rsidRPr="0041797D">
        <w:rPr>
          <w:rFonts w:ascii="Tahoma" w:hAnsi="Tahoma" w:cs="Tahoma"/>
          <w:color w:val="000000"/>
          <w:spacing w:val="-2"/>
          <w:kern w:val="0"/>
          <w:sz w:val="18"/>
          <w:szCs w:val="18"/>
        </w:rPr>
        <w:t xml:space="preserve">Marta Maia </w:t>
      </w:r>
      <w:proofErr w:type="spellStart"/>
      <w:r w:rsidRPr="0041797D">
        <w:rPr>
          <w:rFonts w:ascii="Tahoma" w:hAnsi="Tahoma" w:cs="Tahoma"/>
          <w:color w:val="000000"/>
          <w:spacing w:val="-2"/>
          <w:kern w:val="0"/>
          <w:sz w:val="18"/>
          <w:szCs w:val="18"/>
        </w:rPr>
        <w:t>Bosca</w:t>
      </w:r>
      <w:proofErr w:type="spellEnd"/>
      <w:r w:rsidRPr="0041797D">
        <w:rPr>
          <w:rFonts w:ascii="Tahoma" w:hAnsi="Tahoma" w:cs="Tahoma"/>
          <w:color w:val="000000"/>
          <w:spacing w:val="-2"/>
          <w:kern w:val="0"/>
          <w:sz w:val="18"/>
          <w:szCs w:val="18"/>
        </w:rPr>
        <w:t xml:space="preserve">-Watts, Miguel </w:t>
      </w:r>
      <w:proofErr w:type="spellStart"/>
      <w:r w:rsidRPr="0041797D">
        <w:rPr>
          <w:rFonts w:ascii="Tahoma" w:hAnsi="Tahoma" w:cs="Tahoma"/>
          <w:color w:val="000000"/>
          <w:spacing w:val="-2"/>
          <w:kern w:val="0"/>
          <w:sz w:val="18"/>
          <w:szCs w:val="18"/>
        </w:rPr>
        <w:t>Minguez</w:t>
      </w:r>
      <w:proofErr w:type="spellEnd"/>
      <w:r w:rsidRPr="0041797D">
        <w:rPr>
          <w:rFonts w:ascii="Tahoma" w:hAnsi="Tahoma" w:cs="Tahoma"/>
          <w:color w:val="000000"/>
          <w:spacing w:val="-2"/>
          <w:kern w:val="0"/>
          <w:sz w:val="18"/>
          <w:szCs w:val="18"/>
        </w:rPr>
        <w:t>, Joan Tosca,</w:t>
      </w:r>
      <w:r w:rsidRPr="0041797D">
        <w:rPr>
          <w:b/>
          <w:bCs/>
          <w:color w:val="000000"/>
          <w:spacing w:val="-2"/>
          <w:kern w:val="0"/>
          <w:sz w:val="18"/>
          <w:szCs w:val="18"/>
        </w:rPr>
        <w:t xml:space="preserve"> </w:t>
      </w:r>
      <w:r w:rsidRPr="0041797D">
        <w:rPr>
          <w:color w:val="000000"/>
          <w:spacing w:val="-2"/>
          <w:kern w:val="0"/>
          <w:sz w:val="18"/>
          <w:szCs w:val="18"/>
        </w:rPr>
        <w:t>IBD Unit, Digestive Disease Department of the University Clinic Hospital of Valencia, University of Valencia, Valencia 46017, Spain</w:t>
      </w:r>
    </w:p>
    <w:p w:rsidR="00B77E3C" w:rsidRPr="0041797D" w:rsidRDefault="00B77E3C" w:rsidP="00B77E3C">
      <w:pPr>
        <w:suppressAutoHyphens/>
        <w:autoSpaceDE w:val="0"/>
        <w:autoSpaceDN w:val="0"/>
        <w:adjustRightInd w:val="0"/>
        <w:spacing w:line="210" w:lineRule="atLeast"/>
        <w:textAlignment w:val="center"/>
        <w:rPr>
          <w:rFonts w:hint="eastAsia"/>
          <w:color w:val="000000"/>
          <w:spacing w:val="-2"/>
          <w:kern w:val="0"/>
          <w:sz w:val="18"/>
          <w:szCs w:val="18"/>
        </w:rPr>
      </w:pPr>
      <w:r w:rsidRPr="0041797D">
        <w:rPr>
          <w:rFonts w:ascii="Tahoma" w:hAnsi="Tahoma" w:cs="Tahoma"/>
          <w:color w:val="000000"/>
          <w:spacing w:val="-2"/>
          <w:kern w:val="0"/>
          <w:sz w:val="18"/>
          <w:szCs w:val="18"/>
        </w:rPr>
        <w:t xml:space="preserve">Dolores </w:t>
      </w:r>
      <w:proofErr w:type="spellStart"/>
      <w:r w:rsidRPr="0041797D">
        <w:rPr>
          <w:rFonts w:ascii="Tahoma" w:hAnsi="Tahoma" w:cs="Tahoma"/>
          <w:color w:val="000000"/>
          <w:spacing w:val="-2"/>
          <w:kern w:val="0"/>
          <w:sz w:val="18"/>
          <w:szCs w:val="18"/>
        </w:rPr>
        <w:t>Planelles</w:t>
      </w:r>
      <w:proofErr w:type="spellEnd"/>
      <w:r w:rsidRPr="0041797D">
        <w:rPr>
          <w:rFonts w:ascii="Tahoma" w:hAnsi="Tahoma" w:cs="Tahoma"/>
          <w:color w:val="000000"/>
          <w:spacing w:val="-2"/>
          <w:kern w:val="0"/>
          <w:sz w:val="18"/>
          <w:szCs w:val="18"/>
        </w:rPr>
        <w:t>,</w:t>
      </w:r>
      <w:r w:rsidRPr="0041797D">
        <w:rPr>
          <w:color w:val="000000"/>
          <w:spacing w:val="-2"/>
          <w:kern w:val="0"/>
          <w:sz w:val="18"/>
          <w:szCs w:val="18"/>
        </w:rPr>
        <w:t xml:space="preserve"> Histocompatibility Department of the Transfusion Center of the </w:t>
      </w:r>
      <w:proofErr w:type="spellStart"/>
      <w:r w:rsidRPr="0041797D">
        <w:rPr>
          <w:color w:val="000000"/>
          <w:spacing w:val="-2"/>
          <w:kern w:val="0"/>
          <w:sz w:val="18"/>
          <w:szCs w:val="18"/>
        </w:rPr>
        <w:t>Valencian</w:t>
      </w:r>
      <w:proofErr w:type="spellEnd"/>
      <w:r w:rsidRPr="0041797D">
        <w:rPr>
          <w:color w:val="000000"/>
          <w:spacing w:val="-2"/>
          <w:kern w:val="0"/>
          <w:sz w:val="18"/>
          <w:szCs w:val="18"/>
        </w:rPr>
        <w:t xml:space="preserve"> Community, Valencia 46014, Spain</w:t>
      </w:r>
    </w:p>
    <w:p w:rsidR="00B77E3C" w:rsidRPr="0041797D" w:rsidRDefault="00B77E3C" w:rsidP="00B77E3C">
      <w:pPr>
        <w:suppressAutoHyphens/>
        <w:autoSpaceDE w:val="0"/>
        <w:autoSpaceDN w:val="0"/>
        <w:adjustRightInd w:val="0"/>
        <w:spacing w:line="210" w:lineRule="atLeast"/>
        <w:textAlignment w:val="center"/>
        <w:rPr>
          <w:rFonts w:hint="eastAsia"/>
          <w:color w:val="000000"/>
          <w:spacing w:val="-2"/>
          <w:kern w:val="0"/>
          <w:sz w:val="18"/>
          <w:szCs w:val="18"/>
        </w:rPr>
      </w:pPr>
      <w:r w:rsidRPr="0041797D">
        <w:rPr>
          <w:rFonts w:ascii="Tahoma" w:hAnsi="Tahoma" w:cs="Tahoma"/>
          <w:color w:val="000000"/>
          <w:spacing w:val="-2"/>
          <w:kern w:val="0"/>
          <w:sz w:val="18"/>
          <w:szCs w:val="18"/>
        </w:rPr>
        <w:t>Samuel Navarro,</w:t>
      </w:r>
      <w:r w:rsidRPr="0041797D">
        <w:rPr>
          <w:color w:val="000000"/>
          <w:spacing w:val="-2"/>
          <w:kern w:val="0"/>
          <w:sz w:val="18"/>
          <w:szCs w:val="18"/>
        </w:rPr>
        <w:t xml:space="preserve"> Pathology Department of the University Clinic Hospital of Valencia, University of Valencia, Valencia 46017, Spain</w:t>
      </w:r>
    </w:p>
    <w:p w:rsidR="00B77E3C" w:rsidRPr="0041797D" w:rsidRDefault="00B77E3C" w:rsidP="00B77E3C">
      <w:pPr>
        <w:suppressAutoHyphens/>
        <w:autoSpaceDE w:val="0"/>
        <w:autoSpaceDN w:val="0"/>
        <w:adjustRightInd w:val="0"/>
        <w:spacing w:line="210" w:lineRule="atLeast"/>
        <w:textAlignment w:val="center"/>
        <w:rPr>
          <w:rFonts w:hint="eastAsia"/>
          <w:color w:val="000000"/>
          <w:spacing w:val="-2"/>
          <w:kern w:val="0"/>
          <w:sz w:val="18"/>
          <w:szCs w:val="18"/>
        </w:rPr>
      </w:pPr>
      <w:r w:rsidRPr="0041797D">
        <w:rPr>
          <w:rFonts w:ascii="Tahoma" w:hAnsi="Tahoma" w:cs="Tahoma"/>
          <w:color w:val="000000"/>
          <w:spacing w:val="-2"/>
          <w:kern w:val="0"/>
          <w:sz w:val="18"/>
          <w:szCs w:val="18"/>
        </w:rPr>
        <w:t>Alejandro Rodriguez,</w:t>
      </w:r>
      <w:r w:rsidRPr="0041797D">
        <w:rPr>
          <w:color w:val="000000"/>
          <w:spacing w:val="-2"/>
          <w:kern w:val="0"/>
          <w:sz w:val="18"/>
          <w:szCs w:val="18"/>
        </w:rPr>
        <w:t xml:space="preserve"> Digestive Disease Department of the Hospital </w:t>
      </w:r>
      <w:proofErr w:type="spellStart"/>
      <w:r w:rsidRPr="0041797D">
        <w:rPr>
          <w:color w:val="000000"/>
          <w:spacing w:val="-2"/>
          <w:kern w:val="0"/>
          <w:sz w:val="18"/>
          <w:szCs w:val="18"/>
        </w:rPr>
        <w:t>Virgen</w:t>
      </w:r>
      <w:proofErr w:type="spellEnd"/>
      <w:r w:rsidRPr="0041797D">
        <w:rPr>
          <w:color w:val="000000"/>
          <w:spacing w:val="-2"/>
          <w:kern w:val="0"/>
          <w:sz w:val="18"/>
          <w:szCs w:val="18"/>
        </w:rPr>
        <w:t xml:space="preserve"> </w:t>
      </w:r>
      <w:proofErr w:type="gramStart"/>
      <w:r w:rsidRPr="0041797D">
        <w:rPr>
          <w:color w:val="000000"/>
          <w:spacing w:val="-2"/>
          <w:kern w:val="0"/>
          <w:sz w:val="18"/>
          <w:szCs w:val="18"/>
        </w:rPr>
        <w:t>del</w:t>
      </w:r>
      <w:proofErr w:type="gramEnd"/>
      <w:r w:rsidRPr="0041797D">
        <w:rPr>
          <w:color w:val="000000"/>
          <w:spacing w:val="-2"/>
          <w:kern w:val="0"/>
          <w:sz w:val="18"/>
          <w:szCs w:val="18"/>
        </w:rPr>
        <w:t xml:space="preserve"> Castillo of </w:t>
      </w:r>
      <w:proofErr w:type="spellStart"/>
      <w:r w:rsidRPr="0041797D">
        <w:rPr>
          <w:color w:val="000000"/>
          <w:spacing w:val="-2"/>
          <w:kern w:val="0"/>
          <w:sz w:val="18"/>
          <w:szCs w:val="18"/>
        </w:rPr>
        <w:t>Yecla</w:t>
      </w:r>
      <w:proofErr w:type="spellEnd"/>
      <w:r w:rsidRPr="0041797D">
        <w:rPr>
          <w:color w:val="000000"/>
          <w:spacing w:val="-2"/>
          <w:kern w:val="0"/>
          <w:sz w:val="18"/>
          <w:szCs w:val="18"/>
        </w:rPr>
        <w:t xml:space="preserve">, </w:t>
      </w:r>
      <w:proofErr w:type="spellStart"/>
      <w:r w:rsidRPr="0041797D">
        <w:rPr>
          <w:color w:val="000000"/>
          <w:spacing w:val="-2"/>
          <w:kern w:val="0"/>
          <w:sz w:val="18"/>
          <w:szCs w:val="18"/>
        </w:rPr>
        <w:t>Yecla</w:t>
      </w:r>
      <w:proofErr w:type="spellEnd"/>
      <w:r w:rsidRPr="0041797D">
        <w:rPr>
          <w:color w:val="000000"/>
          <w:spacing w:val="-2"/>
          <w:kern w:val="0"/>
          <w:sz w:val="18"/>
          <w:szCs w:val="18"/>
        </w:rPr>
        <w:t xml:space="preserve"> 30510, Spain</w:t>
      </w:r>
    </w:p>
    <w:p w:rsidR="00B77E3C" w:rsidRPr="0041797D" w:rsidRDefault="00B77E3C" w:rsidP="00B77E3C">
      <w:pPr>
        <w:suppressAutoHyphens/>
        <w:autoSpaceDE w:val="0"/>
        <w:autoSpaceDN w:val="0"/>
        <w:adjustRightInd w:val="0"/>
        <w:spacing w:line="210" w:lineRule="atLeast"/>
        <w:textAlignment w:val="center"/>
        <w:rPr>
          <w:rFonts w:hint="eastAsia"/>
          <w:color w:val="000000"/>
          <w:spacing w:val="-2"/>
          <w:kern w:val="0"/>
          <w:sz w:val="18"/>
          <w:szCs w:val="18"/>
        </w:rPr>
      </w:pPr>
      <w:r w:rsidRPr="0041797D">
        <w:rPr>
          <w:rFonts w:ascii="Tahoma" w:hAnsi="Tahoma" w:cs="Tahoma"/>
          <w:color w:val="000000"/>
          <w:spacing w:val="-2"/>
          <w:kern w:val="0"/>
          <w:sz w:val="18"/>
          <w:szCs w:val="18"/>
        </w:rPr>
        <w:t>Jesus Santiago,</w:t>
      </w:r>
      <w:r w:rsidRPr="0041797D">
        <w:rPr>
          <w:b/>
          <w:bCs/>
          <w:color w:val="000000"/>
          <w:spacing w:val="-2"/>
          <w:kern w:val="0"/>
          <w:sz w:val="18"/>
          <w:szCs w:val="18"/>
        </w:rPr>
        <w:t xml:space="preserve"> </w:t>
      </w:r>
      <w:r w:rsidRPr="0041797D">
        <w:rPr>
          <w:color w:val="000000"/>
          <w:spacing w:val="-2"/>
          <w:kern w:val="0"/>
          <w:sz w:val="18"/>
          <w:szCs w:val="18"/>
        </w:rPr>
        <w:t xml:space="preserve">Digestive Disease Department of the Hospital de </w:t>
      </w:r>
      <w:proofErr w:type="spellStart"/>
      <w:r w:rsidRPr="0041797D">
        <w:rPr>
          <w:color w:val="000000"/>
          <w:spacing w:val="-2"/>
          <w:kern w:val="0"/>
          <w:sz w:val="18"/>
          <w:szCs w:val="18"/>
        </w:rPr>
        <w:t>Manises</w:t>
      </w:r>
      <w:proofErr w:type="spellEnd"/>
      <w:r w:rsidRPr="0041797D">
        <w:rPr>
          <w:color w:val="000000"/>
          <w:spacing w:val="-2"/>
          <w:kern w:val="0"/>
          <w:sz w:val="18"/>
          <w:szCs w:val="18"/>
        </w:rPr>
        <w:t>, Valencia 46940, Spain</w:t>
      </w:r>
    </w:p>
    <w:p w:rsidR="00B77E3C" w:rsidRPr="0041797D" w:rsidRDefault="00B77E3C" w:rsidP="00B77E3C">
      <w:pPr>
        <w:suppressAutoHyphens/>
        <w:autoSpaceDE w:val="0"/>
        <w:autoSpaceDN w:val="0"/>
        <w:adjustRightInd w:val="0"/>
        <w:spacing w:line="210" w:lineRule="atLeast"/>
        <w:textAlignment w:val="center"/>
        <w:rPr>
          <w:rFonts w:hint="eastAsia"/>
          <w:color w:val="000000"/>
          <w:spacing w:val="-2"/>
          <w:kern w:val="0"/>
          <w:sz w:val="18"/>
          <w:szCs w:val="18"/>
        </w:rPr>
      </w:pPr>
      <w:r w:rsidRPr="0041797D">
        <w:rPr>
          <w:rFonts w:ascii="Tahoma" w:hAnsi="Tahoma" w:cs="Tahoma"/>
          <w:color w:val="000000"/>
          <w:spacing w:val="-2"/>
          <w:kern w:val="0"/>
          <w:sz w:val="18"/>
          <w:szCs w:val="18"/>
        </w:rPr>
        <w:t>Francisco Mora,</w:t>
      </w:r>
      <w:r w:rsidRPr="0041797D">
        <w:rPr>
          <w:color w:val="000000"/>
          <w:spacing w:val="-2"/>
          <w:kern w:val="0"/>
          <w:sz w:val="18"/>
          <w:szCs w:val="18"/>
        </w:rPr>
        <w:t xml:space="preserve"> Digestive Disease Department of the Univer</w:t>
      </w:r>
      <w:r w:rsidRPr="0041797D">
        <w:rPr>
          <w:color w:val="000000"/>
          <w:spacing w:val="-2"/>
          <w:kern w:val="0"/>
          <w:sz w:val="18"/>
          <w:szCs w:val="18"/>
        </w:rPr>
        <w:softHyphen/>
        <w:t>sity Clinic Hospital of Valencia, University of Valencia, Valencia 46017, Spain</w:t>
      </w:r>
    </w:p>
    <w:p w:rsidR="00B77E3C" w:rsidRPr="0041797D" w:rsidRDefault="00B77E3C" w:rsidP="00B77E3C">
      <w:pPr>
        <w:suppressAutoHyphens/>
        <w:autoSpaceDE w:val="0"/>
        <w:autoSpaceDN w:val="0"/>
        <w:adjustRightInd w:val="0"/>
        <w:spacing w:line="210" w:lineRule="atLeast"/>
        <w:textAlignment w:val="center"/>
        <w:rPr>
          <w:rFonts w:hint="eastAsia"/>
          <w:b/>
          <w:bCs/>
          <w:color w:val="000000"/>
          <w:spacing w:val="-2"/>
          <w:kern w:val="0"/>
          <w:sz w:val="18"/>
          <w:szCs w:val="18"/>
        </w:rPr>
      </w:pPr>
      <w:r w:rsidRPr="0041797D">
        <w:rPr>
          <w:rFonts w:ascii="Tahoma" w:hAnsi="Tahoma" w:cs="Tahoma"/>
          <w:color w:val="000000"/>
          <w:kern w:val="0"/>
          <w:sz w:val="18"/>
          <w:szCs w:val="18"/>
        </w:rPr>
        <w:t xml:space="preserve">Author contributions: </w:t>
      </w:r>
      <w:r w:rsidRPr="0041797D">
        <w:rPr>
          <w:color w:val="000000"/>
          <w:spacing w:val="-2"/>
          <w:kern w:val="0"/>
          <w:sz w:val="18"/>
          <w:szCs w:val="18"/>
        </w:rPr>
        <w:t xml:space="preserve">The first four authors designed the study, and corrected the results and article; </w:t>
      </w:r>
      <w:proofErr w:type="spellStart"/>
      <w:r w:rsidRPr="0041797D">
        <w:rPr>
          <w:color w:val="000000"/>
          <w:spacing w:val="-2"/>
          <w:kern w:val="0"/>
          <w:sz w:val="18"/>
          <w:szCs w:val="18"/>
        </w:rPr>
        <w:t>Bosca</w:t>
      </w:r>
      <w:proofErr w:type="spellEnd"/>
      <w:r w:rsidRPr="0041797D">
        <w:rPr>
          <w:color w:val="000000"/>
          <w:spacing w:val="-2"/>
          <w:kern w:val="0"/>
          <w:sz w:val="18"/>
          <w:szCs w:val="18"/>
        </w:rPr>
        <w:t>-Watts MM was responsible of carrying out the study and coordinating the parts; Rodriguez A and Santiago J did part of the technical interventions; Tosca J helped doing it and reviewing the statistical analysis; and Mora F supervised and corrected the article.</w:t>
      </w:r>
    </w:p>
    <w:p w:rsidR="00B77E3C" w:rsidRPr="0041797D" w:rsidRDefault="00B77E3C" w:rsidP="00B77E3C">
      <w:pPr>
        <w:suppressAutoHyphens/>
        <w:autoSpaceDE w:val="0"/>
        <w:autoSpaceDN w:val="0"/>
        <w:adjustRightInd w:val="0"/>
        <w:spacing w:line="210" w:lineRule="atLeast"/>
        <w:textAlignment w:val="center"/>
        <w:rPr>
          <w:b/>
          <w:bCs/>
          <w:color w:val="000000"/>
          <w:spacing w:val="-2"/>
          <w:kern w:val="0"/>
          <w:sz w:val="18"/>
          <w:szCs w:val="18"/>
        </w:rPr>
      </w:pPr>
      <w:r w:rsidRPr="0041797D">
        <w:rPr>
          <w:rFonts w:ascii="Tahoma" w:hAnsi="Tahoma" w:cs="Tahoma"/>
          <w:color w:val="000000"/>
          <w:kern w:val="0"/>
          <w:sz w:val="18"/>
          <w:szCs w:val="18"/>
        </w:rPr>
        <w:t>Correspondence to:</w:t>
      </w:r>
      <w:r w:rsidRPr="0041797D">
        <w:rPr>
          <w:rFonts w:ascii="Tahoma" w:hAnsi="Tahoma" w:cs="Tahoma"/>
          <w:color w:val="000000"/>
          <w:spacing w:val="-2"/>
          <w:kern w:val="0"/>
          <w:sz w:val="18"/>
          <w:szCs w:val="18"/>
        </w:rPr>
        <w:t xml:space="preserve"> Marta Maia </w:t>
      </w:r>
      <w:proofErr w:type="spellStart"/>
      <w:r w:rsidRPr="0041797D">
        <w:rPr>
          <w:rFonts w:ascii="Tahoma" w:hAnsi="Tahoma" w:cs="Tahoma"/>
          <w:color w:val="000000"/>
          <w:spacing w:val="-2"/>
          <w:kern w:val="0"/>
          <w:sz w:val="18"/>
          <w:szCs w:val="18"/>
        </w:rPr>
        <w:t>Bosca</w:t>
      </w:r>
      <w:proofErr w:type="spellEnd"/>
      <w:r w:rsidRPr="0041797D">
        <w:rPr>
          <w:rFonts w:ascii="Tahoma" w:hAnsi="Tahoma" w:cs="Tahoma"/>
          <w:color w:val="000000"/>
          <w:spacing w:val="-2"/>
          <w:kern w:val="0"/>
          <w:sz w:val="18"/>
          <w:szCs w:val="18"/>
        </w:rPr>
        <w:t>-Watts, PhD, MD, Attending Doctor, Research Scientist, Staff Physician,</w:t>
      </w:r>
      <w:r w:rsidRPr="0041797D">
        <w:rPr>
          <w:b/>
          <w:bCs/>
          <w:color w:val="000000"/>
          <w:spacing w:val="-2"/>
          <w:kern w:val="0"/>
          <w:sz w:val="18"/>
          <w:szCs w:val="18"/>
        </w:rPr>
        <w:t xml:space="preserve"> </w:t>
      </w:r>
      <w:r w:rsidRPr="0041797D">
        <w:rPr>
          <w:color w:val="000000"/>
          <w:spacing w:val="-2"/>
          <w:kern w:val="0"/>
          <w:sz w:val="18"/>
          <w:szCs w:val="18"/>
        </w:rPr>
        <w:t>IBD Unit, Digestive Disease Department of the University Clinic Hospital of Valencia, University of Valencia,</w:t>
      </w:r>
      <w:r w:rsidRPr="0041797D">
        <w:rPr>
          <w:b/>
          <w:bCs/>
          <w:color w:val="000000"/>
          <w:spacing w:val="-2"/>
          <w:kern w:val="0"/>
          <w:sz w:val="18"/>
          <w:szCs w:val="18"/>
        </w:rPr>
        <w:t xml:space="preserve"> </w:t>
      </w:r>
      <w:r w:rsidRPr="0041797D">
        <w:rPr>
          <w:color w:val="000000"/>
          <w:spacing w:val="-2"/>
          <w:kern w:val="0"/>
          <w:sz w:val="18"/>
          <w:szCs w:val="18"/>
        </w:rPr>
        <w:t xml:space="preserve">C/ </w:t>
      </w:r>
      <w:proofErr w:type="spellStart"/>
      <w:r w:rsidRPr="0041797D">
        <w:rPr>
          <w:color w:val="000000"/>
          <w:spacing w:val="-2"/>
          <w:kern w:val="0"/>
          <w:sz w:val="18"/>
          <w:szCs w:val="18"/>
        </w:rPr>
        <w:t>Blasco</w:t>
      </w:r>
      <w:proofErr w:type="spellEnd"/>
      <w:r w:rsidRPr="0041797D">
        <w:rPr>
          <w:color w:val="000000"/>
          <w:spacing w:val="-2"/>
          <w:kern w:val="0"/>
          <w:sz w:val="18"/>
          <w:szCs w:val="18"/>
        </w:rPr>
        <w:t xml:space="preserve"> </w:t>
      </w:r>
      <w:proofErr w:type="spellStart"/>
      <w:r w:rsidRPr="0041797D">
        <w:rPr>
          <w:color w:val="000000"/>
          <w:spacing w:val="-2"/>
          <w:kern w:val="0"/>
          <w:sz w:val="18"/>
          <w:szCs w:val="18"/>
        </w:rPr>
        <w:t>Ibañez</w:t>
      </w:r>
      <w:proofErr w:type="spellEnd"/>
      <w:r w:rsidRPr="0041797D">
        <w:rPr>
          <w:color w:val="000000"/>
          <w:spacing w:val="-2"/>
          <w:kern w:val="0"/>
          <w:sz w:val="18"/>
          <w:szCs w:val="18"/>
        </w:rPr>
        <w:t xml:space="preserve"> 17, Valencia 46010, Spain. inflamatoriahcuv@gmail.com</w:t>
      </w:r>
    </w:p>
    <w:p w:rsidR="00B77E3C" w:rsidRPr="0041797D" w:rsidRDefault="00B77E3C" w:rsidP="00B77E3C">
      <w:pPr>
        <w:suppressAutoHyphens/>
        <w:autoSpaceDE w:val="0"/>
        <w:autoSpaceDN w:val="0"/>
        <w:adjustRightInd w:val="0"/>
        <w:spacing w:line="210" w:lineRule="atLeast"/>
        <w:textAlignment w:val="center"/>
        <w:rPr>
          <w:color w:val="000000"/>
          <w:spacing w:val="-2"/>
          <w:kern w:val="0"/>
          <w:sz w:val="18"/>
          <w:szCs w:val="18"/>
        </w:rPr>
      </w:pPr>
      <w:r w:rsidRPr="0041797D">
        <w:rPr>
          <w:rFonts w:ascii="Tahoma" w:hAnsi="Tahoma" w:cs="Tahoma"/>
          <w:color w:val="000000"/>
          <w:kern w:val="0"/>
          <w:sz w:val="18"/>
          <w:szCs w:val="18"/>
        </w:rPr>
        <w:t>Telephone:</w:t>
      </w:r>
      <w:r w:rsidRPr="0041797D">
        <w:rPr>
          <w:b/>
          <w:bCs/>
          <w:color w:val="000000"/>
          <w:spacing w:val="-2"/>
          <w:kern w:val="0"/>
          <w:sz w:val="18"/>
          <w:szCs w:val="18"/>
        </w:rPr>
        <w:t xml:space="preserve"> </w:t>
      </w:r>
      <w:r w:rsidRPr="0041797D">
        <w:rPr>
          <w:color w:val="000000"/>
          <w:spacing w:val="-2"/>
          <w:kern w:val="0"/>
          <w:sz w:val="18"/>
          <w:szCs w:val="18"/>
        </w:rPr>
        <w:t>+34-9-61973500- 436449</w:t>
      </w:r>
    </w:p>
    <w:p w:rsidR="00B77E3C" w:rsidRPr="0041797D" w:rsidRDefault="00B77E3C" w:rsidP="00B77E3C">
      <w:pPr>
        <w:suppressAutoHyphens/>
        <w:autoSpaceDE w:val="0"/>
        <w:autoSpaceDN w:val="0"/>
        <w:adjustRightInd w:val="0"/>
        <w:spacing w:line="210" w:lineRule="atLeast"/>
        <w:textAlignment w:val="center"/>
        <w:rPr>
          <w:color w:val="000000"/>
          <w:spacing w:val="-2"/>
          <w:kern w:val="0"/>
          <w:sz w:val="18"/>
          <w:szCs w:val="18"/>
        </w:rPr>
      </w:pPr>
      <w:r w:rsidRPr="0041797D">
        <w:rPr>
          <w:rFonts w:ascii="Tahoma" w:hAnsi="Tahoma" w:cs="Tahoma"/>
          <w:color w:val="000000"/>
          <w:spacing w:val="-2"/>
          <w:kern w:val="0"/>
          <w:sz w:val="18"/>
          <w:szCs w:val="18"/>
        </w:rPr>
        <w:t>Received:</w:t>
      </w:r>
      <w:r w:rsidRPr="0041797D">
        <w:rPr>
          <w:b/>
          <w:bCs/>
          <w:color w:val="000000"/>
          <w:spacing w:val="-2"/>
          <w:kern w:val="0"/>
          <w:sz w:val="18"/>
          <w:szCs w:val="18"/>
        </w:rPr>
        <w:t xml:space="preserve"> </w:t>
      </w:r>
      <w:r w:rsidRPr="0041797D">
        <w:rPr>
          <w:color w:val="000000"/>
          <w:spacing w:val="-2"/>
          <w:kern w:val="0"/>
          <w:sz w:val="18"/>
          <w:szCs w:val="18"/>
        </w:rPr>
        <w:t>October 28, 2017</w:t>
      </w:r>
      <w:r>
        <w:rPr>
          <w:rFonts w:hint="eastAsia"/>
          <w:color w:val="000000"/>
          <w:spacing w:val="-2"/>
          <w:kern w:val="0"/>
          <w:sz w:val="18"/>
          <w:szCs w:val="18"/>
        </w:rPr>
        <w:t xml:space="preserve">    </w:t>
      </w:r>
      <w:r w:rsidRPr="0041797D">
        <w:rPr>
          <w:rFonts w:ascii="Tahoma" w:hAnsi="Tahoma" w:cs="Tahoma"/>
          <w:color w:val="000000"/>
          <w:spacing w:val="-2"/>
          <w:kern w:val="0"/>
          <w:sz w:val="18"/>
          <w:szCs w:val="18"/>
        </w:rPr>
        <w:t>Revised:</w:t>
      </w:r>
      <w:r w:rsidRPr="0041797D">
        <w:rPr>
          <w:b/>
          <w:bCs/>
          <w:color w:val="000000"/>
          <w:spacing w:val="-2"/>
          <w:kern w:val="0"/>
          <w:sz w:val="18"/>
          <w:szCs w:val="18"/>
        </w:rPr>
        <w:t xml:space="preserve"> </w:t>
      </w:r>
      <w:r w:rsidRPr="0041797D">
        <w:rPr>
          <w:color w:val="000000"/>
          <w:spacing w:val="-2"/>
          <w:kern w:val="0"/>
          <w:sz w:val="18"/>
          <w:szCs w:val="18"/>
        </w:rPr>
        <w:t>November 22, 2017</w:t>
      </w:r>
      <w:r>
        <w:rPr>
          <w:rFonts w:hint="eastAsia"/>
          <w:color w:val="000000"/>
          <w:spacing w:val="-2"/>
          <w:kern w:val="0"/>
          <w:sz w:val="18"/>
          <w:szCs w:val="18"/>
        </w:rPr>
        <w:t xml:space="preserve">    </w:t>
      </w:r>
      <w:r w:rsidRPr="0041797D">
        <w:rPr>
          <w:rFonts w:ascii="Tahoma" w:hAnsi="Tahoma" w:cs="Tahoma"/>
          <w:color w:val="000000"/>
          <w:spacing w:val="-2"/>
          <w:kern w:val="0"/>
          <w:sz w:val="18"/>
          <w:szCs w:val="18"/>
        </w:rPr>
        <w:t>Accepted:</w:t>
      </w:r>
      <w:r w:rsidRPr="0041797D">
        <w:rPr>
          <w:color w:val="000000"/>
          <w:spacing w:val="-2"/>
          <w:kern w:val="0"/>
          <w:sz w:val="18"/>
          <w:szCs w:val="18"/>
        </w:rPr>
        <w:t xml:space="preserve"> November 27, 2017</w:t>
      </w:r>
      <w:r w:rsidRPr="0041797D">
        <w:rPr>
          <w:b/>
          <w:bCs/>
          <w:color w:val="000000"/>
          <w:spacing w:val="-2"/>
          <w:kern w:val="0"/>
          <w:sz w:val="18"/>
          <w:szCs w:val="18"/>
        </w:rPr>
        <w:t xml:space="preserve">  </w:t>
      </w:r>
    </w:p>
    <w:p w:rsidR="00B77E3C" w:rsidRPr="0041797D" w:rsidRDefault="00B77E3C" w:rsidP="00B77E3C">
      <w:pPr>
        <w:suppressAutoHyphens/>
        <w:autoSpaceDE w:val="0"/>
        <w:autoSpaceDN w:val="0"/>
        <w:adjustRightInd w:val="0"/>
        <w:spacing w:line="288" w:lineRule="auto"/>
        <w:textAlignment w:val="center"/>
        <w:rPr>
          <w:color w:val="000000"/>
          <w:kern w:val="0"/>
          <w:sz w:val="18"/>
          <w:szCs w:val="18"/>
        </w:rPr>
      </w:pPr>
      <w:r w:rsidRPr="0041797D">
        <w:rPr>
          <w:rFonts w:ascii="Tahoma" w:hAnsi="Tahoma" w:cs="Tahoma"/>
          <w:color w:val="000000"/>
          <w:kern w:val="0"/>
          <w:sz w:val="18"/>
          <w:szCs w:val="18"/>
        </w:rPr>
        <w:t xml:space="preserve">Published online: </w:t>
      </w:r>
      <w:r w:rsidRPr="0041797D">
        <w:rPr>
          <w:color w:val="000000"/>
          <w:kern w:val="0"/>
          <w:sz w:val="18"/>
          <w:szCs w:val="18"/>
        </w:rPr>
        <w:t xml:space="preserve">January 7, 2018 </w:t>
      </w:r>
    </w:p>
    <w:p w:rsidR="00B77E3C" w:rsidRPr="0041797D" w:rsidRDefault="00B77E3C" w:rsidP="00B77E3C">
      <w:pPr>
        <w:autoSpaceDE w:val="0"/>
        <w:autoSpaceDN w:val="0"/>
        <w:adjustRightInd w:val="0"/>
        <w:spacing w:line="288" w:lineRule="auto"/>
        <w:textAlignment w:val="center"/>
        <w:rPr>
          <w:rFonts w:ascii="Century Gothic" w:hAnsi="Century Gothic" w:cs="Century Gothic" w:hint="eastAsia"/>
          <w:b/>
          <w:bCs/>
          <w:color w:val="000000"/>
          <w:spacing w:val="12"/>
          <w:kern w:val="0"/>
          <w:sz w:val="24"/>
        </w:rPr>
      </w:pPr>
    </w:p>
    <w:p w:rsidR="00B77E3C" w:rsidRPr="0041797D" w:rsidRDefault="00B77E3C" w:rsidP="00B77E3C">
      <w:pPr>
        <w:autoSpaceDE w:val="0"/>
        <w:autoSpaceDN w:val="0"/>
        <w:adjustRightInd w:val="0"/>
        <w:spacing w:line="288" w:lineRule="auto"/>
        <w:textAlignment w:val="center"/>
        <w:rPr>
          <w:rFonts w:ascii="Book Antiqua" w:hAnsi="Book Antiqua" w:cs="Book Antiqua"/>
          <w:color w:val="000000"/>
          <w:kern w:val="0"/>
          <w:sz w:val="24"/>
        </w:rPr>
      </w:pPr>
      <w:r w:rsidRPr="0041797D">
        <w:rPr>
          <w:rFonts w:ascii="Century Gothic" w:hAnsi="Century Gothic" w:cs="Century Gothic"/>
          <w:b/>
          <w:bCs/>
          <w:color w:val="000000"/>
          <w:spacing w:val="12"/>
          <w:kern w:val="0"/>
          <w:sz w:val="24"/>
        </w:rPr>
        <w:t>Abstract</w:t>
      </w:r>
    </w:p>
    <w:p w:rsidR="00B77E3C" w:rsidRPr="0041797D" w:rsidRDefault="00B77E3C" w:rsidP="00B77E3C">
      <w:pPr>
        <w:suppressAutoHyphens/>
        <w:autoSpaceDE w:val="0"/>
        <w:autoSpaceDN w:val="0"/>
        <w:adjustRightInd w:val="0"/>
        <w:spacing w:line="230" w:lineRule="atLeast"/>
        <w:textAlignment w:val="center"/>
        <w:rPr>
          <w:rFonts w:ascii="Tahoma Bold Italic" w:hAnsi="Tahoma Bold Italic" w:cs="Tahoma Bold Italic"/>
          <w:b/>
          <w:bCs/>
          <w:iCs/>
          <w:color w:val="000000"/>
          <w:spacing w:val="-1"/>
          <w:kern w:val="0"/>
          <w:sz w:val="19"/>
          <w:szCs w:val="19"/>
        </w:rPr>
      </w:pPr>
      <w:r w:rsidRPr="0041797D">
        <w:rPr>
          <w:b/>
          <w:bCs/>
          <w:iCs/>
          <w:color w:val="000000"/>
          <w:spacing w:val="-1"/>
          <w:kern w:val="0"/>
          <w:sz w:val="19"/>
          <w:szCs w:val="19"/>
        </w:rPr>
        <w:t>AIM</w:t>
      </w:r>
    </w:p>
    <w:p w:rsidR="00B77E3C" w:rsidRPr="0041797D" w:rsidRDefault="00B77E3C" w:rsidP="00B77E3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41797D">
        <w:rPr>
          <w:rFonts w:ascii="Tahoma" w:hAnsi="Tahoma" w:cs="Tahoma"/>
          <w:color w:val="000000"/>
          <w:spacing w:val="-1"/>
          <w:kern w:val="0"/>
          <w:sz w:val="19"/>
          <w:szCs w:val="19"/>
        </w:rPr>
        <w:t>To determine the genetic predisposition to celiac disease (</w:t>
      </w:r>
      <w:proofErr w:type="spellStart"/>
      <w:proofErr w:type="gramStart"/>
      <w:r w:rsidRPr="0041797D">
        <w:rPr>
          <w:rFonts w:ascii="Tahoma" w:hAnsi="Tahoma" w:cs="Tahoma"/>
          <w:color w:val="000000"/>
          <w:spacing w:val="-1"/>
          <w:kern w:val="0"/>
          <w:sz w:val="19"/>
          <w:szCs w:val="19"/>
        </w:rPr>
        <w:t>CeD</w:t>
      </w:r>
      <w:proofErr w:type="spellEnd"/>
      <w:proofErr w:type="gramEnd"/>
      <w:r w:rsidRPr="0041797D">
        <w:rPr>
          <w:rFonts w:ascii="Tahoma" w:hAnsi="Tahoma" w:cs="Tahoma"/>
          <w:color w:val="000000"/>
          <w:spacing w:val="-1"/>
          <w:kern w:val="0"/>
          <w:sz w:val="19"/>
          <w:szCs w:val="19"/>
        </w:rPr>
        <w:t xml:space="preserve">) in inflammatory bowel disease (IBD) patients by quantifying the frequency of </w:t>
      </w:r>
      <w:proofErr w:type="spellStart"/>
      <w:r w:rsidRPr="0041797D">
        <w:rPr>
          <w:rFonts w:ascii="Tahoma" w:hAnsi="Tahoma" w:cs="Tahoma"/>
          <w:color w:val="000000"/>
          <w:spacing w:val="-1"/>
          <w:kern w:val="0"/>
          <w:sz w:val="19"/>
          <w:szCs w:val="19"/>
        </w:rPr>
        <w:t>CeD</w:t>
      </w:r>
      <w:proofErr w:type="spellEnd"/>
      <w:r w:rsidRPr="0041797D">
        <w:rPr>
          <w:rFonts w:ascii="Tahoma" w:hAnsi="Tahoma" w:cs="Tahoma"/>
          <w:color w:val="000000"/>
          <w:spacing w:val="-1"/>
          <w:kern w:val="0"/>
          <w:sz w:val="19"/>
          <w:szCs w:val="19"/>
        </w:rPr>
        <w:t>-related human leucocyte antigen (HLA) (HLA-</w:t>
      </w:r>
      <w:proofErr w:type="spellStart"/>
      <w:r w:rsidRPr="0041797D">
        <w:rPr>
          <w:rFonts w:ascii="Tahoma" w:hAnsi="Tahoma" w:cs="Tahoma"/>
          <w:color w:val="000000"/>
          <w:spacing w:val="-1"/>
          <w:kern w:val="0"/>
          <w:sz w:val="19"/>
          <w:szCs w:val="19"/>
        </w:rPr>
        <w:t>CeD</w:t>
      </w:r>
      <w:proofErr w:type="spellEnd"/>
      <w:r w:rsidRPr="0041797D">
        <w:rPr>
          <w:rFonts w:ascii="Tahoma" w:hAnsi="Tahoma" w:cs="Tahoma"/>
          <w:color w:val="000000"/>
          <w:spacing w:val="-1"/>
          <w:kern w:val="0"/>
          <w:sz w:val="19"/>
          <w:szCs w:val="19"/>
        </w:rPr>
        <w:t>: HLA-DQ2 and -DQ8) in IBD patients globally, by type of IBD and gender, and by calculating the protective/risk contribution of these haplotypes in the development of the IBD disease.</w:t>
      </w:r>
    </w:p>
    <w:p w:rsidR="00B77E3C" w:rsidRPr="0041797D" w:rsidRDefault="00B77E3C" w:rsidP="00B77E3C">
      <w:pPr>
        <w:suppressAutoHyphens/>
        <w:autoSpaceDE w:val="0"/>
        <w:autoSpaceDN w:val="0"/>
        <w:adjustRightInd w:val="0"/>
        <w:spacing w:line="230" w:lineRule="atLeast"/>
        <w:textAlignment w:val="center"/>
        <w:rPr>
          <w:rFonts w:ascii="Tahoma Italic" w:hAnsi="Tahoma Italic" w:cs="Tahoma Italic"/>
          <w:iCs/>
          <w:color w:val="000000"/>
          <w:spacing w:val="-1"/>
          <w:kern w:val="0"/>
          <w:sz w:val="19"/>
          <w:szCs w:val="19"/>
        </w:rPr>
      </w:pPr>
      <w:r w:rsidRPr="0041797D">
        <w:rPr>
          <w:b/>
          <w:bCs/>
          <w:iCs/>
          <w:color w:val="000000"/>
          <w:spacing w:val="-1"/>
          <w:kern w:val="0"/>
          <w:sz w:val="19"/>
          <w:szCs w:val="19"/>
        </w:rPr>
        <w:t>METHODS</w:t>
      </w:r>
    </w:p>
    <w:p w:rsidR="00B77E3C" w:rsidRPr="0041797D" w:rsidRDefault="00B77E3C" w:rsidP="00B77E3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41797D">
        <w:rPr>
          <w:rFonts w:ascii="Tahoma" w:hAnsi="Tahoma" w:cs="Tahoma"/>
          <w:color w:val="000000"/>
          <w:spacing w:val="-1"/>
          <w:kern w:val="0"/>
          <w:sz w:val="19"/>
          <w:szCs w:val="19"/>
        </w:rPr>
        <w:t>We conducted a prospective study with IBD patients from our Unit. Clinical information was gathered and blood was tested for HLA-</w:t>
      </w:r>
      <w:proofErr w:type="spellStart"/>
      <w:r w:rsidRPr="0041797D">
        <w:rPr>
          <w:rFonts w:ascii="Tahoma" w:hAnsi="Tahoma" w:cs="Tahoma"/>
          <w:color w:val="000000"/>
          <w:spacing w:val="-1"/>
          <w:kern w:val="0"/>
          <w:sz w:val="19"/>
          <w:szCs w:val="19"/>
        </w:rPr>
        <w:t>CeD</w:t>
      </w:r>
      <w:proofErr w:type="spellEnd"/>
      <w:r w:rsidRPr="0041797D">
        <w:rPr>
          <w:rFonts w:ascii="Tahoma" w:hAnsi="Tahoma" w:cs="Tahoma"/>
          <w:color w:val="000000"/>
          <w:spacing w:val="-1"/>
          <w:kern w:val="0"/>
          <w:sz w:val="19"/>
          <w:szCs w:val="19"/>
        </w:rPr>
        <w:t xml:space="preserve">. The control group was made up of unrelated </w:t>
      </w:r>
      <w:proofErr w:type="spellStart"/>
      <w:r w:rsidRPr="0041797D">
        <w:rPr>
          <w:rFonts w:ascii="Tahoma" w:hAnsi="Tahoma" w:cs="Tahoma"/>
          <w:color w:val="000000"/>
          <w:spacing w:val="-1"/>
          <w:kern w:val="0"/>
          <w:sz w:val="19"/>
          <w:szCs w:val="19"/>
        </w:rPr>
        <w:t>Valencian</w:t>
      </w:r>
      <w:proofErr w:type="spellEnd"/>
      <w:r w:rsidRPr="0041797D">
        <w:rPr>
          <w:rFonts w:ascii="Tahoma" w:hAnsi="Tahoma" w:cs="Tahoma"/>
          <w:color w:val="000000"/>
          <w:spacing w:val="-1"/>
          <w:kern w:val="0"/>
          <w:sz w:val="19"/>
          <w:szCs w:val="19"/>
        </w:rPr>
        <w:t xml:space="preserve"> organ donors.</w:t>
      </w:r>
    </w:p>
    <w:p w:rsidR="00B77E3C" w:rsidRPr="0041797D" w:rsidRDefault="00B77E3C" w:rsidP="00B77E3C">
      <w:pPr>
        <w:suppressAutoHyphens/>
        <w:autoSpaceDE w:val="0"/>
        <w:autoSpaceDN w:val="0"/>
        <w:adjustRightInd w:val="0"/>
        <w:spacing w:line="230" w:lineRule="atLeast"/>
        <w:textAlignment w:val="center"/>
        <w:rPr>
          <w:rFonts w:ascii="Tahoma Italic" w:hAnsi="Tahoma Italic" w:cs="Tahoma Italic"/>
          <w:iCs/>
          <w:color w:val="000000"/>
          <w:spacing w:val="-1"/>
          <w:kern w:val="0"/>
          <w:sz w:val="19"/>
          <w:szCs w:val="19"/>
        </w:rPr>
      </w:pPr>
      <w:r w:rsidRPr="0041797D">
        <w:rPr>
          <w:b/>
          <w:bCs/>
          <w:iCs/>
          <w:color w:val="000000"/>
          <w:spacing w:val="-1"/>
          <w:kern w:val="0"/>
          <w:sz w:val="19"/>
          <w:szCs w:val="19"/>
        </w:rPr>
        <w:t>RESULTS</w:t>
      </w:r>
    </w:p>
    <w:p w:rsidR="00B77E3C" w:rsidRPr="0041797D" w:rsidRDefault="00B77E3C" w:rsidP="00B77E3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41797D">
        <w:rPr>
          <w:rFonts w:ascii="Tahoma" w:hAnsi="Tahoma" w:cs="Tahoma"/>
          <w:color w:val="000000"/>
          <w:spacing w:val="-1"/>
          <w:kern w:val="0"/>
          <w:sz w:val="19"/>
          <w:szCs w:val="19"/>
        </w:rPr>
        <w:t xml:space="preserve">1034 subjects were analyzed: 457 IBD [207 ulcerative </w:t>
      </w:r>
      <w:proofErr w:type="spellStart"/>
      <w:r w:rsidRPr="0041797D">
        <w:rPr>
          <w:rFonts w:ascii="Tahoma" w:hAnsi="Tahoma" w:cs="Tahoma"/>
          <w:color w:val="000000"/>
          <w:spacing w:val="-1"/>
          <w:kern w:val="0"/>
          <w:sz w:val="19"/>
          <w:szCs w:val="19"/>
        </w:rPr>
        <w:t>coliti</w:t>
      </w:r>
      <w:proofErr w:type="spellEnd"/>
      <w:r w:rsidRPr="0041797D">
        <w:rPr>
          <w:rFonts w:ascii="Tahoma" w:hAnsi="Tahoma" w:cs="Tahoma"/>
          <w:color w:val="000000"/>
          <w:spacing w:val="-1"/>
          <w:kern w:val="0"/>
          <w:sz w:val="19"/>
          <w:szCs w:val="19"/>
        </w:rPr>
        <w:t xml:space="preserve"> (UC) and 250 </w:t>
      </w:r>
      <w:proofErr w:type="spellStart"/>
      <w:r w:rsidRPr="0041797D">
        <w:rPr>
          <w:rFonts w:ascii="Tahoma" w:hAnsi="Tahoma" w:cs="Tahoma"/>
          <w:color w:val="000000"/>
          <w:spacing w:val="-1"/>
          <w:kern w:val="0"/>
          <w:sz w:val="19"/>
          <w:szCs w:val="19"/>
        </w:rPr>
        <w:t>Crohn’s</w:t>
      </w:r>
      <w:proofErr w:type="spellEnd"/>
      <w:r w:rsidRPr="0041797D">
        <w:rPr>
          <w:rFonts w:ascii="Tahoma" w:hAnsi="Tahoma" w:cs="Tahoma"/>
          <w:color w:val="000000"/>
          <w:spacing w:val="-1"/>
          <w:kern w:val="0"/>
          <w:sz w:val="19"/>
          <w:szCs w:val="19"/>
        </w:rPr>
        <w:t xml:space="preserve"> disease (CD)] patients and 577 </w:t>
      </w:r>
      <w:r w:rsidRPr="0041797D">
        <w:rPr>
          <w:rFonts w:ascii="Tahoma" w:hAnsi="Tahoma" w:cs="Tahoma"/>
          <w:color w:val="000000"/>
          <w:spacing w:val="-1"/>
          <w:kern w:val="0"/>
          <w:sz w:val="19"/>
          <w:szCs w:val="19"/>
        </w:rPr>
        <w:lastRenderedPageBreak/>
        <w:t>healthy controls. 39% of the controls and 34% of the patients had HLA-</w:t>
      </w:r>
      <w:proofErr w:type="spellStart"/>
      <w:r w:rsidRPr="0041797D">
        <w:rPr>
          <w:rFonts w:ascii="Tahoma" w:hAnsi="Tahoma" w:cs="Tahoma"/>
          <w:color w:val="000000"/>
          <w:spacing w:val="-1"/>
          <w:kern w:val="0"/>
          <w:sz w:val="19"/>
          <w:szCs w:val="19"/>
        </w:rPr>
        <w:t>CeD</w:t>
      </w:r>
      <w:proofErr w:type="spellEnd"/>
      <w:r w:rsidRPr="0041797D">
        <w:rPr>
          <w:rFonts w:ascii="Tahoma" w:hAnsi="Tahoma" w:cs="Tahoma"/>
          <w:color w:val="000000"/>
          <w:spacing w:val="-1"/>
          <w:kern w:val="0"/>
          <w:sz w:val="19"/>
          <w:szCs w:val="19"/>
        </w:rPr>
        <w:t xml:space="preserve"> (</w:t>
      </w:r>
      <w:r w:rsidRPr="0041797D">
        <w:rPr>
          <w:rFonts w:ascii="Tahoma Italic" w:hAnsi="Tahoma Italic" w:cs="Tahoma Italic"/>
          <w:i/>
          <w:iCs/>
          <w:color w:val="000000"/>
          <w:spacing w:val="-1"/>
          <w:kern w:val="0"/>
          <w:sz w:val="19"/>
          <w:szCs w:val="19"/>
        </w:rPr>
        <w:t>P</w:t>
      </w:r>
      <w:r w:rsidRPr="0041797D">
        <w:rPr>
          <w:rFonts w:ascii="Tahoma" w:hAnsi="Tahoma" w:cs="Tahoma"/>
          <w:color w:val="000000"/>
          <w:spacing w:val="-1"/>
          <w:kern w:val="0"/>
          <w:sz w:val="19"/>
          <w:szCs w:val="19"/>
        </w:rPr>
        <w:t xml:space="preserve"> = 0.0852). HLA-DQ2 was less frequent in UC patients (</w:t>
      </w:r>
      <w:r w:rsidRPr="0041797D">
        <w:rPr>
          <w:rFonts w:ascii="Tahoma Italic" w:hAnsi="Tahoma Italic" w:cs="Tahoma Italic"/>
          <w:i/>
          <w:iCs/>
          <w:color w:val="000000"/>
          <w:spacing w:val="-1"/>
          <w:kern w:val="0"/>
          <w:sz w:val="19"/>
          <w:szCs w:val="19"/>
        </w:rPr>
        <w:t>P</w:t>
      </w:r>
      <w:r w:rsidRPr="0041797D">
        <w:rPr>
          <w:rFonts w:ascii="Tahoma" w:hAnsi="Tahoma" w:cs="Tahoma"/>
          <w:color w:val="000000"/>
          <w:spacing w:val="-1"/>
          <w:kern w:val="0"/>
          <w:sz w:val="19"/>
          <w:szCs w:val="19"/>
        </w:rPr>
        <w:t xml:space="preserve"> = 0.0287), and HLA-DQ8 in CD (</w:t>
      </w:r>
      <w:r w:rsidRPr="0041797D">
        <w:rPr>
          <w:rFonts w:ascii="Tahoma Italic" w:hAnsi="Tahoma Italic" w:cs="Tahoma Italic"/>
          <w:i/>
          <w:iCs/>
          <w:color w:val="000000"/>
          <w:spacing w:val="-1"/>
          <w:kern w:val="0"/>
          <w:sz w:val="19"/>
          <w:szCs w:val="19"/>
        </w:rPr>
        <w:t>P</w:t>
      </w:r>
      <w:r w:rsidRPr="0041797D">
        <w:rPr>
          <w:rFonts w:ascii="Tahoma" w:hAnsi="Tahoma" w:cs="Tahoma"/>
          <w:color w:val="000000"/>
          <w:spacing w:val="-1"/>
          <w:kern w:val="0"/>
          <w:sz w:val="19"/>
          <w:szCs w:val="19"/>
        </w:rPr>
        <w:t xml:space="preserve"> = 0.0217). In women with UC, the frequency of DQ2.5cis (DQB1*02:01-DQA1*05:01) was reduced </w:t>
      </w:r>
      <w:r w:rsidRPr="0041797D">
        <w:rPr>
          <w:rFonts w:ascii="宋体" w:hAnsi="Tahoma" w:cs="宋体" w:hint="eastAsia"/>
          <w:color w:val="000000"/>
          <w:kern w:val="0"/>
          <w:sz w:val="18"/>
          <w:szCs w:val="18"/>
        </w:rPr>
        <w:t>≥</w:t>
      </w:r>
      <w:r w:rsidRPr="0041797D">
        <w:rPr>
          <w:rFonts w:ascii="Tahoma" w:hAnsi="Tahoma" w:cs="Tahoma"/>
          <w:color w:val="000000"/>
          <w:spacing w:val="-1"/>
          <w:kern w:val="0"/>
          <w:sz w:val="19"/>
          <w:szCs w:val="19"/>
        </w:rPr>
        <w:t xml:space="preserve"> 50% [</w:t>
      </w:r>
      <w:r w:rsidRPr="0041797D">
        <w:rPr>
          <w:rFonts w:ascii="Tahoma Italic" w:hAnsi="Tahoma Italic" w:cs="Tahoma Italic"/>
          <w:i/>
          <w:iCs/>
          <w:color w:val="000000"/>
          <w:spacing w:val="-1"/>
          <w:kern w:val="0"/>
          <w:sz w:val="19"/>
          <w:szCs w:val="19"/>
        </w:rPr>
        <w:t>P</w:t>
      </w:r>
      <w:r w:rsidRPr="0041797D">
        <w:rPr>
          <w:rFonts w:ascii="Tahoma" w:hAnsi="Tahoma" w:cs="Tahoma"/>
          <w:color w:val="000000"/>
          <w:spacing w:val="-1"/>
          <w:kern w:val="0"/>
          <w:sz w:val="19"/>
          <w:szCs w:val="19"/>
        </w:rPr>
        <w:t xml:space="preserve"> = 0.0344; preventive fraction (PF) = 13%]. PFs (7%-14%) were obtained with all HLA-</w:t>
      </w:r>
      <w:proofErr w:type="spellStart"/>
      <w:r w:rsidRPr="0041797D">
        <w:rPr>
          <w:rFonts w:ascii="Tahoma" w:hAnsi="Tahoma" w:cs="Tahoma"/>
          <w:color w:val="000000"/>
          <w:spacing w:val="-1"/>
          <w:kern w:val="0"/>
          <w:sz w:val="19"/>
          <w:szCs w:val="19"/>
        </w:rPr>
        <w:t>CeD</w:t>
      </w:r>
      <w:proofErr w:type="spellEnd"/>
      <w:r w:rsidRPr="0041797D">
        <w:rPr>
          <w:rFonts w:ascii="Tahoma" w:hAnsi="Tahoma" w:cs="Tahoma"/>
          <w:color w:val="000000"/>
          <w:spacing w:val="-1"/>
          <w:kern w:val="0"/>
          <w:sz w:val="19"/>
          <w:szCs w:val="19"/>
        </w:rPr>
        <w:t xml:space="preserve"> haplotypes. HLA DQB1*02:02-DQA1*02:01 (HLA-DQ2.2) was more frequent in CD patients with respect to controls (</w:t>
      </w:r>
      <w:r w:rsidRPr="0041797D">
        <w:rPr>
          <w:rFonts w:ascii="Tahoma Italic" w:hAnsi="Tahoma Italic" w:cs="Tahoma Italic"/>
          <w:i/>
          <w:iCs/>
          <w:color w:val="000000"/>
          <w:spacing w:val="-1"/>
          <w:kern w:val="0"/>
          <w:sz w:val="19"/>
          <w:szCs w:val="19"/>
        </w:rPr>
        <w:t>P</w:t>
      </w:r>
      <w:r w:rsidRPr="0041797D">
        <w:rPr>
          <w:rFonts w:ascii="Tahoma" w:hAnsi="Tahoma" w:cs="Tahoma"/>
          <w:color w:val="000000"/>
          <w:spacing w:val="-1"/>
          <w:kern w:val="0"/>
          <w:sz w:val="19"/>
          <w:szCs w:val="19"/>
        </w:rPr>
        <w:t xml:space="preserve"> = 0.001) and UC patients (etiological fraction = 15%).</w:t>
      </w:r>
    </w:p>
    <w:p w:rsidR="00B77E3C" w:rsidRPr="0041797D" w:rsidRDefault="00B77E3C" w:rsidP="00B77E3C">
      <w:pPr>
        <w:suppressAutoHyphens/>
        <w:autoSpaceDE w:val="0"/>
        <w:autoSpaceDN w:val="0"/>
        <w:adjustRightInd w:val="0"/>
        <w:spacing w:line="230" w:lineRule="atLeast"/>
        <w:textAlignment w:val="center"/>
        <w:rPr>
          <w:rFonts w:ascii="Tahoma Italic" w:hAnsi="Tahoma Italic" w:cs="Tahoma Italic"/>
          <w:iCs/>
          <w:color w:val="000000"/>
          <w:spacing w:val="-1"/>
          <w:kern w:val="0"/>
          <w:sz w:val="19"/>
          <w:szCs w:val="19"/>
        </w:rPr>
      </w:pPr>
      <w:r w:rsidRPr="0041797D">
        <w:rPr>
          <w:b/>
          <w:bCs/>
          <w:iCs/>
          <w:color w:val="000000"/>
          <w:spacing w:val="-1"/>
          <w:kern w:val="0"/>
          <w:sz w:val="19"/>
          <w:szCs w:val="19"/>
        </w:rPr>
        <w:t>CONCLUSION</w:t>
      </w:r>
    </w:p>
    <w:p w:rsidR="00B77E3C" w:rsidRPr="0041797D" w:rsidRDefault="00B77E3C" w:rsidP="00B77E3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41797D">
        <w:rPr>
          <w:rFonts w:ascii="Tahoma" w:hAnsi="Tahoma" w:cs="Tahoma"/>
          <w:color w:val="000000"/>
          <w:spacing w:val="-1"/>
          <w:kern w:val="0"/>
          <w:sz w:val="19"/>
          <w:szCs w:val="19"/>
        </w:rPr>
        <w:t>HLA-</w:t>
      </w:r>
      <w:proofErr w:type="spellStart"/>
      <w:r w:rsidRPr="0041797D">
        <w:rPr>
          <w:rFonts w:ascii="Tahoma" w:hAnsi="Tahoma" w:cs="Tahoma"/>
          <w:color w:val="000000"/>
          <w:spacing w:val="-1"/>
          <w:kern w:val="0"/>
          <w:sz w:val="19"/>
          <w:szCs w:val="19"/>
        </w:rPr>
        <w:t>CeD</w:t>
      </w:r>
      <w:proofErr w:type="spellEnd"/>
      <w:r w:rsidRPr="0041797D">
        <w:rPr>
          <w:rFonts w:ascii="Tahoma" w:hAnsi="Tahoma" w:cs="Tahoma"/>
          <w:color w:val="000000"/>
          <w:spacing w:val="-1"/>
          <w:kern w:val="0"/>
          <w:sz w:val="19"/>
          <w:szCs w:val="19"/>
        </w:rPr>
        <w:t xml:space="preserve"> is not more frequent in IBD patients, with an even lower frequency of HLA-DQ2 and -DQ8 in UC and CD respectively. HLA-DQ2.5 confers protection from the development of UC, especially in women, and HLA-DQ8 does so for the appearance of CD. HLA-DQ2.2 is present in 34% of the CD patients and may constitute a genetic risk factor for CD development.</w:t>
      </w:r>
    </w:p>
    <w:p w:rsidR="00B77E3C" w:rsidRPr="0041797D" w:rsidRDefault="00B77E3C" w:rsidP="00B77E3C">
      <w:pPr>
        <w:suppressAutoHyphens/>
        <w:autoSpaceDE w:val="0"/>
        <w:autoSpaceDN w:val="0"/>
        <w:adjustRightInd w:val="0"/>
        <w:spacing w:line="230" w:lineRule="atLeast"/>
        <w:textAlignment w:val="center"/>
        <w:rPr>
          <w:rFonts w:ascii="Tahoma" w:hAnsi="Tahoma" w:cs="Tahoma"/>
          <w:color w:val="000000"/>
          <w:spacing w:val="-1"/>
          <w:kern w:val="0"/>
          <w:sz w:val="19"/>
          <w:szCs w:val="19"/>
        </w:rPr>
      </w:pPr>
    </w:p>
    <w:p w:rsidR="00B77E3C" w:rsidRPr="0041797D" w:rsidRDefault="00B77E3C" w:rsidP="00B77E3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41797D">
        <w:rPr>
          <w:b/>
          <w:bCs/>
          <w:color w:val="000000"/>
          <w:spacing w:val="-1"/>
          <w:kern w:val="0"/>
          <w:sz w:val="19"/>
          <w:szCs w:val="19"/>
        </w:rPr>
        <w:t>Key words:</w:t>
      </w:r>
      <w:r w:rsidRPr="0041797D">
        <w:rPr>
          <w:rFonts w:ascii="Tahoma" w:hAnsi="Tahoma" w:cs="Tahoma"/>
          <w:color w:val="000000"/>
          <w:spacing w:val="-1"/>
          <w:kern w:val="0"/>
          <w:sz w:val="19"/>
          <w:szCs w:val="19"/>
        </w:rPr>
        <w:t xml:space="preserve"> Genetic predisposition; Celiac disease; </w:t>
      </w:r>
      <w:proofErr w:type="gramStart"/>
      <w:r w:rsidRPr="0041797D">
        <w:rPr>
          <w:rFonts w:ascii="Tahoma" w:hAnsi="Tahoma" w:cs="Tahoma"/>
          <w:color w:val="000000"/>
          <w:spacing w:val="-1"/>
          <w:kern w:val="0"/>
          <w:sz w:val="19"/>
          <w:szCs w:val="19"/>
        </w:rPr>
        <w:t>Inflammatory</w:t>
      </w:r>
      <w:proofErr w:type="gramEnd"/>
      <w:r w:rsidRPr="0041797D">
        <w:rPr>
          <w:rFonts w:ascii="Tahoma" w:hAnsi="Tahoma" w:cs="Tahoma"/>
          <w:color w:val="000000"/>
          <w:spacing w:val="-1"/>
          <w:kern w:val="0"/>
          <w:sz w:val="19"/>
          <w:szCs w:val="19"/>
        </w:rPr>
        <w:t xml:space="preserve"> bowel disease; </w:t>
      </w:r>
      <w:proofErr w:type="spellStart"/>
      <w:r w:rsidRPr="0041797D">
        <w:rPr>
          <w:rFonts w:ascii="Tahoma" w:hAnsi="Tahoma" w:cs="Tahoma"/>
          <w:color w:val="000000"/>
          <w:spacing w:val="-1"/>
          <w:kern w:val="0"/>
          <w:sz w:val="19"/>
          <w:szCs w:val="19"/>
        </w:rPr>
        <w:t>Crohn’s</w:t>
      </w:r>
      <w:proofErr w:type="spellEnd"/>
      <w:r w:rsidRPr="0041797D">
        <w:rPr>
          <w:rFonts w:ascii="Tahoma" w:hAnsi="Tahoma" w:cs="Tahoma"/>
          <w:color w:val="000000"/>
          <w:spacing w:val="-1"/>
          <w:kern w:val="0"/>
          <w:sz w:val="19"/>
          <w:szCs w:val="19"/>
        </w:rPr>
        <w:t xml:space="preserve"> disease; Human leucocyte antigen; Ulcerative colitis</w:t>
      </w:r>
    </w:p>
    <w:p w:rsidR="00B77E3C" w:rsidRPr="0041797D" w:rsidRDefault="00B77E3C" w:rsidP="00B77E3C">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p>
    <w:p w:rsidR="00B77E3C" w:rsidRPr="0041797D" w:rsidRDefault="00B77E3C" w:rsidP="00B77E3C">
      <w:pPr>
        <w:suppressAutoHyphens/>
        <w:autoSpaceDE w:val="0"/>
        <w:autoSpaceDN w:val="0"/>
        <w:adjustRightInd w:val="0"/>
        <w:spacing w:line="230" w:lineRule="atLeast"/>
        <w:textAlignment w:val="center"/>
        <w:rPr>
          <w:color w:val="000000"/>
          <w:spacing w:val="-2"/>
          <w:kern w:val="0"/>
          <w:sz w:val="18"/>
          <w:szCs w:val="18"/>
        </w:rPr>
      </w:pPr>
      <w:proofErr w:type="spellStart"/>
      <w:r w:rsidRPr="0041797D">
        <w:rPr>
          <w:color w:val="000000"/>
          <w:spacing w:val="-2"/>
          <w:kern w:val="0"/>
          <w:sz w:val="18"/>
          <w:szCs w:val="18"/>
        </w:rPr>
        <w:t>Bosca</w:t>
      </w:r>
      <w:proofErr w:type="spellEnd"/>
      <w:r w:rsidRPr="0041797D">
        <w:rPr>
          <w:color w:val="000000"/>
          <w:spacing w:val="-2"/>
          <w:kern w:val="0"/>
          <w:sz w:val="18"/>
          <w:szCs w:val="18"/>
        </w:rPr>
        <w:t xml:space="preserve">-Watts MM, </w:t>
      </w:r>
      <w:proofErr w:type="spellStart"/>
      <w:r w:rsidRPr="0041797D">
        <w:rPr>
          <w:color w:val="000000"/>
          <w:spacing w:val="-2"/>
          <w:kern w:val="0"/>
          <w:sz w:val="18"/>
          <w:szCs w:val="18"/>
        </w:rPr>
        <w:t>Minguez</w:t>
      </w:r>
      <w:proofErr w:type="spellEnd"/>
      <w:r w:rsidRPr="0041797D">
        <w:rPr>
          <w:color w:val="000000"/>
          <w:spacing w:val="-2"/>
          <w:kern w:val="0"/>
          <w:sz w:val="18"/>
          <w:szCs w:val="18"/>
        </w:rPr>
        <w:t xml:space="preserve"> M, </w:t>
      </w:r>
      <w:proofErr w:type="spellStart"/>
      <w:r w:rsidRPr="0041797D">
        <w:rPr>
          <w:color w:val="000000"/>
          <w:spacing w:val="-2"/>
          <w:kern w:val="0"/>
          <w:sz w:val="18"/>
          <w:szCs w:val="18"/>
        </w:rPr>
        <w:t>Planelles</w:t>
      </w:r>
      <w:proofErr w:type="spellEnd"/>
      <w:r w:rsidRPr="0041797D">
        <w:rPr>
          <w:color w:val="000000"/>
          <w:spacing w:val="-2"/>
          <w:kern w:val="0"/>
          <w:sz w:val="18"/>
          <w:szCs w:val="18"/>
        </w:rPr>
        <w:t xml:space="preserve"> D, Navarro S, Rodriguez A, Santiago J, Tosca J, Mora F. HLA-DQ: Celiac disease </w:t>
      </w:r>
      <w:proofErr w:type="spellStart"/>
      <w:r w:rsidRPr="0041797D">
        <w:rPr>
          <w:i/>
          <w:iCs/>
          <w:color w:val="000000"/>
          <w:spacing w:val="-2"/>
          <w:kern w:val="0"/>
          <w:sz w:val="18"/>
          <w:szCs w:val="18"/>
        </w:rPr>
        <w:t>vs</w:t>
      </w:r>
      <w:proofErr w:type="spellEnd"/>
      <w:r w:rsidRPr="0041797D">
        <w:rPr>
          <w:color w:val="000000"/>
          <w:spacing w:val="-2"/>
          <w:kern w:val="0"/>
          <w:sz w:val="18"/>
          <w:szCs w:val="18"/>
        </w:rPr>
        <w:t xml:space="preserve"> inflammatory bowel disease.</w:t>
      </w:r>
      <w:r w:rsidRPr="0041797D">
        <w:rPr>
          <w:i/>
          <w:iCs/>
          <w:color w:val="000000"/>
          <w:spacing w:val="-2"/>
          <w:kern w:val="0"/>
          <w:sz w:val="18"/>
          <w:szCs w:val="18"/>
        </w:rPr>
        <w:t xml:space="preserve"> World J </w:t>
      </w:r>
      <w:proofErr w:type="spellStart"/>
      <w:r w:rsidRPr="0041797D">
        <w:rPr>
          <w:i/>
          <w:iCs/>
          <w:color w:val="000000"/>
          <w:spacing w:val="-2"/>
          <w:kern w:val="0"/>
          <w:sz w:val="18"/>
          <w:szCs w:val="18"/>
        </w:rPr>
        <w:t>Gastroenterol</w:t>
      </w:r>
      <w:proofErr w:type="spellEnd"/>
      <w:r w:rsidRPr="0041797D">
        <w:rPr>
          <w:color w:val="000000"/>
          <w:spacing w:val="-2"/>
          <w:kern w:val="0"/>
          <w:sz w:val="18"/>
          <w:szCs w:val="18"/>
        </w:rPr>
        <w:t xml:space="preserve"> 2018; 24(1): 96-</w:t>
      </w:r>
      <w:proofErr w:type="gramStart"/>
      <w:r w:rsidRPr="0041797D">
        <w:rPr>
          <w:color w:val="000000"/>
          <w:spacing w:val="-2"/>
          <w:kern w:val="0"/>
          <w:sz w:val="18"/>
          <w:szCs w:val="18"/>
        </w:rPr>
        <w:t>103  Available</w:t>
      </w:r>
      <w:proofErr w:type="gramEnd"/>
      <w:r w:rsidRPr="0041797D">
        <w:rPr>
          <w:color w:val="000000"/>
          <w:spacing w:val="-2"/>
          <w:kern w:val="0"/>
          <w:sz w:val="18"/>
          <w:szCs w:val="18"/>
        </w:rPr>
        <w:t xml:space="preserve"> from: URL: http://www.wjgnet.com/1007-9327/full/v24/i1/96.htm  DOI: http://dx.doi.org/10.3748/wjg.v24.i1.96</w:t>
      </w:r>
    </w:p>
    <w:p w:rsidR="00B77E3C" w:rsidRPr="0041797D" w:rsidRDefault="00B77E3C" w:rsidP="00B77E3C">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p>
    <w:p w:rsidR="00B77E3C" w:rsidRPr="0041797D" w:rsidRDefault="00B77E3C" w:rsidP="00B77E3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41797D">
        <w:rPr>
          <w:b/>
          <w:bCs/>
          <w:color w:val="000000"/>
          <w:spacing w:val="-3"/>
          <w:kern w:val="0"/>
          <w:sz w:val="19"/>
          <w:szCs w:val="19"/>
        </w:rPr>
        <w:t>Core tip:</w:t>
      </w:r>
      <w:r w:rsidRPr="0041797D">
        <w:rPr>
          <w:rFonts w:ascii="Tahoma" w:hAnsi="Tahoma" w:cs="Tahoma"/>
          <w:b/>
          <w:bCs/>
          <w:color w:val="000000"/>
          <w:spacing w:val="-1"/>
          <w:kern w:val="0"/>
          <w:sz w:val="19"/>
          <w:szCs w:val="19"/>
        </w:rPr>
        <w:t xml:space="preserve"> </w:t>
      </w:r>
      <w:r w:rsidRPr="0041797D">
        <w:rPr>
          <w:rFonts w:ascii="Tahoma" w:hAnsi="Tahoma" w:cs="Tahoma"/>
          <w:color w:val="000000"/>
          <w:spacing w:val="-1"/>
          <w:kern w:val="0"/>
          <w:sz w:val="19"/>
          <w:szCs w:val="19"/>
        </w:rPr>
        <w:t>The higher risk for celiac disease (</w:t>
      </w:r>
      <w:proofErr w:type="spellStart"/>
      <w:proofErr w:type="gramStart"/>
      <w:r w:rsidRPr="0041797D">
        <w:rPr>
          <w:rFonts w:ascii="Tahoma" w:hAnsi="Tahoma" w:cs="Tahoma"/>
          <w:color w:val="000000"/>
          <w:spacing w:val="-1"/>
          <w:kern w:val="0"/>
          <w:sz w:val="19"/>
          <w:szCs w:val="19"/>
        </w:rPr>
        <w:t>CeD</w:t>
      </w:r>
      <w:proofErr w:type="spellEnd"/>
      <w:proofErr w:type="gramEnd"/>
      <w:r w:rsidRPr="0041797D">
        <w:rPr>
          <w:rFonts w:ascii="Tahoma" w:hAnsi="Tahoma" w:cs="Tahoma"/>
          <w:color w:val="000000"/>
          <w:spacing w:val="-1"/>
          <w:kern w:val="0"/>
          <w:sz w:val="19"/>
          <w:szCs w:val="19"/>
        </w:rPr>
        <w:t>) in inflammatory bowel disease (IBD) is controversial. Since the involvement of human leucocyte antigen (HLA)-DQ2 and -DQ8 antigens (HLA-</w:t>
      </w:r>
      <w:proofErr w:type="spellStart"/>
      <w:r w:rsidRPr="0041797D">
        <w:rPr>
          <w:rFonts w:ascii="Tahoma" w:hAnsi="Tahoma" w:cs="Tahoma"/>
          <w:color w:val="000000"/>
          <w:spacing w:val="-1"/>
          <w:kern w:val="0"/>
          <w:sz w:val="19"/>
          <w:szCs w:val="19"/>
        </w:rPr>
        <w:t>CeD</w:t>
      </w:r>
      <w:proofErr w:type="spellEnd"/>
      <w:r w:rsidRPr="0041797D">
        <w:rPr>
          <w:rFonts w:ascii="Tahoma" w:hAnsi="Tahoma" w:cs="Tahoma"/>
          <w:color w:val="000000"/>
          <w:spacing w:val="-1"/>
          <w:kern w:val="0"/>
          <w:sz w:val="19"/>
          <w:szCs w:val="19"/>
        </w:rPr>
        <w:t xml:space="preserve">) in the susceptibility to </w:t>
      </w:r>
      <w:proofErr w:type="spellStart"/>
      <w:proofErr w:type="gramStart"/>
      <w:r w:rsidRPr="0041797D">
        <w:rPr>
          <w:rFonts w:ascii="Tahoma" w:hAnsi="Tahoma" w:cs="Tahoma"/>
          <w:color w:val="000000"/>
          <w:spacing w:val="-1"/>
          <w:kern w:val="0"/>
          <w:sz w:val="19"/>
          <w:szCs w:val="19"/>
        </w:rPr>
        <w:t>CeD</w:t>
      </w:r>
      <w:proofErr w:type="spellEnd"/>
      <w:proofErr w:type="gramEnd"/>
      <w:r w:rsidRPr="0041797D">
        <w:rPr>
          <w:rFonts w:ascii="Tahoma" w:hAnsi="Tahoma" w:cs="Tahoma"/>
          <w:color w:val="000000"/>
          <w:spacing w:val="-1"/>
          <w:kern w:val="0"/>
          <w:sz w:val="19"/>
          <w:szCs w:val="19"/>
        </w:rPr>
        <w:t xml:space="preserve"> is clearly established and it has been accepted as a useful test to exclude </w:t>
      </w:r>
      <w:proofErr w:type="spellStart"/>
      <w:r w:rsidRPr="0041797D">
        <w:rPr>
          <w:rFonts w:ascii="Tahoma" w:hAnsi="Tahoma" w:cs="Tahoma"/>
          <w:color w:val="000000"/>
          <w:spacing w:val="-1"/>
          <w:kern w:val="0"/>
          <w:sz w:val="19"/>
          <w:szCs w:val="19"/>
        </w:rPr>
        <w:t>CeD</w:t>
      </w:r>
      <w:proofErr w:type="spellEnd"/>
      <w:r w:rsidRPr="0041797D">
        <w:rPr>
          <w:rFonts w:ascii="Tahoma" w:hAnsi="Tahoma" w:cs="Tahoma"/>
          <w:color w:val="000000"/>
          <w:spacing w:val="-1"/>
          <w:kern w:val="0"/>
          <w:sz w:val="19"/>
          <w:szCs w:val="19"/>
        </w:rPr>
        <w:t>, we determined the frequency of HLA-</w:t>
      </w:r>
      <w:proofErr w:type="spellStart"/>
      <w:r w:rsidRPr="0041797D">
        <w:rPr>
          <w:rFonts w:ascii="Tahoma" w:hAnsi="Tahoma" w:cs="Tahoma"/>
          <w:color w:val="000000"/>
          <w:spacing w:val="-1"/>
          <w:kern w:val="0"/>
          <w:sz w:val="19"/>
          <w:szCs w:val="19"/>
        </w:rPr>
        <w:t>CeD</w:t>
      </w:r>
      <w:proofErr w:type="spellEnd"/>
      <w:r w:rsidRPr="0041797D">
        <w:rPr>
          <w:rFonts w:ascii="Tahoma" w:hAnsi="Tahoma" w:cs="Tahoma"/>
          <w:color w:val="000000"/>
          <w:spacing w:val="-1"/>
          <w:kern w:val="0"/>
          <w:sz w:val="19"/>
          <w:szCs w:val="19"/>
        </w:rPr>
        <w:t xml:space="preserve"> in IBD patients. We observed that HLA-</w:t>
      </w:r>
      <w:proofErr w:type="spellStart"/>
      <w:r w:rsidRPr="0041797D">
        <w:rPr>
          <w:rFonts w:ascii="Tahoma" w:hAnsi="Tahoma" w:cs="Tahoma"/>
          <w:color w:val="000000"/>
          <w:spacing w:val="-1"/>
          <w:kern w:val="0"/>
          <w:sz w:val="19"/>
          <w:szCs w:val="19"/>
        </w:rPr>
        <w:t>CeD</w:t>
      </w:r>
      <w:proofErr w:type="spellEnd"/>
      <w:r w:rsidRPr="0041797D">
        <w:rPr>
          <w:rFonts w:ascii="Tahoma" w:hAnsi="Tahoma" w:cs="Tahoma"/>
          <w:color w:val="000000"/>
          <w:spacing w:val="-1"/>
          <w:kern w:val="0"/>
          <w:sz w:val="19"/>
          <w:szCs w:val="19"/>
        </w:rPr>
        <w:t xml:space="preserve"> is not more frequent in IBD patients, with an even lower frequency of HLA-DQ2 and -DQ8 in ulcerative colitis and </w:t>
      </w:r>
      <w:proofErr w:type="spellStart"/>
      <w:r w:rsidRPr="0041797D">
        <w:rPr>
          <w:rFonts w:ascii="Tahoma" w:hAnsi="Tahoma" w:cs="Tahoma"/>
          <w:color w:val="000000"/>
          <w:spacing w:val="-1"/>
          <w:kern w:val="0"/>
          <w:sz w:val="19"/>
          <w:szCs w:val="19"/>
        </w:rPr>
        <w:t>Crohn’s</w:t>
      </w:r>
      <w:proofErr w:type="spellEnd"/>
      <w:r w:rsidRPr="0041797D">
        <w:rPr>
          <w:rFonts w:ascii="Tahoma" w:hAnsi="Tahoma" w:cs="Tahoma"/>
          <w:color w:val="000000"/>
          <w:spacing w:val="-1"/>
          <w:kern w:val="0"/>
          <w:sz w:val="19"/>
          <w:szCs w:val="19"/>
        </w:rPr>
        <w:t xml:space="preserve"> disease respectively. On the other hand, HLA-DQ2.2 was present in 34% of the </w:t>
      </w:r>
      <w:proofErr w:type="spellStart"/>
      <w:r w:rsidRPr="0041797D">
        <w:rPr>
          <w:rFonts w:ascii="Tahoma" w:hAnsi="Tahoma" w:cs="Tahoma"/>
          <w:color w:val="000000"/>
          <w:spacing w:val="-1"/>
          <w:kern w:val="0"/>
          <w:sz w:val="19"/>
          <w:szCs w:val="19"/>
        </w:rPr>
        <w:t>Crohn’s</w:t>
      </w:r>
      <w:proofErr w:type="spellEnd"/>
      <w:r w:rsidRPr="0041797D">
        <w:rPr>
          <w:rFonts w:ascii="Tahoma" w:hAnsi="Tahoma" w:cs="Tahoma"/>
          <w:color w:val="000000"/>
          <w:spacing w:val="-1"/>
          <w:kern w:val="0"/>
          <w:sz w:val="19"/>
          <w:szCs w:val="19"/>
        </w:rPr>
        <w:t xml:space="preserve"> disease patients and may constitute a genetic risk factor.</w:t>
      </w: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hint="eastAsia"/>
          <w:b/>
          <w:bCs/>
          <w:color w:val="000000"/>
          <w:spacing w:val="-2"/>
          <w:kern w:val="0"/>
          <w:sz w:val="24"/>
        </w:rPr>
      </w:pPr>
    </w:p>
    <w:p w:rsidR="00B77E3C" w:rsidRPr="0041797D" w:rsidRDefault="00B77E3C" w:rsidP="00B77E3C">
      <w:pPr>
        <w:suppressAutoHyphens/>
        <w:autoSpaceDE w:val="0"/>
        <w:autoSpaceDN w:val="0"/>
        <w:adjustRightInd w:val="0"/>
        <w:spacing w:line="360" w:lineRule="atLeast"/>
        <w:jc w:val="left"/>
        <w:textAlignment w:val="center"/>
        <w:rPr>
          <w:rFonts w:ascii="Book Antiqua" w:hAnsi="Book Antiqua" w:cs="Book Antiqua"/>
          <w:b/>
          <w:bCs/>
          <w:color w:val="000000"/>
          <w:spacing w:val="-2"/>
          <w:kern w:val="0"/>
          <w:sz w:val="24"/>
          <w:u w:val="single"/>
        </w:rPr>
      </w:pPr>
      <w:r w:rsidRPr="0041797D">
        <w:rPr>
          <w:rFonts w:ascii="Univers" w:hAnsi="Univers" w:cs="Univers"/>
          <w:b/>
          <w:bCs/>
          <w:color w:val="000000"/>
          <w:spacing w:val="-2"/>
          <w:kern w:val="0"/>
          <w:sz w:val="24"/>
          <w:u w:val="single"/>
        </w:rPr>
        <w:t>INTRODUCTION</w:t>
      </w:r>
    </w:p>
    <w:p w:rsidR="00B77E3C" w:rsidRPr="0041797D" w:rsidRDefault="00B77E3C" w:rsidP="00B77E3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41797D">
        <w:rPr>
          <w:rFonts w:ascii="Verdana" w:hAnsi="Verdana" w:cs="Verdana"/>
          <w:color w:val="000000"/>
          <w:spacing w:val="-9"/>
          <w:kern w:val="0"/>
          <w:sz w:val="18"/>
          <w:szCs w:val="18"/>
        </w:rPr>
        <w:t>Celiac disease (</w:t>
      </w:r>
      <w:proofErr w:type="spellStart"/>
      <w:r w:rsidRPr="0041797D">
        <w:rPr>
          <w:rFonts w:ascii="Verdana" w:hAnsi="Verdana" w:cs="Verdana"/>
          <w:color w:val="000000"/>
          <w:spacing w:val="-9"/>
          <w:kern w:val="0"/>
          <w:sz w:val="18"/>
          <w:szCs w:val="18"/>
        </w:rPr>
        <w:t>CeD</w:t>
      </w:r>
      <w:proofErr w:type="spellEnd"/>
      <w:r w:rsidRPr="0041797D">
        <w:rPr>
          <w:rFonts w:ascii="Verdana" w:hAnsi="Verdana" w:cs="Verdana"/>
          <w:color w:val="000000"/>
          <w:spacing w:val="-9"/>
          <w:kern w:val="0"/>
          <w:sz w:val="18"/>
          <w:szCs w:val="18"/>
        </w:rPr>
        <w:t xml:space="preserve">) and inflammatory bowel disease (IBD) are chronic intestinal disorders with progressively increasing incidences and </w:t>
      </w:r>
      <w:proofErr w:type="spellStart"/>
      <w:proofErr w:type="gramStart"/>
      <w:r w:rsidRPr="0041797D">
        <w:rPr>
          <w:rFonts w:ascii="Verdana" w:hAnsi="Verdana" w:cs="Verdana"/>
          <w:color w:val="000000"/>
          <w:spacing w:val="-9"/>
          <w:kern w:val="0"/>
          <w:sz w:val="18"/>
          <w:szCs w:val="18"/>
        </w:rPr>
        <w:t>prevalences</w:t>
      </w:r>
      <w:proofErr w:type="spellEnd"/>
      <w:r w:rsidRPr="0041797D">
        <w:rPr>
          <w:rFonts w:ascii="Verdana" w:hAnsi="Verdana" w:cs="Verdana"/>
          <w:color w:val="000000"/>
          <w:spacing w:val="-9"/>
          <w:kern w:val="0"/>
          <w:sz w:val="18"/>
          <w:szCs w:val="18"/>
          <w:vertAlign w:val="superscript"/>
        </w:rPr>
        <w:t>[</w:t>
      </w:r>
      <w:proofErr w:type="gramEnd"/>
      <w:r w:rsidRPr="0041797D">
        <w:rPr>
          <w:rFonts w:ascii="Verdana" w:hAnsi="Verdana" w:cs="Verdana"/>
          <w:color w:val="000000"/>
          <w:spacing w:val="-9"/>
          <w:kern w:val="0"/>
          <w:sz w:val="18"/>
          <w:szCs w:val="18"/>
          <w:vertAlign w:val="superscript"/>
        </w:rPr>
        <w:t>1-11]</w:t>
      </w:r>
      <w:r w:rsidRPr="0041797D">
        <w:rPr>
          <w:rFonts w:ascii="Verdana" w:hAnsi="Verdana" w:cs="Verdana"/>
          <w:color w:val="000000"/>
          <w:spacing w:val="-9"/>
          <w:kern w:val="0"/>
          <w:sz w:val="18"/>
          <w:szCs w:val="18"/>
        </w:rPr>
        <w:t xml:space="preserve">. Both diseases are thought to be secondary to the interaction of certain environmental factors which either directly cause or enable others to trigger the disease (gluten -cause of </w:t>
      </w:r>
      <w:proofErr w:type="spellStart"/>
      <w:r w:rsidRPr="0041797D">
        <w:rPr>
          <w:rFonts w:ascii="Verdana" w:hAnsi="Verdana" w:cs="Verdana"/>
          <w:color w:val="000000"/>
          <w:spacing w:val="-9"/>
          <w:kern w:val="0"/>
          <w:sz w:val="18"/>
          <w:szCs w:val="18"/>
        </w:rPr>
        <w:t>CeD</w:t>
      </w:r>
      <w:proofErr w:type="spellEnd"/>
      <w:r w:rsidRPr="0041797D">
        <w:rPr>
          <w:rFonts w:ascii="Verdana" w:hAnsi="Verdana" w:cs="Verdana"/>
          <w:color w:val="000000"/>
          <w:spacing w:val="-9"/>
          <w:kern w:val="0"/>
          <w:sz w:val="18"/>
          <w:szCs w:val="18"/>
        </w:rPr>
        <w:t xml:space="preserve">-, infections, </w:t>
      </w:r>
      <w:proofErr w:type="spellStart"/>
      <w:r w:rsidRPr="0041797D">
        <w:rPr>
          <w:rFonts w:ascii="Verdana" w:hAnsi="Verdana" w:cs="Verdana"/>
          <w:color w:val="000000"/>
          <w:spacing w:val="-9"/>
          <w:kern w:val="0"/>
          <w:sz w:val="18"/>
          <w:szCs w:val="18"/>
        </w:rPr>
        <w:t>dysbiosis</w:t>
      </w:r>
      <w:proofErr w:type="spellEnd"/>
      <w:r w:rsidRPr="0041797D">
        <w:rPr>
          <w:rFonts w:ascii="Verdana" w:hAnsi="Verdana" w:cs="Verdana"/>
          <w:color w:val="000000"/>
          <w:spacing w:val="-9"/>
          <w:kern w:val="0"/>
          <w:sz w:val="18"/>
          <w:szCs w:val="18"/>
        </w:rPr>
        <w:t xml:space="preserve">, </w:t>
      </w:r>
      <w:r w:rsidRPr="0041797D">
        <w:rPr>
          <w:rFonts w:ascii="Verdana" w:hAnsi="Verdana" w:cs="Verdana"/>
          <w:i/>
          <w:iCs/>
          <w:color w:val="000000"/>
          <w:spacing w:val="-9"/>
          <w:kern w:val="0"/>
          <w:sz w:val="18"/>
          <w:szCs w:val="18"/>
        </w:rPr>
        <w:t>etc.</w:t>
      </w:r>
      <w:r w:rsidRPr="0041797D">
        <w:rPr>
          <w:rFonts w:ascii="Verdana" w:hAnsi="Verdana" w:cs="Verdana"/>
          <w:color w:val="000000"/>
          <w:spacing w:val="-9"/>
          <w:kern w:val="0"/>
          <w:sz w:val="18"/>
          <w:szCs w:val="18"/>
        </w:rPr>
        <w:t>), in geneti</w:t>
      </w:r>
      <w:r w:rsidRPr="0041797D">
        <w:rPr>
          <w:rFonts w:ascii="Verdana" w:hAnsi="Verdana" w:cs="Verdana"/>
          <w:color w:val="000000"/>
          <w:spacing w:val="-9"/>
          <w:kern w:val="0"/>
          <w:sz w:val="18"/>
          <w:szCs w:val="18"/>
        </w:rPr>
        <w:softHyphen/>
        <w:t>cally predisposed patients, by producing an altered immunological response.</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is a life-long inflammatory condition of the small intestine represented by a gluten-sensitive </w:t>
      </w:r>
      <w:proofErr w:type="spellStart"/>
      <w:r w:rsidRPr="0041797D">
        <w:rPr>
          <w:rFonts w:ascii="Verdana" w:hAnsi="Verdana" w:cs="Verdana"/>
          <w:color w:val="000000"/>
          <w:spacing w:val="-7"/>
          <w:kern w:val="0"/>
          <w:sz w:val="18"/>
          <w:szCs w:val="18"/>
        </w:rPr>
        <w:t>enteropathy</w:t>
      </w:r>
      <w:proofErr w:type="spellEnd"/>
      <w:r w:rsidRPr="0041797D">
        <w:rPr>
          <w:rFonts w:ascii="Verdana" w:hAnsi="Verdana" w:cs="Verdana"/>
          <w:color w:val="000000"/>
          <w:spacing w:val="-7"/>
          <w:kern w:val="0"/>
          <w:sz w:val="18"/>
          <w:szCs w:val="18"/>
        </w:rPr>
        <w:t xml:space="preserve"> in genetically susceptible </w:t>
      </w:r>
      <w:proofErr w:type="gramStart"/>
      <w:r w:rsidRPr="0041797D">
        <w:rPr>
          <w:rFonts w:ascii="Verdana" w:hAnsi="Verdana" w:cs="Verdana"/>
          <w:color w:val="000000"/>
          <w:spacing w:val="-7"/>
          <w:kern w:val="0"/>
          <w:sz w:val="18"/>
          <w:szCs w:val="18"/>
        </w:rPr>
        <w:t>individuals</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7]</w:t>
      </w:r>
      <w:r w:rsidRPr="0041797D">
        <w:rPr>
          <w:rFonts w:ascii="Verdana" w:hAnsi="Verdana" w:cs="Verdana"/>
          <w:color w:val="000000"/>
          <w:spacing w:val="-7"/>
          <w:kern w:val="0"/>
          <w:sz w:val="18"/>
          <w:szCs w:val="18"/>
        </w:rPr>
        <w:t xml:space="preserve">. </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has defined diagnostic </w:t>
      </w:r>
      <w:proofErr w:type="gramStart"/>
      <w:r w:rsidRPr="0041797D">
        <w:rPr>
          <w:rFonts w:ascii="Verdana" w:hAnsi="Verdana" w:cs="Verdana"/>
          <w:color w:val="000000"/>
          <w:spacing w:val="-7"/>
          <w:kern w:val="0"/>
          <w:sz w:val="18"/>
          <w:szCs w:val="18"/>
        </w:rPr>
        <w:t>criteria</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8]</w:t>
      </w:r>
      <w:r w:rsidRPr="0041797D">
        <w:rPr>
          <w:rFonts w:ascii="Verdana" w:hAnsi="Verdana" w:cs="Verdana"/>
          <w:color w:val="000000"/>
          <w:spacing w:val="-7"/>
          <w:kern w:val="0"/>
          <w:sz w:val="18"/>
          <w:szCs w:val="18"/>
        </w:rPr>
        <w:t xml:space="preserve">, which include blood antibodies, genetic testing, upper endoscopy findings and, especially, histological small-bowel changes. The involvement of human leucocyte antigen (HLA) genes codifying HLA-DQ2 and -DQ8 antigens in the susceptibility to the disease is clearly established and HLA typing has been accepted as a useful test to exclude </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because only 0.5% of </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patients lack both DQ2 and DQ8 </w:t>
      </w:r>
      <w:proofErr w:type="gramStart"/>
      <w:r w:rsidRPr="0041797D">
        <w:rPr>
          <w:rFonts w:ascii="Verdana" w:hAnsi="Verdana" w:cs="Verdana"/>
          <w:color w:val="000000"/>
          <w:spacing w:val="-7"/>
          <w:kern w:val="0"/>
          <w:sz w:val="18"/>
          <w:szCs w:val="18"/>
        </w:rPr>
        <w:t>antigens</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9]</w:t>
      </w:r>
      <w:r w:rsidRPr="0041797D">
        <w:rPr>
          <w:rFonts w:ascii="Verdana" w:hAnsi="Verdana" w:cs="Verdana"/>
          <w:color w:val="000000"/>
          <w:spacing w:val="-7"/>
          <w:kern w:val="0"/>
          <w:sz w:val="18"/>
          <w:szCs w:val="18"/>
        </w:rPr>
        <w:t xml:space="preserve">.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41797D">
        <w:rPr>
          <w:rFonts w:ascii="Verdana" w:hAnsi="Verdana" w:cs="Verdana"/>
          <w:color w:val="000000"/>
          <w:spacing w:val="-9"/>
          <w:kern w:val="0"/>
          <w:sz w:val="18"/>
          <w:szCs w:val="18"/>
        </w:rPr>
        <w:lastRenderedPageBreak/>
        <w:t xml:space="preserve">Genetic predisposition to </w:t>
      </w:r>
      <w:proofErr w:type="spellStart"/>
      <w:r w:rsidRPr="0041797D">
        <w:rPr>
          <w:rFonts w:ascii="Verdana" w:hAnsi="Verdana" w:cs="Verdana"/>
          <w:color w:val="000000"/>
          <w:spacing w:val="-9"/>
          <w:kern w:val="0"/>
          <w:sz w:val="18"/>
          <w:szCs w:val="18"/>
        </w:rPr>
        <w:t>CeD</w:t>
      </w:r>
      <w:proofErr w:type="spellEnd"/>
      <w:r w:rsidRPr="0041797D">
        <w:rPr>
          <w:rFonts w:ascii="Verdana" w:hAnsi="Verdana" w:cs="Verdana"/>
          <w:color w:val="000000"/>
          <w:spacing w:val="-9"/>
          <w:kern w:val="0"/>
          <w:sz w:val="18"/>
          <w:szCs w:val="18"/>
        </w:rPr>
        <w:t>, associated to heterodimers HLA-DQ2, encoded by DQB1*02/DQA1*05 alleles [</w:t>
      </w:r>
      <w:proofErr w:type="spellStart"/>
      <w:r w:rsidRPr="0041797D">
        <w:rPr>
          <w:rFonts w:ascii="Verdana" w:hAnsi="Verdana" w:cs="Verdana"/>
          <w:i/>
          <w:iCs/>
          <w:color w:val="000000"/>
          <w:spacing w:val="-9"/>
          <w:kern w:val="0"/>
          <w:sz w:val="18"/>
          <w:szCs w:val="18"/>
        </w:rPr>
        <w:t>cis</w:t>
      </w:r>
      <w:proofErr w:type="spellEnd"/>
      <w:r w:rsidRPr="0041797D">
        <w:rPr>
          <w:rFonts w:ascii="Verdana" w:hAnsi="Verdana" w:cs="Verdana"/>
          <w:color w:val="000000"/>
          <w:spacing w:val="-9"/>
          <w:kern w:val="0"/>
          <w:sz w:val="18"/>
          <w:szCs w:val="18"/>
        </w:rPr>
        <w:t>-encoded in DQB1*02:01-DQA1*05:01 haplotypes (HLA-DQ2.5</w:t>
      </w:r>
      <w:r w:rsidRPr="0041797D">
        <w:rPr>
          <w:rFonts w:ascii="Verdana" w:hAnsi="Verdana" w:cs="Verdana"/>
          <w:i/>
          <w:iCs/>
          <w:color w:val="000000"/>
          <w:spacing w:val="-9"/>
          <w:kern w:val="0"/>
          <w:sz w:val="18"/>
          <w:szCs w:val="18"/>
        </w:rPr>
        <w:t>cis</w:t>
      </w:r>
      <w:r w:rsidRPr="0041797D">
        <w:rPr>
          <w:rFonts w:ascii="Verdana" w:hAnsi="Verdana" w:cs="Verdana"/>
          <w:color w:val="000000"/>
          <w:spacing w:val="-9"/>
          <w:kern w:val="0"/>
          <w:sz w:val="18"/>
          <w:szCs w:val="18"/>
        </w:rPr>
        <w:t xml:space="preserve">) or </w:t>
      </w:r>
      <w:r w:rsidRPr="0041797D">
        <w:rPr>
          <w:rFonts w:ascii="Verdana" w:hAnsi="Verdana" w:cs="Verdana"/>
          <w:i/>
          <w:iCs/>
          <w:color w:val="000000"/>
          <w:spacing w:val="-9"/>
          <w:kern w:val="0"/>
          <w:sz w:val="18"/>
          <w:szCs w:val="18"/>
        </w:rPr>
        <w:t>trans</w:t>
      </w:r>
      <w:r w:rsidRPr="0041797D">
        <w:rPr>
          <w:rFonts w:ascii="Verdana" w:hAnsi="Verdana" w:cs="Verdana"/>
          <w:color w:val="000000"/>
          <w:spacing w:val="-9"/>
          <w:kern w:val="0"/>
          <w:sz w:val="18"/>
          <w:szCs w:val="18"/>
        </w:rPr>
        <w:t>-encoded in DQB1*02:02-DQA1*02:01</w:t>
      </w:r>
      <w:r w:rsidRPr="0041797D">
        <w:rPr>
          <w:rFonts w:ascii="Verdana" w:hAnsi="Verdana" w:cs="Verdana"/>
          <w:b/>
          <w:bCs/>
          <w:color w:val="000000"/>
          <w:spacing w:val="-9"/>
          <w:kern w:val="0"/>
          <w:sz w:val="18"/>
          <w:szCs w:val="18"/>
        </w:rPr>
        <w:t xml:space="preserve"> </w:t>
      </w:r>
      <w:r w:rsidRPr="0041797D">
        <w:rPr>
          <w:rFonts w:ascii="Verdana" w:hAnsi="Verdana" w:cs="Verdana"/>
          <w:color w:val="000000"/>
          <w:spacing w:val="-9"/>
          <w:kern w:val="0"/>
          <w:sz w:val="18"/>
          <w:szCs w:val="18"/>
        </w:rPr>
        <w:t>+ DQB1*03:01-DQA1*05:05</w:t>
      </w:r>
      <w:r w:rsidRPr="0041797D">
        <w:rPr>
          <w:rFonts w:ascii="Verdana" w:hAnsi="Verdana" w:cs="Verdana"/>
          <w:b/>
          <w:bCs/>
          <w:color w:val="000000"/>
          <w:spacing w:val="-9"/>
          <w:kern w:val="0"/>
          <w:sz w:val="18"/>
          <w:szCs w:val="18"/>
        </w:rPr>
        <w:t xml:space="preserve"> </w:t>
      </w:r>
      <w:r w:rsidRPr="0041797D">
        <w:rPr>
          <w:rFonts w:ascii="Verdana" w:hAnsi="Verdana" w:cs="Verdana"/>
          <w:color w:val="000000"/>
          <w:spacing w:val="-9"/>
          <w:kern w:val="0"/>
          <w:sz w:val="18"/>
          <w:szCs w:val="18"/>
        </w:rPr>
        <w:t>genotypes (HLA-DQ2.2 + HLA-DQ7.5: HLA-DQ2.5</w:t>
      </w:r>
      <w:r w:rsidRPr="0041797D">
        <w:rPr>
          <w:rFonts w:ascii="Verdana" w:hAnsi="Verdana" w:cs="Verdana"/>
          <w:i/>
          <w:iCs/>
          <w:color w:val="000000"/>
          <w:spacing w:val="-9"/>
          <w:kern w:val="0"/>
          <w:sz w:val="18"/>
          <w:szCs w:val="18"/>
        </w:rPr>
        <w:t>trans</w:t>
      </w:r>
      <w:r w:rsidRPr="0041797D">
        <w:rPr>
          <w:rFonts w:ascii="Verdana" w:hAnsi="Verdana" w:cs="Verdana"/>
          <w:color w:val="000000"/>
          <w:spacing w:val="-9"/>
          <w:kern w:val="0"/>
          <w:sz w:val="18"/>
          <w:szCs w:val="18"/>
        </w:rPr>
        <w:t>)] and, to a lesser degree, HLA-DQ8, encoded by DQB1*03:02/DQA1*03 alleles, has been found to have a high negative predictive value</w:t>
      </w:r>
      <w:r w:rsidRPr="0041797D">
        <w:rPr>
          <w:rFonts w:ascii="Verdana" w:hAnsi="Verdana" w:cs="Verdana"/>
          <w:color w:val="000000"/>
          <w:spacing w:val="-9"/>
          <w:kern w:val="0"/>
          <w:sz w:val="18"/>
          <w:szCs w:val="18"/>
          <w:vertAlign w:val="superscript"/>
        </w:rPr>
        <w:t>[12,13]</w:t>
      </w:r>
      <w:r w:rsidRPr="0041797D">
        <w:rPr>
          <w:rFonts w:ascii="Verdana" w:hAnsi="Verdana" w:cs="Verdana"/>
          <w:color w:val="000000"/>
          <w:spacing w:val="-9"/>
          <w:kern w:val="0"/>
          <w:sz w:val="18"/>
          <w:szCs w:val="18"/>
        </w:rPr>
        <w:t xml:space="preserve">. The HLA-DQ2.2 heterodimer has binding properties that are similar to those of HLA-DQ2.5, but it is not considered to predispose for </w:t>
      </w:r>
      <w:proofErr w:type="spellStart"/>
      <w:r w:rsidRPr="0041797D">
        <w:rPr>
          <w:rFonts w:ascii="Verdana" w:hAnsi="Verdana" w:cs="Verdana"/>
          <w:color w:val="000000"/>
          <w:spacing w:val="-9"/>
          <w:kern w:val="0"/>
          <w:sz w:val="18"/>
          <w:szCs w:val="18"/>
        </w:rPr>
        <w:t>CeD</w:t>
      </w:r>
      <w:proofErr w:type="spellEnd"/>
      <w:r w:rsidRPr="0041797D">
        <w:rPr>
          <w:rFonts w:ascii="Verdana" w:hAnsi="Verdana" w:cs="Verdana"/>
          <w:color w:val="000000"/>
          <w:spacing w:val="-9"/>
          <w:kern w:val="0"/>
          <w:sz w:val="18"/>
          <w:szCs w:val="18"/>
        </w:rPr>
        <w:t xml:space="preserve"> unless it is expressed with the HLA-DQ2.5 or -DQ7.5 heterodimers</w:t>
      </w:r>
      <w:r w:rsidRPr="0041797D">
        <w:rPr>
          <w:rFonts w:ascii="Verdana" w:hAnsi="Verdana" w:cs="Verdana"/>
          <w:color w:val="000000"/>
          <w:spacing w:val="-9"/>
          <w:kern w:val="0"/>
          <w:sz w:val="18"/>
          <w:szCs w:val="18"/>
          <w:vertAlign w:val="superscript"/>
        </w:rPr>
        <w:t xml:space="preserve"> [9</w:t>
      </w:r>
      <w:proofErr w:type="gramStart"/>
      <w:r w:rsidRPr="0041797D">
        <w:rPr>
          <w:rFonts w:ascii="Verdana" w:hAnsi="Verdana" w:cs="Verdana"/>
          <w:color w:val="000000"/>
          <w:spacing w:val="-9"/>
          <w:kern w:val="0"/>
          <w:sz w:val="18"/>
          <w:szCs w:val="18"/>
          <w:vertAlign w:val="superscript"/>
        </w:rPr>
        <w:t>,10</w:t>
      </w:r>
      <w:proofErr w:type="gramEnd"/>
      <w:r w:rsidRPr="0041797D">
        <w:rPr>
          <w:rFonts w:ascii="Verdana" w:hAnsi="Verdana" w:cs="Verdana"/>
          <w:color w:val="000000"/>
          <w:spacing w:val="-9"/>
          <w:kern w:val="0"/>
          <w:sz w:val="18"/>
          <w:szCs w:val="18"/>
          <w:vertAlign w:val="superscript"/>
        </w:rPr>
        <w:t>]</w:t>
      </w:r>
      <w:r w:rsidRPr="0041797D">
        <w:rPr>
          <w:rFonts w:ascii="Verdana" w:hAnsi="Verdana" w:cs="Verdana"/>
          <w:color w:val="000000"/>
          <w:spacing w:val="-9"/>
          <w:kern w:val="0"/>
          <w:sz w:val="18"/>
          <w:szCs w:val="18"/>
        </w:rPr>
        <w:t>.</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is more prevalent in women, with a ratio of 2:1 with respect to men, theoretically due to HLA </w:t>
      </w:r>
      <w:proofErr w:type="gramStart"/>
      <w:r w:rsidRPr="0041797D">
        <w:rPr>
          <w:rFonts w:ascii="Verdana" w:hAnsi="Verdana" w:cs="Verdana"/>
          <w:color w:val="000000"/>
          <w:spacing w:val="-7"/>
          <w:kern w:val="0"/>
          <w:sz w:val="18"/>
          <w:szCs w:val="18"/>
        </w:rPr>
        <w:t>inheritance</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14]</w:t>
      </w:r>
      <w:r w:rsidRPr="0041797D">
        <w:rPr>
          <w:rFonts w:ascii="Verdana" w:hAnsi="Verdana" w:cs="Verdana"/>
          <w:color w:val="000000"/>
          <w:spacing w:val="-7"/>
          <w:kern w:val="0"/>
          <w:sz w:val="18"/>
          <w:szCs w:val="18"/>
        </w:rPr>
        <w:t>.</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 xml:space="preserve">IBD patients have historically been considered to be at higher risk for </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vertAlign w:val="superscript"/>
        </w:rPr>
        <w:t>[12]</w:t>
      </w:r>
      <w:r w:rsidRPr="0041797D">
        <w:rPr>
          <w:rFonts w:ascii="Verdana" w:hAnsi="Verdana" w:cs="Verdana"/>
          <w:color w:val="000000"/>
          <w:spacing w:val="-7"/>
          <w:kern w:val="0"/>
          <w:sz w:val="18"/>
          <w:szCs w:val="18"/>
        </w:rPr>
        <w:t xml:space="preserve">, which could be supported by the fact that IBD and </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are quite prevalent and due to a theoretically similar pathogenesis</w:t>
      </w:r>
      <w:r w:rsidRPr="0041797D">
        <w:rPr>
          <w:rFonts w:ascii="Verdana" w:hAnsi="Verdana" w:cs="Verdana"/>
          <w:color w:val="000000"/>
          <w:spacing w:val="-7"/>
          <w:kern w:val="0"/>
          <w:sz w:val="18"/>
          <w:szCs w:val="18"/>
          <w:vertAlign w:val="superscript"/>
        </w:rPr>
        <w:t>[11,13,15]</w:t>
      </w:r>
      <w:r w:rsidRPr="0041797D">
        <w:rPr>
          <w:rFonts w:ascii="Verdana" w:hAnsi="Verdana" w:cs="Verdana"/>
          <w:color w:val="000000"/>
          <w:spacing w:val="-7"/>
          <w:kern w:val="0"/>
          <w:sz w:val="18"/>
          <w:szCs w:val="18"/>
        </w:rPr>
        <w:t xml:space="preserve">, with the interaction of genetic, immunological, and environmental factors (gut flora, gastroenteritis, </w:t>
      </w:r>
      <w:r w:rsidRPr="0041797D">
        <w:rPr>
          <w:rFonts w:ascii="Verdana" w:hAnsi="Verdana" w:cs="Verdana"/>
          <w:i/>
          <w:iCs/>
          <w:color w:val="000000"/>
          <w:spacing w:val="-7"/>
          <w:kern w:val="0"/>
          <w:sz w:val="18"/>
          <w:szCs w:val="18"/>
        </w:rPr>
        <w:t>etc.</w:t>
      </w:r>
      <w:r w:rsidRPr="0041797D">
        <w:rPr>
          <w:rFonts w:ascii="Verdana" w:hAnsi="Verdana" w:cs="Verdana"/>
          <w:color w:val="000000"/>
          <w:spacing w:val="-7"/>
          <w:kern w:val="0"/>
          <w:sz w:val="18"/>
          <w:szCs w:val="18"/>
        </w:rPr>
        <w:t xml:space="preserve">).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41797D">
        <w:rPr>
          <w:rFonts w:ascii="Verdana" w:hAnsi="Verdana" w:cs="Verdana"/>
          <w:color w:val="000000"/>
          <w:spacing w:val="-9"/>
          <w:kern w:val="0"/>
          <w:sz w:val="18"/>
          <w:szCs w:val="18"/>
        </w:rPr>
        <w:t xml:space="preserve">Several studies have tried to relate IBD and </w:t>
      </w:r>
      <w:proofErr w:type="spellStart"/>
      <w:r w:rsidRPr="0041797D">
        <w:rPr>
          <w:rFonts w:ascii="Verdana" w:hAnsi="Verdana" w:cs="Verdana"/>
          <w:color w:val="000000"/>
          <w:spacing w:val="-8"/>
          <w:kern w:val="0"/>
          <w:sz w:val="18"/>
          <w:szCs w:val="18"/>
        </w:rPr>
        <w:t>CeD</w:t>
      </w:r>
      <w:proofErr w:type="spellEnd"/>
      <w:r w:rsidRPr="0041797D">
        <w:rPr>
          <w:rFonts w:ascii="Verdana" w:hAnsi="Verdana" w:cs="Verdana"/>
          <w:color w:val="000000"/>
          <w:spacing w:val="-8"/>
          <w:kern w:val="0"/>
          <w:sz w:val="18"/>
          <w:szCs w:val="18"/>
        </w:rPr>
        <w:t xml:space="preserve"> with different </w:t>
      </w:r>
      <w:proofErr w:type="gramStart"/>
      <w:r w:rsidRPr="0041797D">
        <w:rPr>
          <w:rFonts w:ascii="Verdana" w:hAnsi="Verdana" w:cs="Verdana"/>
          <w:color w:val="000000"/>
          <w:spacing w:val="-8"/>
          <w:kern w:val="0"/>
          <w:sz w:val="18"/>
          <w:szCs w:val="18"/>
        </w:rPr>
        <w:t>results</w:t>
      </w:r>
      <w:r w:rsidRPr="0041797D">
        <w:rPr>
          <w:rFonts w:ascii="Verdana" w:hAnsi="Verdana" w:cs="Verdana"/>
          <w:color w:val="000000"/>
          <w:spacing w:val="-8"/>
          <w:kern w:val="0"/>
          <w:sz w:val="18"/>
          <w:szCs w:val="18"/>
          <w:vertAlign w:val="superscript"/>
        </w:rPr>
        <w:t>[</w:t>
      </w:r>
      <w:proofErr w:type="gramEnd"/>
      <w:r w:rsidRPr="0041797D">
        <w:rPr>
          <w:rFonts w:ascii="Verdana" w:hAnsi="Verdana" w:cs="Verdana"/>
          <w:color w:val="000000"/>
          <w:spacing w:val="-8"/>
          <w:kern w:val="0"/>
          <w:sz w:val="18"/>
          <w:szCs w:val="18"/>
          <w:vertAlign w:val="superscript"/>
        </w:rPr>
        <w:t>1,16,17]</w:t>
      </w:r>
      <w:r w:rsidRPr="0041797D">
        <w:rPr>
          <w:rFonts w:ascii="Verdana" w:hAnsi="Verdana" w:cs="Verdana"/>
          <w:color w:val="000000"/>
          <w:spacing w:val="-8"/>
          <w:kern w:val="0"/>
          <w:sz w:val="18"/>
          <w:szCs w:val="18"/>
        </w:rPr>
        <w:t>. None of the studies ana</w:t>
      </w:r>
      <w:r w:rsidRPr="0041797D">
        <w:rPr>
          <w:rFonts w:ascii="Verdana" w:hAnsi="Verdana" w:cs="Verdana"/>
          <w:color w:val="000000"/>
          <w:spacing w:val="-8"/>
          <w:kern w:val="0"/>
          <w:sz w:val="18"/>
          <w:szCs w:val="18"/>
        </w:rPr>
        <w:softHyphen/>
        <w:t xml:space="preserve">lyzed the genetic predisposition, although Leeds </w:t>
      </w:r>
      <w:r w:rsidRPr="0041797D">
        <w:rPr>
          <w:rFonts w:ascii="Verdana" w:hAnsi="Verdana" w:cs="Verdana"/>
          <w:i/>
          <w:iCs/>
          <w:color w:val="000000"/>
          <w:spacing w:val="-8"/>
          <w:kern w:val="0"/>
          <w:sz w:val="18"/>
          <w:szCs w:val="18"/>
        </w:rPr>
        <w:t>et al</w:t>
      </w:r>
      <w:r w:rsidRPr="0041797D">
        <w:rPr>
          <w:rFonts w:ascii="Verdana" w:hAnsi="Verdana" w:cs="Verdana"/>
          <w:color w:val="000000"/>
          <w:spacing w:val="-8"/>
          <w:kern w:val="0"/>
          <w:sz w:val="18"/>
          <w:szCs w:val="18"/>
        </w:rPr>
        <w:t xml:space="preserve"> suggested that a reduced frequency of HLA-DQ2 and -DQ8 in IBD would explain a similar or even reduced </w:t>
      </w:r>
      <w:proofErr w:type="spellStart"/>
      <w:proofErr w:type="gramStart"/>
      <w:r w:rsidRPr="0041797D">
        <w:rPr>
          <w:rFonts w:ascii="Verdana" w:hAnsi="Verdana" w:cs="Verdana"/>
          <w:color w:val="000000"/>
          <w:spacing w:val="-8"/>
          <w:kern w:val="0"/>
          <w:sz w:val="18"/>
          <w:szCs w:val="18"/>
        </w:rPr>
        <w:t>CeD</w:t>
      </w:r>
      <w:proofErr w:type="spellEnd"/>
      <w:proofErr w:type="gramEnd"/>
      <w:r w:rsidRPr="0041797D">
        <w:rPr>
          <w:rFonts w:ascii="Verdana" w:hAnsi="Verdana" w:cs="Verdana"/>
          <w:color w:val="000000"/>
          <w:spacing w:val="-8"/>
          <w:kern w:val="0"/>
          <w:sz w:val="18"/>
          <w:szCs w:val="18"/>
        </w:rPr>
        <w:t xml:space="preserve"> expression in IBD.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41797D">
        <w:rPr>
          <w:rFonts w:ascii="Verdana" w:hAnsi="Verdana" w:cs="Verdana"/>
          <w:color w:val="000000"/>
          <w:spacing w:val="-8"/>
          <w:kern w:val="0"/>
          <w:sz w:val="18"/>
          <w:szCs w:val="18"/>
        </w:rPr>
        <w:t xml:space="preserve">Some studies have looked for a relationship between HLA class </w:t>
      </w:r>
      <w:r w:rsidRPr="0041797D">
        <w:rPr>
          <w:rFonts w:ascii="KozMinPro-Regular" w:eastAsia="KozMinPro-Regular" w:hAnsi="Verdana" w:cs="KozMinPro-Regular" w:hint="eastAsia"/>
          <w:color w:val="000000"/>
          <w:kern w:val="0"/>
          <w:sz w:val="18"/>
          <w:szCs w:val="18"/>
        </w:rPr>
        <w:t>Ⅱ</w:t>
      </w:r>
      <w:r w:rsidRPr="0041797D">
        <w:rPr>
          <w:rFonts w:ascii="Verdana" w:hAnsi="Verdana" w:cs="Verdana"/>
          <w:color w:val="000000"/>
          <w:spacing w:val="-8"/>
          <w:kern w:val="0"/>
          <w:sz w:val="18"/>
          <w:szCs w:val="18"/>
        </w:rPr>
        <w:t xml:space="preserve"> molecules and IBD. Most studies have analyzed HLA alleles instead of complete haplotypes. They observed a tendency to lower frequency of HLA-DQ2 or -</w:t>
      </w:r>
      <w:proofErr w:type="gramStart"/>
      <w:r w:rsidRPr="0041797D">
        <w:rPr>
          <w:rFonts w:ascii="Verdana" w:hAnsi="Verdana" w:cs="Verdana"/>
          <w:color w:val="000000"/>
          <w:spacing w:val="-8"/>
          <w:kern w:val="0"/>
          <w:sz w:val="18"/>
          <w:szCs w:val="18"/>
        </w:rPr>
        <w:t>DQ8</w:t>
      </w:r>
      <w:r w:rsidRPr="0041797D">
        <w:rPr>
          <w:rFonts w:ascii="Verdana" w:hAnsi="Verdana" w:cs="Verdana"/>
          <w:color w:val="000000"/>
          <w:spacing w:val="-8"/>
          <w:kern w:val="0"/>
          <w:sz w:val="18"/>
          <w:szCs w:val="18"/>
          <w:vertAlign w:val="superscript"/>
        </w:rPr>
        <w:t>[</w:t>
      </w:r>
      <w:proofErr w:type="gramEnd"/>
      <w:r w:rsidRPr="0041797D">
        <w:rPr>
          <w:rFonts w:ascii="Verdana" w:hAnsi="Verdana" w:cs="Verdana"/>
          <w:color w:val="000000"/>
          <w:spacing w:val="-8"/>
          <w:kern w:val="0"/>
          <w:sz w:val="18"/>
          <w:szCs w:val="18"/>
          <w:vertAlign w:val="superscript"/>
        </w:rPr>
        <w:t>17,18]</w:t>
      </w:r>
      <w:r w:rsidRPr="0041797D">
        <w:rPr>
          <w:rFonts w:ascii="Verdana" w:hAnsi="Verdana" w:cs="Verdana"/>
          <w:color w:val="000000"/>
          <w:spacing w:val="-8"/>
          <w:kern w:val="0"/>
          <w:sz w:val="18"/>
          <w:szCs w:val="18"/>
        </w:rPr>
        <w:t>, and, mainly, -DR3 and -DR4 (because most studies are from the serologic HLA era), in IBD, as well as a higher frequency of HLA-DR7</w:t>
      </w:r>
      <w:r w:rsidRPr="0041797D">
        <w:rPr>
          <w:rFonts w:ascii="Verdana" w:hAnsi="Verdana" w:cs="Verdana"/>
          <w:color w:val="000000"/>
          <w:spacing w:val="-8"/>
          <w:kern w:val="0"/>
          <w:sz w:val="18"/>
          <w:szCs w:val="18"/>
          <w:vertAlign w:val="superscript"/>
        </w:rPr>
        <w:t>[17]</w:t>
      </w:r>
      <w:r w:rsidRPr="0041797D">
        <w:rPr>
          <w:rFonts w:ascii="Verdana" w:hAnsi="Verdana" w:cs="Verdana"/>
          <w:color w:val="000000"/>
          <w:spacing w:val="-8"/>
          <w:kern w:val="0"/>
          <w:sz w:val="18"/>
          <w:szCs w:val="18"/>
        </w:rPr>
        <w:t xml:space="preserve">. A study of </w:t>
      </w:r>
      <w:proofErr w:type="spellStart"/>
      <w:r w:rsidRPr="0041797D">
        <w:rPr>
          <w:rFonts w:ascii="Verdana" w:hAnsi="Verdana" w:cs="Verdana"/>
          <w:color w:val="000000"/>
          <w:spacing w:val="-8"/>
          <w:kern w:val="0"/>
          <w:sz w:val="18"/>
          <w:szCs w:val="18"/>
        </w:rPr>
        <w:t>DiGiacomo</w:t>
      </w:r>
      <w:proofErr w:type="spellEnd"/>
      <w:r w:rsidRPr="0041797D">
        <w:rPr>
          <w:rFonts w:ascii="Verdana" w:hAnsi="Verdana" w:cs="Verdana"/>
          <w:color w:val="000000"/>
          <w:spacing w:val="-8"/>
          <w:kern w:val="0"/>
          <w:sz w:val="18"/>
          <w:szCs w:val="18"/>
        </w:rPr>
        <w:t xml:space="preserve"> </w:t>
      </w:r>
      <w:r w:rsidRPr="0041797D">
        <w:rPr>
          <w:rFonts w:ascii="Verdana" w:hAnsi="Verdana" w:cs="Verdana"/>
          <w:i/>
          <w:iCs/>
          <w:color w:val="000000"/>
          <w:spacing w:val="-8"/>
          <w:kern w:val="0"/>
          <w:sz w:val="18"/>
          <w:szCs w:val="18"/>
        </w:rPr>
        <w:t>et al</w:t>
      </w:r>
      <w:r w:rsidRPr="0041797D">
        <w:rPr>
          <w:rFonts w:ascii="Verdana" w:hAnsi="Verdana" w:cs="Verdana"/>
          <w:color w:val="000000"/>
          <w:spacing w:val="-8"/>
          <w:kern w:val="0"/>
          <w:sz w:val="18"/>
          <w:szCs w:val="18"/>
          <w:vertAlign w:val="superscript"/>
        </w:rPr>
        <w:t>[19]</w:t>
      </w:r>
      <w:r w:rsidRPr="0041797D">
        <w:rPr>
          <w:rFonts w:ascii="Verdana" w:hAnsi="Verdana" w:cs="Verdana"/>
          <w:color w:val="000000"/>
          <w:spacing w:val="-8"/>
          <w:kern w:val="0"/>
          <w:sz w:val="18"/>
          <w:szCs w:val="18"/>
        </w:rPr>
        <w:t>, which analyzed complete haplotypes in several immune-related diseases, found a reduced frequency of HLA-DQ2 and -DQ8 in IBD, although only 36 IBD patients were included.</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strike/>
          <w:color w:val="000000"/>
          <w:spacing w:val="-7"/>
          <w:kern w:val="0"/>
          <w:sz w:val="18"/>
          <w:szCs w:val="18"/>
        </w:rPr>
      </w:pPr>
      <w:r w:rsidRPr="0041797D">
        <w:rPr>
          <w:rFonts w:ascii="Verdana" w:hAnsi="Verdana" w:cs="Verdana"/>
          <w:color w:val="000000"/>
          <w:spacing w:val="-7"/>
          <w:kern w:val="0"/>
          <w:sz w:val="18"/>
          <w:szCs w:val="18"/>
        </w:rPr>
        <w:t>The main objective of the study was to determine whether or not IBD patients are genetically pre</w:t>
      </w:r>
      <w:r w:rsidRPr="0041797D">
        <w:rPr>
          <w:rFonts w:ascii="Verdana" w:hAnsi="Verdana" w:cs="Verdana"/>
          <w:color w:val="000000"/>
          <w:spacing w:val="-7"/>
          <w:kern w:val="0"/>
          <w:sz w:val="18"/>
          <w:szCs w:val="18"/>
        </w:rPr>
        <w:softHyphen/>
        <w:t xml:space="preserve">disposed to </w:t>
      </w:r>
      <w:proofErr w:type="spellStart"/>
      <w:proofErr w:type="gramStart"/>
      <w:r w:rsidRPr="0041797D">
        <w:rPr>
          <w:rFonts w:ascii="Verdana" w:hAnsi="Verdana" w:cs="Verdana"/>
          <w:color w:val="000000"/>
          <w:spacing w:val="-7"/>
          <w:kern w:val="0"/>
          <w:sz w:val="18"/>
          <w:szCs w:val="18"/>
        </w:rPr>
        <w:t>CeD</w:t>
      </w:r>
      <w:proofErr w:type="spellEnd"/>
      <w:proofErr w:type="gramEnd"/>
      <w:r w:rsidRPr="0041797D">
        <w:rPr>
          <w:rFonts w:ascii="Verdana" w:hAnsi="Verdana" w:cs="Verdana"/>
          <w:color w:val="000000"/>
          <w:spacing w:val="-7"/>
          <w:kern w:val="0"/>
          <w:sz w:val="18"/>
          <w:szCs w:val="18"/>
        </w:rPr>
        <w:t xml:space="preserve">; we conducted a study to analyze the frequency of </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-related HLA (alleles encoding DQ2 and DQ8 dimers: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in our IBD population [both in patients with ulcerative colitis (UC) as with </w:t>
      </w:r>
      <w:proofErr w:type="spellStart"/>
      <w:r w:rsidRPr="0041797D">
        <w:rPr>
          <w:rFonts w:ascii="Verdana" w:hAnsi="Verdana" w:cs="Verdana"/>
          <w:color w:val="000000"/>
          <w:spacing w:val="-7"/>
          <w:kern w:val="0"/>
          <w:sz w:val="18"/>
          <w:szCs w:val="18"/>
        </w:rPr>
        <w:t>Crohn’s</w:t>
      </w:r>
      <w:proofErr w:type="spellEnd"/>
      <w:r w:rsidRPr="0041797D">
        <w:rPr>
          <w:rFonts w:ascii="Verdana" w:hAnsi="Verdana" w:cs="Verdana"/>
          <w:color w:val="000000"/>
          <w:spacing w:val="-7"/>
          <w:kern w:val="0"/>
          <w:sz w:val="18"/>
          <w:szCs w:val="18"/>
        </w:rPr>
        <w:t xml:space="preserve"> disease (CD)]. An analysis of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frequen</w:t>
      </w:r>
      <w:r w:rsidRPr="0041797D">
        <w:rPr>
          <w:rFonts w:ascii="Verdana" w:hAnsi="Verdana" w:cs="Verdana"/>
          <w:color w:val="000000"/>
          <w:spacing w:val="-7"/>
          <w:kern w:val="0"/>
          <w:sz w:val="18"/>
          <w:szCs w:val="18"/>
        </w:rPr>
        <w:softHyphen/>
        <w:t xml:space="preserve">cies according to sex was also performed in our IBD population. </w:t>
      </w: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u w:val="single"/>
        </w:rPr>
      </w:pPr>
      <w:r w:rsidRPr="0041797D">
        <w:rPr>
          <w:rFonts w:ascii="Univers" w:hAnsi="Univers" w:cs="Univers"/>
          <w:b/>
          <w:bCs/>
          <w:color w:val="000000"/>
          <w:spacing w:val="-2"/>
          <w:kern w:val="0"/>
          <w:sz w:val="24"/>
          <w:u w:val="single"/>
        </w:rPr>
        <w:t>MATERIALS AND METHODS</w:t>
      </w: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41797D">
        <w:rPr>
          <w:rFonts w:ascii="Arial Narrow" w:hAnsi="Arial Narrow" w:cs="Arial Narrow"/>
          <w:b/>
          <w:bCs/>
          <w:i/>
          <w:iCs/>
          <w:color w:val="000000"/>
          <w:kern w:val="0"/>
          <w:szCs w:val="21"/>
        </w:rPr>
        <w:t>Patients and controls</w:t>
      </w:r>
    </w:p>
    <w:p w:rsidR="00B77E3C" w:rsidRPr="0041797D" w:rsidRDefault="00B77E3C" w:rsidP="00B77E3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 xml:space="preserve">The study included 1034 subjects from the Community of Valencia, Spain: 457 adult patients with IBD and 577 organ donors HLA-typed at the Transfusion Center of the </w:t>
      </w:r>
      <w:proofErr w:type="spellStart"/>
      <w:r w:rsidRPr="0041797D">
        <w:rPr>
          <w:rFonts w:ascii="Verdana" w:hAnsi="Verdana" w:cs="Verdana"/>
          <w:color w:val="000000"/>
          <w:spacing w:val="-7"/>
          <w:kern w:val="0"/>
          <w:sz w:val="18"/>
          <w:szCs w:val="18"/>
        </w:rPr>
        <w:t>Valencian</w:t>
      </w:r>
      <w:proofErr w:type="spellEnd"/>
      <w:r w:rsidRPr="0041797D">
        <w:rPr>
          <w:rFonts w:ascii="Verdana" w:hAnsi="Verdana" w:cs="Verdana"/>
          <w:color w:val="000000"/>
          <w:spacing w:val="-7"/>
          <w:kern w:val="0"/>
          <w:sz w:val="18"/>
          <w:szCs w:val="18"/>
        </w:rPr>
        <w:t xml:space="preserve"> Community (TCVC). IBD patients cared from the out-patient-clinic and the IBD day-care unit of the University Clinic Hospital of </w:t>
      </w:r>
      <w:proofErr w:type="gramStart"/>
      <w:r w:rsidRPr="0041797D">
        <w:rPr>
          <w:rFonts w:ascii="Verdana" w:hAnsi="Verdana" w:cs="Verdana"/>
          <w:color w:val="000000"/>
          <w:spacing w:val="-7"/>
          <w:kern w:val="0"/>
          <w:sz w:val="18"/>
          <w:szCs w:val="18"/>
        </w:rPr>
        <w:t>Valencia,</w:t>
      </w:r>
      <w:proofErr w:type="gramEnd"/>
      <w:r w:rsidRPr="0041797D">
        <w:rPr>
          <w:rFonts w:ascii="Verdana" w:hAnsi="Verdana" w:cs="Verdana"/>
          <w:color w:val="000000"/>
          <w:spacing w:val="-7"/>
          <w:kern w:val="0"/>
          <w:sz w:val="18"/>
          <w:szCs w:val="18"/>
        </w:rPr>
        <w:t xml:space="preserve"> were prospectively and consecutively retrieved.</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41797D">
        <w:rPr>
          <w:rFonts w:ascii="Verdana" w:hAnsi="Verdana" w:cs="Verdana"/>
          <w:color w:val="000000"/>
          <w:spacing w:val="-9"/>
          <w:kern w:val="0"/>
          <w:sz w:val="18"/>
          <w:szCs w:val="18"/>
        </w:rPr>
        <w:lastRenderedPageBreak/>
        <w:t>Clinical information was updated and gathered from the patients, the physical and online record and by means of our clinical database. Ethnicity, age, sex, diagnosis (CD or UC), disease location (Montreal Classification and anastomosis</w:t>
      </w:r>
      <w:proofErr w:type="gramStart"/>
      <w:r w:rsidRPr="0041797D">
        <w:rPr>
          <w:rFonts w:ascii="Verdana" w:hAnsi="Verdana" w:cs="Verdana"/>
          <w:color w:val="000000"/>
          <w:spacing w:val="-9"/>
          <w:kern w:val="0"/>
          <w:sz w:val="18"/>
          <w:szCs w:val="18"/>
        </w:rPr>
        <w:t>)</w:t>
      </w:r>
      <w:r w:rsidRPr="0041797D">
        <w:rPr>
          <w:rFonts w:ascii="Verdana" w:hAnsi="Verdana" w:cs="Verdana"/>
          <w:color w:val="000000"/>
          <w:spacing w:val="-9"/>
          <w:kern w:val="0"/>
          <w:sz w:val="18"/>
          <w:szCs w:val="18"/>
          <w:vertAlign w:val="superscript"/>
        </w:rPr>
        <w:t>[</w:t>
      </w:r>
      <w:proofErr w:type="gramEnd"/>
      <w:r w:rsidRPr="0041797D">
        <w:rPr>
          <w:rFonts w:ascii="Verdana" w:hAnsi="Verdana" w:cs="Verdana"/>
          <w:color w:val="000000"/>
          <w:spacing w:val="-9"/>
          <w:kern w:val="0"/>
          <w:sz w:val="18"/>
          <w:szCs w:val="18"/>
          <w:vertAlign w:val="superscript"/>
        </w:rPr>
        <w:t>20]</w:t>
      </w:r>
      <w:r w:rsidRPr="0041797D">
        <w:rPr>
          <w:rFonts w:ascii="Verdana" w:hAnsi="Verdana" w:cs="Verdana"/>
          <w:color w:val="000000"/>
          <w:spacing w:val="-9"/>
          <w:kern w:val="0"/>
          <w:sz w:val="18"/>
          <w:szCs w:val="18"/>
        </w:rPr>
        <w:t xml:space="preserve">, </w:t>
      </w:r>
      <w:proofErr w:type="spellStart"/>
      <w:r w:rsidRPr="0041797D">
        <w:rPr>
          <w:rFonts w:ascii="Verdana" w:hAnsi="Verdana" w:cs="Verdana"/>
          <w:color w:val="000000"/>
          <w:spacing w:val="-9"/>
          <w:kern w:val="0"/>
          <w:sz w:val="18"/>
          <w:szCs w:val="18"/>
        </w:rPr>
        <w:t>extraintestinal</w:t>
      </w:r>
      <w:proofErr w:type="spellEnd"/>
      <w:r w:rsidRPr="0041797D">
        <w:rPr>
          <w:rFonts w:ascii="Verdana" w:hAnsi="Verdana" w:cs="Verdana"/>
          <w:color w:val="000000"/>
          <w:spacing w:val="-9"/>
          <w:kern w:val="0"/>
          <w:sz w:val="18"/>
          <w:szCs w:val="18"/>
        </w:rPr>
        <w:t xml:space="preserve"> manifestations (arthralgia, </w:t>
      </w:r>
      <w:proofErr w:type="spellStart"/>
      <w:r w:rsidRPr="0041797D">
        <w:rPr>
          <w:rFonts w:ascii="Verdana" w:hAnsi="Verdana" w:cs="Verdana"/>
          <w:color w:val="000000"/>
          <w:spacing w:val="-9"/>
          <w:kern w:val="0"/>
          <w:sz w:val="18"/>
          <w:szCs w:val="18"/>
        </w:rPr>
        <w:t>ankylosing</w:t>
      </w:r>
      <w:proofErr w:type="spellEnd"/>
      <w:r w:rsidRPr="0041797D">
        <w:rPr>
          <w:rFonts w:ascii="Verdana" w:hAnsi="Verdana" w:cs="Verdana"/>
          <w:color w:val="000000"/>
          <w:spacing w:val="-9"/>
          <w:kern w:val="0"/>
          <w:sz w:val="18"/>
          <w:szCs w:val="18"/>
        </w:rPr>
        <w:t xml:space="preserve"> spondylitis, </w:t>
      </w:r>
      <w:proofErr w:type="spellStart"/>
      <w:r w:rsidRPr="0041797D">
        <w:rPr>
          <w:rFonts w:ascii="Verdana" w:hAnsi="Verdana" w:cs="Verdana"/>
          <w:color w:val="000000"/>
          <w:spacing w:val="-9"/>
          <w:kern w:val="0"/>
          <w:sz w:val="18"/>
          <w:szCs w:val="18"/>
        </w:rPr>
        <w:t>sacroiliitis</w:t>
      </w:r>
      <w:proofErr w:type="spellEnd"/>
      <w:r w:rsidRPr="0041797D">
        <w:rPr>
          <w:rFonts w:ascii="Verdana" w:hAnsi="Verdana" w:cs="Verdana"/>
          <w:color w:val="000000"/>
          <w:spacing w:val="-9"/>
          <w:kern w:val="0"/>
          <w:sz w:val="18"/>
          <w:szCs w:val="18"/>
        </w:rPr>
        <w:t xml:space="preserve">, </w:t>
      </w:r>
      <w:proofErr w:type="spellStart"/>
      <w:r w:rsidRPr="0041797D">
        <w:rPr>
          <w:rFonts w:ascii="Verdana" w:hAnsi="Verdana" w:cs="Verdana"/>
          <w:color w:val="000000"/>
          <w:spacing w:val="-9"/>
          <w:kern w:val="0"/>
          <w:sz w:val="18"/>
          <w:szCs w:val="18"/>
        </w:rPr>
        <w:t>aphthous</w:t>
      </w:r>
      <w:proofErr w:type="spellEnd"/>
      <w:r w:rsidRPr="0041797D">
        <w:rPr>
          <w:rFonts w:ascii="Verdana" w:hAnsi="Verdana" w:cs="Verdana"/>
          <w:color w:val="000000"/>
          <w:spacing w:val="-9"/>
          <w:kern w:val="0"/>
          <w:sz w:val="18"/>
          <w:szCs w:val="18"/>
        </w:rPr>
        <w:t xml:space="preserve"> stomatitis, dermatologic, ocular and thrombotic events, and primary </w:t>
      </w:r>
      <w:proofErr w:type="spellStart"/>
      <w:r w:rsidRPr="0041797D">
        <w:rPr>
          <w:rFonts w:ascii="Verdana" w:hAnsi="Verdana" w:cs="Verdana"/>
          <w:color w:val="000000"/>
          <w:spacing w:val="-9"/>
          <w:kern w:val="0"/>
          <w:sz w:val="18"/>
          <w:szCs w:val="18"/>
        </w:rPr>
        <w:t>sclerosing</w:t>
      </w:r>
      <w:proofErr w:type="spellEnd"/>
      <w:r w:rsidRPr="0041797D">
        <w:rPr>
          <w:rFonts w:ascii="Verdana" w:hAnsi="Verdana" w:cs="Verdana"/>
          <w:color w:val="000000"/>
          <w:spacing w:val="-9"/>
          <w:kern w:val="0"/>
          <w:sz w:val="18"/>
          <w:szCs w:val="18"/>
        </w:rPr>
        <w:t xml:space="preserve"> cholan</w:t>
      </w:r>
      <w:r w:rsidRPr="0041797D">
        <w:rPr>
          <w:rFonts w:ascii="Verdana" w:hAnsi="Verdana" w:cs="Verdana"/>
          <w:color w:val="000000"/>
          <w:spacing w:val="-9"/>
          <w:kern w:val="0"/>
          <w:sz w:val="18"/>
          <w:szCs w:val="18"/>
        </w:rPr>
        <w:softHyphen/>
        <w:t>gitis), disease complications (</w:t>
      </w:r>
      <w:proofErr w:type="spellStart"/>
      <w:r w:rsidRPr="0041797D">
        <w:rPr>
          <w:rFonts w:ascii="Verdana" w:hAnsi="Verdana" w:cs="Verdana"/>
          <w:color w:val="000000"/>
          <w:spacing w:val="-9"/>
          <w:kern w:val="0"/>
          <w:sz w:val="18"/>
          <w:szCs w:val="18"/>
        </w:rPr>
        <w:t>megacolon</w:t>
      </w:r>
      <w:proofErr w:type="spellEnd"/>
      <w:r w:rsidRPr="0041797D">
        <w:rPr>
          <w:rFonts w:ascii="Verdana" w:hAnsi="Verdana" w:cs="Verdana"/>
          <w:color w:val="000000"/>
          <w:spacing w:val="-9"/>
          <w:kern w:val="0"/>
          <w:sz w:val="18"/>
          <w:szCs w:val="18"/>
        </w:rPr>
        <w:t xml:space="preserve">, hemorrhage, perforation and </w:t>
      </w:r>
      <w:proofErr w:type="spellStart"/>
      <w:r w:rsidRPr="0041797D">
        <w:rPr>
          <w:rFonts w:ascii="Verdana" w:hAnsi="Verdana" w:cs="Verdana"/>
          <w:color w:val="000000"/>
          <w:spacing w:val="-9"/>
          <w:kern w:val="0"/>
          <w:sz w:val="18"/>
          <w:szCs w:val="18"/>
        </w:rPr>
        <w:t>intraabdominal</w:t>
      </w:r>
      <w:proofErr w:type="spellEnd"/>
      <w:r w:rsidRPr="0041797D">
        <w:rPr>
          <w:rFonts w:ascii="Verdana" w:hAnsi="Verdana" w:cs="Verdana"/>
          <w:color w:val="000000"/>
          <w:spacing w:val="-9"/>
          <w:kern w:val="0"/>
          <w:sz w:val="18"/>
          <w:szCs w:val="18"/>
        </w:rPr>
        <w:t xml:space="preserve"> abscesses) and need of surgery were all recorded.</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41797D">
        <w:rPr>
          <w:rFonts w:ascii="Verdana" w:hAnsi="Verdana" w:cs="Verdana"/>
          <w:color w:val="000000"/>
          <w:spacing w:val="-8"/>
          <w:kern w:val="0"/>
          <w:sz w:val="18"/>
          <w:szCs w:val="18"/>
        </w:rPr>
        <w:t>The blood was analyzed at the Histocompatibility Department of the TCVC (EFI Accreditation number: 09-ES-014.986)</w:t>
      </w:r>
      <w:r w:rsidRPr="0041797D">
        <w:rPr>
          <w:rFonts w:ascii="Verdana" w:hAnsi="Verdana" w:cs="Verdana"/>
          <w:b/>
          <w:bCs/>
          <w:i/>
          <w:iCs/>
          <w:color w:val="000000"/>
          <w:spacing w:val="-8"/>
          <w:kern w:val="0"/>
          <w:sz w:val="18"/>
          <w:szCs w:val="18"/>
        </w:rPr>
        <w:t xml:space="preserve"> </w:t>
      </w:r>
      <w:r w:rsidRPr="0041797D">
        <w:rPr>
          <w:rFonts w:ascii="Verdana" w:hAnsi="Verdana" w:cs="Verdana"/>
          <w:color w:val="000000"/>
          <w:spacing w:val="-8"/>
          <w:kern w:val="0"/>
          <w:sz w:val="18"/>
          <w:szCs w:val="18"/>
        </w:rPr>
        <w:t xml:space="preserve">to determine the presence or absence of </w:t>
      </w:r>
      <w:proofErr w:type="spellStart"/>
      <w:r w:rsidRPr="0041797D">
        <w:rPr>
          <w:rFonts w:ascii="Verdana" w:hAnsi="Verdana" w:cs="Verdana"/>
          <w:color w:val="000000"/>
          <w:spacing w:val="-8"/>
          <w:kern w:val="0"/>
          <w:sz w:val="18"/>
          <w:szCs w:val="18"/>
        </w:rPr>
        <w:t>CeD</w:t>
      </w:r>
      <w:proofErr w:type="spellEnd"/>
      <w:r w:rsidRPr="0041797D">
        <w:rPr>
          <w:rFonts w:ascii="Verdana" w:hAnsi="Verdana" w:cs="Verdana"/>
          <w:color w:val="000000"/>
          <w:spacing w:val="-8"/>
          <w:kern w:val="0"/>
          <w:sz w:val="18"/>
          <w:szCs w:val="18"/>
        </w:rPr>
        <w:t xml:space="preserve"> risk HLA-haplotypes: haplotype HLA-DQA1*05:01-DQB1*02:01 (HLA-DQ2.5</w:t>
      </w:r>
      <w:r w:rsidRPr="0041797D">
        <w:rPr>
          <w:rFonts w:ascii="Verdana" w:hAnsi="Verdana" w:cs="Verdana"/>
          <w:i/>
          <w:iCs/>
          <w:color w:val="000000"/>
          <w:spacing w:val="-8"/>
          <w:kern w:val="0"/>
          <w:sz w:val="18"/>
          <w:szCs w:val="18"/>
        </w:rPr>
        <w:t>cis</w:t>
      </w:r>
      <w:r w:rsidRPr="0041797D">
        <w:rPr>
          <w:rFonts w:ascii="Verdana" w:hAnsi="Verdana" w:cs="Verdana"/>
          <w:color w:val="000000"/>
          <w:spacing w:val="-8"/>
          <w:kern w:val="0"/>
          <w:sz w:val="18"/>
          <w:szCs w:val="18"/>
        </w:rPr>
        <w:t xml:space="preserve">), the </w:t>
      </w:r>
      <w:proofErr w:type="spellStart"/>
      <w:r w:rsidRPr="0041797D">
        <w:rPr>
          <w:rFonts w:ascii="Verdana" w:hAnsi="Verdana" w:cs="Verdana"/>
          <w:color w:val="000000"/>
          <w:spacing w:val="-8"/>
          <w:kern w:val="0"/>
          <w:sz w:val="18"/>
          <w:szCs w:val="18"/>
        </w:rPr>
        <w:t>heterozygotic</w:t>
      </w:r>
      <w:proofErr w:type="spellEnd"/>
      <w:r w:rsidRPr="0041797D">
        <w:rPr>
          <w:rFonts w:ascii="Verdana" w:hAnsi="Verdana" w:cs="Verdana"/>
          <w:color w:val="000000"/>
          <w:spacing w:val="-8"/>
          <w:kern w:val="0"/>
          <w:sz w:val="18"/>
          <w:szCs w:val="18"/>
        </w:rPr>
        <w:t xml:space="preserve"> genotype HLA-DQA1*02:01-DQB1*02:02 + DQA1*05:05-DQB1*03:01 (HLA DQ2.2 + HLA-DQ7.5, HLA-DQ2.5</w:t>
      </w:r>
      <w:r w:rsidRPr="0041797D">
        <w:rPr>
          <w:rFonts w:ascii="Verdana" w:hAnsi="Verdana" w:cs="Verdana"/>
          <w:i/>
          <w:iCs/>
          <w:color w:val="000000"/>
          <w:spacing w:val="-8"/>
          <w:kern w:val="0"/>
          <w:sz w:val="18"/>
          <w:szCs w:val="18"/>
        </w:rPr>
        <w:t>trans</w:t>
      </w:r>
      <w:r w:rsidRPr="0041797D">
        <w:rPr>
          <w:rFonts w:ascii="Verdana" w:hAnsi="Verdana" w:cs="Verdana"/>
          <w:color w:val="000000"/>
          <w:spacing w:val="-8"/>
          <w:kern w:val="0"/>
          <w:sz w:val="18"/>
          <w:szCs w:val="18"/>
        </w:rPr>
        <w:t xml:space="preserve">), and haplotype HLA-DQA1*03-DQB1*03:02 (HLA-DQ8). HLA was considered to predispose for </w:t>
      </w:r>
      <w:proofErr w:type="spellStart"/>
      <w:proofErr w:type="gramStart"/>
      <w:r w:rsidRPr="0041797D">
        <w:rPr>
          <w:rFonts w:ascii="Verdana" w:hAnsi="Verdana" w:cs="Verdana"/>
          <w:color w:val="000000"/>
          <w:spacing w:val="-8"/>
          <w:kern w:val="0"/>
          <w:sz w:val="18"/>
          <w:szCs w:val="18"/>
        </w:rPr>
        <w:t>CeD</w:t>
      </w:r>
      <w:proofErr w:type="spellEnd"/>
      <w:proofErr w:type="gramEnd"/>
      <w:r w:rsidRPr="0041797D">
        <w:rPr>
          <w:rFonts w:ascii="Verdana" w:hAnsi="Verdana" w:cs="Verdana"/>
          <w:color w:val="000000"/>
          <w:spacing w:val="-8"/>
          <w:kern w:val="0"/>
          <w:sz w:val="18"/>
          <w:szCs w:val="18"/>
        </w:rPr>
        <w:t xml:space="preserve"> (HLA-</w:t>
      </w:r>
      <w:proofErr w:type="spellStart"/>
      <w:r w:rsidRPr="0041797D">
        <w:rPr>
          <w:rFonts w:ascii="Verdana" w:hAnsi="Verdana" w:cs="Verdana"/>
          <w:color w:val="000000"/>
          <w:spacing w:val="-8"/>
          <w:kern w:val="0"/>
          <w:sz w:val="18"/>
          <w:szCs w:val="18"/>
        </w:rPr>
        <w:t>CeD</w:t>
      </w:r>
      <w:proofErr w:type="spellEnd"/>
      <w:r w:rsidRPr="0041797D">
        <w:rPr>
          <w:rFonts w:ascii="Verdana" w:hAnsi="Verdana" w:cs="Verdana"/>
          <w:color w:val="000000"/>
          <w:spacing w:val="-8"/>
          <w:kern w:val="0"/>
          <w:sz w:val="18"/>
          <w:szCs w:val="18"/>
        </w:rPr>
        <w:t xml:space="preserve">) when one of these haplotypes was present.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Approval from the hospital’s Ethics Committee was obtained (Ethics Committee record nº 238), as well as written informed consent from each participating subject.</w:t>
      </w: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41797D">
        <w:rPr>
          <w:rFonts w:ascii="Arial Narrow" w:hAnsi="Arial Narrow" w:cs="Arial Narrow"/>
          <w:b/>
          <w:bCs/>
          <w:i/>
          <w:iCs/>
          <w:color w:val="000000"/>
          <w:kern w:val="0"/>
          <w:szCs w:val="21"/>
        </w:rPr>
        <w:t xml:space="preserve">HLA genotyping </w:t>
      </w:r>
    </w:p>
    <w:p w:rsidR="00B77E3C" w:rsidRPr="0041797D" w:rsidRDefault="00B77E3C" w:rsidP="00B77E3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41797D">
        <w:rPr>
          <w:rFonts w:ascii="Verdana" w:hAnsi="Verdana" w:cs="Verdana"/>
          <w:color w:val="000000"/>
          <w:spacing w:val="-9"/>
          <w:kern w:val="0"/>
          <w:sz w:val="18"/>
          <w:szCs w:val="18"/>
        </w:rPr>
        <w:t xml:space="preserve">HLA-DQA1 and -DQB1 low- and high-resolution genotyping was performed by polymerase chain reaction with sequence-specific primers (PCR-SSP) according to the method described by </w:t>
      </w:r>
      <w:proofErr w:type="spellStart"/>
      <w:r w:rsidRPr="0041797D">
        <w:rPr>
          <w:rFonts w:ascii="Verdana" w:hAnsi="Verdana" w:cs="Verdana"/>
          <w:color w:val="000000"/>
          <w:spacing w:val="-9"/>
          <w:kern w:val="0"/>
          <w:sz w:val="18"/>
          <w:szCs w:val="18"/>
        </w:rPr>
        <w:t>Olerup</w:t>
      </w:r>
      <w:proofErr w:type="spellEnd"/>
      <w:r w:rsidRPr="0041797D">
        <w:rPr>
          <w:rFonts w:ascii="Verdana" w:hAnsi="Verdana" w:cs="Verdana"/>
          <w:color w:val="000000"/>
          <w:spacing w:val="-9"/>
          <w:kern w:val="0"/>
          <w:sz w:val="18"/>
          <w:szCs w:val="18"/>
        </w:rPr>
        <w:t xml:space="preserve"> </w:t>
      </w:r>
      <w:r w:rsidRPr="0041797D">
        <w:rPr>
          <w:rFonts w:ascii="Verdana" w:hAnsi="Verdana" w:cs="Verdana"/>
          <w:i/>
          <w:iCs/>
          <w:color w:val="000000"/>
          <w:spacing w:val="-9"/>
          <w:kern w:val="0"/>
          <w:sz w:val="18"/>
          <w:szCs w:val="18"/>
        </w:rPr>
        <w:t xml:space="preserve">et </w:t>
      </w:r>
      <w:proofErr w:type="gramStart"/>
      <w:r w:rsidRPr="0041797D">
        <w:rPr>
          <w:rFonts w:ascii="Verdana" w:hAnsi="Verdana" w:cs="Verdana"/>
          <w:i/>
          <w:iCs/>
          <w:color w:val="000000"/>
          <w:spacing w:val="-9"/>
          <w:kern w:val="0"/>
          <w:sz w:val="18"/>
          <w:szCs w:val="18"/>
        </w:rPr>
        <w:t>al</w:t>
      </w:r>
      <w:r w:rsidRPr="0041797D">
        <w:rPr>
          <w:rFonts w:ascii="Verdana" w:hAnsi="Verdana" w:cs="Verdana"/>
          <w:color w:val="000000"/>
          <w:spacing w:val="-9"/>
          <w:kern w:val="0"/>
          <w:sz w:val="18"/>
          <w:szCs w:val="18"/>
          <w:vertAlign w:val="superscript"/>
        </w:rPr>
        <w:t>[</w:t>
      </w:r>
      <w:proofErr w:type="gramEnd"/>
      <w:r w:rsidRPr="0041797D">
        <w:rPr>
          <w:rFonts w:ascii="Verdana" w:hAnsi="Verdana" w:cs="Verdana"/>
          <w:color w:val="000000"/>
          <w:spacing w:val="-9"/>
          <w:kern w:val="0"/>
          <w:sz w:val="18"/>
          <w:szCs w:val="18"/>
          <w:vertAlign w:val="superscript"/>
        </w:rPr>
        <w:t>21]</w:t>
      </w:r>
      <w:r w:rsidRPr="0041797D">
        <w:rPr>
          <w:rFonts w:ascii="Verdana" w:hAnsi="Verdana" w:cs="Verdana"/>
          <w:color w:val="000000"/>
          <w:spacing w:val="-9"/>
          <w:kern w:val="0"/>
          <w:sz w:val="18"/>
          <w:szCs w:val="18"/>
        </w:rPr>
        <w:t xml:space="preserve">. Genomic DNA was isolated from nucleated cells by </w:t>
      </w:r>
      <w:proofErr w:type="spellStart"/>
      <w:r w:rsidRPr="0041797D">
        <w:rPr>
          <w:rFonts w:ascii="Verdana" w:hAnsi="Verdana" w:cs="Verdana"/>
          <w:color w:val="000000"/>
          <w:spacing w:val="-9"/>
          <w:kern w:val="0"/>
          <w:sz w:val="18"/>
          <w:szCs w:val="18"/>
        </w:rPr>
        <w:t>Magtration</w:t>
      </w:r>
      <w:proofErr w:type="spellEnd"/>
      <w:r w:rsidRPr="0041797D">
        <w:rPr>
          <w:rFonts w:ascii="Garamond" w:hAnsi="Garamond" w:cs="Garamond"/>
          <w:color w:val="000000"/>
          <w:spacing w:val="-9"/>
          <w:kern w:val="0"/>
          <w:position w:val="-4"/>
          <w:sz w:val="18"/>
          <w:szCs w:val="18"/>
          <w:vertAlign w:val="superscript"/>
        </w:rPr>
        <w:t>®</w:t>
      </w:r>
      <w:r w:rsidRPr="0041797D">
        <w:rPr>
          <w:rFonts w:ascii="Verdana" w:hAnsi="Verdana" w:cs="Verdana"/>
          <w:color w:val="000000"/>
          <w:spacing w:val="-9"/>
          <w:kern w:val="0"/>
          <w:sz w:val="18"/>
          <w:szCs w:val="18"/>
        </w:rPr>
        <w:t xml:space="preserve"> </w:t>
      </w:r>
      <w:proofErr w:type="gramStart"/>
      <w:r w:rsidRPr="0041797D">
        <w:rPr>
          <w:rFonts w:ascii="Verdana" w:hAnsi="Verdana" w:cs="Verdana"/>
          <w:color w:val="000000"/>
          <w:spacing w:val="-9"/>
          <w:kern w:val="0"/>
          <w:sz w:val="18"/>
          <w:szCs w:val="18"/>
        </w:rPr>
        <w:t>technology</w:t>
      </w:r>
      <w:r w:rsidRPr="0041797D">
        <w:rPr>
          <w:rFonts w:ascii="Verdana" w:hAnsi="Verdana" w:cs="Verdana"/>
          <w:color w:val="000000"/>
          <w:spacing w:val="-9"/>
          <w:kern w:val="0"/>
          <w:sz w:val="18"/>
          <w:szCs w:val="18"/>
          <w:vertAlign w:val="superscript"/>
        </w:rPr>
        <w:t>[</w:t>
      </w:r>
      <w:proofErr w:type="gramEnd"/>
      <w:r w:rsidRPr="0041797D">
        <w:rPr>
          <w:rFonts w:ascii="Verdana" w:hAnsi="Verdana" w:cs="Verdana"/>
          <w:color w:val="000000"/>
          <w:spacing w:val="-9"/>
          <w:kern w:val="0"/>
          <w:sz w:val="18"/>
          <w:szCs w:val="18"/>
          <w:vertAlign w:val="superscript"/>
        </w:rPr>
        <w:t>22]</w:t>
      </w:r>
      <w:r w:rsidRPr="0041797D">
        <w:rPr>
          <w:rFonts w:ascii="Verdana" w:hAnsi="Verdana" w:cs="Verdana"/>
          <w:color w:val="000000"/>
          <w:spacing w:val="-9"/>
          <w:kern w:val="0"/>
          <w:sz w:val="18"/>
          <w:szCs w:val="18"/>
        </w:rPr>
        <w:t xml:space="preserve">. Each PCR reaction was performed on about 80 </w:t>
      </w:r>
      <w:proofErr w:type="spellStart"/>
      <w:r w:rsidRPr="0041797D">
        <w:rPr>
          <w:rFonts w:ascii="Verdana" w:hAnsi="Verdana" w:cs="Verdana"/>
          <w:color w:val="000000"/>
          <w:spacing w:val="-9"/>
          <w:kern w:val="0"/>
          <w:sz w:val="18"/>
          <w:szCs w:val="18"/>
        </w:rPr>
        <w:t>ng</w:t>
      </w:r>
      <w:proofErr w:type="spellEnd"/>
      <w:r w:rsidRPr="0041797D">
        <w:rPr>
          <w:rFonts w:ascii="Verdana" w:hAnsi="Verdana" w:cs="Verdana"/>
          <w:color w:val="000000"/>
          <w:spacing w:val="-9"/>
          <w:kern w:val="0"/>
          <w:sz w:val="18"/>
          <w:szCs w:val="18"/>
        </w:rPr>
        <w:t xml:space="preserve"> of extracted DNA, using 0.15 units of </w:t>
      </w:r>
      <w:proofErr w:type="spellStart"/>
      <w:r w:rsidRPr="0041797D">
        <w:rPr>
          <w:rFonts w:ascii="Verdana" w:hAnsi="Verdana" w:cs="Verdana"/>
          <w:color w:val="000000"/>
          <w:spacing w:val="-9"/>
          <w:kern w:val="0"/>
          <w:sz w:val="18"/>
          <w:szCs w:val="18"/>
        </w:rPr>
        <w:t>Taq</w:t>
      </w:r>
      <w:proofErr w:type="spellEnd"/>
      <w:r w:rsidRPr="0041797D">
        <w:rPr>
          <w:rFonts w:ascii="Verdana" w:hAnsi="Verdana" w:cs="Verdana"/>
          <w:color w:val="000000"/>
          <w:spacing w:val="-9"/>
          <w:kern w:val="0"/>
          <w:sz w:val="18"/>
          <w:szCs w:val="18"/>
        </w:rPr>
        <w:t xml:space="preserve"> DNA polymerase (</w:t>
      </w:r>
      <w:proofErr w:type="spellStart"/>
      <w:r w:rsidRPr="0041797D">
        <w:rPr>
          <w:rFonts w:ascii="Verdana" w:hAnsi="Verdana" w:cs="Verdana"/>
          <w:color w:val="000000"/>
          <w:spacing w:val="-9"/>
          <w:kern w:val="0"/>
          <w:sz w:val="18"/>
          <w:szCs w:val="18"/>
        </w:rPr>
        <w:t>AmpliTaq</w:t>
      </w:r>
      <w:proofErr w:type="spellEnd"/>
      <w:r w:rsidRPr="0041797D">
        <w:rPr>
          <w:rFonts w:ascii="Garamond" w:hAnsi="Garamond" w:cs="Garamond"/>
          <w:color w:val="000000"/>
          <w:spacing w:val="-9"/>
          <w:kern w:val="0"/>
          <w:position w:val="-4"/>
          <w:sz w:val="18"/>
          <w:szCs w:val="18"/>
          <w:vertAlign w:val="superscript"/>
        </w:rPr>
        <w:t>®</w:t>
      </w:r>
      <w:r w:rsidRPr="0041797D">
        <w:rPr>
          <w:rFonts w:ascii="Verdana" w:hAnsi="Verdana" w:cs="Verdana"/>
          <w:color w:val="000000"/>
          <w:spacing w:val="-9"/>
          <w:kern w:val="0"/>
          <w:sz w:val="18"/>
          <w:szCs w:val="18"/>
        </w:rPr>
        <w:t xml:space="preserve"> DNA Polymerase, Applied </w:t>
      </w:r>
      <w:proofErr w:type="spellStart"/>
      <w:r w:rsidRPr="0041797D">
        <w:rPr>
          <w:rFonts w:ascii="Verdana" w:hAnsi="Verdana" w:cs="Verdana"/>
          <w:color w:val="000000"/>
          <w:spacing w:val="-9"/>
          <w:kern w:val="0"/>
          <w:sz w:val="18"/>
          <w:szCs w:val="18"/>
        </w:rPr>
        <w:t>Biosystems</w:t>
      </w:r>
      <w:proofErr w:type="spellEnd"/>
      <w:r w:rsidRPr="0041797D">
        <w:rPr>
          <w:rFonts w:ascii="Verdana" w:hAnsi="Verdana" w:cs="Verdana"/>
          <w:color w:val="000000"/>
          <w:spacing w:val="-9"/>
          <w:kern w:val="0"/>
          <w:sz w:val="18"/>
          <w:szCs w:val="18"/>
        </w:rPr>
        <w:t xml:space="preserve">, The Netherlands), and </w:t>
      </w:r>
      <w:proofErr w:type="spellStart"/>
      <w:r w:rsidRPr="0041797D">
        <w:rPr>
          <w:rFonts w:ascii="Verdana" w:hAnsi="Verdana" w:cs="Verdana"/>
          <w:color w:val="000000"/>
          <w:spacing w:val="-9"/>
          <w:kern w:val="0"/>
          <w:sz w:val="18"/>
          <w:szCs w:val="18"/>
        </w:rPr>
        <w:t>Olerup</w:t>
      </w:r>
      <w:proofErr w:type="spellEnd"/>
      <w:r w:rsidRPr="0041797D">
        <w:rPr>
          <w:rFonts w:ascii="Verdana" w:hAnsi="Verdana" w:cs="Verdana"/>
          <w:color w:val="000000"/>
          <w:spacing w:val="-9"/>
          <w:kern w:val="0"/>
          <w:sz w:val="18"/>
          <w:szCs w:val="18"/>
        </w:rPr>
        <w:t xml:space="preserve"> commercial primers (</w:t>
      </w:r>
      <w:proofErr w:type="spellStart"/>
      <w:r w:rsidRPr="0041797D">
        <w:rPr>
          <w:rFonts w:ascii="Verdana" w:hAnsi="Verdana" w:cs="Verdana"/>
          <w:color w:val="000000"/>
          <w:spacing w:val="-9"/>
          <w:kern w:val="0"/>
          <w:sz w:val="18"/>
          <w:szCs w:val="18"/>
        </w:rPr>
        <w:t>Olerup</w:t>
      </w:r>
      <w:proofErr w:type="spellEnd"/>
      <w:r w:rsidRPr="0041797D">
        <w:rPr>
          <w:rFonts w:ascii="Verdana" w:hAnsi="Verdana" w:cs="Verdana"/>
          <w:color w:val="000000"/>
          <w:spacing w:val="-9"/>
          <w:kern w:val="0"/>
          <w:sz w:val="18"/>
          <w:szCs w:val="18"/>
        </w:rPr>
        <w:t xml:space="preserve"> SSP AB,</w:t>
      </w:r>
      <w:r w:rsidRPr="0041797D">
        <w:rPr>
          <w:rFonts w:ascii="Verdana" w:hAnsi="Verdana" w:cs="Verdana"/>
          <w:b/>
          <w:bCs/>
          <w:color w:val="000000"/>
          <w:spacing w:val="-9"/>
          <w:kern w:val="0"/>
          <w:sz w:val="18"/>
          <w:szCs w:val="18"/>
        </w:rPr>
        <w:t xml:space="preserve"> </w:t>
      </w:r>
      <w:r w:rsidRPr="0041797D">
        <w:rPr>
          <w:rFonts w:ascii="Verdana" w:hAnsi="Verdana" w:cs="Verdana"/>
          <w:color w:val="000000"/>
          <w:spacing w:val="-9"/>
          <w:kern w:val="0"/>
          <w:sz w:val="18"/>
          <w:szCs w:val="18"/>
        </w:rPr>
        <w:t xml:space="preserve">Stockholm, Sweden), according to the manufacturer’s instructions. PCR was carried out in a final volume of 10 </w:t>
      </w:r>
      <w:r w:rsidRPr="0041797D">
        <w:rPr>
          <w:rFonts w:ascii="Symbol" w:hAnsi="Symbol" w:cs="Symbol"/>
          <w:color w:val="000000"/>
          <w:spacing w:val="-9"/>
          <w:kern w:val="0"/>
          <w:sz w:val="18"/>
          <w:szCs w:val="18"/>
        </w:rPr>
        <w:t></w:t>
      </w:r>
      <w:r w:rsidRPr="0041797D">
        <w:rPr>
          <w:rFonts w:ascii="Verdana" w:hAnsi="Verdana" w:cs="Verdana"/>
          <w:color w:val="000000"/>
          <w:spacing w:val="-9"/>
          <w:kern w:val="0"/>
          <w:sz w:val="18"/>
          <w:szCs w:val="18"/>
        </w:rPr>
        <w:t xml:space="preserve">L in a </w:t>
      </w:r>
      <w:proofErr w:type="spellStart"/>
      <w:r w:rsidRPr="0041797D">
        <w:rPr>
          <w:rFonts w:ascii="Verdana" w:hAnsi="Verdana" w:cs="Verdana"/>
          <w:color w:val="000000"/>
          <w:spacing w:val="-9"/>
          <w:kern w:val="0"/>
          <w:sz w:val="18"/>
          <w:szCs w:val="18"/>
        </w:rPr>
        <w:t>GeneAmp</w:t>
      </w:r>
      <w:proofErr w:type="spellEnd"/>
      <w:r w:rsidRPr="0041797D">
        <w:rPr>
          <w:rFonts w:ascii="Verdana" w:hAnsi="Verdana" w:cs="Verdana"/>
          <w:color w:val="000000"/>
          <w:spacing w:val="-9"/>
          <w:kern w:val="0"/>
          <w:sz w:val="18"/>
          <w:szCs w:val="18"/>
        </w:rPr>
        <w:t xml:space="preserve"> PCR System 9700 (Applied </w:t>
      </w:r>
      <w:proofErr w:type="spellStart"/>
      <w:r w:rsidRPr="0041797D">
        <w:rPr>
          <w:rFonts w:ascii="Verdana" w:hAnsi="Verdana" w:cs="Verdana"/>
          <w:color w:val="000000"/>
          <w:spacing w:val="-9"/>
          <w:kern w:val="0"/>
          <w:sz w:val="18"/>
          <w:szCs w:val="18"/>
        </w:rPr>
        <w:t>Biosystems</w:t>
      </w:r>
      <w:proofErr w:type="spellEnd"/>
      <w:r w:rsidRPr="0041797D">
        <w:rPr>
          <w:rFonts w:ascii="Verdana" w:hAnsi="Verdana" w:cs="Verdana"/>
          <w:color w:val="000000"/>
          <w:spacing w:val="-9"/>
          <w:kern w:val="0"/>
          <w:sz w:val="18"/>
          <w:szCs w:val="18"/>
        </w:rPr>
        <w:t>, The Netherlands). An initial denaturizing step at 94</w:t>
      </w:r>
      <w:r w:rsidRPr="0041797D">
        <w:rPr>
          <w:rFonts w:ascii="MS Gothic" w:eastAsia="MS Gothic" w:hAnsi="MS Gothic" w:cs="MS Gothic"/>
          <w:color w:val="000000"/>
          <w:spacing w:val="-9"/>
          <w:kern w:val="0"/>
          <w:sz w:val="18"/>
          <w:szCs w:val="18"/>
        </w:rPr>
        <w:t> </w:t>
      </w:r>
      <w:r w:rsidRPr="0041797D">
        <w:rPr>
          <w:rFonts w:ascii="宋体" w:hAnsi="Verdana" w:cs="宋体" w:hint="eastAsia"/>
          <w:color w:val="000000"/>
          <w:spacing w:val="-9"/>
          <w:kern w:val="0"/>
          <w:sz w:val="18"/>
          <w:szCs w:val="18"/>
        </w:rPr>
        <w:t>℃</w:t>
      </w:r>
      <w:r w:rsidRPr="0041797D">
        <w:rPr>
          <w:rFonts w:ascii="Verdana" w:hAnsi="Verdana" w:cs="Verdana"/>
          <w:color w:val="000000"/>
          <w:spacing w:val="-9"/>
          <w:kern w:val="0"/>
          <w:sz w:val="18"/>
          <w:szCs w:val="18"/>
        </w:rPr>
        <w:t xml:space="preserve"> for 2 </w:t>
      </w:r>
      <w:r w:rsidRPr="0041797D">
        <w:rPr>
          <w:rFonts w:ascii="Verdana" w:hAnsi="Verdana" w:cs="Verdana"/>
          <w:color w:val="000000"/>
          <w:spacing w:val="-13"/>
          <w:kern w:val="0"/>
          <w:sz w:val="18"/>
          <w:szCs w:val="18"/>
        </w:rPr>
        <w:t>min was followed by 10 two-temperature cycles (94</w:t>
      </w:r>
      <w:r w:rsidRPr="0041797D">
        <w:rPr>
          <w:rFonts w:ascii="MS Gothic" w:eastAsia="MS Gothic" w:hAnsi="MS Gothic" w:cs="MS Gothic"/>
          <w:color w:val="000000"/>
          <w:spacing w:val="-13"/>
          <w:kern w:val="0"/>
          <w:sz w:val="18"/>
          <w:szCs w:val="18"/>
        </w:rPr>
        <w:t> </w:t>
      </w:r>
      <w:r w:rsidRPr="0041797D">
        <w:rPr>
          <w:rFonts w:ascii="宋体" w:hAnsi="Verdana" w:cs="宋体" w:hint="eastAsia"/>
          <w:color w:val="000000"/>
          <w:spacing w:val="-13"/>
          <w:kern w:val="0"/>
          <w:sz w:val="18"/>
          <w:szCs w:val="18"/>
        </w:rPr>
        <w:t>℃</w:t>
      </w:r>
      <w:r w:rsidRPr="0041797D">
        <w:rPr>
          <w:rFonts w:ascii="Verdana" w:hAnsi="Verdana" w:cs="Verdana"/>
          <w:color w:val="000000"/>
          <w:spacing w:val="-13"/>
          <w:kern w:val="0"/>
          <w:sz w:val="18"/>
          <w:szCs w:val="18"/>
        </w:rPr>
        <w:t xml:space="preserve"> </w:t>
      </w:r>
      <w:r w:rsidRPr="0041797D">
        <w:rPr>
          <w:rFonts w:ascii="Verdana" w:hAnsi="Verdana" w:cs="Verdana"/>
          <w:color w:val="000000"/>
          <w:spacing w:val="-9"/>
          <w:kern w:val="0"/>
          <w:sz w:val="18"/>
          <w:szCs w:val="18"/>
        </w:rPr>
        <w:t>for 10 s and 65</w:t>
      </w:r>
      <w:r w:rsidRPr="0041797D">
        <w:rPr>
          <w:rFonts w:ascii="MS Gothic" w:eastAsia="MS Gothic" w:hAnsi="MS Gothic" w:cs="MS Gothic"/>
          <w:color w:val="000000"/>
          <w:spacing w:val="-9"/>
          <w:kern w:val="0"/>
          <w:sz w:val="18"/>
          <w:szCs w:val="18"/>
        </w:rPr>
        <w:t> </w:t>
      </w:r>
      <w:r w:rsidRPr="0041797D">
        <w:rPr>
          <w:rFonts w:ascii="宋体" w:hAnsi="Verdana" w:cs="宋体" w:hint="eastAsia"/>
          <w:color w:val="000000"/>
          <w:spacing w:val="-9"/>
          <w:kern w:val="0"/>
          <w:sz w:val="18"/>
          <w:szCs w:val="18"/>
        </w:rPr>
        <w:t>℃</w:t>
      </w:r>
      <w:r w:rsidRPr="0041797D">
        <w:rPr>
          <w:rFonts w:ascii="Verdana" w:hAnsi="Verdana" w:cs="Verdana"/>
          <w:color w:val="000000"/>
          <w:spacing w:val="-9"/>
          <w:kern w:val="0"/>
          <w:sz w:val="18"/>
          <w:szCs w:val="18"/>
        </w:rPr>
        <w:t xml:space="preserve"> for 60 s) and 20 three-temperature cycles (94</w:t>
      </w:r>
      <w:r w:rsidRPr="0041797D">
        <w:rPr>
          <w:rFonts w:ascii="MS Gothic" w:eastAsia="MS Gothic" w:hAnsi="MS Gothic" w:cs="MS Gothic"/>
          <w:color w:val="000000"/>
          <w:spacing w:val="-9"/>
          <w:kern w:val="0"/>
          <w:sz w:val="18"/>
          <w:szCs w:val="18"/>
        </w:rPr>
        <w:t> </w:t>
      </w:r>
      <w:r w:rsidRPr="0041797D">
        <w:rPr>
          <w:rFonts w:ascii="宋体" w:hAnsi="Verdana" w:cs="宋体" w:hint="eastAsia"/>
          <w:color w:val="000000"/>
          <w:spacing w:val="-9"/>
          <w:kern w:val="0"/>
          <w:sz w:val="18"/>
          <w:szCs w:val="18"/>
        </w:rPr>
        <w:t>℃</w:t>
      </w:r>
      <w:r w:rsidRPr="0041797D">
        <w:rPr>
          <w:rFonts w:ascii="Verdana" w:hAnsi="Verdana" w:cs="Verdana"/>
          <w:color w:val="000000"/>
          <w:spacing w:val="-9"/>
          <w:kern w:val="0"/>
          <w:sz w:val="18"/>
          <w:szCs w:val="18"/>
        </w:rPr>
        <w:t xml:space="preserve"> for 10 s, 61</w:t>
      </w:r>
      <w:r w:rsidRPr="0041797D">
        <w:rPr>
          <w:rFonts w:ascii="MS Gothic" w:eastAsia="MS Gothic" w:hAnsi="MS Gothic" w:cs="MS Gothic"/>
          <w:color w:val="000000"/>
          <w:spacing w:val="-9"/>
          <w:kern w:val="0"/>
          <w:sz w:val="18"/>
          <w:szCs w:val="18"/>
        </w:rPr>
        <w:t> </w:t>
      </w:r>
      <w:r w:rsidRPr="0041797D">
        <w:rPr>
          <w:rFonts w:ascii="宋体" w:hAnsi="Verdana" w:cs="宋体" w:hint="eastAsia"/>
          <w:color w:val="000000"/>
          <w:spacing w:val="-9"/>
          <w:kern w:val="0"/>
          <w:sz w:val="18"/>
          <w:szCs w:val="18"/>
        </w:rPr>
        <w:t>℃</w:t>
      </w:r>
      <w:r w:rsidRPr="0041797D">
        <w:rPr>
          <w:rFonts w:ascii="Verdana" w:hAnsi="Verdana" w:cs="Verdana"/>
          <w:color w:val="000000"/>
          <w:spacing w:val="-9"/>
          <w:kern w:val="0"/>
          <w:sz w:val="18"/>
          <w:szCs w:val="18"/>
        </w:rPr>
        <w:t xml:space="preserve"> for 50 s and 72</w:t>
      </w:r>
      <w:r w:rsidRPr="0041797D">
        <w:rPr>
          <w:rFonts w:ascii="MS Gothic" w:eastAsia="MS Gothic" w:hAnsi="MS Gothic" w:cs="MS Gothic"/>
          <w:color w:val="000000"/>
          <w:spacing w:val="-9"/>
          <w:kern w:val="0"/>
          <w:sz w:val="18"/>
          <w:szCs w:val="18"/>
        </w:rPr>
        <w:t> </w:t>
      </w:r>
      <w:r w:rsidRPr="0041797D">
        <w:rPr>
          <w:rFonts w:ascii="宋体" w:hAnsi="Verdana" w:cs="宋体" w:hint="eastAsia"/>
          <w:color w:val="000000"/>
          <w:spacing w:val="-9"/>
          <w:kern w:val="0"/>
          <w:sz w:val="18"/>
          <w:szCs w:val="18"/>
        </w:rPr>
        <w:t>℃</w:t>
      </w:r>
      <w:r w:rsidRPr="0041797D">
        <w:rPr>
          <w:rFonts w:ascii="Verdana" w:hAnsi="Verdana" w:cs="Verdana"/>
          <w:color w:val="000000"/>
          <w:spacing w:val="-9"/>
          <w:kern w:val="0"/>
          <w:sz w:val="18"/>
          <w:szCs w:val="18"/>
        </w:rPr>
        <w:t xml:space="preserve"> for 30 s). Detection of amplified alleles was carried out by </w:t>
      </w:r>
      <w:proofErr w:type="spellStart"/>
      <w:r w:rsidRPr="0041797D">
        <w:rPr>
          <w:rFonts w:ascii="Verdana" w:hAnsi="Verdana" w:cs="Verdana"/>
          <w:color w:val="000000"/>
          <w:spacing w:val="-9"/>
          <w:kern w:val="0"/>
          <w:sz w:val="18"/>
          <w:szCs w:val="18"/>
        </w:rPr>
        <w:t>agarose</w:t>
      </w:r>
      <w:proofErr w:type="spellEnd"/>
      <w:r w:rsidRPr="0041797D">
        <w:rPr>
          <w:rFonts w:ascii="Verdana" w:hAnsi="Verdana" w:cs="Verdana"/>
          <w:color w:val="000000"/>
          <w:spacing w:val="-9"/>
          <w:kern w:val="0"/>
          <w:sz w:val="18"/>
          <w:szCs w:val="18"/>
        </w:rPr>
        <w:t xml:space="preserve"> gel electrophoresis.</w:t>
      </w: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41797D">
        <w:rPr>
          <w:rFonts w:ascii="Arial Narrow" w:hAnsi="Arial Narrow" w:cs="Arial Narrow"/>
          <w:b/>
          <w:bCs/>
          <w:i/>
          <w:iCs/>
          <w:color w:val="000000"/>
          <w:kern w:val="0"/>
          <w:szCs w:val="21"/>
        </w:rPr>
        <w:t>Statistical analysis</w:t>
      </w:r>
    </w:p>
    <w:p w:rsidR="00B77E3C" w:rsidRPr="0041797D" w:rsidRDefault="00B77E3C" w:rsidP="00B77E3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According to the published data, the prevalence of HLA-DQ2 and DQ8 in the Spanish general population is about 30</w:t>
      </w:r>
      <w:proofErr w:type="gramStart"/>
      <w:r w:rsidRPr="0041797D">
        <w:rPr>
          <w:rFonts w:ascii="Verdana" w:hAnsi="Verdana" w:cs="Verdana"/>
          <w:color w:val="000000"/>
          <w:spacing w:val="-7"/>
          <w:kern w:val="0"/>
          <w:sz w:val="18"/>
          <w:szCs w:val="18"/>
        </w:rPr>
        <w:t>%</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8]</w:t>
      </w:r>
      <w:r w:rsidRPr="0041797D">
        <w:rPr>
          <w:rFonts w:ascii="Verdana" w:hAnsi="Verdana" w:cs="Verdana"/>
          <w:color w:val="000000"/>
          <w:spacing w:val="-7"/>
          <w:kern w:val="0"/>
          <w:sz w:val="18"/>
          <w:szCs w:val="18"/>
        </w:rPr>
        <w:t>. Therefore, considering a 95% confidence level (type I error of 0.05, and 0.8 statistical power), we needed a sample size of 323 patients to detect significant differences between groups.</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 xml:space="preserve">Statistical analysis was done using the PASW 17.0 software (SPSS </w:t>
      </w:r>
      <w:proofErr w:type="spellStart"/>
      <w:r w:rsidRPr="0041797D">
        <w:rPr>
          <w:rFonts w:ascii="Verdana" w:hAnsi="Verdana" w:cs="Verdana"/>
          <w:color w:val="000000"/>
          <w:spacing w:val="-7"/>
          <w:kern w:val="0"/>
          <w:sz w:val="18"/>
          <w:szCs w:val="18"/>
        </w:rPr>
        <w:t>Inc</w:t>
      </w:r>
      <w:proofErr w:type="spellEnd"/>
      <w:r w:rsidRPr="0041797D">
        <w:rPr>
          <w:rFonts w:ascii="Verdana" w:hAnsi="Verdana" w:cs="Verdana"/>
          <w:color w:val="000000"/>
          <w:spacing w:val="-7"/>
          <w:kern w:val="0"/>
          <w:sz w:val="18"/>
          <w:szCs w:val="18"/>
        </w:rPr>
        <w:t xml:space="preserve">, Chicago, IL, United States), Microsoft Office Excel 2003 and STATGRAPHICS Plus (version 5.1). We calculated the absolute and relative frequencies of the different variables. We considered significant a </w:t>
      </w:r>
      <w:r w:rsidRPr="0041797D">
        <w:rPr>
          <w:rFonts w:ascii="Verdana" w:hAnsi="Verdana" w:cs="Verdana"/>
          <w:i/>
          <w:iCs/>
          <w:color w:val="000000"/>
          <w:spacing w:val="-7"/>
          <w:kern w:val="0"/>
          <w:sz w:val="18"/>
          <w:szCs w:val="18"/>
        </w:rPr>
        <w:t>P</w:t>
      </w:r>
      <w:r w:rsidRPr="0041797D">
        <w:rPr>
          <w:rFonts w:ascii="Verdana" w:hAnsi="Verdana" w:cs="Verdana"/>
          <w:color w:val="000000"/>
          <w:spacing w:val="-7"/>
          <w:kern w:val="0"/>
          <w:sz w:val="18"/>
          <w:szCs w:val="18"/>
        </w:rPr>
        <w:t xml:space="preserve"> value of less than 0.05. Statistical methods used were: </w:t>
      </w:r>
      <w:r w:rsidRPr="0041797D">
        <w:rPr>
          <w:rFonts w:ascii="Symbol" w:hAnsi="Symbol" w:cs="Symbol"/>
          <w:color w:val="000000"/>
          <w:kern w:val="0"/>
          <w:sz w:val="18"/>
          <w:szCs w:val="18"/>
        </w:rPr>
        <w:t></w:t>
      </w:r>
      <w:r w:rsidRPr="0041797D">
        <w:rPr>
          <w:rFonts w:ascii="Verdana" w:hAnsi="Verdana" w:cs="Verdana"/>
          <w:color w:val="000000"/>
          <w:spacing w:val="-7"/>
          <w:kern w:val="0"/>
          <w:sz w:val="18"/>
          <w:szCs w:val="18"/>
          <w:vertAlign w:val="superscript"/>
        </w:rPr>
        <w:t>2</w:t>
      </w:r>
      <w:r w:rsidRPr="0041797D">
        <w:rPr>
          <w:rFonts w:ascii="Verdana" w:hAnsi="Verdana" w:cs="Verdana"/>
          <w:color w:val="000000"/>
          <w:spacing w:val="-7"/>
          <w:kern w:val="0"/>
          <w:sz w:val="18"/>
          <w:szCs w:val="18"/>
        </w:rPr>
        <w:t xml:space="preserve"> test, logistic regression to calculate the odds ratio (OR), and ANOVA tests. The </w:t>
      </w:r>
      <w:proofErr w:type="gramStart"/>
      <w:r w:rsidRPr="0041797D">
        <w:rPr>
          <w:rFonts w:ascii="Verdana" w:hAnsi="Verdana" w:cs="Verdana"/>
          <w:color w:val="000000"/>
          <w:spacing w:val="-7"/>
          <w:kern w:val="0"/>
          <w:sz w:val="18"/>
          <w:szCs w:val="18"/>
        </w:rPr>
        <w:t>attributable</w:t>
      </w:r>
      <w:proofErr w:type="gramEnd"/>
      <w:r w:rsidRPr="0041797D">
        <w:rPr>
          <w:rFonts w:ascii="Verdana" w:hAnsi="Verdana" w:cs="Verdana"/>
          <w:color w:val="000000"/>
          <w:spacing w:val="-7"/>
          <w:kern w:val="0"/>
          <w:sz w:val="18"/>
          <w:szCs w:val="18"/>
        </w:rPr>
        <w:t xml:space="preserve"> risk was measured using the </w:t>
      </w:r>
      <w:r w:rsidRPr="0041797D">
        <w:rPr>
          <w:rFonts w:ascii="Verdana" w:hAnsi="Verdana" w:cs="Verdana"/>
          <w:color w:val="000000"/>
          <w:spacing w:val="-7"/>
          <w:kern w:val="0"/>
          <w:sz w:val="18"/>
          <w:szCs w:val="18"/>
        </w:rPr>
        <w:lastRenderedPageBreak/>
        <w:t>phenotypic frequency, relative risk (RR), etiologic fraction -EF: risk that genes can confer for the development of a disease- (for RR &gt; 1) and preventive fraction -PF: protection that genes confer- (for RR &lt; 1).</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41797D">
        <w:rPr>
          <w:rFonts w:ascii="Verdana" w:hAnsi="Verdana" w:cs="Verdana"/>
          <w:color w:val="000000"/>
          <w:spacing w:val="-8"/>
          <w:kern w:val="0"/>
          <w:sz w:val="18"/>
          <w:szCs w:val="18"/>
        </w:rPr>
        <w:t>The Holm-</w:t>
      </w:r>
      <w:proofErr w:type="spellStart"/>
      <w:r w:rsidRPr="0041797D">
        <w:rPr>
          <w:rFonts w:ascii="Verdana" w:hAnsi="Verdana" w:cs="Verdana"/>
          <w:color w:val="000000"/>
          <w:spacing w:val="-8"/>
          <w:kern w:val="0"/>
          <w:sz w:val="18"/>
          <w:szCs w:val="18"/>
        </w:rPr>
        <w:t>Bonferroni</w:t>
      </w:r>
      <w:proofErr w:type="spellEnd"/>
      <w:r w:rsidRPr="0041797D">
        <w:rPr>
          <w:rFonts w:ascii="Verdana" w:hAnsi="Verdana" w:cs="Verdana"/>
          <w:color w:val="000000"/>
          <w:spacing w:val="-8"/>
          <w:kern w:val="0"/>
          <w:sz w:val="18"/>
          <w:szCs w:val="18"/>
        </w:rPr>
        <w:t xml:space="preserve"> correction was used to deter</w:t>
      </w:r>
      <w:r w:rsidRPr="0041797D">
        <w:rPr>
          <w:rFonts w:ascii="Verdana" w:hAnsi="Verdana" w:cs="Verdana"/>
          <w:color w:val="000000"/>
          <w:spacing w:val="-8"/>
          <w:kern w:val="0"/>
          <w:sz w:val="18"/>
          <w:szCs w:val="18"/>
        </w:rPr>
        <w:softHyphen/>
        <w:t xml:space="preserve">mine if the relationship between an allele </w:t>
      </w:r>
      <w:proofErr w:type="gramStart"/>
      <w:r w:rsidRPr="0041797D">
        <w:rPr>
          <w:rFonts w:ascii="Verdana" w:hAnsi="Verdana" w:cs="Verdana"/>
          <w:color w:val="000000"/>
          <w:spacing w:val="-8"/>
          <w:kern w:val="0"/>
          <w:sz w:val="18"/>
          <w:szCs w:val="18"/>
        </w:rPr>
        <w:t>or</w:t>
      </w:r>
      <w:proofErr w:type="gramEnd"/>
      <w:r w:rsidRPr="0041797D">
        <w:rPr>
          <w:rFonts w:ascii="Verdana" w:hAnsi="Verdana" w:cs="Verdana"/>
          <w:color w:val="000000"/>
          <w:spacing w:val="-8"/>
          <w:kern w:val="0"/>
          <w:sz w:val="18"/>
          <w:szCs w:val="18"/>
        </w:rPr>
        <w:t xml:space="preserve"> a group of alleles with a disease (or phenotype expression) was true, when multiple determinations were made.</w:t>
      </w: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41797D">
        <w:rPr>
          <w:rFonts w:ascii="Univers" w:hAnsi="Univers" w:cs="Univers"/>
          <w:b/>
          <w:bCs/>
          <w:color w:val="000000"/>
          <w:spacing w:val="-2"/>
          <w:kern w:val="0"/>
          <w:sz w:val="24"/>
          <w:u w:val="single"/>
        </w:rPr>
        <w:t>RESULTS</w:t>
      </w:r>
    </w:p>
    <w:p w:rsidR="00B77E3C" w:rsidRPr="0041797D" w:rsidRDefault="00B77E3C" w:rsidP="00B77E3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 xml:space="preserve">The study included 1034 </w:t>
      </w:r>
      <w:proofErr w:type="spellStart"/>
      <w:proofErr w:type="gramStart"/>
      <w:r w:rsidRPr="0041797D">
        <w:rPr>
          <w:rFonts w:ascii="Verdana" w:hAnsi="Verdana" w:cs="Verdana"/>
          <w:color w:val="000000"/>
          <w:spacing w:val="-7"/>
          <w:kern w:val="0"/>
          <w:sz w:val="18"/>
          <w:szCs w:val="18"/>
        </w:rPr>
        <w:t>caucasian</w:t>
      </w:r>
      <w:proofErr w:type="spellEnd"/>
      <w:proofErr w:type="gramEnd"/>
      <w:r w:rsidRPr="0041797D">
        <w:rPr>
          <w:rFonts w:ascii="Verdana" w:hAnsi="Verdana" w:cs="Verdana"/>
          <w:color w:val="000000"/>
          <w:spacing w:val="-7"/>
          <w:kern w:val="0"/>
          <w:sz w:val="18"/>
          <w:szCs w:val="18"/>
        </w:rPr>
        <w:t xml:space="preserve"> subjects from the Community of Valencia, Spain. 457 adult patients with IBD (202 females and 255 males) were retrieved from January 2007 to March 2011. All patients had been diagnosed with IBD according to accepted clinical, endoscopic, radiological, and histological </w:t>
      </w:r>
      <w:proofErr w:type="gramStart"/>
      <w:r w:rsidRPr="0041797D">
        <w:rPr>
          <w:rFonts w:ascii="Verdana" w:hAnsi="Verdana" w:cs="Verdana"/>
          <w:color w:val="000000"/>
          <w:spacing w:val="-7"/>
          <w:kern w:val="0"/>
          <w:sz w:val="18"/>
          <w:szCs w:val="18"/>
        </w:rPr>
        <w:t>findings</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23,24]</w:t>
      </w:r>
      <w:r w:rsidRPr="0041797D">
        <w:rPr>
          <w:rFonts w:ascii="Verdana" w:hAnsi="Verdana" w:cs="Verdana"/>
          <w:color w:val="000000"/>
          <w:spacing w:val="-7"/>
          <w:kern w:val="0"/>
          <w:sz w:val="18"/>
          <w:szCs w:val="18"/>
        </w:rPr>
        <w:t xml:space="preserve">. 250 patients had CD and 207 UC. The </w:t>
      </w:r>
      <w:proofErr w:type="spellStart"/>
      <w:r w:rsidRPr="0041797D">
        <w:rPr>
          <w:rFonts w:ascii="Verdana" w:hAnsi="Verdana" w:cs="Verdana"/>
          <w:color w:val="000000"/>
          <w:spacing w:val="-7"/>
          <w:kern w:val="0"/>
          <w:sz w:val="18"/>
          <w:szCs w:val="18"/>
        </w:rPr>
        <w:t>phenotypical</w:t>
      </w:r>
      <w:proofErr w:type="spellEnd"/>
      <w:r w:rsidRPr="0041797D">
        <w:rPr>
          <w:rFonts w:ascii="Verdana" w:hAnsi="Verdana" w:cs="Verdana"/>
          <w:color w:val="000000"/>
          <w:spacing w:val="-7"/>
          <w:kern w:val="0"/>
          <w:sz w:val="18"/>
          <w:szCs w:val="18"/>
        </w:rPr>
        <w:t xml:space="preserve"> characteristics of the IBD patients are listed in Table 1. The control group was made up of 577 (220 females and 357 males) unrelated organ donors HLA-typed at the Transfusion Center of the </w:t>
      </w:r>
      <w:proofErr w:type="spellStart"/>
      <w:r w:rsidRPr="0041797D">
        <w:rPr>
          <w:rFonts w:ascii="Verdana" w:hAnsi="Verdana" w:cs="Verdana"/>
          <w:color w:val="000000"/>
          <w:spacing w:val="-7"/>
          <w:kern w:val="0"/>
          <w:sz w:val="18"/>
          <w:szCs w:val="18"/>
        </w:rPr>
        <w:t>Valencian</w:t>
      </w:r>
      <w:proofErr w:type="spellEnd"/>
      <w:r w:rsidRPr="0041797D">
        <w:rPr>
          <w:rFonts w:ascii="Verdana" w:hAnsi="Verdana" w:cs="Verdana"/>
          <w:color w:val="000000"/>
          <w:spacing w:val="-7"/>
          <w:kern w:val="0"/>
          <w:sz w:val="18"/>
          <w:szCs w:val="18"/>
        </w:rPr>
        <w:t xml:space="preserve"> Community (TCVC).</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was found in 37.0% (383 subjects) of the study population</w:t>
      </w:r>
      <w:r w:rsidRPr="0041797D">
        <w:rPr>
          <w:rFonts w:ascii="Verdana" w:hAnsi="Verdana" w:cs="Verdana"/>
          <w:b/>
          <w:bCs/>
          <w:color w:val="000000"/>
          <w:spacing w:val="-7"/>
          <w:kern w:val="0"/>
          <w:sz w:val="18"/>
          <w:szCs w:val="18"/>
        </w:rPr>
        <w:t xml:space="preserve">. </w:t>
      </w:r>
      <w:r w:rsidRPr="0041797D">
        <w:rPr>
          <w:rFonts w:ascii="Verdana" w:hAnsi="Verdana" w:cs="Verdana"/>
          <w:color w:val="000000"/>
          <w:spacing w:val="-7"/>
          <w:kern w:val="0"/>
          <w:sz w:val="18"/>
          <w:szCs w:val="18"/>
        </w:rPr>
        <w:t>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was more frequent in the control group: 39.34% </w:t>
      </w:r>
      <w:proofErr w:type="spellStart"/>
      <w:r w:rsidRPr="0041797D">
        <w:rPr>
          <w:rFonts w:ascii="Verdana" w:hAnsi="Verdana" w:cs="Verdana"/>
          <w:i/>
          <w:iCs/>
          <w:color w:val="000000"/>
          <w:spacing w:val="-7"/>
          <w:kern w:val="0"/>
          <w:sz w:val="18"/>
          <w:szCs w:val="18"/>
        </w:rPr>
        <w:t>vs</w:t>
      </w:r>
      <w:proofErr w:type="spellEnd"/>
      <w:r w:rsidRPr="0041797D">
        <w:rPr>
          <w:rFonts w:ascii="Verdana" w:hAnsi="Verdana" w:cs="Verdana"/>
          <w:color w:val="000000"/>
          <w:spacing w:val="-7"/>
          <w:kern w:val="0"/>
          <w:sz w:val="18"/>
          <w:szCs w:val="18"/>
        </w:rPr>
        <w:t xml:space="preserve"> 34.14% in IBD patients, but this difference did not reach statistical significance (Table 2).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was found in 31.88% of the UC patients and 36% of the CD subjects (Table 2). We compared the frequencies of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in controls </w:t>
      </w:r>
      <w:proofErr w:type="spellStart"/>
      <w:r w:rsidRPr="0041797D">
        <w:rPr>
          <w:rFonts w:ascii="Verdana" w:hAnsi="Verdana" w:cs="Verdana"/>
          <w:i/>
          <w:iCs/>
          <w:color w:val="000000"/>
          <w:spacing w:val="-7"/>
          <w:kern w:val="0"/>
          <w:sz w:val="18"/>
          <w:szCs w:val="18"/>
        </w:rPr>
        <w:t>vs</w:t>
      </w:r>
      <w:proofErr w:type="spellEnd"/>
      <w:r w:rsidRPr="0041797D">
        <w:rPr>
          <w:rFonts w:ascii="Verdana" w:hAnsi="Verdana" w:cs="Verdana"/>
          <w:color w:val="000000"/>
          <w:spacing w:val="-7"/>
          <w:kern w:val="0"/>
          <w:sz w:val="18"/>
          <w:szCs w:val="18"/>
        </w:rPr>
        <w:t xml:space="preserve"> CD and UC and observed a tendency to a lower frequency of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in UC patients </w:t>
      </w:r>
      <w:proofErr w:type="spellStart"/>
      <w:r w:rsidRPr="0041797D">
        <w:rPr>
          <w:rFonts w:ascii="Verdana" w:hAnsi="Verdana" w:cs="Verdana"/>
          <w:i/>
          <w:iCs/>
          <w:color w:val="000000"/>
          <w:spacing w:val="-7"/>
          <w:kern w:val="0"/>
          <w:sz w:val="18"/>
          <w:szCs w:val="18"/>
        </w:rPr>
        <w:t>vs</w:t>
      </w:r>
      <w:proofErr w:type="spellEnd"/>
      <w:r w:rsidRPr="0041797D">
        <w:rPr>
          <w:rFonts w:ascii="Verdana" w:hAnsi="Verdana" w:cs="Verdana"/>
          <w:color w:val="000000"/>
          <w:spacing w:val="-7"/>
          <w:kern w:val="0"/>
          <w:sz w:val="18"/>
          <w:szCs w:val="18"/>
        </w:rPr>
        <w:t xml:space="preserve"> controls (</w:t>
      </w:r>
      <w:r w:rsidRPr="0041797D">
        <w:rPr>
          <w:rFonts w:ascii="Verdana" w:hAnsi="Verdana" w:cs="Verdana"/>
          <w:i/>
          <w:iCs/>
          <w:color w:val="000000"/>
          <w:spacing w:val="-7"/>
          <w:kern w:val="0"/>
          <w:sz w:val="18"/>
          <w:szCs w:val="18"/>
        </w:rPr>
        <w:t xml:space="preserve">P = </w:t>
      </w:r>
      <w:r w:rsidRPr="0041797D">
        <w:rPr>
          <w:rFonts w:ascii="Verdana" w:hAnsi="Verdana" w:cs="Verdana"/>
          <w:color w:val="000000"/>
          <w:spacing w:val="-7"/>
          <w:kern w:val="0"/>
          <w:sz w:val="18"/>
          <w:szCs w:val="18"/>
        </w:rPr>
        <w:t>0.0571), with a preventive fraction (PF) of 11%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could confer 11% protection from developing UC) and no differences between CD patients and controls.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Women with IBD had a lower frequency of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than the control women (34% </w:t>
      </w:r>
      <w:proofErr w:type="spellStart"/>
      <w:r w:rsidRPr="0041797D">
        <w:rPr>
          <w:rFonts w:ascii="Verdana" w:hAnsi="Verdana" w:cs="Verdana"/>
          <w:i/>
          <w:iCs/>
          <w:color w:val="000000"/>
          <w:spacing w:val="-7"/>
          <w:kern w:val="0"/>
          <w:sz w:val="18"/>
          <w:szCs w:val="18"/>
        </w:rPr>
        <w:t>vs</w:t>
      </w:r>
      <w:proofErr w:type="spellEnd"/>
      <w:r w:rsidRPr="0041797D">
        <w:rPr>
          <w:rFonts w:ascii="Verdana" w:hAnsi="Verdana" w:cs="Verdana"/>
          <w:color w:val="000000"/>
          <w:spacing w:val="-7"/>
          <w:kern w:val="0"/>
          <w:sz w:val="18"/>
          <w:szCs w:val="18"/>
        </w:rPr>
        <w:t xml:space="preserve"> 43%, </w:t>
      </w:r>
      <w:r w:rsidRPr="0041797D">
        <w:rPr>
          <w:rFonts w:ascii="Verdana" w:hAnsi="Verdana" w:cs="Verdana"/>
          <w:i/>
          <w:iCs/>
          <w:color w:val="000000"/>
          <w:spacing w:val="-7"/>
          <w:kern w:val="0"/>
          <w:sz w:val="18"/>
          <w:szCs w:val="18"/>
        </w:rPr>
        <w:t xml:space="preserve">P = </w:t>
      </w:r>
      <w:r w:rsidRPr="0041797D">
        <w:rPr>
          <w:rFonts w:ascii="Verdana" w:hAnsi="Verdana" w:cs="Verdana"/>
          <w:color w:val="000000"/>
          <w:spacing w:val="-7"/>
          <w:kern w:val="0"/>
          <w:sz w:val="18"/>
          <w:szCs w:val="18"/>
        </w:rPr>
        <w:t>0.0565; OR = 0.68 and PF = 14%) According to the type of IBD we observed that UC female patients had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less frequently than controls, although it did not reach significance (</w:t>
      </w:r>
      <w:r w:rsidRPr="0041797D">
        <w:rPr>
          <w:rFonts w:ascii="Verdana" w:hAnsi="Verdana" w:cs="Verdana"/>
          <w:i/>
          <w:iCs/>
          <w:color w:val="000000"/>
          <w:spacing w:val="-7"/>
          <w:kern w:val="0"/>
          <w:sz w:val="18"/>
          <w:szCs w:val="18"/>
        </w:rPr>
        <w:t xml:space="preserve">P = </w:t>
      </w:r>
      <w:r w:rsidRPr="0041797D">
        <w:rPr>
          <w:rFonts w:ascii="Verdana" w:hAnsi="Verdana" w:cs="Verdana"/>
          <w:color w:val="000000"/>
          <w:spacing w:val="-7"/>
          <w:kern w:val="0"/>
          <w:sz w:val="18"/>
          <w:szCs w:val="18"/>
        </w:rPr>
        <w:t>0.0613).</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These tendencies became significant when exploring the frequencies of the different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haplotypes, by gender and type of IBD. HLA-DQ2 was less frequent in UC patients and HLA-DQ8 in CD patients. The frequency of HLA-DQ2.5 in UC patients (16.43%) was significantly lower than the one of the control group (23.74%), with a PF of 8% (Table 2). This was observed when calculating frequencies of HLA-DQ2.5</w:t>
      </w:r>
      <w:r w:rsidRPr="0041797D">
        <w:rPr>
          <w:rFonts w:ascii="Verdana" w:hAnsi="Verdana" w:cs="Verdana"/>
          <w:i/>
          <w:iCs/>
          <w:color w:val="000000"/>
          <w:spacing w:val="-7"/>
          <w:kern w:val="0"/>
          <w:sz w:val="18"/>
          <w:szCs w:val="18"/>
        </w:rPr>
        <w:t>cis</w:t>
      </w:r>
      <w:r w:rsidRPr="0041797D">
        <w:rPr>
          <w:rFonts w:ascii="Verdana" w:hAnsi="Verdana" w:cs="Verdana"/>
          <w:color w:val="000000"/>
          <w:spacing w:val="-7"/>
          <w:kern w:val="0"/>
          <w:sz w:val="18"/>
          <w:szCs w:val="18"/>
        </w:rPr>
        <w:t xml:space="preserve"> only</w:t>
      </w:r>
      <w:r w:rsidRPr="0041797D">
        <w:rPr>
          <w:rFonts w:ascii="Verdana" w:hAnsi="Verdana" w:cs="Verdana"/>
          <w:i/>
          <w:iCs/>
          <w:color w:val="000000"/>
          <w:spacing w:val="-7"/>
          <w:kern w:val="0"/>
          <w:sz w:val="18"/>
          <w:szCs w:val="18"/>
        </w:rPr>
        <w:t xml:space="preserve">, </w:t>
      </w:r>
      <w:proofErr w:type="gramStart"/>
      <w:r w:rsidRPr="0041797D">
        <w:rPr>
          <w:rFonts w:ascii="Verdana" w:hAnsi="Verdana" w:cs="Verdana"/>
          <w:i/>
          <w:iCs/>
          <w:color w:val="000000"/>
          <w:spacing w:val="-7"/>
          <w:kern w:val="0"/>
          <w:sz w:val="18"/>
          <w:szCs w:val="18"/>
        </w:rPr>
        <w:t>trans</w:t>
      </w:r>
      <w:proofErr w:type="gramEnd"/>
      <w:r w:rsidRPr="0041797D">
        <w:rPr>
          <w:rFonts w:ascii="Verdana" w:hAnsi="Verdana" w:cs="Verdana"/>
          <w:color w:val="000000"/>
          <w:spacing w:val="-7"/>
          <w:kern w:val="0"/>
          <w:sz w:val="18"/>
          <w:szCs w:val="18"/>
        </w:rPr>
        <w:t xml:space="preserve"> alone and global frequencies (both </w:t>
      </w:r>
      <w:proofErr w:type="spellStart"/>
      <w:r w:rsidRPr="0041797D">
        <w:rPr>
          <w:rFonts w:ascii="Verdana" w:hAnsi="Verdana" w:cs="Verdana"/>
          <w:i/>
          <w:iCs/>
          <w:color w:val="000000"/>
          <w:spacing w:val="-7"/>
          <w:kern w:val="0"/>
          <w:sz w:val="18"/>
          <w:szCs w:val="18"/>
        </w:rPr>
        <w:t>cis</w:t>
      </w:r>
      <w:proofErr w:type="spellEnd"/>
      <w:r w:rsidRPr="0041797D">
        <w:rPr>
          <w:rFonts w:ascii="Verdana" w:hAnsi="Verdana" w:cs="Verdana"/>
          <w:color w:val="000000"/>
          <w:spacing w:val="-7"/>
          <w:kern w:val="0"/>
          <w:sz w:val="18"/>
          <w:szCs w:val="18"/>
        </w:rPr>
        <w:t xml:space="preserve"> and</w:t>
      </w:r>
      <w:r w:rsidRPr="0041797D">
        <w:rPr>
          <w:rFonts w:ascii="Verdana" w:hAnsi="Verdana" w:cs="Verdana"/>
          <w:i/>
          <w:iCs/>
          <w:color w:val="000000"/>
          <w:spacing w:val="-7"/>
          <w:kern w:val="0"/>
          <w:sz w:val="18"/>
          <w:szCs w:val="18"/>
        </w:rPr>
        <w:t xml:space="preserve"> trans</w:t>
      </w:r>
      <w:r w:rsidRPr="0041797D">
        <w:rPr>
          <w:rFonts w:ascii="Verdana" w:hAnsi="Verdana" w:cs="Verdana"/>
          <w:color w:val="000000"/>
          <w:spacing w:val="-7"/>
          <w:kern w:val="0"/>
          <w:sz w:val="18"/>
          <w:szCs w:val="18"/>
        </w:rPr>
        <w:t>). In considering both sexes together, the presence of DQ2.5cis was significantly lower in UC, with a frequency of DQ2.5cis of 20.28% in controls compared to 13.53% in patients with UC (</w:t>
      </w:r>
      <w:r w:rsidRPr="0041797D">
        <w:rPr>
          <w:rFonts w:ascii="Verdana" w:hAnsi="Verdana" w:cs="Verdana"/>
          <w:i/>
          <w:iCs/>
          <w:color w:val="000000"/>
          <w:spacing w:val="-7"/>
          <w:kern w:val="0"/>
          <w:sz w:val="18"/>
          <w:szCs w:val="18"/>
        </w:rPr>
        <w:t xml:space="preserve">P = </w:t>
      </w:r>
      <w:r w:rsidRPr="0041797D">
        <w:rPr>
          <w:rFonts w:ascii="Verdana" w:hAnsi="Verdana" w:cs="Verdana"/>
          <w:color w:val="000000"/>
          <w:spacing w:val="-7"/>
          <w:kern w:val="0"/>
          <w:sz w:val="18"/>
          <w:szCs w:val="18"/>
        </w:rPr>
        <w:t xml:space="preserve">0.0319; PF = 7%). When taking into account only UC women </w:t>
      </w:r>
      <w:proofErr w:type="spellStart"/>
      <w:r w:rsidRPr="0041797D">
        <w:rPr>
          <w:rFonts w:ascii="Verdana" w:hAnsi="Verdana" w:cs="Verdana"/>
          <w:i/>
          <w:iCs/>
          <w:color w:val="000000"/>
          <w:spacing w:val="-7"/>
          <w:kern w:val="0"/>
          <w:sz w:val="18"/>
          <w:szCs w:val="18"/>
        </w:rPr>
        <w:t>vs</w:t>
      </w:r>
      <w:proofErr w:type="spellEnd"/>
      <w:r w:rsidRPr="0041797D">
        <w:rPr>
          <w:rFonts w:ascii="Verdana" w:hAnsi="Verdana" w:cs="Verdana"/>
          <w:color w:val="000000"/>
          <w:spacing w:val="-7"/>
          <w:kern w:val="0"/>
          <w:sz w:val="18"/>
          <w:szCs w:val="18"/>
        </w:rPr>
        <w:t xml:space="preserve"> control women (16.25% of HLA-DQ2.5 </w:t>
      </w:r>
      <w:proofErr w:type="spellStart"/>
      <w:r w:rsidRPr="0041797D">
        <w:rPr>
          <w:rFonts w:ascii="Verdana" w:hAnsi="Verdana" w:cs="Verdana"/>
          <w:i/>
          <w:iCs/>
          <w:color w:val="000000"/>
          <w:spacing w:val="-7"/>
          <w:kern w:val="0"/>
          <w:sz w:val="18"/>
          <w:szCs w:val="18"/>
        </w:rPr>
        <w:t>vs</w:t>
      </w:r>
      <w:proofErr w:type="spellEnd"/>
      <w:r w:rsidRPr="0041797D">
        <w:rPr>
          <w:rFonts w:ascii="Verdana" w:hAnsi="Verdana" w:cs="Verdana"/>
          <w:color w:val="000000"/>
          <w:spacing w:val="-7"/>
          <w:kern w:val="0"/>
          <w:sz w:val="18"/>
          <w:szCs w:val="18"/>
        </w:rPr>
        <w:t xml:space="preserve"> 27.44%), the probability obtained with a logistic regression model of developing UC in women with HLA-DQ2.5 was reduced almost 50% (</w:t>
      </w:r>
      <w:r w:rsidRPr="0041797D">
        <w:rPr>
          <w:rFonts w:ascii="Verdana" w:hAnsi="Verdana" w:cs="Verdana"/>
          <w:i/>
          <w:iCs/>
          <w:color w:val="000000"/>
          <w:spacing w:val="-7"/>
          <w:kern w:val="0"/>
          <w:sz w:val="18"/>
          <w:szCs w:val="18"/>
        </w:rPr>
        <w:t>P</w:t>
      </w:r>
      <w:r w:rsidRPr="0041797D">
        <w:rPr>
          <w:rFonts w:ascii="Verdana" w:hAnsi="Verdana" w:cs="Verdana"/>
          <w:color w:val="000000"/>
          <w:spacing w:val="-7"/>
          <w:kern w:val="0"/>
          <w:sz w:val="18"/>
          <w:szCs w:val="18"/>
        </w:rPr>
        <w:t xml:space="preserve"> = 0.0466), with a PF of 13%. In women with UC, the frequency of DQ2.5cis was reduced more than 50%, given that it was multiplied by 0.459 (</w:t>
      </w:r>
      <w:r w:rsidRPr="0041797D">
        <w:rPr>
          <w:rFonts w:ascii="Verdana" w:hAnsi="Verdana" w:cs="Verdana"/>
          <w:i/>
          <w:iCs/>
          <w:color w:val="000000"/>
          <w:spacing w:val="-7"/>
          <w:kern w:val="0"/>
          <w:sz w:val="18"/>
          <w:szCs w:val="18"/>
        </w:rPr>
        <w:t xml:space="preserve">P = </w:t>
      </w:r>
      <w:r w:rsidRPr="0041797D">
        <w:rPr>
          <w:rFonts w:ascii="Verdana" w:hAnsi="Verdana" w:cs="Verdana"/>
          <w:color w:val="000000"/>
          <w:spacing w:val="-7"/>
          <w:kern w:val="0"/>
          <w:sz w:val="18"/>
          <w:szCs w:val="18"/>
        </w:rPr>
        <w:t xml:space="preserve">0.0344).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41797D">
        <w:rPr>
          <w:rFonts w:ascii="Verdana" w:hAnsi="Verdana" w:cs="Verdana"/>
          <w:color w:val="000000"/>
          <w:spacing w:val="-8"/>
          <w:kern w:val="0"/>
          <w:sz w:val="18"/>
          <w:szCs w:val="18"/>
        </w:rPr>
        <w:lastRenderedPageBreak/>
        <w:t>HLA-DQ8 also showed a tendency to be less fre</w:t>
      </w:r>
      <w:r w:rsidRPr="0041797D">
        <w:rPr>
          <w:rFonts w:ascii="Verdana" w:hAnsi="Verdana" w:cs="Verdana"/>
          <w:color w:val="000000"/>
          <w:spacing w:val="-8"/>
          <w:kern w:val="0"/>
          <w:sz w:val="18"/>
          <w:szCs w:val="18"/>
        </w:rPr>
        <w:softHyphen/>
        <w:t xml:space="preserve">quent in IBD patients (13.13%) than controls (17.50%), mainly due to the significantly reduced frequency of -DQ8 in CD patients (11.20%) </w:t>
      </w:r>
      <w:proofErr w:type="gramStart"/>
      <w:r w:rsidRPr="0041797D">
        <w:rPr>
          <w:rFonts w:ascii="Verdana" w:hAnsi="Verdana" w:cs="Verdana"/>
          <w:color w:val="000000"/>
          <w:spacing w:val="-8"/>
          <w:kern w:val="0"/>
          <w:sz w:val="18"/>
          <w:szCs w:val="18"/>
        </w:rPr>
        <w:t>(Table 2).</w:t>
      </w:r>
      <w:proofErr w:type="gramEnd"/>
      <w:r w:rsidRPr="0041797D">
        <w:rPr>
          <w:rFonts w:ascii="Verdana" w:hAnsi="Verdana" w:cs="Verdana"/>
          <w:color w:val="000000"/>
          <w:spacing w:val="-8"/>
          <w:kern w:val="0"/>
          <w:sz w:val="18"/>
          <w:szCs w:val="18"/>
        </w:rPr>
        <w:t xml:space="preserve"> No differences between genders were seen.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HLA-DQ2.2 was significantly more frequent in CD patients (34%) than in controls (22.7%) or than in UC patients (23.67%), (Table 2). Of the patients with CD, 31% of the males and 37% of the females have HLA-DQ2.2, while only 26% and 24% of males with UC and controls, respectively, and 20% and 21% of females with UC and controls, respectively, have it. No statistically significant differences between sexes were seen.</w:t>
      </w: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41797D">
        <w:rPr>
          <w:rFonts w:ascii="Univers" w:hAnsi="Univers" w:cs="Univers"/>
          <w:b/>
          <w:bCs/>
          <w:color w:val="000000"/>
          <w:spacing w:val="-2"/>
          <w:kern w:val="0"/>
          <w:sz w:val="24"/>
          <w:u w:val="single"/>
        </w:rPr>
        <w:t>DISCUSSION</w:t>
      </w:r>
    </w:p>
    <w:p w:rsidR="00B77E3C" w:rsidRPr="0041797D" w:rsidRDefault="00B77E3C" w:rsidP="00B77E3C">
      <w:pPr>
        <w:suppressAutoHyphens/>
        <w:autoSpaceDE w:val="0"/>
        <w:autoSpaceDN w:val="0"/>
        <w:adjustRightInd w:val="0"/>
        <w:spacing w:line="288" w:lineRule="auto"/>
        <w:textAlignment w:val="center"/>
        <w:rPr>
          <w:rFonts w:ascii="Verdana" w:hAnsi="Verdana" w:cs="Verdana"/>
          <w:strike/>
          <w:color w:val="000000"/>
          <w:spacing w:val="-7"/>
          <w:kern w:val="0"/>
          <w:sz w:val="18"/>
          <w:szCs w:val="18"/>
        </w:rPr>
      </w:pPr>
      <w:r w:rsidRPr="0041797D">
        <w:rPr>
          <w:rFonts w:ascii="Verdana" w:hAnsi="Verdana" w:cs="Verdana"/>
          <w:color w:val="000000"/>
          <w:spacing w:val="-9"/>
          <w:kern w:val="0"/>
          <w:sz w:val="18"/>
          <w:szCs w:val="18"/>
        </w:rPr>
        <w:t xml:space="preserve">Some authors consider </w:t>
      </w:r>
      <w:proofErr w:type="gramStart"/>
      <w:r w:rsidRPr="0041797D">
        <w:rPr>
          <w:rFonts w:ascii="Verdana" w:hAnsi="Verdana" w:cs="Verdana"/>
          <w:color w:val="000000"/>
          <w:spacing w:val="-9"/>
          <w:kern w:val="0"/>
          <w:sz w:val="18"/>
          <w:szCs w:val="18"/>
        </w:rPr>
        <w:t>CD</w:t>
      </w:r>
      <w:r w:rsidRPr="0041797D">
        <w:rPr>
          <w:rFonts w:ascii="Verdana" w:hAnsi="Verdana" w:cs="Verdana"/>
          <w:color w:val="000000"/>
          <w:spacing w:val="-9"/>
          <w:kern w:val="0"/>
          <w:sz w:val="18"/>
          <w:szCs w:val="18"/>
          <w:vertAlign w:val="superscript"/>
        </w:rPr>
        <w:t>[</w:t>
      </w:r>
      <w:proofErr w:type="gramEnd"/>
      <w:r w:rsidRPr="0041797D">
        <w:rPr>
          <w:rFonts w:ascii="Verdana" w:hAnsi="Verdana" w:cs="Verdana"/>
          <w:color w:val="000000"/>
          <w:spacing w:val="-9"/>
          <w:kern w:val="0"/>
          <w:sz w:val="18"/>
          <w:szCs w:val="18"/>
          <w:vertAlign w:val="superscript"/>
        </w:rPr>
        <w:t>25]</w:t>
      </w:r>
      <w:r w:rsidRPr="0041797D">
        <w:rPr>
          <w:rFonts w:ascii="Verdana" w:hAnsi="Verdana" w:cs="Verdana"/>
          <w:color w:val="000000"/>
          <w:spacing w:val="-9"/>
          <w:kern w:val="0"/>
          <w:sz w:val="18"/>
          <w:szCs w:val="18"/>
        </w:rPr>
        <w:t xml:space="preserve"> or UC</w:t>
      </w:r>
      <w:r w:rsidRPr="0041797D">
        <w:rPr>
          <w:rFonts w:ascii="Verdana" w:hAnsi="Verdana" w:cs="Verdana"/>
          <w:color w:val="000000"/>
          <w:spacing w:val="-9"/>
          <w:kern w:val="0"/>
          <w:sz w:val="18"/>
          <w:szCs w:val="18"/>
          <w:vertAlign w:val="superscript"/>
        </w:rPr>
        <w:t>[26]</w:t>
      </w:r>
      <w:r w:rsidRPr="0041797D">
        <w:rPr>
          <w:rFonts w:ascii="Verdana" w:hAnsi="Verdana" w:cs="Verdana"/>
          <w:color w:val="000000"/>
          <w:spacing w:val="-9"/>
          <w:kern w:val="0"/>
          <w:sz w:val="18"/>
          <w:szCs w:val="18"/>
        </w:rPr>
        <w:t xml:space="preserve"> patients at high risk of presenting </w:t>
      </w:r>
      <w:proofErr w:type="spellStart"/>
      <w:r w:rsidRPr="0041797D">
        <w:rPr>
          <w:rFonts w:ascii="Verdana" w:hAnsi="Verdana" w:cs="Verdana"/>
          <w:color w:val="000000"/>
          <w:spacing w:val="-9"/>
          <w:kern w:val="0"/>
          <w:sz w:val="18"/>
          <w:szCs w:val="18"/>
        </w:rPr>
        <w:t>CeD</w:t>
      </w:r>
      <w:proofErr w:type="spellEnd"/>
      <w:r w:rsidRPr="0041797D">
        <w:rPr>
          <w:rFonts w:ascii="Verdana" w:hAnsi="Verdana" w:cs="Verdana"/>
          <w:color w:val="000000"/>
          <w:spacing w:val="-9"/>
          <w:kern w:val="0"/>
          <w:sz w:val="18"/>
          <w:szCs w:val="18"/>
          <w:vertAlign w:val="superscript"/>
        </w:rPr>
        <w:t>[27-32]</w:t>
      </w:r>
      <w:r w:rsidRPr="0041797D">
        <w:rPr>
          <w:rFonts w:ascii="Verdana" w:hAnsi="Verdana" w:cs="Verdana"/>
          <w:color w:val="000000"/>
          <w:spacing w:val="-9"/>
          <w:kern w:val="0"/>
          <w:sz w:val="18"/>
          <w:szCs w:val="18"/>
        </w:rPr>
        <w:t xml:space="preserve"> and others don’t</w:t>
      </w:r>
      <w:r w:rsidRPr="0041797D">
        <w:rPr>
          <w:rFonts w:ascii="Verdana" w:hAnsi="Verdana" w:cs="Verdana"/>
          <w:color w:val="000000"/>
          <w:spacing w:val="-9"/>
          <w:kern w:val="0"/>
          <w:sz w:val="18"/>
          <w:szCs w:val="18"/>
          <w:vertAlign w:val="superscript"/>
        </w:rPr>
        <w:t>[26,32,33]</w:t>
      </w:r>
      <w:r w:rsidRPr="0041797D">
        <w:rPr>
          <w:rFonts w:ascii="Verdana" w:hAnsi="Verdana" w:cs="Verdana"/>
          <w:color w:val="000000"/>
          <w:spacing w:val="-9"/>
          <w:kern w:val="0"/>
          <w:sz w:val="18"/>
          <w:szCs w:val="18"/>
        </w:rPr>
        <w:t>.</w:t>
      </w:r>
      <w:r w:rsidRPr="0041797D">
        <w:rPr>
          <w:rFonts w:ascii="Verdana" w:hAnsi="Verdana" w:cs="Verdana"/>
          <w:color w:val="000000"/>
          <w:spacing w:val="-7"/>
          <w:kern w:val="0"/>
          <w:sz w:val="18"/>
          <w:szCs w:val="18"/>
        </w:rPr>
        <w:t xml:space="preserve"> However, none determine the frequency of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in their patients, although Leeds points out that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could be less frequent in IBD patients than in the general </w:t>
      </w:r>
      <w:proofErr w:type="gramStart"/>
      <w:r w:rsidRPr="0041797D">
        <w:rPr>
          <w:rFonts w:ascii="Verdana" w:hAnsi="Verdana" w:cs="Verdana"/>
          <w:color w:val="000000"/>
          <w:spacing w:val="-7"/>
          <w:kern w:val="0"/>
          <w:sz w:val="18"/>
          <w:szCs w:val="18"/>
        </w:rPr>
        <w:t>population</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33]</w:t>
      </w:r>
      <w:r w:rsidRPr="0041797D">
        <w:rPr>
          <w:rFonts w:ascii="Verdana" w:hAnsi="Verdana" w:cs="Verdana"/>
          <w:color w:val="000000"/>
          <w:spacing w:val="-7"/>
          <w:kern w:val="0"/>
          <w:sz w:val="18"/>
          <w:szCs w:val="18"/>
        </w:rPr>
        <w:t>. A more recent article determines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frequency in functional and organic gastrointestinal diseases. They observe that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is not more frequent in the IBD group than in the controls, but the sample size of IBD patients (36 IBD patients) is very </w:t>
      </w:r>
      <w:proofErr w:type="gramStart"/>
      <w:r w:rsidRPr="0041797D">
        <w:rPr>
          <w:rFonts w:ascii="Verdana" w:hAnsi="Verdana" w:cs="Verdana"/>
          <w:color w:val="000000"/>
          <w:spacing w:val="-7"/>
          <w:kern w:val="0"/>
          <w:sz w:val="18"/>
          <w:szCs w:val="18"/>
        </w:rPr>
        <w:t>small</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19]</w:t>
      </w:r>
      <w:r w:rsidRPr="0041797D">
        <w:rPr>
          <w:rFonts w:ascii="Verdana" w:hAnsi="Verdana" w:cs="Verdana"/>
          <w:color w:val="000000"/>
          <w:spacing w:val="-7"/>
          <w:kern w:val="0"/>
          <w:sz w:val="18"/>
          <w:szCs w:val="18"/>
        </w:rPr>
        <w:t>.</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 xml:space="preserve">Genome studies have observed that </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and IBD share some non-</w:t>
      </w:r>
      <w:r w:rsidRPr="0041797D">
        <w:rPr>
          <w:rFonts w:ascii="Verdana" w:hAnsi="Verdana" w:cs="Verdana"/>
          <w:i/>
          <w:iCs/>
          <w:color w:val="000000"/>
          <w:spacing w:val="-7"/>
          <w:kern w:val="0"/>
          <w:sz w:val="18"/>
          <w:szCs w:val="18"/>
        </w:rPr>
        <w:t>HLA</w:t>
      </w:r>
      <w:r w:rsidRPr="0041797D">
        <w:rPr>
          <w:rFonts w:ascii="Verdana" w:hAnsi="Verdana" w:cs="Verdana"/>
          <w:color w:val="000000"/>
          <w:spacing w:val="-7"/>
          <w:kern w:val="0"/>
          <w:sz w:val="18"/>
          <w:szCs w:val="18"/>
        </w:rPr>
        <w:t xml:space="preserve"> </w:t>
      </w:r>
      <w:proofErr w:type="gramStart"/>
      <w:r w:rsidRPr="0041797D">
        <w:rPr>
          <w:rFonts w:ascii="Verdana" w:hAnsi="Verdana" w:cs="Verdana"/>
          <w:color w:val="000000"/>
          <w:spacing w:val="-7"/>
          <w:kern w:val="0"/>
          <w:sz w:val="18"/>
          <w:szCs w:val="18"/>
        </w:rPr>
        <w:t>gene</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33-36]</w:t>
      </w:r>
      <w:r w:rsidRPr="0041797D">
        <w:rPr>
          <w:rFonts w:ascii="Verdana" w:hAnsi="Verdana" w:cs="Verdana"/>
          <w:color w:val="000000"/>
          <w:spacing w:val="-7"/>
          <w:kern w:val="0"/>
          <w:sz w:val="18"/>
          <w:szCs w:val="18"/>
        </w:rPr>
        <w:t xml:space="preserve">. Analyzing the published studies of HLA-alleles related to </w:t>
      </w:r>
      <w:proofErr w:type="gramStart"/>
      <w:r w:rsidRPr="0041797D">
        <w:rPr>
          <w:rFonts w:ascii="Verdana" w:hAnsi="Verdana" w:cs="Verdana"/>
          <w:color w:val="000000"/>
          <w:spacing w:val="-7"/>
          <w:kern w:val="0"/>
          <w:sz w:val="18"/>
          <w:szCs w:val="18"/>
        </w:rPr>
        <w:t>IBD</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18]</w:t>
      </w:r>
      <w:r w:rsidRPr="0041797D">
        <w:rPr>
          <w:rFonts w:ascii="Verdana" w:hAnsi="Verdana" w:cs="Verdana"/>
          <w:color w:val="000000"/>
          <w:spacing w:val="-7"/>
          <w:kern w:val="0"/>
          <w:sz w:val="18"/>
          <w:szCs w:val="18"/>
        </w:rPr>
        <w:t>, we could deduce that the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alleles are less frequent in IBD (DR4, usually linked to DQ8, in UC, and DR3, normally linked to DQ2, in CD), but there are no published </w:t>
      </w:r>
      <w:proofErr w:type="spellStart"/>
      <w:r w:rsidRPr="0041797D">
        <w:rPr>
          <w:rFonts w:ascii="Verdana" w:hAnsi="Verdana" w:cs="Verdana"/>
          <w:color w:val="000000"/>
          <w:spacing w:val="-7"/>
          <w:kern w:val="0"/>
          <w:sz w:val="18"/>
          <w:szCs w:val="18"/>
        </w:rPr>
        <w:t>prevalences</w:t>
      </w:r>
      <w:proofErr w:type="spellEnd"/>
      <w:r w:rsidRPr="0041797D">
        <w:rPr>
          <w:rFonts w:ascii="Verdana" w:hAnsi="Verdana" w:cs="Verdana"/>
          <w:color w:val="000000"/>
          <w:spacing w:val="-7"/>
          <w:kern w:val="0"/>
          <w:sz w:val="18"/>
          <w:szCs w:val="18"/>
        </w:rPr>
        <w:t xml:space="preserve"> of them. This brings us to the possible conclusion that, in IBD and </w:t>
      </w:r>
      <w:proofErr w:type="spellStart"/>
      <w:proofErr w:type="gramStart"/>
      <w:r w:rsidRPr="0041797D">
        <w:rPr>
          <w:rFonts w:ascii="Verdana" w:hAnsi="Verdana" w:cs="Verdana"/>
          <w:color w:val="000000"/>
          <w:spacing w:val="-7"/>
          <w:kern w:val="0"/>
          <w:sz w:val="18"/>
          <w:szCs w:val="18"/>
        </w:rPr>
        <w:t>CeD</w:t>
      </w:r>
      <w:proofErr w:type="spellEnd"/>
      <w:proofErr w:type="gramEnd"/>
      <w:r w:rsidRPr="0041797D">
        <w:rPr>
          <w:rFonts w:ascii="Verdana" w:hAnsi="Verdana" w:cs="Verdana"/>
          <w:color w:val="000000"/>
          <w:spacing w:val="-7"/>
          <w:kern w:val="0"/>
          <w:sz w:val="18"/>
          <w:szCs w:val="18"/>
        </w:rPr>
        <w:t>, there is an overlap of non-HLA genes but maybe not of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genes, and it poses the question of if this could explain why </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is not more frequent in IBD.</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 xml:space="preserve">We performed this study to determine if the IBD population is an “at-risk” group for </w:t>
      </w:r>
      <w:proofErr w:type="spellStart"/>
      <w:proofErr w:type="gramStart"/>
      <w:r w:rsidRPr="0041797D">
        <w:rPr>
          <w:rFonts w:ascii="Verdana" w:hAnsi="Verdana" w:cs="Verdana"/>
          <w:color w:val="000000"/>
          <w:spacing w:val="-7"/>
          <w:kern w:val="0"/>
          <w:sz w:val="18"/>
          <w:szCs w:val="18"/>
        </w:rPr>
        <w:t>CeD</w:t>
      </w:r>
      <w:proofErr w:type="spellEnd"/>
      <w:proofErr w:type="gramEnd"/>
      <w:r w:rsidRPr="0041797D">
        <w:rPr>
          <w:rFonts w:ascii="Verdana" w:hAnsi="Verdana" w:cs="Verdana"/>
          <w:color w:val="000000"/>
          <w:spacing w:val="-7"/>
          <w:kern w:val="0"/>
          <w:sz w:val="18"/>
          <w:szCs w:val="18"/>
        </w:rPr>
        <w:t xml:space="preserve"> by determining the genetic predisposition for this disease in IBD patients. We aimed to quantify the frequency of celiac disease-related HLA (HLA-DQ2 and HLA-DQ8) in the IBD population, compare it to that of the general population, and observe if it was related to a specific IBD phenotype or gender.</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With the benefit (to draw conclusions, genetic studies need homogeneous populations) and the limitation of such a homogeneous study group, the results must be interpreted taking into account the 100% Caucasian race of both cases and controls.</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In our study no statistical differences in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frequency were detected between the IBD group and the control group. </w:t>
      </w:r>
      <w:proofErr w:type="spellStart"/>
      <w:r w:rsidRPr="0041797D">
        <w:rPr>
          <w:rFonts w:ascii="Verdana" w:hAnsi="Verdana" w:cs="Verdana"/>
          <w:color w:val="000000"/>
          <w:spacing w:val="-7"/>
          <w:kern w:val="0"/>
          <w:sz w:val="18"/>
          <w:szCs w:val="18"/>
        </w:rPr>
        <w:t>DiGiacomo</w:t>
      </w:r>
      <w:proofErr w:type="spellEnd"/>
      <w:r w:rsidRPr="0041797D">
        <w:rPr>
          <w:rFonts w:ascii="Verdana" w:hAnsi="Verdana" w:cs="Verdana"/>
          <w:color w:val="000000"/>
          <w:spacing w:val="-7"/>
          <w:kern w:val="0"/>
          <w:sz w:val="18"/>
          <w:szCs w:val="18"/>
        </w:rPr>
        <w:t xml:space="preserve"> </w:t>
      </w:r>
      <w:r w:rsidRPr="0041797D">
        <w:rPr>
          <w:rFonts w:ascii="Verdana" w:hAnsi="Verdana" w:cs="Verdana"/>
          <w:i/>
          <w:iCs/>
          <w:color w:val="000000"/>
          <w:spacing w:val="-7"/>
          <w:kern w:val="0"/>
          <w:sz w:val="18"/>
          <w:szCs w:val="18"/>
        </w:rPr>
        <w:t xml:space="preserve">et </w:t>
      </w:r>
      <w:proofErr w:type="gramStart"/>
      <w:r w:rsidRPr="0041797D">
        <w:rPr>
          <w:rFonts w:ascii="Verdana" w:hAnsi="Verdana" w:cs="Verdana"/>
          <w:i/>
          <w:iCs/>
          <w:color w:val="000000"/>
          <w:spacing w:val="-7"/>
          <w:kern w:val="0"/>
          <w:sz w:val="18"/>
          <w:szCs w:val="18"/>
        </w:rPr>
        <w:t>al</w:t>
      </w:r>
      <w:r w:rsidRPr="0041797D">
        <w:rPr>
          <w:rFonts w:ascii="Verdana" w:hAnsi="Verdana" w:cs="Verdana"/>
          <w:color w:val="000000"/>
          <w:spacing w:val="-8"/>
          <w:kern w:val="0"/>
          <w:sz w:val="18"/>
          <w:szCs w:val="18"/>
          <w:vertAlign w:val="superscript"/>
        </w:rPr>
        <w:t>[</w:t>
      </w:r>
      <w:proofErr w:type="gramEnd"/>
      <w:r w:rsidRPr="0041797D">
        <w:rPr>
          <w:rFonts w:ascii="Verdana" w:hAnsi="Verdana" w:cs="Verdana"/>
          <w:color w:val="000000"/>
          <w:spacing w:val="-8"/>
          <w:kern w:val="0"/>
          <w:sz w:val="18"/>
          <w:szCs w:val="18"/>
          <w:vertAlign w:val="superscript"/>
        </w:rPr>
        <w:t>19]</w:t>
      </w:r>
      <w:r w:rsidRPr="0041797D">
        <w:rPr>
          <w:rFonts w:ascii="Verdana" w:hAnsi="Verdana" w:cs="Verdana"/>
          <w:color w:val="000000"/>
          <w:spacing w:val="-7"/>
          <w:kern w:val="0"/>
          <w:sz w:val="18"/>
          <w:szCs w:val="18"/>
        </w:rPr>
        <w:t xml:space="preserve"> analyze HLA-DQ2 and -DQ8 in several digestive diseases, including IBD. Their results are similar to ours, but they cannot be extrapolated because only 36 IBD patients are </w:t>
      </w:r>
      <w:proofErr w:type="gramStart"/>
      <w:r w:rsidRPr="0041797D">
        <w:rPr>
          <w:rFonts w:ascii="Verdana" w:hAnsi="Verdana" w:cs="Verdana"/>
          <w:color w:val="000000"/>
          <w:spacing w:val="-7"/>
          <w:kern w:val="0"/>
          <w:sz w:val="18"/>
          <w:szCs w:val="18"/>
        </w:rPr>
        <w:t>analyzed</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19]</w:t>
      </w:r>
      <w:r w:rsidRPr="0041797D">
        <w:rPr>
          <w:rFonts w:ascii="Verdana" w:hAnsi="Verdana" w:cs="Verdana"/>
          <w:color w:val="000000"/>
          <w:spacing w:val="-7"/>
          <w:kern w:val="0"/>
          <w:sz w:val="18"/>
          <w:szCs w:val="18"/>
        </w:rPr>
        <w:t>. They obtain a prevalence of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in IBD patients of 38.9%, with no differences when compared to a previously published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frequency in the general Italian population (39%).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lastRenderedPageBreak/>
        <w:t xml:space="preserve">In addition to </w:t>
      </w:r>
      <w:proofErr w:type="spellStart"/>
      <w:r w:rsidRPr="0041797D">
        <w:rPr>
          <w:rFonts w:ascii="Verdana" w:hAnsi="Verdana" w:cs="Verdana"/>
          <w:color w:val="000000"/>
          <w:spacing w:val="-7"/>
          <w:kern w:val="0"/>
          <w:sz w:val="18"/>
          <w:szCs w:val="18"/>
        </w:rPr>
        <w:t>DiGiacomo’s</w:t>
      </w:r>
      <w:proofErr w:type="spellEnd"/>
      <w:r w:rsidRPr="0041797D">
        <w:rPr>
          <w:rFonts w:ascii="Verdana" w:hAnsi="Verdana" w:cs="Verdana"/>
          <w:color w:val="000000"/>
          <w:spacing w:val="-7"/>
          <w:kern w:val="0"/>
          <w:sz w:val="18"/>
          <w:szCs w:val="18"/>
        </w:rPr>
        <w:t xml:space="preserve"> article, we have found no studies that analyze the complete heterodimers DQα + DQβ</w:t>
      </w:r>
      <w:r w:rsidRPr="0041797D">
        <w:rPr>
          <w:rFonts w:ascii="Verdana" w:hAnsi="Verdana" w:cs="Verdana"/>
          <w:i/>
          <w:iCs/>
          <w:color w:val="000000"/>
          <w:spacing w:val="-7"/>
          <w:kern w:val="0"/>
          <w:sz w:val="18"/>
          <w:szCs w:val="18"/>
        </w:rPr>
        <w:t xml:space="preserve"> </w:t>
      </w:r>
      <w:r w:rsidRPr="0041797D">
        <w:rPr>
          <w:rFonts w:ascii="Verdana" w:hAnsi="Verdana" w:cs="Verdana"/>
          <w:color w:val="000000"/>
          <w:spacing w:val="-7"/>
          <w:kern w:val="0"/>
          <w:sz w:val="18"/>
          <w:szCs w:val="18"/>
        </w:rPr>
        <w:t xml:space="preserve">related to </w:t>
      </w:r>
      <w:proofErr w:type="spellStart"/>
      <w:proofErr w:type="gramStart"/>
      <w:r w:rsidRPr="0041797D">
        <w:rPr>
          <w:rFonts w:ascii="Verdana" w:hAnsi="Verdana" w:cs="Verdana"/>
          <w:color w:val="000000"/>
          <w:spacing w:val="-7"/>
          <w:kern w:val="0"/>
          <w:sz w:val="18"/>
          <w:szCs w:val="18"/>
        </w:rPr>
        <w:t>CeD</w:t>
      </w:r>
      <w:proofErr w:type="spellEnd"/>
      <w:proofErr w:type="gramEnd"/>
      <w:r w:rsidRPr="0041797D">
        <w:rPr>
          <w:rFonts w:ascii="Verdana" w:hAnsi="Verdana" w:cs="Verdana"/>
          <w:color w:val="000000"/>
          <w:spacing w:val="-7"/>
          <w:kern w:val="0"/>
          <w:sz w:val="18"/>
          <w:szCs w:val="18"/>
        </w:rPr>
        <w:t>,</w:t>
      </w:r>
      <w:r w:rsidRPr="0041797D">
        <w:rPr>
          <w:rFonts w:ascii="Verdana" w:hAnsi="Verdana" w:cs="Verdana"/>
          <w:i/>
          <w:iCs/>
          <w:color w:val="000000"/>
          <w:spacing w:val="-7"/>
          <w:kern w:val="0"/>
          <w:sz w:val="18"/>
          <w:szCs w:val="18"/>
        </w:rPr>
        <w:t xml:space="preserve"> i.e.</w:t>
      </w:r>
      <w:r w:rsidRPr="0041797D">
        <w:rPr>
          <w:rFonts w:ascii="Verdana" w:hAnsi="Verdana" w:cs="Verdana"/>
          <w:color w:val="000000"/>
          <w:spacing w:val="-7"/>
          <w:kern w:val="0"/>
          <w:sz w:val="18"/>
          <w:szCs w:val="18"/>
        </w:rPr>
        <w:t xml:space="preserve">, not only alleles, nor their actual frequency in IBD patients. Most of the studies do not take into account gender, which is important in </w:t>
      </w:r>
      <w:proofErr w:type="spellStart"/>
      <w:proofErr w:type="gramStart"/>
      <w:r w:rsidRPr="0041797D">
        <w:rPr>
          <w:rFonts w:ascii="Verdana" w:hAnsi="Verdana" w:cs="Verdana"/>
          <w:color w:val="000000"/>
          <w:spacing w:val="-7"/>
          <w:kern w:val="0"/>
          <w:sz w:val="18"/>
          <w:szCs w:val="18"/>
        </w:rPr>
        <w:t>CeD</w:t>
      </w:r>
      <w:proofErr w:type="spellEnd"/>
      <w:proofErr w:type="gramEnd"/>
      <w:r w:rsidRPr="0041797D">
        <w:rPr>
          <w:rFonts w:ascii="Verdana" w:hAnsi="Verdana" w:cs="Verdana"/>
          <w:color w:val="000000"/>
          <w:spacing w:val="-7"/>
          <w:kern w:val="0"/>
          <w:sz w:val="18"/>
          <w:szCs w:val="18"/>
        </w:rPr>
        <w:t xml:space="preserve"> because of the 2:1 preponderance of females. We observed that women with IBD tend to show differences with women in the control group, with a preventive fraction of 14%.</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41797D">
        <w:rPr>
          <w:rFonts w:ascii="Verdana" w:hAnsi="Verdana" w:cs="Verdana"/>
          <w:color w:val="000000"/>
          <w:spacing w:val="-8"/>
          <w:kern w:val="0"/>
          <w:sz w:val="18"/>
          <w:szCs w:val="18"/>
        </w:rPr>
        <w:t xml:space="preserve">Although both </w:t>
      </w:r>
      <w:proofErr w:type="spellStart"/>
      <w:proofErr w:type="gramStart"/>
      <w:r w:rsidRPr="0041797D">
        <w:rPr>
          <w:rFonts w:ascii="Verdana" w:hAnsi="Verdana" w:cs="Verdana"/>
          <w:color w:val="000000"/>
          <w:spacing w:val="-8"/>
          <w:kern w:val="0"/>
          <w:sz w:val="18"/>
          <w:szCs w:val="18"/>
        </w:rPr>
        <w:t>CeD</w:t>
      </w:r>
      <w:proofErr w:type="spellEnd"/>
      <w:proofErr w:type="gramEnd"/>
      <w:r w:rsidRPr="0041797D">
        <w:rPr>
          <w:rFonts w:ascii="Verdana" w:hAnsi="Verdana" w:cs="Verdana"/>
          <w:color w:val="000000"/>
          <w:spacing w:val="-8"/>
          <w:kern w:val="0"/>
          <w:sz w:val="18"/>
          <w:szCs w:val="18"/>
        </w:rPr>
        <w:t xml:space="preserve"> and IBD have chronic intestinal inflammation, with increased intestinal permeability and an altered immune response, the different genetic basis is probably responsible for the different interaction with the environment. This is better understood when exploring the individual HLA-DQ2.5 and -DQ8 haplotypes, which might even confer protection from the future development of IBD, as our results show.</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41797D">
        <w:rPr>
          <w:rFonts w:ascii="Verdana" w:hAnsi="Verdana" w:cs="Verdana"/>
          <w:color w:val="000000"/>
          <w:spacing w:val="-8"/>
          <w:kern w:val="0"/>
          <w:sz w:val="18"/>
          <w:szCs w:val="18"/>
        </w:rPr>
        <w:t>Taking into account the type of IBD, we can see that HLA-</w:t>
      </w:r>
      <w:proofErr w:type="spellStart"/>
      <w:r w:rsidRPr="0041797D">
        <w:rPr>
          <w:rFonts w:ascii="Verdana" w:hAnsi="Verdana" w:cs="Verdana"/>
          <w:color w:val="000000"/>
          <w:spacing w:val="-8"/>
          <w:kern w:val="0"/>
          <w:sz w:val="18"/>
          <w:szCs w:val="18"/>
        </w:rPr>
        <w:t>CeD</w:t>
      </w:r>
      <w:proofErr w:type="spellEnd"/>
      <w:r w:rsidRPr="0041797D">
        <w:rPr>
          <w:rFonts w:ascii="Verdana" w:hAnsi="Verdana" w:cs="Verdana"/>
          <w:color w:val="000000"/>
          <w:spacing w:val="-8"/>
          <w:kern w:val="0"/>
          <w:sz w:val="18"/>
          <w:szCs w:val="18"/>
        </w:rPr>
        <w:t xml:space="preserve"> tends to be less frequent in UC patients (32%) than in CD (36%) and controls (39%), </w:t>
      </w:r>
      <w:proofErr w:type="spellStart"/>
      <w:r w:rsidRPr="0041797D">
        <w:rPr>
          <w:rFonts w:ascii="Verdana" w:hAnsi="Verdana" w:cs="Verdana"/>
          <w:color w:val="000000"/>
          <w:spacing w:val="-8"/>
          <w:kern w:val="0"/>
          <w:sz w:val="18"/>
          <w:szCs w:val="18"/>
        </w:rPr>
        <w:t>confering</w:t>
      </w:r>
      <w:proofErr w:type="spellEnd"/>
      <w:r w:rsidRPr="0041797D">
        <w:rPr>
          <w:rFonts w:ascii="Verdana" w:hAnsi="Verdana" w:cs="Verdana"/>
          <w:color w:val="000000"/>
          <w:spacing w:val="-8"/>
          <w:kern w:val="0"/>
          <w:sz w:val="18"/>
          <w:szCs w:val="18"/>
        </w:rPr>
        <w:t xml:space="preserve"> 11% protection from developing UC. These differences are even more notable when analyzing only women: UC 31%, CD 36% and 43% controls. The lower percentages of HLA-</w:t>
      </w:r>
      <w:proofErr w:type="spellStart"/>
      <w:r w:rsidRPr="0041797D">
        <w:rPr>
          <w:rFonts w:ascii="Verdana" w:hAnsi="Verdana" w:cs="Verdana"/>
          <w:color w:val="000000"/>
          <w:spacing w:val="-8"/>
          <w:kern w:val="0"/>
          <w:sz w:val="18"/>
          <w:szCs w:val="18"/>
        </w:rPr>
        <w:t>CeD</w:t>
      </w:r>
      <w:proofErr w:type="spellEnd"/>
      <w:r w:rsidRPr="0041797D">
        <w:rPr>
          <w:rFonts w:ascii="Verdana" w:hAnsi="Verdana" w:cs="Verdana"/>
          <w:color w:val="000000"/>
          <w:spacing w:val="-8"/>
          <w:kern w:val="0"/>
          <w:sz w:val="18"/>
          <w:szCs w:val="18"/>
        </w:rPr>
        <w:t xml:space="preserve"> in women with IBD are mainly justified by the lower prevalence of the heterodimer HLA-DQ2.5cis, which confers a preventive fraction of 9%.</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strike/>
          <w:color w:val="000000"/>
          <w:spacing w:val="-7"/>
          <w:kern w:val="0"/>
          <w:sz w:val="18"/>
          <w:szCs w:val="18"/>
        </w:rPr>
      </w:pPr>
      <w:r w:rsidRPr="0041797D">
        <w:rPr>
          <w:rFonts w:ascii="Verdana" w:hAnsi="Verdana" w:cs="Verdana"/>
          <w:color w:val="000000"/>
          <w:spacing w:val="-7"/>
          <w:kern w:val="0"/>
          <w:sz w:val="18"/>
          <w:szCs w:val="18"/>
        </w:rPr>
        <w:t>To delve more deeply into the tendency of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being a protection factor against IBD, the interaction of the variables sex, type of IBD and frequency of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was analyzed for statistical significance. We observed that the frequency of DQ2.5cis was reduced more than 50%, in women with UC. The reduction in the risk of HLA-DQ2.5cis in UC was not only observed in women (PF: 13%); in considering both sexes together, the presence of DQ2.5cis was significantly lower in UC (PF = 7%). Similar results were obta</w:t>
      </w:r>
      <w:r w:rsidRPr="0041797D">
        <w:rPr>
          <w:rFonts w:ascii="Verdana" w:hAnsi="Verdana" w:cs="Verdana"/>
          <w:color w:val="000000"/>
          <w:spacing w:val="-7"/>
          <w:kern w:val="0"/>
          <w:sz w:val="18"/>
          <w:szCs w:val="18"/>
        </w:rPr>
        <w:softHyphen/>
        <w:t xml:space="preserve">ined when analyzing both </w:t>
      </w:r>
      <w:proofErr w:type="spellStart"/>
      <w:r w:rsidRPr="0041797D">
        <w:rPr>
          <w:rFonts w:ascii="Verdana" w:hAnsi="Verdana" w:cs="Verdana"/>
          <w:i/>
          <w:iCs/>
          <w:color w:val="000000"/>
          <w:spacing w:val="-7"/>
          <w:kern w:val="0"/>
          <w:sz w:val="18"/>
          <w:szCs w:val="18"/>
        </w:rPr>
        <w:t>cis</w:t>
      </w:r>
      <w:proofErr w:type="spellEnd"/>
      <w:r w:rsidRPr="0041797D">
        <w:rPr>
          <w:rFonts w:ascii="Verdana" w:hAnsi="Verdana" w:cs="Verdana"/>
          <w:color w:val="000000"/>
          <w:spacing w:val="-7"/>
          <w:kern w:val="0"/>
          <w:sz w:val="18"/>
          <w:szCs w:val="18"/>
        </w:rPr>
        <w:t xml:space="preserve"> and </w:t>
      </w:r>
      <w:proofErr w:type="gramStart"/>
      <w:r w:rsidRPr="0041797D">
        <w:rPr>
          <w:rFonts w:ascii="Verdana" w:hAnsi="Verdana" w:cs="Verdana"/>
          <w:i/>
          <w:iCs/>
          <w:color w:val="000000"/>
          <w:spacing w:val="-7"/>
          <w:kern w:val="0"/>
          <w:sz w:val="18"/>
          <w:szCs w:val="18"/>
        </w:rPr>
        <w:t>trans</w:t>
      </w:r>
      <w:proofErr w:type="gramEnd"/>
      <w:r w:rsidRPr="0041797D">
        <w:rPr>
          <w:rFonts w:ascii="Verdana" w:hAnsi="Verdana" w:cs="Verdana"/>
          <w:color w:val="000000"/>
          <w:spacing w:val="-7"/>
          <w:kern w:val="0"/>
          <w:sz w:val="18"/>
          <w:szCs w:val="18"/>
        </w:rPr>
        <w:t xml:space="preserve"> HLA-DQ2.5 together: HLA-DQ2.5 was significantly reduced in the UC group, and even more remarkably in UC women. This demonstrated that being a woman with HLA-DQ2.5 bears 13% protection from developing UC.</w:t>
      </w:r>
      <w:r w:rsidRPr="0041797D">
        <w:rPr>
          <w:rFonts w:ascii="Verdana" w:hAnsi="Verdana" w:cs="Verdana"/>
          <w:i/>
          <w:iCs/>
          <w:color w:val="000000"/>
          <w:spacing w:val="-7"/>
          <w:kern w:val="0"/>
          <w:sz w:val="18"/>
          <w:szCs w:val="18"/>
        </w:rPr>
        <w:t xml:space="preserve">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According to our results, HLA-DQ8 is also less frequent in IBD patients than those in the control group. HLA-DQ8 was significantly reduced in CD patients (PF = 7%).</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strike/>
          <w:color w:val="000000"/>
          <w:spacing w:val="-7"/>
          <w:kern w:val="0"/>
          <w:sz w:val="18"/>
          <w:szCs w:val="18"/>
        </w:rPr>
      </w:pPr>
      <w:r w:rsidRPr="0041797D">
        <w:rPr>
          <w:rFonts w:ascii="Verdana" w:hAnsi="Verdana" w:cs="Verdana"/>
          <w:color w:val="000000"/>
          <w:spacing w:val="-7"/>
          <w:kern w:val="0"/>
          <w:sz w:val="18"/>
          <w:szCs w:val="18"/>
        </w:rPr>
        <w:t>Summarizing, the frequency of HLA-</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in IBD patients is similar to the general population; however, there is a significant decrease in the number of UC patients with HLA-DQ2.5 and of </w:t>
      </w:r>
      <w:proofErr w:type="spellStart"/>
      <w:r w:rsidRPr="0041797D">
        <w:rPr>
          <w:rFonts w:ascii="Verdana" w:hAnsi="Verdana" w:cs="Verdana"/>
          <w:color w:val="000000"/>
          <w:spacing w:val="-7"/>
          <w:kern w:val="0"/>
          <w:sz w:val="18"/>
          <w:szCs w:val="18"/>
        </w:rPr>
        <w:t>Crohn’s</w:t>
      </w:r>
      <w:proofErr w:type="spellEnd"/>
      <w:r w:rsidRPr="0041797D">
        <w:rPr>
          <w:rFonts w:ascii="Verdana" w:hAnsi="Verdana" w:cs="Verdana"/>
          <w:color w:val="000000"/>
          <w:spacing w:val="-7"/>
          <w:kern w:val="0"/>
          <w:sz w:val="18"/>
          <w:szCs w:val="18"/>
        </w:rPr>
        <w:t xml:space="preserve"> disease patients with HLA-DQ8. The preventive fractions that oscillate between 5% and 14% suggest that </w:t>
      </w:r>
      <w:proofErr w:type="spellStart"/>
      <w:proofErr w:type="gramStart"/>
      <w:r w:rsidRPr="0041797D">
        <w:rPr>
          <w:rFonts w:ascii="Verdana" w:hAnsi="Verdana" w:cs="Verdana"/>
          <w:color w:val="000000"/>
          <w:spacing w:val="-7"/>
          <w:kern w:val="0"/>
          <w:sz w:val="18"/>
          <w:szCs w:val="18"/>
        </w:rPr>
        <w:t>CeD</w:t>
      </w:r>
      <w:proofErr w:type="spellEnd"/>
      <w:proofErr w:type="gramEnd"/>
      <w:r w:rsidRPr="0041797D">
        <w:rPr>
          <w:rFonts w:ascii="Verdana" w:hAnsi="Verdana" w:cs="Verdana"/>
          <w:color w:val="000000"/>
          <w:spacing w:val="-7"/>
          <w:kern w:val="0"/>
          <w:sz w:val="18"/>
          <w:szCs w:val="18"/>
        </w:rPr>
        <w:t xml:space="preserve"> haplotypes protect from developing IBD. More specifically, HLA-DQ2.5 guards against the appearance of UC and HLA-DQ8 against the initiation of CD. The low preventive fractions are explained by the fact that CD and UC are multifactor illnesses that include many phenotypes, in which, save exceptions such as families with specific altered genes like IL-10, various factors interact to produce the disease.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i/>
          <w:iCs/>
          <w:color w:val="000000"/>
          <w:spacing w:val="-7"/>
          <w:kern w:val="0"/>
          <w:sz w:val="18"/>
          <w:szCs w:val="18"/>
        </w:rPr>
      </w:pPr>
      <w:r w:rsidRPr="0041797D">
        <w:rPr>
          <w:rFonts w:ascii="Verdana" w:hAnsi="Verdana" w:cs="Verdana"/>
          <w:color w:val="000000"/>
          <w:spacing w:val="-7"/>
          <w:kern w:val="0"/>
          <w:sz w:val="18"/>
          <w:szCs w:val="18"/>
        </w:rPr>
        <w:t xml:space="preserve">Since HLA-DQ2.5 is the most closely related to </w:t>
      </w:r>
      <w:proofErr w:type="spellStart"/>
      <w:proofErr w:type="gramStart"/>
      <w:r w:rsidRPr="0041797D">
        <w:rPr>
          <w:rFonts w:ascii="Verdana" w:hAnsi="Verdana" w:cs="Verdana"/>
          <w:color w:val="000000"/>
          <w:spacing w:val="-7"/>
          <w:kern w:val="0"/>
          <w:sz w:val="18"/>
          <w:szCs w:val="18"/>
        </w:rPr>
        <w:t>CeD</w:t>
      </w:r>
      <w:proofErr w:type="spellEnd"/>
      <w:proofErr w:type="gramEnd"/>
      <w:r w:rsidRPr="0041797D">
        <w:rPr>
          <w:rFonts w:ascii="Verdana" w:hAnsi="Verdana" w:cs="Verdana"/>
          <w:color w:val="000000"/>
          <w:spacing w:val="-7"/>
          <w:kern w:val="0"/>
          <w:sz w:val="18"/>
          <w:szCs w:val="18"/>
        </w:rPr>
        <w:t xml:space="preserve">, and the most frequent in </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our results may suggest that the risk of celiac disease is lower in patients with IBD and, therefore, its expression as well. Extensive studies with duodenal biopsies from Spanish patients should be carried out to see if, as in the Italian study by Casella </w:t>
      </w:r>
      <w:r w:rsidRPr="0041797D">
        <w:rPr>
          <w:rFonts w:ascii="Verdana" w:hAnsi="Verdana" w:cs="Verdana"/>
          <w:i/>
          <w:iCs/>
          <w:color w:val="000000"/>
          <w:spacing w:val="-7"/>
          <w:kern w:val="0"/>
          <w:sz w:val="18"/>
          <w:szCs w:val="18"/>
        </w:rPr>
        <w:t xml:space="preserve">et </w:t>
      </w:r>
      <w:proofErr w:type="gramStart"/>
      <w:r w:rsidRPr="0041797D">
        <w:rPr>
          <w:rFonts w:ascii="Verdana" w:hAnsi="Verdana" w:cs="Verdana"/>
          <w:i/>
          <w:iCs/>
          <w:color w:val="000000"/>
          <w:spacing w:val="-7"/>
          <w:kern w:val="0"/>
          <w:sz w:val="18"/>
          <w:szCs w:val="18"/>
        </w:rPr>
        <w:lastRenderedPageBreak/>
        <w:t>al</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37]</w:t>
      </w:r>
      <w:r w:rsidRPr="0041797D">
        <w:rPr>
          <w:rFonts w:ascii="Verdana" w:hAnsi="Verdana" w:cs="Verdana"/>
          <w:color w:val="000000"/>
          <w:spacing w:val="-7"/>
          <w:kern w:val="0"/>
          <w:sz w:val="18"/>
          <w:szCs w:val="18"/>
        </w:rPr>
        <w:t xml:space="preserve">, the prevalence of </w:t>
      </w:r>
      <w:proofErr w:type="spellStart"/>
      <w:r w:rsidRPr="0041797D">
        <w:rPr>
          <w:rFonts w:ascii="Verdana" w:hAnsi="Verdana" w:cs="Verdana"/>
          <w:color w:val="000000"/>
          <w:spacing w:val="-7"/>
          <w:kern w:val="0"/>
          <w:sz w:val="18"/>
          <w:szCs w:val="18"/>
        </w:rPr>
        <w:t>CeD</w:t>
      </w:r>
      <w:proofErr w:type="spellEnd"/>
      <w:r w:rsidRPr="0041797D">
        <w:rPr>
          <w:rFonts w:ascii="Verdana" w:hAnsi="Verdana" w:cs="Verdana"/>
          <w:color w:val="000000"/>
          <w:spacing w:val="-7"/>
          <w:kern w:val="0"/>
          <w:sz w:val="18"/>
          <w:szCs w:val="18"/>
        </w:rPr>
        <w:t xml:space="preserve"> in IBD is lower than in the general population.</w:t>
      </w:r>
      <w:r w:rsidRPr="0041797D">
        <w:rPr>
          <w:rFonts w:ascii="Verdana" w:hAnsi="Verdana" w:cs="Verdana"/>
          <w:i/>
          <w:iCs/>
          <w:color w:val="000000"/>
          <w:spacing w:val="-7"/>
          <w:kern w:val="0"/>
          <w:sz w:val="18"/>
          <w:szCs w:val="18"/>
        </w:rPr>
        <w:t xml:space="preserve">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i/>
          <w:iCs/>
          <w:color w:val="000000"/>
          <w:spacing w:val="-9"/>
          <w:kern w:val="0"/>
          <w:sz w:val="18"/>
          <w:szCs w:val="18"/>
        </w:rPr>
      </w:pPr>
      <w:r w:rsidRPr="0041797D">
        <w:rPr>
          <w:rFonts w:ascii="Verdana" w:hAnsi="Verdana" w:cs="Verdana"/>
          <w:color w:val="000000"/>
          <w:spacing w:val="-9"/>
          <w:kern w:val="0"/>
          <w:sz w:val="18"/>
          <w:szCs w:val="18"/>
        </w:rPr>
        <w:t xml:space="preserve">The role of the HLA-DQ 2.2 dimer (DQA1*02:01 + DQB1*02:02) is controversial in terms of its contribution to the predisposition to celiac disease. The majority of authors are detractors of the role of predisposition to </w:t>
      </w:r>
      <w:proofErr w:type="spellStart"/>
      <w:r w:rsidRPr="0041797D">
        <w:rPr>
          <w:rFonts w:ascii="Verdana" w:hAnsi="Verdana" w:cs="Verdana"/>
          <w:color w:val="000000"/>
          <w:spacing w:val="-9"/>
          <w:kern w:val="0"/>
          <w:sz w:val="18"/>
          <w:szCs w:val="18"/>
        </w:rPr>
        <w:t>CeD</w:t>
      </w:r>
      <w:proofErr w:type="spellEnd"/>
      <w:r w:rsidRPr="0041797D">
        <w:rPr>
          <w:rFonts w:ascii="Verdana" w:hAnsi="Verdana" w:cs="Verdana"/>
          <w:color w:val="000000"/>
          <w:spacing w:val="-9"/>
          <w:kern w:val="0"/>
          <w:sz w:val="18"/>
          <w:szCs w:val="18"/>
        </w:rPr>
        <w:t xml:space="preserve"> of HLA - </w:t>
      </w:r>
      <w:proofErr w:type="gramStart"/>
      <w:r w:rsidRPr="0041797D">
        <w:rPr>
          <w:rFonts w:ascii="Verdana" w:hAnsi="Verdana" w:cs="Verdana"/>
          <w:color w:val="000000"/>
          <w:spacing w:val="-9"/>
          <w:kern w:val="0"/>
          <w:sz w:val="18"/>
          <w:szCs w:val="18"/>
        </w:rPr>
        <w:t>DQ2.2</w:t>
      </w:r>
      <w:r w:rsidRPr="0041797D">
        <w:rPr>
          <w:rFonts w:ascii="Verdana" w:hAnsi="Verdana" w:cs="Verdana"/>
          <w:color w:val="000000"/>
          <w:spacing w:val="-9"/>
          <w:kern w:val="0"/>
          <w:sz w:val="18"/>
          <w:szCs w:val="18"/>
          <w:vertAlign w:val="superscript"/>
        </w:rPr>
        <w:t>[</w:t>
      </w:r>
      <w:proofErr w:type="gramEnd"/>
      <w:r w:rsidRPr="0041797D">
        <w:rPr>
          <w:rFonts w:ascii="Verdana" w:hAnsi="Verdana" w:cs="Verdana"/>
          <w:color w:val="000000"/>
          <w:spacing w:val="-9"/>
          <w:kern w:val="0"/>
          <w:sz w:val="18"/>
          <w:szCs w:val="18"/>
          <w:vertAlign w:val="superscript"/>
        </w:rPr>
        <w:t>38]</w:t>
      </w:r>
      <w:r w:rsidRPr="0041797D">
        <w:rPr>
          <w:rFonts w:ascii="Verdana" w:hAnsi="Verdana" w:cs="Verdana"/>
          <w:color w:val="000000"/>
          <w:spacing w:val="-9"/>
          <w:kern w:val="0"/>
          <w:sz w:val="18"/>
          <w:szCs w:val="18"/>
        </w:rPr>
        <w:t xml:space="preserve">. One even suggests that it may act as a protective </w:t>
      </w:r>
      <w:proofErr w:type="gramStart"/>
      <w:r w:rsidRPr="0041797D">
        <w:rPr>
          <w:rFonts w:ascii="Verdana" w:hAnsi="Verdana" w:cs="Verdana"/>
          <w:color w:val="000000"/>
          <w:spacing w:val="-9"/>
          <w:kern w:val="0"/>
          <w:sz w:val="18"/>
          <w:szCs w:val="18"/>
        </w:rPr>
        <w:t>factor</w:t>
      </w:r>
      <w:r w:rsidRPr="0041797D">
        <w:rPr>
          <w:rFonts w:ascii="Verdana" w:hAnsi="Verdana" w:cs="Verdana"/>
          <w:color w:val="000000"/>
          <w:spacing w:val="-9"/>
          <w:kern w:val="0"/>
          <w:sz w:val="18"/>
          <w:szCs w:val="18"/>
          <w:vertAlign w:val="superscript"/>
        </w:rPr>
        <w:t>[</w:t>
      </w:r>
      <w:proofErr w:type="gramEnd"/>
      <w:r w:rsidRPr="0041797D">
        <w:rPr>
          <w:rFonts w:ascii="Verdana" w:hAnsi="Verdana" w:cs="Verdana"/>
          <w:color w:val="000000"/>
          <w:spacing w:val="-9"/>
          <w:kern w:val="0"/>
          <w:sz w:val="18"/>
          <w:szCs w:val="18"/>
          <w:vertAlign w:val="superscript"/>
        </w:rPr>
        <w:t>39]</w:t>
      </w:r>
      <w:r w:rsidRPr="0041797D">
        <w:rPr>
          <w:rFonts w:ascii="Verdana" w:hAnsi="Verdana" w:cs="Verdana"/>
          <w:color w:val="000000"/>
          <w:spacing w:val="-9"/>
          <w:kern w:val="0"/>
          <w:sz w:val="18"/>
          <w:szCs w:val="18"/>
        </w:rPr>
        <w:t xml:space="preserve">, but there is also an author who notes that it clearly predisposes to </w:t>
      </w:r>
      <w:proofErr w:type="spellStart"/>
      <w:r w:rsidRPr="0041797D">
        <w:rPr>
          <w:rFonts w:ascii="Verdana" w:hAnsi="Verdana" w:cs="Verdana"/>
          <w:color w:val="000000"/>
          <w:spacing w:val="-9"/>
          <w:kern w:val="0"/>
          <w:sz w:val="18"/>
          <w:szCs w:val="18"/>
        </w:rPr>
        <w:t>CeD</w:t>
      </w:r>
      <w:proofErr w:type="spellEnd"/>
      <w:r w:rsidRPr="0041797D">
        <w:rPr>
          <w:rFonts w:ascii="Verdana" w:hAnsi="Verdana" w:cs="Verdana"/>
          <w:color w:val="000000"/>
          <w:spacing w:val="-9"/>
          <w:kern w:val="0"/>
          <w:sz w:val="18"/>
          <w:szCs w:val="18"/>
          <w:vertAlign w:val="superscript"/>
        </w:rPr>
        <w:t>[40]</w:t>
      </w:r>
      <w:r w:rsidRPr="0041797D">
        <w:rPr>
          <w:rFonts w:ascii="Verdana" w:hAnsi="Verdana" w:cs="Verdana"/>
          <w:color w:val="000000"/>
          <w:spacing w:val="-9"/>
          <w:kern w:val="0"/>
          <w:sz w:val="18"/>
          <w:szCs w:val="18"/>
        </w:rPr>
        <w:t xml:space="preserve">. In the meta-analysis by </w:t>
      </w:r>
      <w:proofErr w:type="spellStart"/>
      <w:r w:rsidRPr="0041797D">
        <w:rPr>
          <w:rFonts w:ascii="Verdana" w:hAnsi="Verdana" w:cs="Verdana"/>
          <w:color w:val="000000"/>
          <w:spacing w:val="-9"/>
          <w:kern w:val="0"/>
          <w:sz w:val="18"/>
          <w:szCs w:val="18"/>
        </w:rPr>
        <w:t>Stokkers</w:t>
      </w:r>
      <w:proofErr w:type="spellEnd"/>
      <w:r w:rsidRPr="0041797D">
        <w:rPr>
          <w:rFonts w:ascii="Verdana" w:hAnsi="Verdana" w:cs="Verdana"/>
          <w:color w:val="000000"/>
          <w:spacing w:val="-9"/>
          <w:kern w:val="0"/>
          <w:sz w:val="18"/>
          <w:szCs w:val="18"/>
        </w:rPr>
        <w:t xml:space="preserve"> </w:t>
      </w:r>
      <w:r w:rsidRPr="0041797D">
        <w:rPr>
          <w:rFonts w:ascii="Verdana" w:hAnsi="Verdana" w:cs="Verdana"/>
          <w:i/>
          <w:iCs/>
          <w:color w:val="000000"/>
          <w:spacing w:val="-9"/>
          <w:kern w:val="0"/>
          <w:sz w:val="18"/>
          <w:szCs w:val="18"/>
        </w:rPr>
        <w:t xml:space="preserve">et </w:t>
      </w:r>
      <w:proofErr w:type="gramStart"/>
      <w:r w:rsidRPr="0041797D">
        <w:rPr>
          <w:rFonts w:ascii="Verdana" w:hAnsi="Verdana" w:cs="Verdana"/>
          <w:i/>
          <w:iCs/>
          <w:color w:val="000000"/>
          <w:spacing w:val="-9"/>
          <w:kern w:val="0"/>
          <w:sz w:val="18"/>
          <w:szCs w:val="18"/>
        </w:rPr>
        <w:t>al</w:t>
      </w:r>
      <w:r w:rsidRPr="0041797D">
        <w:rPr>
          <w:rFonts w:ascii="Verdana" w:hAnsi="Verdana" w:cs="Verdana"/>
          <w:color w:val="000000"/>
          <w:spacing w:val="-9"/>
          <w:kern w:val="0"/>
          <w:sz w:val="18"/>
          <w:szCs w:val="18"/>
          <w:vertAlign w:val="superscript"/>
        </w:rPr>
        <w:t>[</w:t>
      </w:r>
      <w:proofErr w:type="gramEnd"/>
      <w:r w:rsidRPr="0041797D">
        <w:rPr>
          <w:rFonts w:ascii="Verdana" w:hAnsi="Verdana" w:cs="Verdana"/>
          <w:color w:val="000000"/>
          <w:spacing w:val="-9"/>
          <w:kern w:val="0"/>
          <w:sz w:val="18"/>
          <w:szCs w:val="18"/>
          <w:vertAlign w:val="superscript"/>
        </w:rPr>
        <w:t>18]</w:t>
      </w:r>
      <w:r w:rsidRPr="0041797D">
        <w:rPr>
          <w:rFonts w:ascii="Verdana" w:hAnsi="Verdana" w:cs="Verdana"/>
          <w:color w:val="000000"/>
          <w:spacing w:val="-9"/>
          <w:kern w:val="0"/>
          <w:sz w:val="18"/>
          <w:szCs w:val="18"/>
        </w:rPr>
        <w:t xml:space="preserve"> a positive association of HLA-DRB1*07 was observed in CD patients, a gene that is normally closely bound to HLA-DQ2.2. The Italian study by Lombardi </w:t>
      </w:r>
      <w:r w:rsidRPr="0041797D">
        <w:rPr>
          <w:rFonts w:ascii="Verdana" w:hAnsi="Verdana" w:cs="Verdana"/>
          <w:i/>
          <w:iCs/>
          <w:color w:val="000000"/>
          <w:spacing w:val="-9"/>
          <w:kern w:val="0"/>
          <w:sz w:val="18"/>
          <w:szCs w:val="18"/>
        </w:rPr>
        <w:t xml:space="preserve">et </w:t>
      </w:r>
      <w:proofErr w:type="gramStart"/>
      <w:r w:rsidRPr="0041797D">
        <w:rPr>
          <w:rFonts w:ascii="Verdana" w:hAnsi="Verdana" w:cs="Verdana"/>
          <w:i/>
          <w:iCs/>
          <w:color w:val="000000"/>
          <w:spacing w:val="-9"/>
          <w:kern w:val="0"/>
          <w:sz w:val="18"/>
          <w:szCs w:val="18"/>
        </w:rPr>
        <w:t>al</w:t>
      </w:r>
      <w:r w:rsidRPr="0041797D">
        <w:rPr>
          <w:rFonts w:ascii="Verdana" w:hAnsi="Verdana" w:cs="Verdana"/>
          <w:color w:val="000000"/>
          <w:spacing w:val="-9"/>
          <w:kern w:val="0"/>
          <w:sz w:val="18"/>
          <w:szCs w:val="18"/>
          <w:vertAlign w:val="superscript"/>
        </w:rPr>
        <w:t>[</w:t>
      </w:r>
      <w:proofErr w:type="gramEnd"/>
      <w:r w:rsidRPr="0041797D">
        <w:rPr>
          <w:rFonts w:ascii="Verdana" w:hAnsi="Verdana" w:cs="Verdana"/>
          <w:color w:val="000000"/>
          <w:spacing w:val="-9"/>
          <w:kern w:val="0"/>
          <w:sz w:val="18"/>
          <w:szCs w:val="18"/>
          <w:vertAlign w:val="superscript"/>
        </w:rPr>
        <w:t>41]</w:t>
      </w:r>
      <w:r w:rsidRPr="0041797D">
        <w:rPr>
          <w:rFonts w:ascii="Verdana" w:hAnsi="Verdana" w:cs="Verdana"/>
          <w:color w:val="000000"/>
          <w:spacing w:val="-9"/>
          <w:kern w:val="0"/>
          <w:sz w:val="18"/>
          <w:szCs w:val="18"/>
        </w:rPr>
        <w:t xml:space="preserve"> in 2001 also observed that the haplotype DRB1*07-DQB1*02:02 was the most frequent in their population. The frequency of HLA-DR7 in the European CD population is </w:t>
      </w:r>
      <w:proofErr w:type="gramStart"/>
      <w:r w:rsidRPr="0041797D">
        <w:rPr>
          <w:rFonts w:ascii="Verdana" w:hAnsi="Verdana" w:cs="Verdana"/>
          <w:color w:val="000000"/>
          <w:spacing w:val="-9"/>
          <w:kern w:val="0"/>
          <w:sz w:val="18"/>
          <w:szCs w:val="18"/>
        </w:rPr>
        <w:t>high</w:t>
      </w:r>
      <w:r w:rsidRPr="0041797D">
        <w:rPr>
          <w:rFonts w:ascii="Verdana" w:hAnsi="Verdana" w:cs="Verdana"/>
          <w:color w:val="000000"/>
          <w:spacing w:val="-9"/>
          <w:kern w:val="0"/>
          <w:sz w:val="18"/>
          <w:szCs w:val="18"/>
          <w:vertAlign w:val="superscript"/>
        </w:rPr>
        <w:t>[</w:t>
      </w:r>
      <w:proofErr w:type="gramEnd"/>
      <w:r w:rsidRPr="0041797D">
        <w:rPr>
          <w:rFonts w:ascii="Verdana" w:hAnsi="Verdana" w:cs="Verdana"/>
          <w:color w:val="000000"/>
          <w:spacing w:val="-9"/>
          <w:kern w:val="0"/>
          <w:sz w:val="18"/>
          <w:szCs w:val="18"/>
          <w:vertAlign w:val="superscript"/>
        </w:rPr>
        <w:t>42-44]</w:t>
      </w:r>
      <w:r w:rsidRPr="0041797D">
        <w:rPr>
          <w:rFonts w:ascii="Verdana" w:hAnsi="Verdana" w:cs="Verdana"/>
          <w:color w:val="000000"/>
          <w:spacing w:val="-9"/>
          <w:kern w:val="0"/>
          <w:sz w:val="18"/>
          <w:szCs w:val="18"/>
        </w:rPr>
        <w:t>, ranging between 5% and 29%, unlike the Japanese, where it is only found in 1%</w:t>
      </w:r>
      <w:r w:rsidRPr="0041797D">
        <w:rPr>
          <w:rFonts w:ascii="Verdana" w:hAnsi="Verdana" w:cs="Verdana"/>
          <w:color w:val="000000"/>
          <w:spacing w:val="-9"/>
          <w:kern w:val="0"/>
          <w:sz w:val="18"/>
          <w:szCs w:val="18"/>
          <w:vertAlign w:val="superscript"/>
        </w:rPr>
        <w:t>[44]</w:t>
      </w:r>
      <w:r w:rsidRPr="0041797D">
        <w:rPr>
          <w:rFonts w:ascii="Verdana" w:hAnsi="Verdana" w:cs="Verdana"/>
          <w:color w:val="000000"/>
          <w:spacing w:val="-9"/>
          <w:kern w:val="0"/>
          <w:sz w:val="18"/>
          <w:szCs w:val="18"/>
        </w:rPr>
        <w:t xml:space="preserve">.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 xml:space="preserve">Our study observed that the frequency of HLA-DQ2.2 was greatly increased in patients with CD; more than a third of the patients carry this haplotype. The relative risk of CD in patients with HLA-DQ2.2 is 1.75 (EF = 15%). Thus, the contribution of HLA-DQ2.2 as a risk factor of CD development is 15%.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 xml:space="preserve">As in other European studies, such as the Spanish study by Fernandez </w:t>
      </w:r>
      <w:r w:rsidRPr="0041797D">
        <w:rPr>
          <w:rFonts w:ascii="Verdana" w:hAnsi="Verdana" w:cs="Verdana"/>
          <w:i/>
          <w:iCs/>
          <w:color w:val="000000"/>
          <w:spacing w:val="-7"/>
          <w:kern w:val="0"/>
          <w:sz w:val="18"/>
          <w:szCs w:val="18"/>
        </w:rPr>
        <w:t>et al</w:t>
      </w:r>
      <w:r w:rsidRPr="0041797D">
        <w:rPr>
          <w:rFonts w:ascii="Verdana" w:hAnsi="Verdana" w:cs="Verdana"/>
          <w:color w:val="000000"/>
          <w:spacing w:val="-7"/>
          <w:kern w:val="0"/>
          <w:sz w:val="18"/>
          <w:szCs w:val="18"/>
          <w:vertAlign w:val="superscript"/>
        </w:rPr>
        <w:t>[45]</w:t>
      </w:r>
      <w:r w:rsidRPr="0041797D">
        <w:rPr>
          <w:rFonts w:ascii="Verdana" w:hAnsi="Verdana" w:cs="Verdana"/>
          <w:color w:val="000000"/>
          <w:spacing w:val="-7"/>
          <w:kern w:val="0"/>
          <w:sz w:val="18"/>
          <w:szCs w:val="18"/>
        </w:rPr>
        <w:t xml:space="preserve">, where the HLA-DRB1*07 is found in a high proportion of CD patients with </w:t>
      </w:r>
      <w:proofErr w:type="spellStart"/>
      <w:r w:rsidRPr="0041797D">
        <w:rPr>
          <w:rFonts w:ascii="Verdana" w:hAnsi="Verdana" w:cs="Verdana"/>
          <w:color w:val="000000"/>
          <w:spacing w:val="-7"/>
          <w:kern w:val="0"/>
          <w:sz w:val="18"/>
          <w:szCs w:val="18"/>
        </w:rPr>
        <w:t>ileal</w:t>
      </w:r>
      <w:proofErr w:type="spellEnd"/>
      <w:r w:rsidRPr="0041797D">
        <w:rPr>
          <w:rFonts w:ascii="Verdana" w:hAnsi="Verdana" w:cs="Verdana"/>
          <w:color w:val="000000"/>
          <w:spacing w:val="-7"/>
          <w:kern w:val="0"/>
          <w:sz w:val="18"/>
          <w:szCs w:val="18"/>
        </w:rPr>
        <w:t xml:space="preserve"> involvement, in our population with IBD there is a high frequency of HLA-DQ2.2 among patients with CD with </w:t>
      </w:r>
      <w:proofErr w:type="spellStart"/>
      <w:r w:rsidRPr="0041797D">
        <w:rPr>
          <w:rFonts w:ascii="Verdana" w:hAnsi="Verdana" w:cs="Verdana"/>
          <w:color w:val="000000"/>
          <w:spacing w:val="-7"/>
          <w:kern w:val="0"/>
          <w:sz w:val="18"/>
          <w:szCs w:val="18"/>
        </w:rPr>
        <w:t>ileal</w:t>
      </w:r>
      <w:proofErr w:type="spellEnd"/>
      <w:r w:rsidRPr="0041797D">
        <w:rPr>
          <w:rFonts w:ascii="Verdana" w:hAnsi="Verdana" w:cs="Verdana"/>
          <w:color w:val="000000"/>
          <w:spacing w:val="-7"/>
          <w:kern w:val="0"/>
          <w:sz w:val="18"/>
          <w:szCs w:val="18"/>
        </w:rPr>
        <w:t xml:space="preserve"> involvement (35.5% of patients with </w:t>
      </w:r>
      <w:proofErr w:type="spellStart"/>
      <w:r w:rsidRPr="0041797D">
        <w:rPr>
          <w:rFonts w:ascii="Verdana" w:hAnsi="Verdana" w:cs="Verdana"/>
          <w:color w:val="000000"/>
          <w:spacing w:val="-7"/>
          <w:kern w:val="0"/>
          <w:sz w:val="18"/>
          <w:szCs w:val="18"/>
        </w:rPr>
        <w:t>ileal</w:t>
      </w:r>
      <w:proofErr w:type="spellEnd"/>
      <w:r w:rsidRPr="0041797D">
        <w:rPr>
          <w:rFonts w:ascii="Verdana" w:hAnsi="Verdana" w:cs="Verdana"/>
          <w:color w:val="000000"/>
          <w:spacing w:val="-7"/>
          <w:kern w:val="0"/>
          <w:sz w:val="18"/>
          <w:szCs w:val="18"/>
        </w:rPr>
        <w:t xml:space="preserve"> </w:t>
      </w:r>
      <w:proofErr w:type="spellStart"/>
      <w:r w:rsidRPr="0041797D">
        <w:rPr>
          <w:rFonts w:ascii="Verdana" w:hAnsi="Verdana" w:cs="Verdana"/>
          <w:color w:val="000000"/>
          <w:spacing w:val="-7"/>
          <w:kern w:val="0"/>
          <w:sz w:val="18"/>
          <w:szCs w:val="18"/>
        </w:rPr>
        <w:t>Crohn</w:t>
      </w:r>
      <w:proofErr w:type="spellEnd"/>
      <w:r w:rsidRPr="0041797D">
        <w:rPr>
          <w:rFonts w:ascii="Verdana" w:hAnsi="Verdana" w:cs="Verdana"/>
          <w:color w:val="000000"/>
          <w:spacing w:val="-7"/>
          <w:kern w:val="0"/>
          <w:sz w:val="18"/>
          <w:szCs w:val="18"/>
        </w:rPr>
        <w:t xml:space="preserve"> have HLA-DQ2.2). In a large-scale, international genetics study, published in 2016, </w:t>
      </w:r>
      <w:proofErr w:type="spellStart"/>
      <w:r w:rsidRPr="0041797D">
        <w:rPr>
          <w:rFonts w:ascii="Verdana" w:hAnsi="Verdana" w:cs="Verdana"/>
          <w:color w:val="000000"/>
          <w:spacing w:val="-7"/>
          <w:kern w:val="0"/>
          <w:sz w:val="18"/>
          <w:szCs w:val="18"/>
        </w:rPr>
        <w:t>Cleynen</w:t>
      </w:r>
      <w:proofErr w:type="spellEnd"/>
      <w:r w:rsidRPr="0041797D">
        <w:rPr>
          <w:rFonts w:ascii="Verdana" w:hAnsi="Verdana" w:cs="Verdana"/>
          <w:color w:val="000000"/>
          <w:spacing w:val="-7"/>
          <w:kern w:val="0"/>
          <w:sz w:val="18"/>
          <w:szCs w:val="18"/>
        </w:rPr>
        <w:t xml:space="preserve"> </w:t>
      </w:r>
      <w:r w:rsidRPr="0041797D">
        <w:rPr>
          <w:rFonts w:ascii="Verdana" w:hAnsi="Verdana" w:cs="Verdana"/>
          <w:i/>
          <w:iCs/>
          <w:color w:val="000000"/>
          <w:spacing w:val="-7"/>
          <w:kern w:val="0"/>
          <w:sz w:val="18"/>
          <w:szCs w:val="18"/>
        </w:rPr>
        <w:t xml:space="preserve">et </w:t>
      </w:r>
      <w:proofErr w:type="gramStart"/>
      <w:r w:rsidRPr="0041797D">
        <w:rPr>
          <w:rFonts w:ascii="Verdana" w:hAnsi="Verdana" w:cs="Verdana"/>
          <w:i/>
          <w:iCs/>
          <w:color w:val="000000"/>
          <w:spacing w:val="-7"/>
          <w:kern w:val="0"/>
          <w:sz w:val="18"/>
          <w:szCs w:val="18"/>
        </w:rPr>
        <w:t>al</w:t>
      </w:r>
      <w:r w:rsidRPr="0041797D">
        <w:rPr>
          <w:rFonts w:ascii="Verdana" w:hAnsi="Verdana" w:cs="Verdana"/>
          <w:color w:val="000000"/>
          <w:spacing w:val="-7"/>
          <w:kern w:val="0"/>
          <w:sz w:val="18"/>
          <w:szCs w:val="18"/>
          <w:vertAlign w:val="superscript"/>
        </w:rPr>
        <w:t>[</w:t>
      </w:r>
      <w:proofErr w:type="gramEnd"/>
      <w:r w:rsidRPr="0041797D">
        <w:rPr>
          <w:rFonts w:ascii="Verdana" w:hAnsi="Verdana" w:cs="Verdana"/>
          <w:color w:val="000000"/>
          <w:spacing w:val="-7"/>
          <w:kern w:val="0"/>
          <w:sz w:val="18"/>
          <w:szCs w:val="18"/>
          <w:vertAlign w:val="superscript"/>
        </w:rPr>
        <w:t>46]</w:t>
      </w:r>
      <w:r w:rsidRPr="0041797D">
        <w:rPr>
          <w:rFonts w:ascii="Verdana" w:hAnsi="Verdana" w:cs="Verdana"/>
          <w:color w:val="000000"/>
          <w:spacing w:val="-7"/>
          <w:kern w:val="0"/>
          <w:sz w:val="18"/>
          <w:szCs w:val="18"/>
        </w:rPr>
        <w:t xml:space="preserve"> observed a strong relationship between HLA-DRB1*07 and </w:t>
      </w:r>
      <w:proofErr w:type="spellStart"/>
      <w:r w:rsidRPr="0041797D">
        <w:rPr>
          <w:rFonts w:ascii="Verdana" w:hAnsi="Verdana" w:cs="Verdana"/>
          <w:color w:val="000000"/>
          <w:spacing w:val="-7"/>
          <w:kern w:val="0"/>
          <w:sz w:val="18"/>
          <w:szCs w:val="18"/>
        </w:rPr>
        <w:t>Crohn’s</w:t>
      </w:r>
      <w:proofErr w:type="spellEnd"/>
      <w:r w:rsidRPr="0041797D">
        <w:rPr>
          <w:rFonts w:ascii="Verdana" w:hAnsi="Verdana" w:cs="Verdana"/>
          <w:color w:val="000000"/>
          <w:spacing w:val="-7"/>
          <w:kern w:val="0"/>
          <w:sz w:val="18"/>
          <w:szCs w:val="18"/>
        </w:rPr>
        <w:t xml:space="preserve"> disease.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This suggests that HLA-DQ 2.2 may be a su</w:t>
      </w:r>
      <w:r w:rsidRPr="0041797D">
        <w:rPr>
          <w:rFonts w:ascii="Verdana" w:hAnsi="Verdana" w:cs="Verdana"/>
          <w:color w:val="000000"/>
          <w:spacing w:val="-7"/>
          <w:kern w:val="0"/>
          <w:sz w:val="18"/>
          <w:szCs w:val="18"/>
        </w:rPr>
        <w:softHyphen/>
        <w:t>pplementary tool to diagnose undetermined IBD. Future studies have to be performed to evaluate if using HLA-DQ2.2 can help reach a diagnosis or if it can be of use for IBD family-members’ follow-up.</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41797D">
        <w:rPr>
          <w:rFonts w:ascii="Verdana" w:hAnsi="Verdana" w:cs="Verdana"/>
          <w:color w:val="000000"/>
          <w:spacing w:val="-9"/>
          <w:kern w:val="0"/>
          <w:sz w:val="18"/>
          <w:szCs w:val="18"/>
        </w:rPr>
        <w:t xml:space="preserve">Is the IBD population an “at-risk” group for celiac disease? According to our results, genetically no. They have the same frequency of </w:t>
      </w:r>
      <w:proofErr w:type="spellStart"/>
      <w:r w:rsidRPr="0041797D">
        <w:rPr>
          <w:rFonts w:ascii="Verdana" w:hAnsi="Verdana" w:cs="Verdana"/>
          <w:color w:val="000000"/>
          <w:spacing w:val="-9"/>
          <w:kern w:val="0"/>
          <w:sz w:val="18"/>
          <w:szCs w:val="18"/>
        </w:rPr>
        <w:t>CeD</w:t>
      </w:r>
      <w:proofErr w:type="spellEnd"/>
      <w:r w:rsidRPr="0041797D">
        <w:rPr>
          <w:rFonts w:ascii="Verdana" w:hAnsi="Verdana" w:cs="Verdana"/>
          <w:color w:val="000000"/>
          <w:spacing w:val="-9"/>
          <w:kern w:val="0"/>
          <w:sz w:val="18"/>
          <w:szCs w:val="18"/>
        </w:rPr>
        <w:t xml:space="preserve">-related HLA haplotypes globally and even a lower frequency of them when specifically looking at UC or CD, and gender. </w:t>
      </w:r>
    </w:p>
    <w:p w:rsidR="00B77E3C" w:rsidRPr="0041797D" w:rsidRDefault="00B77E3C" w:rsidP="00B77E3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In conclusion, our results, not only quantify the frequency of celiac disease related HLA haplotypes in the IBD population, but also show that they are not more frequent in the IBD population, and even more, that HLA-DQ2 is less frequent in UC patients, especially women, and HLA-DQ8 in CD patients, and that these haplotypes confer low grade protection from the development of future IBD. Our results also confirm a high frequency of HLA-DQ2.2 in our CD patients, and point out that HLA-DQ2.2 may actually act as a genetic risk factor for a future diagnosis of CD.</w:t>
      </w: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41797D">
        <w:rPr>
          <w:rFonts w:ascii="Univers" w:hAnsi="Univers" w:cs="Univers"/>
          <w:b/>
          <w:bCs/>
          <w:color w:val="000000"/>
          <w:spacing w:val="-2"/>
          <w:kern w:val="0"/>
          <w:sz w:val="24"/>
          <w:u w:val="single"/>
        </w:rPr>
        <w:t>ARTICLE HIGHLIGHTS</w:t>
      </w: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41797D">
        <w:rPr>
          <w:rFonts w:ascii="Arial Narrow" w:hAnsi="Arial Narrow" w:cs="Arial Narrow"/>
          <w:b/>
          <w:bCs/>
          <w:i/>
          <w:iCs/>
          <w:color w:val="000000"/>
          <w:kern w:val="0"/>
          <w:szCs w:val="21"/>
        </w:rPr>
        <w:t>Research background</w:t>
      </w:r>
    </w:p>
    <w:p w:rsidR="00B77E3C" w:rsidRPr="0041797D" w:rsidRDefault="00B77E3C" w:rsidP="00B77E3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41797D">
        <w:rPr>
          <w:rFonts w:ascii="Arial Narrow" w:hAnsi="Arial Narrow" w:cs="Arial Narrow"/>
          <w:color w:val="000000"/>
          <w:kern w:val="0"/>
          <w:sz w:val="16"/>
          <w:szCs w:val="16"/>
        </w:rPr>
        <w:t>Celiac disease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and inflammatory bowel disease (IBD) are chronic intestinal disorders with progressively increasing incidences and </w:t>
      </w:r>
      <w:proofErr w:type="spellStart"/>
      <w:r w:rsidRPr="0041797D">
        <w:rPr>
          <w:rFonts w:ascii="Arial Narrow" w:hAnsi="Arial Narrow" w:cs="Arial Narrow"/>
          <w:color w:val="000000"/>
          <w:kern w:val="0"/>
          <w:sz w:val="16"/>
          <w:szCs w:val="16"/>
        </w:rPr>
        <w:t>prevalences</w:t>
      </w:r>
      <w:proofErr w:type="spellEnd"/>
      <w:r w:rsidRPr="0041797D">
        <w:rPr>
          <w:rFonts w:ascii="Arial Narrow" w:hAnsi="Arial Narrow" w:cs="Arial Narrow"/>
          <w:color w:val="000000"/>
          <w:kern w:val="0"/>
          <w:sz w:val="16"/>
          <w:szCs w:val="16"/>
        </w:rPr>
        <w:t xml:space="preserve">. Both diseases are thought to be secondary to the interaction of certain environmental factors which either directly cause or enable others to trigger the disease (gluten </w:t>
      </w:r>
      <w:r w:rsidRPr="0041797D">
        <w:rPr>
          <w:rFonts w:ascii="Arial Narrow" w:hAnsi="Arial Narrow" w:cs="Arial Narrow"/>
          <w:color w:val="000000"/>
          <w:kern w:val="0"/>
          <w:sz w:val="16"/>
          <w:szCs w:val="16"/>
        </w:rPr>
        <w:lastRenderedPageBreak/>
        <w:t xml:space="preserve">-cause of </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infections, </w:t>
      </w:r>
      <w:proofErr w:type="spellStart"/>
      <w:r w:rsidRPr="0041797D">
        <w:rPr>
          <w:rFonts w:ascii="Arial Narrow" w:hAnsi="Arial Narrow" w:cs="Arial Narrow"/>
          <w:color w:val="000000"/>
          <w:kern w:val="0"/>
          <w:sz w:val="16"/>
          <w:szCs w:val="16"/>
        </w:rPr>
        <w:t>dysbiosis</w:t>
      </w:r>
      <w:proofErr w:type="spellEnd"/>
      <w:r w:rsidRPr="0041797D">
        <w:rPr>
          <w:rFonts w:ascii="Arial Narrow" w:hAnsi="Arial Narrow" w:cs="Arial Narrow"/>
          <w:color w:val="000000"/>
          <w:kern w:val="0"/>
          <w:sz w:val="16"/>
          <w:szCs w:val="16"/>
        </w:rPr>
        <w:t xml:space="preserve">, </w:t>
      </w:r>
      <w:r w:rsidRPr="0041797D">
        <w:rPr>
          <w:rFonts w:ascii="Arial Narrow" w:hAnsi="Arial Narrow" w:cs="Arial Narrow"/>
          <w:i/>
          <w:iCs/>
          <w:color w:val="000000"/>
          <w:kern w:val="0"/>
          <w:sz w:val="16"/>
          <w:szCs w:val="16"/>
        </w:rPr>
        <w:t>etc.</w:t>
      </w:r>
      <w:r w:rsidRPr="0041797D">
        <w:rPr>
          <w:rFonts w:ascii="Arial Narrow" w:hAnsi="Arial Narrow" w:cs="Arial Narrow"/>
          <w:color w:val="000000"/>
          <w:kern w:val="0"/>
          <w:sz w:val="16"/>
          <w:szCs w:val="16"/>
        </w:rPr>
        <w:t xml:space="preserve">), in genetically predisposed patients, by producing an altered immunological response.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has defined diagnostic criteria, which include blood antibodies, genetic testing, upper endoscopy findings and, especially, histological small-bowel changes. The involvement of human leucocyte antigen (HLA) genes codifying HLA-DQ2 and -DQ8 antigens in the susceptibility to the disease is clearly established and HLA typing has been accepted as a useful test to exclude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because only 0.5 % of </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patients lack both DQ2 and DQ8 antigens. IBD patients have historically been considered to be at higher risk for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which could be supported by the fact that IBD and </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are quite prevalent and due to a theoretically similar pathogenesis, with the interaction of genetic, immunological, and environmental factors (gut flora, gastroenteritis, </w:t>
      </w:r>
      <w:r w:rsidRPr="0041797D">
        <w:rPr>
          <w:rFonts w:ascii="Arial Narrow" w:hAnsi="Arial Narrow" w:cs="Arial Narrow"/>
          <w:i/>
          <w:iCs/>
          <w:color w:val="000000"/>
          <w:kern w:val="0"/>
          <w:sz w:val="16"/>
          <w:szCs w:val="16"/>
        </w:rPr>
        <w:t>etc.</w:t>
      </w:r>
      <w:r w:rsidRPr="0041797D">
        <w:rPr>
          <w:rFonts w:ascii="Arial Narrow" w:hAnsi="Arial Narrow" w:cs="Arial Narrow"/>
          <w:color w:val="000000"/>
          <w:kern w:val="0"/>
          <w:sz w:val="16"/>
          <w:szCs w:val="16"/>
        </w:rPr>
        <w:t xml:space="preserve">). Two more recent studies have analyzed </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-related antibodies and biopsies and observed that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is just as frequent or even less in the IBD population, but </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is still included as a more prevalent disease in IBD in some texts. None of them have analyzed the frequency of HLA-DQ2 and 8 (HLA-</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in IBD patients. Only one study has done so but it only included 36 patients.</w:t>
      </w: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41797D">
        <w:rPr>
          <w:rFonts w:ascii="Arial Narrow" w:hAnsi="Arial Narrow" w:cs="Arial Narrow"/>
          <w:b/>
          <w:bCs/>
          <w:i/>
          <w:iCs/>
          <w:color w:val="000000"/>
          <w:kern w:val="0"/>
          <w:szCs w:val="21"/>
        </w:rPr>
        <w:t>Research motivation</w:t>
      </w:r>
    </w:p>
    <w:p w:rsidR="00B77E3C" w:rsidRPr="0041797D" w:rsidRDefault="00B77E3C" w:rsidP="00B77E3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41797D">
        <w:rPr>
          <w:rFonts w:ascii="Arial Narrow" w:hAnsi="Arial Narrow" w:cs="Arial Narrow"/>
          <w:color w:val="000000"/>
          <w:kern w:val="0"/>
          <w:sz w:val="16"/>
          <w:szCs w:val="16"/>
        </w:rPr>
        <w:t xml:space="preserve">We wanted to know if IBD patients are genetically predisposed to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Since negative HLA-</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has a very high predictive negative value, not having it discards having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in most cases. We wanted to determine the frequency of HLA-</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in IBD, which has never been calculated, and whether having the haplotypes is related to having ulcerative colitis (UC) or </w:t>
      </w:r>
      <w:proofErr w:type="spellStart"/>
      <w:r w:rsidRPr="0041797D">
        <w:rPr>
          <w:rFonts w:ascii="Arial Narrow" w:hAnsi="Arial Narrow" w:cs="Arial Narrow"/>
          <w:color w:val="000000"/>
          <w:kern w:val="0"/>
          <w:sz w:val="16"/>
          <w:szCs w:val="16"/>
        </w:rPr>
        <w:t>Crohn’s</w:t>
      </w:r>
      <w:proofErr w:type="spellEnd"/>
      <w:r w:rsidRPr="0041797D">
        <w:rPr>
          <w:rFonts w:ascii="Arial Narrow" w:hAnsi="Arial Narrow" w:cs="Arial Narrow"/>
          <w:color w:val="000000"/>
          <w:kern w:val="0"/>
          <w:sz w:val="16"/>
          <w:szCs w:val="16"/>
        </w:rPr>
        <w:t xml:space="preserve"> disease (CD).</w:t>
      </w: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41797D">
        <w:rPr>
          <w:rFonts w:ascii="Arial Narrow" w:hAnsi="Arial Narrow" w:cs="Arial Narrow"/>
          <w:b/>
          <w:bCs/>
          <w:i/>
          <w:iCs/>
          <w:color w:val="000000"/>
          <w:kern w:val="0"/>
          <w:szCs w:val="21"/>
        </w:rPr>
        <w:t>Research objectives</w:t>
      </w:r>
    </w:p>
    <w:p w:rsidR="00B77E3C" w:rsidRPr="0041797D" w:rsidRDefault="00B77E3C" w:rsidP="00B77E3C">
      <w:pPr>
        <w:suppressAutoHyphens/>
        <w:autoSpaceDE w:val="0"/>
        <w:autoSpaceDN w:val="0"/>
        <w:adjustRightInd w:val="0"/>
        <w:spacing w:line="200" w:lineRule="atLeast"/>
        <w:textAlignment w:val="center"/>
        <w:rPr>
          <w:rFonts w:ascii="Arial Narrow" w:hAnsi="Arial Narrow" w:cs="Arial Narrow"/>
          <w:strike/>
          <w:color w:val="000000"/>
          <w:kern w:val="0"/>
          <w:sz w:val="16"/>
          <w:szCs w:val="16"/>
        </w:rPr>
      </w:pPr>
      <w:r w:rsidRPr="0041797D">
        <w:rPr>
          <w:rFonts w:ascii="Arial Narrow" w:hAnsi="Arial Narrow" w:cs="Arial Narrow"/>
          <w:color w:val="000000"/>
          <w:kern w:val="0"/>
          <w:sz w:val="16"/>
          <w:szCs w:val="16"/>
        </w:rPr>
        <w:t xml:space="preserve">To determine whether or not IBD patients are genetically predisposed to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we conducted a study to determine the frequency of </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-related HLA (alleles encoding DQ2 and DQ8 dimers: HLA-</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in our IBD population (both in patients with UC as with CD). An analysis of HLA-</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frequencies according to sex was also performed in our IBD population. </w:t>
      </w: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41797D">
        <w:rPr>
          <w:rFonts w:ascii="Arial Narrow" w:hAnsi="Arial Narrow" w:cs="Arial Narrow"/>
          <w:b/>
          <w:bCs/>
          <w:i/>
          <w:iCs/>
          <w:color w:val="000000"/>
          <w:kern w:val="0"/>
          <w:szCs w:val="21"/>
        </w:rPr>
        <w:t>Research methods</w:t>
      </w:r>
    </w:p>
    <w:p w:rsidR="00B77E3C" w:rsidRPr="0041797D" w:rsidRDefault="00B77E3C" w:rsidP="00B77E3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41797D">
        <w:rPr>
          <w:rFonts w:ascii="Arial Narrow" w:hAnsi="Arial Narrow" w:cs="Arial Narrow"/>
          <w:color w:val="000000"/>
          <w:kern w:val="0"/>
          <w:sz w:val="16"/>
          <w:szCs w:val="16"/>
        </w:rPr>
        <w:t>We conducted a prospective study with IBD patients from our Unit. Clinical information was gathered and blood was tested for HLA-</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The control group was made up of unrelated </w:t>
      </w:r>
      <w:proofErr w:type="spellStart"/>
      <w:r w:rsidRPr="0041797D">
        <w:rPr>
          <w:rFonts w:ascii="Arial Narrow" w:hAnsi="Arial Narrow" w:cs="Arial Narrow"/>
          <w:color w:val="000000"/>
          <w:kern w:val="0"/>
          <w:sz w:val="16"/>
          <w:szCs w:val="16"/>
        </w:rPr>
        <w:t>Valencian</w:t>
      </w:r>
      <w:proofErr w:type="spellEnd"/>
      <w:r w:rsidRPr="0041797D">
        <w:rPr>
          <w:rFonts w:ascii="Arial Narrow" w:hAnsi="Arial Narrow" w:cs="Arial Narrow"/>
          <w:color w:val="000000"/>
          <w:kern w:val="0"/>
          <w:sz w:val="16"/>
          <w:szCs w:val="16"/>
        </w:rPr>
        <w:t xml:space="preserve"> organ donors.</w:t>
      </w: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41797D">
        <w:rPr>
          <w:rFonts w:ascii="Arial Narrow" w:hAnsi="Arial Narrow" w:cs="Arial Narrow"/>
          <w:b/>
          <w:bCs/>
          <w:i/>
          <w:iCs/>
          <w:color w:val="000000"/>
          <w:kern w:val="0"/>
          <w:szCs w:val="21"/>
        </w:rPr>
        <w:t>Research results</w:t>
      </w:r>
    </w:p>
    <w:p w:rsidR="00B77E3C" w:rsidRPr="0041797D" w:rsidRDefault="00B77E3C" w:rsidP="00B77E3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41797D">
        <w:rPr>
          <w:rFonts w:ascii="Arial Narrow" w:hAnsi="Arial Narrow" w:cs="Arial Narrow"/>
          <w:color w:val="000000"/>
          <w:kern w:val="0"/>
          <w:sz w:val="16"/>
          <w:szCs w:val="16"/>
        </w:rPr>
        <w:t>A total of 1034 patients were analyzed: 457 IBD (207 UC, and 250 CD) patients and 577 healthy controls. 39% of the controls and 34% of the patients had HLA-</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w:t>
      </w:r>
      <w:r w:rsidRPr="0041797D">
        <w:rPr>
          <w:rFonts w:ascii="Arial Narrow" w:hAnsi="Arial Narrow" w:cs="Arial Narrow"/>
          <w:i/>
          <w:iCs/>
          <w:color w:val="000000"/>
          <w:kern w:val="0"/>
          <w:sz w:val="16"/>
          <w:szCs w:val="16"/>
        </w:rPr>
        <w:t xml:space="preserve">P = </w:t>
      </w:r>
      <w:r w:rsidRPr="0041797D">
        <w:rPr>
          <w:rFonts w:ascii="Arial Narrow" w:hAnsi="Arial Narrow" w:cs="Arial Narrow"/>
          <w:color w:val="000000"/>
          <w:kern w:val="0"/>
          <w:sz w:val="16"/>
          <w:szCs w:val="16"/>
        </w:rPr>
        <w:t>0.0852). HLA-DQ2 was less frequent in UC patients (</w:t>
      </w:r>
      <w:r w:rsidRPr="0041797D">
        <w:rPr>
          <w:rFonts w:ascii="Arial Narrow" w:hAnsi="Arial Narrow" w:cs="Arial Narrow"/>
          <w:i/>
          <w:iCs/>
          <w:color w:val="000000"/>
          <w:kern w:val="0"/>
          <w:sz w:val="16"/>
          <w:szCs w:val="16"/>
        </w:rPr>
        <w:t xml:space="preserve">P = </w:t>
      </w:r>
      <w:r w:rsidRPr="0041797D">
        <w:rPr>
          <w:rFonts w:ascii="Arial Narrow" w:hAnsi="Arial Narrow" w:cs="Arial Narrow"/>
          <w:color w:val="000000"/>
          <w:kern w:val="0"/>
          <w:sz w:val="16"/>
          <w:szCs w:val="16"/>
        </w:rPr>
        <w:t>0.0287), and HLA-DQ8 in CD (</w:t>
      </w:r>
      <w:r w:rsidRPr="0041797D">
        <w:rPr>
          <w:rFonts w:ascii="Arial Narrow" w:hAnsi="Arial Narrow" w:cs="Arial Narrow"/>
          <w:i/>
          <w:iCs/>
          <w:color w:val="000000"/>
          <w:kern w:val="0"/>
          <w:sz w:val="16"/>
          <w:szCs w:val="16"/>
        </w:rPr>
        <w:t xml:space="preserve">P = </w:t>
      </w:r>
      <w:r w:rsidRPr="0041797D">
        <w:rPr>
          <w:rFonts w:ascii="Arial Narrow" w:hAnsi="Arial Narrow" w:cs="Arial Narrow"/>
          <w:color w:val="000000"/>
          <w:kern w:val="0"/>
          <w:sz w:val="16"/>
          <w:szCs w:val="16"/>
        </w:rPr>
        <w:t xml:space="preserve">0.0217). In women with UC, the frequency of DQ2.5cis (DQB1*02:01-DQA1*05:01) was reduced </w:t>
      </w:r>
      <w:r w:rsidRPr="0041797D">
        <w:rPr>
          <w:rFonts w:ascii="宋体" w:hAnsi="Arial Narrow" w:cs="宋体" w:hint="eastAsia"/>
          <w:color w:val="000000"/>
          <w:kern w:val="0"/>
          <w:sz w:val="14"/>
          <w:szCs w:val="14"/>
        </w:rPr>
        <w:t>≥</w:t>
      </w:r>
      <w:r w:rsidRPr="0041797D">
        <w:rPr>
          <w:rFonts w:ascii="Arial Narrow" w:hAnsi="Arial Narrow" w:cs="Arial Narrow"/>
          <w:color w:val="000000"/>
          <w:kern w:val="0"/>
          <w:sz w:val="16"/>
          <w:szCs w:val="16"/>
        </w:rPr>
        <w:t xml:space="preserve"> 50% [</w:t>
      </w:r>
      <w:r w:rsidRPr="0041797D">
        <w:rPr>
          <w:rFonts w:ascii="Arial Narrow" w:hAnsi="Arial Narrow" w:cs="Arial Narrow"/>
          <w:i/>
          <w:iCs/>
          <w:color w:val="000000"/>
          <w:kern w:val="0"/>
          <w:sz w:val="16"/>
          <w:szCs w:val="16"/>
        </w:rPr>
        <w:t xml:space="preserve">P = </w:t>
      </w:r>
      <w:r w:rsidRPr="0041797D">
        <w:rPr>
          <w:rFonts w:ascii="Arial Narrow" w:hAnsi="Arial Narrow" w:cs="Arial Narrow"/>
          <w:color w:val="000000"/>
          <w:kern w:val="0"/>
          <w:sz w:val="16"/>
          <w:szCs w:val="16"/>
        </w:rPr>
        <w:t>0.0344; preventive fraction (PF) = 13%]. PFs (7%-14%) were obtained with all HLA-</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haplotypes. HLA DQB1*02:02-DQA1*02:01 (HLA-DQ2.2) was more frequent in CD patients with respect to controls (</w:t>
      </w:r>
      <w:r w:rsidRPr="0041797D">
        <w:rPr>
          <w:rFonts w:ascii="Arial Narrow" w:hAnsi="Arial Narrow" w:cs="Arial Narrow"/>
          <w:i/>
          <w:iCs/>
          <w:color w:val="000000"/>
          <w:kern w:val="0"/>
          <w:sz w:val="16"/>
          <w:szCs w:val="16"/>
        </w:rPr>
        <w:t xml:space="preserve">P = </w:t>
      </w:r>
      <w:r w:rsidRPr="0041797D">
        <w:rPr>
          <w:rFonts w:ascii="Arial Narrow" w:hAnsi="Arial Narrow" w:cs="Arial Narrow"/>
          <w:color w:val="000000"/>
          <w:kern w:val="0"/>
          <w:sz w:val="16"/>
          <w:szCs w:val="16"/>
        </w:rPr>
        <w:t>0.001) and UC patients (etiological fraction = 15%).</w:t>
      </w: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41797D">
        <w:rPr>
          <w:rFonts w:ascii="Arial Narrow" w:hAnsi="Arial Narrow" w:cs="Arial Narrow"/>
          <w:b/>
          <w:bCs/>
          <w:i/>
          <w:iCs/>
          <w:color w:val="000000"/>
          <w:kern w:val="0"/>
          <w:szCs w:val="21"/>
        </w:rPr>
        <w:t xml:space="preserve">Research conclusions </w:t>
      </w:r>
    </w:p>
    <w:p w:rsidR="00B77E3C" w:rsidRPr="0041797D" w:rsidRDefault="00B77E3C" w:rsidP="00B77E3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41797D">
        <w:rPr>
          <w:rFonts w:ascii="Arial Narrow" w:hAnsi="Arial Narrow" w:cs="Arial Narrow"/>
          <w:color w:val="000000"/>
          <w:kern w:val="0"/>
          <w:sz w:val="16"/>
          <w:szCs w:val="16"/>
        </w:rPr>
        <w:t>HLA-</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is not more frequent in IBD patients, with an even lower frequency of HLA-DQ2 and -DQ8 in UC and CD respectively. HLA-DQ2.5 confers protection from the development of UC, especially in women, and HLA-DQ8 does so for the appearance of CD. HLA-DQ2.2 is present in 34% of the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patients and may constitute a genetic risk factor for </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development. This helps answer the ongoing question of whether or not IBD patients have a higher risk of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According to our study, IBD patients have the same genetic predisposition of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than the general population, showing an even lower frequency when </w:t>
      </w:r>
      <w:proofErr w:type="spellStart"/>
      <w:r w:rsidRPr="0041797D">
        <w:rPr>
          <w:rFonts w:ascii="Arial Narrow" w:hAnsi="Arial Narrow" w:cs="Arial Narrow"/>
          <w:color w:val="000000"/>
          <w:kern w:val="0"/>
          <w:sz w:val="16"/>
          <w:szCs w:val="16"/>
        </w:rPr>
        <w:t>subanalyzing</w:t>
      </w:r>
      <w:proofErr w:type="spellEnd"/>
      <w:r w:rsidRPr="0041797D">
        <w:rPr>
          <w:rFonts w:ascii="Arial Narrow" w:hAnsi="Arial Narrow" w:cs="Arial Narrow"/>
          <w:color w:val="000000"/>
          <w:kern w:val="0"/>
          <w:sz w:val="16"/>
          <w:szCs w:val="16"/>
        </w:rPr>
        <w:t xml:space="preserve"> by haplotypes and type of IBD. To our knowledge, it is the first time a frequency of the HLA-</w:t>
      </w:r>
      <w:proofErr w:type="spellStart"/>
      <w:r w:rsidRPr="0041797D">
        <w:rPr>
          <w:rFonts w:ascii="Arial Narrow" w:hAnsi="Arial Narrow" w:cs="Arial Narrow"/>
          <w:color w:val="000000"/>
          <w:kern w:val="0"/>
          <w:sz w:val="16"/>
          <w:szCs w:val="16"/>
        </w:rPr>
        <w:t>CeD</w:t>
      </w:r>
      <w:proofErr w:type="spellEnd"/>
      <w:r w:rsidRPr="0041797D">
        <w:rPr>
          <w:rFonts w:ascii="Arial Narrow" w:hAnsi="Arial Narrow" w:cs="Arial Narrow"/>
          <w:color w:val="000000"/>
          <w:kern w:val="0"/>
          <w:sz w:val="16"/>
          <w:szCs w:val="16"/>
        </w:rPr>
        <w:t xml:space="preserve"> haplotypes is given in a large enough IBD population. We also found a high frequency of HLA-DQ2.2 in </w:t>
      </w:r>
      <w:proofErr w:type="spellStart"/>
      <w:r w:rsidRPr="0041797D">
        <w:rPr>
          <w:rFonts w:ascii="Arial Narrow" w:hAnsi="Arial Narrow" w:cs="Arial Narrow"/>
          <w:color w:val="000000"/>
          <w:kern w:val="0"/>
          <w:sz w:val="16"/>
          <w:szCs w:val="16"/>
        </w:rPr>
        <w:t>Crohn’s</w:t>
      </w:r>
      <w:proofErr w:type="spellEnd"/>
      <w:r w:rsidRPr="0041797D">
        <w:rPr>
          <w:rFonts w:ascii="Arial Narrow" w:hAnsi="Arial Narrow" w:cs="Arial Narrow"/>
          <w:color w:val="000000"/>
          <w:kern w:val="0"/>
          <w:sz w:val="16"/>
          <w:szCs w:val="16"/>
        </w:rPr>
        <w:t xml:space="preserve"> disease, pointing to it as a risk factor.</w:t>
      </w: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p>
    <w:p w:rsidR="00B77E3C" w:rsidRPr="0041797D" w:rsidRDefault="00B77E3C" w:rsidP="00B77E3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41797D">
        <w:rPr>
          <w:rFonts w:ascii="Arial Narrow" w:hAnsi="Arial Narrow" w:cs="Arial Narrow"/>
          <w:b/>
          <w:bCs/>
          <w:i/>
          <w:iCs/>
          <w:color w:val="000000"/>
          <w:kern w:val="0"/>
          <w:szCs w:val="21"/>
        </w:rPr>
        <w:t>Research perspectives</w:t>
      </w:r>
    </w:p>
    <w:p w:rsidR="00B77E3C" w:rsidRPr="0041797D" w:rsidRDefault="00B77E3C" w:rsidP="00B77E3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41797D">
        <w:rPr>
          <w:rFonts w:ascii="Arial Narrow" w:hAnsi="Arial Narrow" w:cs="Arial Narrow"/>
          <w:color w:val="000000"/>
          <w:kern w:val="0"/>
          <w:sz w:val="16"/>
          <w:szCs w:val="16"/>
        </w:rPr>
        <w:t xml:space="preserve">This study supports the change in trend of the relationship between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and IBD, confirming it is not more frequent. We found HLA-DQ2 was less frequent in UC </w:t>
      </w:r>
      <w:r w:rsidRPr="0041797D">
        <w:rPr>
          <w:rFonts w:ascii="Arial Narrow" w:hAnsi="Arial Narrow" w:cs="Arial Narrow"/>
          <w:color w:val="000000"/>
          <w:kern w:val="0"/>
          <w:sz w:val="16"/>
          <w:szCs w:val="16"/>
        </w:rPr>
        <w:lastRenderedPageBreak/>
        <w:t xml:space="preserve">and HLA-DQ8 in CD, but we did not find any relationship with the presence or absence of </w:t>
      </w:r>
      <w:proofErr w:type="spellStart"/>
      <w:proofErr w:type="gramStart"/>
      <w:r w:rsidRPr="0041797D">
        <w:rPr>
          <w:rFonts w:ascii="Arial Narrow" w:hAnsi="Arial Narrow" w:cs="Arial Narrow"/>
          <w:color w:val="000000"/>
          <w:kern w:val="0"/>
          <w:sz w:val="16"/>
          <w:szCs w:val="16"/>
        </w:rPr>
        <w:t>CeD</w:t>
      </w:r>
      <w:proofErr w:type="spellEnd"/>
      <w:proofErr w:type="gramEnd"/>
      <w:r w:rsidRPr="0041797D">
        <w:rPr>
          <w:rFonts w:ascii="Arial Narrow" w:hAnsi="Arial Narrow" w:cs="Arial Narrow"/>
          <w:color w:val="000000"/>
          <w:kern w:val="0"/>
          <w:sz w:val="16"/>
          <w:szCs w:val="16"/>
        </w:rPr>
        <w:t xml:space="preserve"> haplotypes and certain IBD phenotypes. We might need larger studies to find if these alleles can be related to phenotypes. Future studies will help confirm HLA-DQ 2.2 as a risk factor for </w:t>
      </w:r>
      <w:proofErr w:type="spellStart"/>
      <w:r w:rsidRPr="0041797D">
        <w:rPr>
          <w:rFonts w:ascii="Arial Narrow" w:hAnsi="Arial Narrow" w:cs="Arial Narrow"/>
          <w:color w:val="000000"/>
          <w:kern w:val="0"/>
          <w:sz w:val="16"/>
          <w:szCs w:val="16"/>
        </w:rPr>
        <w:t>Crohn’s</w:t>
      </w:r>
      <w:proofErr w:type="spellEnd"/>
      <w:r w:rsidRPr="0041797D">
        <w:rPr>
          <w:rFonts w:ascii="Arial Narrow" w:hAnsi="Arial Narrow" w:cs="Arial Narrow"/>
          <w:color w:val="000000"/>
          <w:kern w:val="0"/>
          <w:sz w:val="16"/>
          <w:szCs w:val="16"/>
        </w:rPr>
        <w:t>. This could help decision taking in unclear cases (example with indeterminate colitis). Studies are also needed to see if to correlates with disease severity.</w:t>
      </w: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41797D">
        <w:rPr>
          <w:rFonts w:ascii="Univers" w:hAnsi="Univers" w:cs="Univers"/>
          <w:b/>
          <w:bCs/>
          <w:color w:val="000000"/>
          <w:spacing w:val="-2"/>
          <w:kern w:val="0"/>
          <w:sz w:val="24"/>
          <w:u w:val="single"/>
        </w:rPr>
        <w:t>ACKNOWLEDGMENTS</w:t>
      </w:r>
    </w:p>
    <w:p w:rsidR="00B77E3C" w:rsidRPr="0041797D" w:rsidRDefault="00B77E3C" w:rsidP="00B77E3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41797D">
        <w:rPr>
          <w:rFonts w:ascii="Verdana" w:hAnsi="Verdana" w:cs="Verdana"/>
          <w:color w:val="000000"/>
          <w:spacing w:val="-7"/>
          <w:kern w:val="0"/>
          <w:sz w:val="18"/>
          <w:szCs w:val="18"/>
        </w:rPr>
        <w:t xml:space="preserve">Dr. D. </w:t>
      </w:r>
      <w:proofErr w:type="spellStart"/>
      <w:r w:rsidRPr="0041797D">
        <w:rPr>
          <w:rFonts w:ascii="Verdana" w:hAnsi="Verdana" w:cs="Verdana"/>
          <w:color w:val="000000"/>
          <w:spacing w:val="-7"/>
          <w:kern w:val="0"/>
          <w:sz w:val="18"/>
          <w:szCs w:val="18"/>
        </w:rPr>
        <w:t>Sachar</w:t>
      </w:r>
      <w:proofErr w:type="spellEnd"/>
      <w:r w:rsidRPr="0041797D">
        <w:rPr>
          <w:rFonts w:ascii="Verdana" w:hAnsi="Verdana" w:cs="Verdana"/>
          <w:color w:val="000000"/>
          <w:spacing w:val="-7"/>
          <w:kern w:val="0"/>
          <w:sz w:val="18"/>
          <w:szCs w:val="18"/>
        </w:rPr>
        <w:t xml:space="preserve"> and Dr. TA </w:t>
      </w:r>
      <w:r w:rsidRPr="0041797D">
        <w:rPr>
          <w:rFonts w:ascii="Verdana" w:hAnsi="Verdana" w:cs="Verdana"/>
          <w:color w:val="000000"/>
          <w:spacing w:val="-7"/>
          <w:kern w:val="0"/>
          <w:sz w:val="18"/>
          <w:szCs w:val="18"/>
          <w:lang w:val="en-GB"/>
        </w:rPr>
        <w:t>Ullman</w:t>
      </w:r>
      <w:r w:rsidRPr="0041797D">
        <w:rPr>
          <w:rFonts w:ascii="Verdana" w:hAnsi="Verdana" w:cs="Verdana"/>
          <w:color w:val="000000"/>
          <w:spacing w:val="-7"/>
          <w:kern w:val="0"/>
          <w:sz w:val="18"/>
          <w:szCs w:val="18"/>
        </w:rPr>
        <w:t xml:space="preserve">, for their suggestions, Dr. F. Watts, for her English review, Esperanza </w:t>
      </w:r>
      <w:proofErr w:type="spellStart"/>
      <w:r w:rsidRPr="0041797D">
        <w:rPr>
          <w:rFonts w:ascii="Verdana" w:hAnsi="Verdana" w:cs="Verdana"/>
          <w:color w:val="000000"/>
          <w:spacing w:val="-7"/>
          <w:kern w:val="0"/>
          <w:sz w:val="18"/>
          <w:szCs w:val="18"/>
        </w:rPr>
        <w:t>Cuadrado</w:t>
      </w:r>
      <w:proofErr w:type="spellEnd"/>
      <w:r w:rsidRPr="0041797D">
        <w:rPr>
          <w:rFonts w:ascii="Verdana" w:hAnsi="Verdana" w:cs="Verdana"/>
          <w:color w:val="000000"/>
          <w:spacing w:val="-7"/>
          <w:kern w:val="0"/>
          <w:sz w:val="18"/>
          <w:szCs w:val="18"/>
        </w:rPr>
        <w:t>, for the blood extractions, and the Histo</w:t>
      </w:r>
      <w:r w:rsidRPr="0041797D">
        <w:rPr>
          <w:rFonts w:ascii="Verdana" w:hAnsi="Verdana" w:cs="Verdana"/>
          <w:color w:val="000000"/>
          <w:spacing w:val="-7"/>
          <w:kern w:val="0"/>
          <w:sz w:val="18"/>
          <w:szCs w:val="18"/>
        </w:rPr>
        <w:softHyphen/>
        <w:t xml:space="preserve">compatibility team of the Transfusion Center of the </w:t>
      </w:r>
      <w:proofErr w:type="spellStart"/>
      <w:r w:rsidRPr="0041797D">
        <w:rPr>
          <w:rFonts w:ascii="Verdana" w:hAnsi="Verdana" w:cs="Verdana"/>
          <w:color w:val="000000"/>
          <w:spacing w:val="-9"/>
          <w:kern w:val="0"/>
          <w:sz w:val="18"/>
          <w:szCs w:val="18"/>
        </w:rPr>
        <w:t>Valencian</w:t>
      </w:r>
      <w:proofErr w:type="spellEnd"/>
      <w:r w:rsidRPr="0041797D">
        <w:rPr>
          <w:rFonts w:ascii="Verdana" w:hAnsi="Verdana" w:cs="Verdana"/>
          <w:color w:val="000000"/>
          <w:spacing w:val="-9"/>
          <w:kern w:val="0"/>
          <w:sz w:val="18"/>
          <w:szCs w:val="18"/>
        </w:rPr>
        <w:t xml:space="preserve"> Community, for the human leucocyte </w:t>
      </w:r>
      <w:r w:rsidRPr="0041797D">
        <w:rPr>
          <w:rFonts w:ascii="Verdana" w:hAnsi="Verdana" w:cs="Verdana"/>
          <w:color w:val="000000"/>
          <w:spacing w:val="-7"/>
          <w:kern w:val="0"/>
          <w:sz w:val="18"/>
          <w:szCs w:val="18"/>
        </w:rPr>
        <w:t>antigen testing.</w:t>
      </w:r>
    </w:p>
    <w:p w:rsidR="00B77E3C" w:rsidRPr="0041797D" w:rsidRDefault="00B77E3C" w:rsidP="00B77E3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B77E3C" w:rsidRPr="0041797D" w:rsidRDefault="00B77E3C" w:rsidP="00B77E3C">
      <w:pPr>
        <w:suppressAutoHyphens/>
        <w:autoSpaceDE w:val="0"/>
        <w:autoSpaceDN w:val="0"/>
        <w:adjustRightInd w:val="0"/>
        <w:spacing w:line="360" w:lineRule="atLeast"/>
        <w:jc w:val="left"/>
        <w:textAlignment w:val="center"/>
        <w:rPr>
          <w:rFonts w:ascii="Book Antiqua" w:hAnsi="Book Antiqua" w:cs="Book Antiqua"/>
          <w:b/>
          <w:bCs/>
          <w:color w:val="000000"/>
          <w:spacing w:val="-2"/>
          <w:kern w:val="0"/>
          <w:sz w:val="24"/>
        </w:rPr>
      </w:pPr>
      <w:r w:rsidRPr="0041797D">
        <w:rPr>
          <w:rFonts w:ascii="Univers" w:hAnsi="Univers" w:cs="Univers"/>
          <w:b/>
          <w:bCs/>
          <w:color w:val="000000"/>
          <w:spacing w:val="-2"/>
          <w:kern w:val="0"/>
          <w:sz w:val="24"/>
        </w:rPr>
        <w:t>REFERENCES</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1</w:t>
      </w:r>
      <w:r w:rsidRPr="0041797D">
        <w:rPr>
          <w:color w:val="000000"/>
          <w:spacing w:val="-2"/>
          <w:kern w:val="0"/>
          <w:sz w:val="16"/>
          <w:szCs w:val="16"/>
        </w:rPr>
        <w:tab/>
      </w:r>
      <w:proofErr w:type="spellStart"/>
      <w:r w:rsidRPr="0041797D">
        <w:rPr>
          <w:b/>
          <w:bCs/>
          <w:color w:val="000000"/>
          <w:spacing w:val="-2"/>
          <w:kern w:val="0"/>
          <w:sz w:val="16"/>
          <w:szCs w:val="16"/>
        </w:rPr>
        <w:t>Fernández</w:t>
      </w:r>
      <w:proofErr w:type="spellEnd"/>
      <w:r w:rsidRPr="0041797D">
        <w:rPr>
          <w:b/>
          <w:bCs/>
          <w:color w:val="000000"/>
          <w:spacing w:val="-2"/>
          <w:kern w:val="0"/>
          <w:sz w:val="16"/>
          <w:szCs w:val="16"/>
        </w:rPr>
        <w:t xml:space="preserve"> A</w:t>
      </w:r>
      <w:r w:rsidRPr="0041797D">
        <w:rPr>
          <w:color w:val="000000"/>
          <w:spacing w:val="-2"/>
          <w:kern w:val="0"/>
          <w:sz w:val="16"/>
          <w:szCs w:val="16"/>
        </w:rPr>
        <w:t>, González L, de-la-</w:t>
      </w:r>
      <w:proofErr w:type="spellStart"/>
      <w:r w:rsidRPr="0041797D">
        <w:rPr>
          <w:color w:val="000000"/>
          <w:spacing w:val="-2"/>
          <w:kern w:val="0"/>
          <w:sz w:val="16"/>
          <w:szCs w:val="16"/>
        </w:rPr>
        <w:t>Fuente</w:t>
      </w:r>
      <w:proofErr w:type="spellEnd"/>
      <w:r w:rsidRPr="0041797D">
        <w:rPr>
          <w:color w:val="000000"/>
          <w:spacing w:val="-2"/>
          <w:kern w:val="0"/>
          <w:sz w:val="16"/>
          <w:szCs w:val="16"/>
        </w:rPr>
        <w:t xml:space="preserve"> J. Coeliac disease: clinical features in adult populations. </w:t>
      </w:r>
      <w:r w:rsidRPr="0041797D">
        <w:rPr>
          <w:i/>
          <w:iCs/>
          <w:color w:val="000000"/>
          <w:spacing w:val="-2"/>
          <w:kern w:val="0"/>
          <w:sz w:val="16"/>
          <w:szCs w:val="16"/>
        </w:rPr>
        <w:t xml:space="preserve">Rev </w:t>
      </w:r>
      <w:proofErr w:type="spellStart"/>
      <w:proofErr w:type="gramStart"/>
      <w:r w:rsidRPr="0041797D">
        <w:rPr>
          <w:i/>
          <w:iCs/>
          <w:color w:val="000000"/>
          <w:spacing w:val="-2"/>
          <w:kern w:val="0"/>
          <w:sz w:val="16"/>
          <w:szCs w:val="16"/>
        </w:rPr>
        <w:t>Esp</w:t>
      </w:r>
      <w:proofErr w:type="spellEnd"/>
      <w:proofErr w:type="gramEnd"/>
      <w:r w:rsidRPr="0041797D">
        <w:rPr>
          <w:i/>
          <w:iCs/>
          <w:color w:val="000000"/>
          <w:spacing w:val="-2"/>
          <w:kern w:val="0"/>
          <w:sz w:val="16"/>
          <w:szCs w:val="16"/>
        </w:rPr>
        <w:t xml:space="preserve"> </w:t>
      </w:r>
      <w:proofErr w:type="spellStart"/>
      <w:r w:rsidRPr="0041797D">
        <w:rPr>
          <w:i/>
          <w:iCs/>
          <w:color w:val="000000"/>
          <w:spacing w:val="-2"/>
          <w:kern w:val="0"/>
          <w:sz w:val="16"/>
          <w:szCs w:val="16"/>
        </w:rPr>
        <w:t>Enferm</w:t>
      </w:r>
      <w:proofErr w:type="spellEnd"/>
      <w:r w:rsidRPr="0041797D">
        <w:rPr>
          <w:i/>
          <w:iCs/>
          <w:color w:val="000000"/>
          <w:spacing w:val="-2"/>
          <w:kern w:val="0"/>
          <w:sz w:val="16"/>
          <w:szCs w:val="16"/>
        </w:rPr>
        <w:t xml:space="preserve"> Dig</w:t>
      </w:r>
      <w:r w:rsidRPr="0041797D">
        <w:rPr>
          <w:color w:val="000000"/>
          <w:spacing w:val="-2"/>
          <w:kern w:val="0"/>
          <w:sz w:val="16"/>
          <w:szCs w:val="16"/>
        </w:rPr>
        <w:t xml:space="preserve"> 2010; </w:t>
      </w:r>
      <w:r w:rsidRPr="0041797D">
        <w:rPr>
          <w:b/>
          <w:bCs/>
          <w:color w:val="000000"/>
          <w:spacing w:val="-2"/>
          <w:kern w:val="0"/>
          <w:sz w:val="16"/>
          <w:szCs w:val="16"/>
        </w:rPr>
        <w:t>102</w:t>
      </w:r>
      <w:r w:rsidRPr="0041797D">
        <w:rPr>
          <w:color w:val="000000"/>
          <w:spacing w:val="-2"/>
          <w:kern w:val="0"/>
          <w:sz w:val="16"/>
          <w:szCs w:val="16"/>
        </w:rPr>
        <w:t>: 466-471 [PMID: 20670066]</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2</w:t>
      </w:r>
      <w:r w:rsidRPr="0041797D">
        <w:rPr>
          <w:color w:val="000000"/>
          <w:spacing w:val="-2"/>
          <w:kern w:val="0"/>
          <w:sz w:val="16"/>
          <w:szCs w:val="16"/>
        </w:rPr>
        <w:tab/>
      </w:r>
      <w:r w:rsidRPr="0041797D">
        <w:rPr>
          <w:b/>
          <w:bCs/>
          <w:color w:val="000000"/>
          <w:spacing w:val="-2"/>
          <w:kern w:val="0"/>
          <w:sz w:val="16"/>
          <w:szCs w:val="16"/>
        </w:rPr>
        <w:t>West J</w:t>
      </w:r>
      <w:r w:rsidRPr="0041797D">
        <w:rPr>
          <w:color w:val="000000"/>
          <w:spacing w:val="-2"/>
          <w:kern w:val="0"/>
          <w:sz w:val="16"/>
          <w:szCs w:val="16"/>
        </w:rPr>
        <w:t xml:space="preserve">, Fleming KM, Tata LJ, Card TR, Crooks CJ. Incidence and prevalence of celiac disease and dermatitis </w:t>
      </w:r>
      <w:proofErr w:type="spellStart"/>
      <w:r w:rsidRPr="0041797D">
        <w:rPr>
          <w:color w:val="000000"/>
          <w:spacing w:val="-2"/>
          <w:kern w:val="0"/>
          <w:sz w:val="16"/>
          <w:szCs w:val="16"/>
        </w:rPr>
        <w:t>herpetiformis</w:t>
      </w:r>
      <w:proofErr w:type="spellEnd"/>
      <w:r w:rsidRPr="0041797D">
        <w:rPr>
          <w:color w:val="000000"/>
          <w:spacing w:val="-2"/>
          <w:kern w:val="0"/>
          <w:sz w:val="16"/>
          <w:szCs w:val="16"/>
        </w:rPr>
        <w:t xml:space="preserve"> in the UK over two decades: population-based study. </w:t>
      </w:r>
      <w:r w:rsidRPr="0041797D">
        <w:rPr>
          <w:i/>
          <w:iCs/>
          <w:color w:val="000000"/>
          <w:spacing w:val="-2"/>
          <w:kern w:val="0"/>
          <w:sz w:val="16"/>
          <w:szCs w:val="16"/>
        </w:rPr>
        <w:t xml:space="preserve">Am J </w:t>
      </w:r>
      <w:proofErr w:type="spellStart"/>
      <w:r w:rsidRPr="0041797D">
        <w:rPr>
          <w:i/>
          <w:iCs/>
          <w:color w:val="000000"/>
          <w:spacing w:val="-2"/>
          <w:kern w:val="0"/>
          <w:sz w:val="16"/>
          <w:szCs w:val="16"/>
        </w:rPr>
        <w:t>Gastroenterol</w:t>
      </w:r>
      <w:proofErr w:type="spellEnd"/>
      <w:r w:rsidRPr="0041797D">
        <w:rPr>
          <w:color w:val="000000"/>
          <w:spacing w:val="-2"/>
          <w:kern w:val="0"/>
          <w:sz w:val="16"/>
          <w:szCs w:val="16"/>
        </w:rPr>
        <w:t xml:space="preserve"> 2014; </w:t>
      </w:r>
      <w:r w:rsidRPr="0041797D">
        <w:rPr>
          <w:b/>
          <w:bCs/>
          <w:color w:val="000000"/>
          <w:spacing w:val="-2"/>
          <w:kern w:val="0"/>
          <w:sz w:val="16"/>
          <w:szCs w:val="16"/>
        </w:rPr>
        <w:t>109</w:t>
      </w:r>
      <w:r w:rsidRPr="0041797D">
        <w:rPr>
          <w:color w:val="000000"/>
          <w:spacing w:val="-2"/>
          <w:kern w:val="0"/>
          <w:sz w:val="16"/>
          <w:szCs w:val="16"/>
        </w:rPr>
        <w:t>: 757-768 [PMID: 24667576 DOI: 10.1038/ajg.2014.55]</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3</w:t>
      </w:r>
      <w:r w:rsidRPr="0041797D">
        <w:rPr>
          <w:color w:val="000000"/>
          <w:spacing w:val="-2"/>
          <w:kern w:val="0"/>
          <w:sz w:val="16"/>
          <w:szCs w:val="16"/>
        </w:rPr>
        <w:tab/>
      </w:r>
      <w:proofErr w:type="spellStart"/>
      <w:r w:rsidRPr="0041797D">
        <w:rPr>
          <w:b/>
          <w:bCs/>
          <w:color w:val="000000"/>
          <w:spacing w:val="-2"/>
          <w:kern w:val="0"/>
          <w:sz w:val="16"/>
          <w:szCs w:val="16"/>
        </w:rPr>
        <w:t>Saro</w:t>
      </w:r>
      <w:proofErr w:type="spellEnd"/>
      <w:r w:rsidRPr="0041797D">
        <w:rPr>
          <w:b/>
          <w:bCs/>
          <w:color w:val="000000"/>
          <w:spacing w:val="-2"/>
          <w:kern w:val="0"/>
          <w:sz w:val="16"/>
          <w:szCs w:val="16"/>
        </w:rPr>
        <w:t xml:space="preserve"> </w:t>
      </w:r>
      <w:proofErr w:type="spellStart"/>
      <w:r w:rsidRPr="0041797D">
        <w:rPr>
          <w:b/>
          <w:bCs/>
          <w:color w:val="000000"/>
          <w:spacing w:val="-2"/>
          <w:kern w:val="0"/>
          <w:sz w:val="16"/>
          <w:szCs w:val="16"/>
        </w:rPr>
        <w:t>Gismera</w:t>
      </w:r>
      <w:proofErr w:type="spellEnd"/>
      <w:r w:rsidRPr="0041797D">
        <w:rPr>
          <w:b/>
          <w:bCs/>
          <w:color w:val="000000"/>
          <w:spacing w:val="-2"/>
          <w:kern w:val="0"/>
          <w:sz w:val="16"/>
          <w:szCs w:val="16"/>
        </w:rPr>
        <w:t xml:space="preserve"> C</w:t>
      </w:r>
      <w:r w:rsidRPr="0041797D">
        <w:rPr>
          <w:color w:val="000000"/>
          <w:spacing w:val="-2"/>
          <w:kern w:val="0"/>
          <w:sz w:val="16"/>
          <w:szCs w:val="16"/>
        </w:rPr>
        <w:t xml:space="preserve">. </w:t>
      </w:r>
      <w:proofErr w:type="spellStart"/>
      <w:r w:rsidRPr="0041797D">
        <w:rPr>
          <w:color w:val="000000"/>
          <w:spacing w:val="-2"/>
          <w:kern w:val="0"/>
          <w:sz w:val="16"/>
          <w:szCs w:val="16"/>
        </w:rPr>
        <w:t>Por</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qué</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está</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aumentando</w:t>
      </w:r>
      <w:proofErr w:type="spellEnd"/>
      <w:r w:rsidRPr="0041797D">
        <w:rPr>
          <w:color w:val="000000"/>
          <w:spacing w:val="-2"/>
          <w:kern w:val="0"/>
          <w:sz w:val="16"/>
          <w:szCs w:val="16"/>
        </w:rPr>
        <w:t xml:space="preserve"> la </w:t>
      </w:r>
      <w:proofErr w:type="spellStart"/>
      <w:r w:rsidRPr="0041797D">
        <w:rPr>
          <w:color w:val="000000"/>
          <w:spacing w:val="-2"/>
          <w:kern w:val="0"/>
          <w:sz w:val="16"/>
          <w:szCs w:val="16"/>
        </w:rPr>
        <w:t>incidencia</w:t>
      </w:r>
      <w:proofErr w:type="spellEnd"/>
      <w:r w:rsidRPr="0041797D">
        <w:rPr>
          <w:color w:val="000000"/>
          <w:spacing w:val="-2"/>
          <w:kern w:val="0"/>
          <w:sz w:val="16"/>
          <w:szCs w:val="16"/>
        </w:rPr>
        <w:t xml:space="preserve"> de la EIIC? </w:t>
      </w:r>
      <w:r w:rsidRPr="0041797D">
        <w:rPr>
          <w:i/>
          <w:iCs/>
          <w:color w:val="000000"/>
          <w:spacing w:val="-2"/>
          <w:kern w:val="0"/>
          <w:sz w:val="16"/>
          <w:szCs w:val="16"/>
        </w:rPr>
        <w:t xml:space="preserve">EII al </w:t>
      </w:r>
      <w:proofErr w:type="spellStart"/>
      <w:r w:rsidRPr="0041797D">
        <w:rPr>
          <w:i/>
          <w:iCs/>
          <w:color w:val="000000"/>
          <w:spacing w:val="-2"/>
          <w:kern w:val="0"/>
          <w:sz w:val="16"/>
          <w:szCs w:val="16"/>
        </w:rPr>
        <w:t>día</w:t>
      </w:r>
      <w:proofErr w:type="spellEnd"/>
      <w:r w:rsidRPr="0041797D">
        <w:rPr>
          <w:i/>
          <w:iCs/>
          <w:color w:val="000000"/>
          <w:spacing w:val="-2"/>
          <w:kern w:val="0"/>
          <w:sz w:val="16"/>
          <w:szCs w:val="16"/>
        </w:rPr>
        <w:t xml:space="preserve"> GETECCU</w:t>
      </w:r>
      <w:r w:rsidRPr="0041797D">
        <w:rPr>
          <w:color w:val="000000"/>
          <w:spacing w:val="-2"/>
          <w:kern w:val="0"/>
          <w:sz w:val="16"/>
          <w:szCs w:val="16"/>
        </w:rPr>
        <w:t xml:space="preserve"> 2010; </w:t>
      </w:r>
      <w:r w:rsidRPr="0041797D">
        <w:rPr>
          <w:b/>
          <w:bCs/>
          <w:color w:val="000000"/>
          <w:spacing w:val="-2"/>
          <w:kern w:val="0"/>
          <w:sz w:val="16"/>
          <w:szCs w:val="16"/>
        </w:rPr>
        <w:t>9</w:t>
      </w:r>
      <w:r w:rsidRPr="0041797D">
        <w:rPr>
          <w:color w:val="000000"/>
          <w:spacing w:val="-2"/>
          <w:kern w:val="0"/>
          <w:sz w:val="16"/>
          <w:szCs w:val="16"/>
        </w:rPr>
        <w:t>: 139-149</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4</w:t>
      </w:r>
      <w:r w:rsidRPr="0041797D">
        <w:rPr>
          <w:color w:val="000000"/>
          <w:spacing w:val="-2"/>
          <w:kern w:val="0"/>
          <w:sz w:val="16"/>
          <w:szCs w:val="16"/>
        </w:rPr>
        <w:tab/>
      </w:r>
      <w:proofErr w:type="spellStart"/>
      <w:r w:rsidRPr="0041797D">
        <w:rPr>
          <w:b/>
          <w:bCs/>
          <w:color w:val="000000"/>
          <w:spacing w:val="-2"/>
          <w:kern w:val="0"/>
          <w:sz w:val="16"/>
          <w:szCs w:val="16"/>
        </w:rPr>
        <w:t>Mejía</w:t>
      </w:r>
      <w:proofErr w:type="spellEnd"/>
      <w:r w:rsidRPr="0041797D">
        <w:rPr>
          <w:b/>
          <w:bCs/>
          <w:color w:val="000000"/>
          <w:spacing w:val="-2"/>
          <w:kern w:val="0"/>
          <w:sz w:val="16"/>
          <w:szCs w:val="16"/>
        </w:rPr>
        <w:t>-León ME</w:t>
      </w:r>
      <w:r w:rsidRPr="0041797D">
        <w:rPr>
          <w:color w:val="000000"/>
          <w:spacing w:val="-2"/>
          <w:kern w:val="0"/>
          <w:sz w:val="16"/>
          <w:szCs w:val="16"/>
        </w:rPr>
        <w:t>, Ruiz-</w:t>
      </w:r>
      <w:proofErr w:type="spellStart"/>
      <w:r w:rsidRPr="0041797D">
        <w:rPr>
          <w:color w:val="000000"/>
          <w:spacing w:val="-2"/>
          <w:kern w:val="0"/>
          <w:sz w:val="16"/>
          <w:szCs w:val="16"/>
        </w:rPr>
        <w:t>Dyck</w:t>
      </w:r>
      <w:proofErr w:type="spellEnd"/>
      <w:r w:rsidRPr="0041797D">
        <w:rPr>
          <w:color w:val="000000"/>
          <w:spacing w:val="-2"/>
          <w:kern w:val="0"/>
          <w:sz w:val="16"/>
          <w:szCs w:val="16"/>
        </w:rPr>
        <w:t xml:space="preserve"> KM, </w:t>
      </w:r>
      <w:proofErr w:type="spellStart"/>
      <w:r w:rsidRPr="0041797D">
        <w:rPr>
          <w:color w:val="000000"/>
          <w:spacing w:val="-2"/>
          <w:kern w:val="0"/>
          <w:sz w:val="16"/>
          <w:szCs w:val="16"/>
        </w:rPr>
        <w:t>Calderón</w:t>
      </w:r>
      <w:proofErr w:type="spellEnd"/>
      <w:r w:rsidRPr="0041797D">
        <w:rPr>
          <w:color w:val="000000"/>
          <w:spacing w:val="-2"/>
          <w:kern w:val="0"/>
          <w:sz w:val="16"/>
          <w:szCs w:val="16"/>
        </w:rPr>
        <w:t xml:space="preserve"> de la </w:t>
      </w:r>
      <w:proofErr w:type="spellStart"/>
      <w:r w:rsidRPr="0041797D">
        <w:rPr>
          <w:color w:val="000000"/>
          <w:spacing w:val="-2"/>
          <w:kern w:val="0"/>
          <w:sz w:val="16"/>
          <w:szCs w:val="16"/>
        </w:rPr>
        <w:t>Barca</w:t>
      </w:r>
      <w:proofErr w:type="spellEnd"/>
      <w:r w:rsidRPr="0041797D">
        <w:rPr>
          <w:color w:val="000000"/>
          <w:spacing w:val="-2"/>
          <w:kern w:val="0"/>
          <w:sz w:val="16"/>
          <w:szCs w:val="16"/>
        </w:rPr>
        <w:t xml:space="preserve"> AM. </w:t>
      </w:r>
      <w:proofErr w:type="gramStart"/>
      <w:r w:rsidRPr="0041797D">
        <w:rPr>
          <w:color w:val="000000"/>
          <w:spacing w:val="-2"/>
          <w:kern w:val="0"/>
          <w:sz w:val="16"/>
          <w:szCs w:val="16"/>
        </w:rPr>
        <w:t>HLA-DQ genetic risk gradient for type 1 diabetes and celiac disease in northwestern Mexico.</w:t>
      </w:r>
      <w:proofErr w:type="gramEnd"/>
      <w:r w:rsidRPr="0041797D">
        <w:rPr>
          <w:color w:val="000000"/>
          <w:spacing w:val="-2"/>
          <w:kern w:val="0"/>
          <w:sz w:val="16"/>
          <w:szCs w:val="16"/>
        </w:rPr>
        <w:t xml:space="preserve"> </w:t>
      </w:r>
      <w:r w:rsidRPr="0041797D">
        <w:rPr>
          <w:i/>
          <w:iCs/>
          <w:color w:val="000000"/>
          <w:spacing w:val="-2"/>
          <w:kern w:val="0"/>
          <w:sz w:val="16"/>
          <w:szCs w:val="16"/>
        </w:rPr>
        <w:t xml:space="preserve">Rev </w:t>
      </w:r>
      <w:proofErr w:type="spellStart"/>
      <w:r w:rsidRPr="0041797D">
        <w:rPr>
          <w:i/>
          <w:iCs/>
          <w:color w:val="000000"/>
          <w:spacing w:val="-2"/>
          <w:kern w:val="0"/>
          <w:sz w:val="16"/>
          <w:szCs w:val="16"/>
        </w:rPr>
        <w:t>Gastroenterol</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Mex</w:t>
      </w:r>
      <w:proofErr w:type="spellEnd"/>
      <w:r w:rsidRPr="0041797D">
        <w:rPr>
          <w:color w:val="000000"/>
          <w:spacing w:val="-2"/>
          <w:kern w:val="0"/>
          <w:sz w:val="16"/>
          <w:szCs w:val="16"/>
        </w:rPr>
        <w:t xml:space="preserve"> 2015; </w:t>
      </w:r>
      <w:r w:rsidRPr="0041797D">
        <w:rPr>
          <w:b/>
          <w:bCs/>
          <w:color w:val="000000"/>
          <w:spacing w:val="-2"/>
          <w:kern w:val="0"/>
          <w:sz w:val="16"/>
          <w:szCs w:val="16"/>
        </w:rPr>
        <w:t>80</w:t>
      </w:r>
      <w:r w:rsidRPr="0041797D">
        <w:rPr>
          <w:color w:val="000000"/>
          <w:spacing w:val="-2"/>
          <w:kern w:val="0"/>
          <w:sz w:val="16"/>
          <w:szCs w:val="16"/>
        </w:rPr>
        <w:t>: 135-143 [PMID: 26088570 DOI: 10.1016/j.rgmx.2015.03.003]</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5</w:t>
      </w:r>
      <w:r w:rsidRPr="0041797D">
        <w:rPr>
          <w:color w:val="000000"/>
          <w:spacing w:val="-2"/>
          <w:kern w:val="0"/>
          <w:sz w:val="16"/>
          <w:szCs w:val="16"/>
        </w:rPr>
        <w:tab/>
      </w:r>
      <w:r w:rsidRPr="0041797D">
        <w:rPr>
          <w:b/>
          <w:bCs/>
          <w:color w:val="000000"/>
          <w:spacing w:val="-2"/>
          <w:kern w:val="0"/>
          <w:sz w:val="16"/>
          <w:szCs w:val="16"/>
        </w:rPr>
        <w:t>van Heel DA</w:t>
      </w:r>
      <w:r w:rsidRPr="0041797D">
        <w:rPr>
          <w:color w:val="000000"/>
          <w:spacing w:val="-2"/>
          <w:kern w:val="0"/>
          <w:sz w:val="16"/>
          <w:szCs w:val="16"/>
        </w:rPr>
        <w:t xml:space="preserve">, West J. Recent advances in coeliac disease. </w:t>
      </w:r>
      <w:r w:rsidRPr="0041797D">
        <w:rPr>
          <w:i/>
          <w:iCs/>
          <w:color w:val="000000"/>
          <w:spacing w:val="-2"/>
          <w:kern w:val="0"/>
          <w:sz w:val="16"/>
          <w:szCs w:val="16"/>
        </w:rPr>
        <w:t>Gut</w:t>
      </w:r>
      <w:r w:rsidRPr="0041797D">
        <w:rPr>
          <w:color w:val="000000"/>
          <w:spacing w:val="-2"/>
          <w:kern w:val="0"/>
          <w:sz w:val="16"/>
          <w:szCs w:val="16"/>
        </w:rPr>
        <w:t xml:space="preserve"> 2006; </w:t>
      </w:r>
      <w:r w:rsidRPr="0041797D">
        <w:rPr>
          <w:b/>
          <w:bCs/>
          <w:color w:val="000000"/>
          <w:spacing w:val="-2"/>
          <w:kern w:val="0"/>
          <w:sz w:val="16"/>
          <w:szCs w:val="16"/>
        </w:rPr>
        <w:t>55</w:t>
      </w:r>
      <w:r w:rsidRPr="0041797D">
        <w:rPr>
          <w:color w:val="000000"/>
          <w:spacing w:val="-2"/>
          <w:kern w:val="0"/>
          <w:sz w:val="16"/>
          <w:szCs w:val="16"/>
        </w:rPr>
        <w:t>: 1037-1046 [PMID: 16766754 DOI: 10.1136/gut.2005.075119]</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6</w:t>
      </w:r>
      <w:r w:rsidRPr="0041797D">
        <w:rPr>
          <w:color w:val="000000"/>
          <w:spacing w:val="-2"/>
          <w:kern w:val="0"/>
          <w:sz w:val="16"/>
          <w:szCs w:val="16"/>
        </w:rPr>
        <w:tab/>
      </w:r>
      <w:r w:rsidRPr="0041797D">
        <w:rPr>
          <w:b/>
          <w:bCs/>
          <w:color w:val="000000"/>
          <w:spacing w:val="-2"/>
          <w:kern w:val="0"/>
          <w:sz w:val="16"/>
          <w:szCs w:val="16"/>
        </w:rPr>
        <w:t>Jones RB</w:t>
      </w:r>
      <w:r w:rsidRPr="0041797D">
        <w:rPr>
          <w:color w:val="000000"/>
          <w:spacing w:val="-2"/>
          <w:kern w:val="0"/>
          <w:sz w:val="16"/>
          <w:szCs w:val="16"/>
        </w:rPr>
        <w:t xml:space="preserve">, Robins GG, </w:t>
      </w:r>
      <w:proofErr w:type="spellStart"/>
      <w:r w:rsidRPr="0041797D">
        <w:rPr>
          <w:color w:val="000000"/>
          <w:spacing w:val="-2"/>
          <w:kern w:val="0"/>
          <w:sz w:val="16"/>
          <w:szCs w:val="16"/>
        </w:rPr>
        <w:t>Howdle</w:t>
      </w:r>
      <w:proofErr w:type="spellEnd"/>
      <w:r w:rsidRPr="0041797D">
        <w:rPr>
          <w:color w:val="000000"/>
          <w:spacing w:val="-2"/>
          <w:kern w:val="0"/>
          <w:sz w:val="16"/>
          <w:szCs w:val="16"/>
        </w:rPr>
        <w:t xml:space="preserve"> PD. Advances in celiac disease. </w:t>
      </w:r>
      <w:proofErr w:type="spellStart"/>
      <w:r w:rsidRPr="0041797D">
        <w:rPr>
          <w:i/>
          <w:iCs/>
          <w:color w:val="000000"/>
          <w:spacing w:val="-2"/>
          <w:kern w:val="0"/>
          <w:sz w:val="16"/>
          <w:szCs w:val="16"/>
        </w:rPr>
        <w:t>Curr</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Opin</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Gastroenterol</w:t>
      </w:r>
      <w:proofErr w:type="spellEnd"/>
      <w:r w:rsidRPr="0041797D">
        <w:rPr>
          <w:color w:val="000000"/>
          <w:spacing w:val="-2"/>
          <w:kern w:val="0"/>
          <w:sz w:val="16"/>
          <w:szCs w:val="16"/>
        </w:rPr>
        <w:t xml:space="preserve"> 2006; </w:t>
      </w:r>
      <w:r w:rsidRPr="0041797D">
        <w:rPr>
          <w:b/>
          <w:bCs/>
          <w:color w:val="000000"/>
          <w:spacing w:val="-2"/>
          <w:kern w:val="0"/>
          <w:sz w:val="16"/>
          <w:szCs w:val="16"/>
        </w:rPr>
        <w:t>22</w:t>
      </w:r>
      <w:r w:rsidRPr="0041797D">
        <w:rPr>
          <w:color w:val="000000"/>
          <w:spacing w:val="-2"/>
          <w:kern w:val="0"/>
          <w:sz w:val="16"/>
          <w:szCs w:val="16"/>
        </w:rPr>
        <w:t>: 117-123 [PMID: 16462166 DOI: 10.1097/01.mog.0000208460.46395.9b]</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7</w:t>
      </w:r>
      <w:r w:rsidRPr="0041797D">
        <w:rPr>
          <w:color w:val="000000"/>
          <w:spacing w:val="-2"/>
          <w:kern w:val="0"/>
          <w:sz w:val="16"/>
          <w:szCs w:val="16"/>
        </w:rPr>
        <w:tab/>
      </w:r>
      <w:proofErr w:type="spellStart"/>
      <w:r w:rsidRPr="0041797D">
        <w:rPr>
          <w:b/>
          <w:bCs/>
          <w:color w:val="000000"/>
          <w:spacing w:val="-2"/>
          <w:kern w:val="0"/>
          <w:sz w:val="16"/>
          <w:szCs w:val="16"/>
        </w:rPr>
        <w:t>Riestra</w:t>
      </w:r>
      <w:proofErr w:type="spellEnd"/>
      <w:r w:rsidRPr="0041797D">
        <w:rPr>
          <w:b/>
          <w:bCs/>
          <w:color w:val="000000"/>
          <w:spacing w:val="-2"/>
          <w:kern w:val="0"/>
          <w:sz w:val="16"/>
          <w:szCs w:val="16"/>
        </w:rPr>
        <w:t xml:space="preserve"> S</w:t>
      </w:r>
      <w:r w:rsidRPr="0041797D">
        <w:rPr>
          <w:color w:val="000000"/>
          <w:spacing w:val="-2"/>
          <w:kern w:val="0"/>
          <w:sz w:val="16"/>
          <w:szCs w:val="16"/>
        </w:rPr>
        <w:t xml:space="preserve">, </w:t>
      </w:r>
      <w:proofErr w:type="spellStart"/>
      <w:r w:rsidRPr="0041797D">
        <w:rPr>
          <w:color w:val="000000"/>
          <w:spacing w:val="-2"/>
          <w:kern w:val="0"/>
          <w:sz w:val="16"/>
          <w:szCs w:val="16"/>
        </w:rPr>
        <w:t>Fernández</w:t>
      </w:r>
      <w:proofErr w:type="spellEnd"/>
      <w:r w:rsidRPr="0041797D">
        <w:rPr>
          <w:color w:val="000000"/>
          <w:spacing w:val="-2"/>
          <w:kern w:val="0"/>
          <w:sz w:val="16"/>
          <w:szCs w:val="16"/>
        </w:rPr>
        <w:t xml:space="preserve"> E, Rodrigo L, Garcia S, </w:t>
      </w:r>
      <w:proofErr w:type="spellStart"/>
      <w:r w:rsidRPr="0041797D">
        <w:rPr>
          <w:color w:val="000000"/>
          <w:spacing w:val="-2"/>
          <w:kern w:val="0"/>
          <w:sz w:val="16"/>
          <w:szCs w:val="16"/>
        </w:rPr>
        <w:t>Ocio</w:t>
      </w:r>
      <w:proofErr w:type="spellEnd"/>
      <w:r w:rsidRPr="0041797D">
        <w:rPr>
          <w:color w:val="000000"/>
          <w:spacing w:val="-2"/>
          <w:kern w:val="0"/>
          <w:sz w:val="16"/>
          <w:szCs w:val="16"/>
        </w:rPr>
        <w:t xml:space="preserve"> G. Prevalence of Coeliac disease in the general population of northern Spain. </w:t>
      </w:r>
      <w:proofErr w:type="gramStart"/>
      <w:r w:rsidRPr="0041797D">
        <w:rPr>
          <w:color w:val="000000"/>
          <w:spacing w:val="-2"/>
          <w:kern w:val="0"/>
          <w:sz w:val="16"/>
          <w:szCs w:val="16"/>
        </w:rPr>
        <w:t>Strategies of serologic screening.</w:t>
      </w:r>
      <w:proofErr w:type="gramEnd"/>
      <w:r w:rsidRPr="0041797D">
        <w:rPr>
          <w:color w:val="000000"/>
          <w:spacing w:val="-2"/>
          <w:kern w:val="0"/>
          <w:sz w:val="16"/>
          <w:szCs w:val="16"/>
        </w:rPr>
        <w:t xml:space="preserve"> </w:t>
      </w:r>
      <w:proofErr w:type="spellStart"/>
      <w:r w:rsidRPr="0041797D">
        <w:rPr>
          <w:i/>
          <w:iCs/>
          <w:color w:val="000000"/>
          <w:spacing w:val="-2"/>
          <w:kern w:val="0"/>
          <w:sz w:val="16"/>
          <w:szCs w:val="16"/>
        </w:rPr>
        <w:t>Scand</w:t>
      </w:r>
      <w:proofErr w:type="spellEnd"/>
      <w:r w:rsidRPr="0041797D">
        <w:rPr>
          <w:i/>
          <w:iCs/>
          <w:color w:val="000000"/>
          <w:spacing w:val="-2"/>
          <w:kern w:val="0"/>
          <w:sz w:val="16"/>
          <w:szCs w:val="16"/>
        </w:rPr>
        <w:t xml:space="preserve"> J </w:t>
      </w:r>
      <w:proofErr w:type="spellStart"/>
      <w:r w:rsidRPr="0041797D">
        <w:rPr>
          <w:i/>
          <w:iCs/>
          <w:color w:val="000000"/>
          <w:spacing w:val="-2"/>
          <w:kern w:val="0"/>
          <w:sz w:val="16"/>
          <w:szCs w:val="16"/>
        </w:rPr>
        <w:t>Gastroenterol</w:t>
      </w:r>
      <w:proofErr w:type="spellEnd"/>
      <w:r w:rsidRPr="0041797D">
        <w:rPr>
          <w:color w:val="000000"/>
          <w:spacing w:val="-2"/>
          <w:kern w:val="0"/>
          <w:sz w:val="16"/>
          <w:szCs w:val="16"/>
        </w:rPr>
        <w:t xml:space="preserve"> 2000; </w:t>
      </w:r>
      <w:r w:rsidRPr="0041797D">
        <w:rPr>
          <w:b/>
          <w:bCs/>
          <w:color w:val="000000"/>
          <w:spacing w:val="-2"/>
          <w:kern w:val="0"/>
          <w:sz w:val="16"/>
          <w:szCs w:val="16"/>
        </w:rPr>
        <w:t>35</w:t>
      </w:r>
      <w:r w:rsidRPr="0041797D">
        <w:rPr>
          <w:color w:val="000000"/>
          <w:spacing w:val="-2"/>
          <w:kern w:val="0"/>
          <w:sz w:val="16"/>
          <w:szCs w:val="16"/>
        </w:rPr>
        <w:t>: 398-402 [PMID: 10831263]</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8</w:t>
      </w:r>
      <w:r w:rsidRPr="0041797D">
        <w:rPr>
          <w:color w:val="000000"/>
          <w:spacing w:val="-2"/>
          <w:kern w:val="0"/>
          <w:sz w:val="16"/>
          <w:szCs w:val="16"/>
        </w:rPr>
        <w:tab/>
      </w:r>
      <w:proofErr w:type="spellStart"/>
      <w:r w:rsidRPr="0041797D">
        <w:rPr>
          <w:b/>
          <w:bCs/>
          <w:color w:val="000000"/>
          <w:spacing w:val="-2"/>
          <w:kern w:val="0"/>
          <w:sz w:val="16"/>
          <w:szCs w:val="16"/>
        </w:rPr>
        <w:t>Cilleruelo</w:t>
      </w:r>
      <w:proofErr w:type="spellEnd"/>
      <w:r w:rsidRPr="0041797D">
        <w:rPr>
          <w:b/>
          <w:bCs/>
          <w:color w:val="000000"/>
          <w:spacing w:val="-2"/>
          <w:kern w:val="0"/>
          <w:sz w:val="16"/>
          <w:szCs w:val="16"/>
        </w:rPr>
        <w:t xml:space="preserve"> ML</w:t>
      </w:r>
      <w:r w:rsidRPr="0041797D">
        <w:rPr>
          <w:color w:val="000000"/>
          <w:spacing w:val="-2"/>
          <w:kern w:val="0"/>
          <w:sz w:val="16"/>
          <w:szCs w:val="16"/>
        </w:rPr>
        <w:t xml:space="preserve">, Roman E, Jimenez J, </w:t>
      </w:r>
      <w:proofErr w:type="spellStart"/>
      <w:r w:rsidRPr="0041797D">
        <w:rPr>
          <w:color w:val="000000"/>
          <w:spacing w:val="-2"/>
          <w:kern w:val="0"/>
          <w:sz w:val="16"/>
          <w:szCs w:val="16"/>
        </w:rPr>
        <w:t>Rivero</w:t>
      </w:r>
      <w:proofErr w:type="spellEnd"/>
      <w:r w:rsidRPr="0041797D">
        <w:rPr>
          <w:color w:val="000000"/>
          <w:spacing w:val="-2"/>
          <w:kern w:val="0"/>
          <w:sz w:val="16"/>
          <w:szCs w:val="16"/>
        </w:rPr>
        <w:t xml:space="preserve"> Martín MJ, Barrio Torres J, </w:t>
      </w:r>
      <w:proofErr w:type="spellStart"/>
      <w:r w:rsidRPr="0041797D">
        <w:rPr>
          <w:color w:val="000000"/>
          <w:spacing w:val="-2"/>
          <w:kern w:val="0"/>
          <w:sz w:val="16"/>
          <w:szCs w:val="16"/>
        </w:rPr>
        <w:t>Castaño</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Pascual</w:t>
      </w:r>
      <w:proofErr w:type="spellEnd"/>
      <w:r w:rsidRPr="0041797D">
        <w:rPr>
          <w:color w:val="000000"/>
          <w:spacing w:val="-2"/>
          <w:kern w:val="0"/>
          <w:sz w:val="16"/>
          <w:szCs w:val="16"/>
        </w:rPr>
        <w:t xml:space="preserve"> A, </w:t>
      </w:r>
      <w:proofErr w:type="spellStart"/>
      <w:r w:rsidRPr="0041797D">
        <w:rPr>
          <w:color w:val="000000"/>
          <w:spacing w:val="-2"/>
          <w:kern w:val="0"/>
          <w:sz w:val="16"/>
          <w:szCs w:val="16"/>
        </w:rPr>
        <w:t>Campelo</w:t>
      </w:r>
      <w:proofErr w:type="spellEnd"/>
      <w:r w:rsidRPr="0041797D">
        <w:rPr>
          <w:color w:val="000000"/>
          <w:spacing w:val="-2"/>
          <w:kern w:val="0"/>
          <w:sz w:val="16"/>
          <w:szCs w:val="16"/>
        </w:rPr>
        <w:t xml:space="preserve"> Moreno O, </w:t>
      </w:r>
      <w:proofErr w:type="spellStart"/>
      <w:r w:rsidRPr="0041797D">
        <w:rPr>
          <w:color w:val="000000"/>
          <w:spacing w:val="-2"/>
          <w:kern w:val="0"/>
          <w:sz w:val="16"/>
          <w:szCs w:val="16"/>
        </w:rPr>
        <w:t>Fernández</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Rincón</w:t>
      </w:r>
      <w:proofErr w:type="spellEnd"/>
      <w:r w:rsidRPr="0041797D">
        <w:rPr>
          <w:color w:val="000000"/>
          <w:spacing w:val="-2"/>
          <w:kern w:val="0"/>
          <w:sz w:val="16"/>
          <w:szCs w:val="16"/>
        </w:rPr>
        <w:t xml:space="preserve"> A. </w:t>
      </w:r>
      <w:proofErr w:type="spellStart"/>
      <w:r w:rsidRPr="0041797D">
        <w:rPr>
          <w:color w:val="000000"/>
          <w:spacing w:val="-2"/>
          <w:kern w:val="0"/>
          <w:sz w:val="16"/>
          <w:szCs w:val="16"/>
        </w:rPr>
        <w:t>Enfermedad</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celíaca</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silente</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Explorando</w:t>
      </w:r>
      <w:proofErr w:type="spellEnd"/>
      <w:r w:rsidRPr="0041797D">
        <w:rPr>
          <w:color w:val="000000"/>
          <w:spacing w:val="-2"/>
          <w:kern w:val="0"/>
          <w:sz w:val="16"/>
          <w:szCs w:val="16"/>
        </w:rPr>
        <w:t xml:space="preserve"> el iceberg en </w:t>
      </w:r>
      <w:proofErr w:type="spellStart"/>
      <w:r w:rsidRPr="0041797D">
        <w:rPr>
          <w:color w:val="000000"/>
          <w:spacing w:val="-2"/>
          <w:kern w:val="0"/>
          <w:sz w:val="16"/>
          <w:szCs w:val="16"/>
        </w:rPr>
        <w:t>población</w:t>
      </w:r>
      <w:proofErr w:type="spellEnd"/>
      <w:r w:rsidRPr="0041797D">
        <w:rPr>
          <w:color w:val="000000"/>
          <w:spacing w:val="-2"/>
          <w:kern w:val="0"/>
          <w:sz w:val="16"/>
          <w:szCs w:val="16"/>
        </w:rPr>
        <w:t xml:space="preserve"> escolar. </w:t>
      </w:r>
      <w:r w:rsidRPr="0041797D">
        <w:rPr>
          <w:i/>
          <w:iCs/>
          <w:color w:val="000000"/>
          <w:spacing w:val="-2"/>
          <w:kern w:val="0"/>
          <w:sz w:val="16"/>
          <w:szCs w:val="16"/>
        </w:rPr>
        <w:t xml:space="preserve">An </w:t>
      </w:r>
      <w:proofErr w:type="spellStart"/>
      <w:proofErr w:type="gramStart"/>
      <w:r w:rsidRPr="0041797D">
        <w:rPr>
          <w:i/>
          <w:iCs/>
          <w:color w:val="000000"/>
          <w:spacing w:val="-2"/>
          <w:kern w:val="0"/>
          <w:sz w:val="16"/>
          <w:szCs w:val="16"/>
        </w:rPr>
        <w:t>Esp</w:t>
      </w:r>
      <w:proofErr w:type="spellEnd"/>
      <w:proofErr w:type="gramEnd"/>
      <w:r w:rsidRPr="0041797D">
        <w:rPr>
          <w:i/>
          <w:iCs/>
          <w:color w:val="000000"/>
          <w:spacing w:val="-2"/>
          <w:kern w:val="0"/>
          <w:sz w:val="16"/>
          <w:szCs w:val="16"/>
        </w:rPr>
        <w:t xml:space="preserve"> </w:t>
      </w:r>
      <w:proofErr w:type="spellStart"/>
      <w:r w:rsidRPr="0041797D">
        <w:rPr>
          <w:i/>
          <w:iCs/>
          <w:color w:val="000000"/>
          <w:spacing w:val="-2"/>
          <w:kern w:val="0"/>
          <w:sz w:val="16"/>
          <w:szCs w:val="16"/>
        </w:rPr>
        <w:t>Pediatr</w:t>
      </w:r>
      <w:proofErr w:type="spellEnd"/>
      <w:r w:rsidRPr="0041797D">
        <w:rPr>
          <w:color w:val="000000"/>
          <w:spacing w:val="-2"/>
          <w:kern w:val="0"/>
          <w:sz w:val="16"/>
          <w:szCs w:val="16"/>
        </w:rPr>
        <w:t xml:space="preserve"> 2002; </w:t>
      </w:r>
      <w:r w:rsidRPr="0041797D">
        <w:rPr>
          <w:b/>
          <w:bCs/>
          <w:color w:val="000000"/>
          <w:spacing w:val="-2"/>
          <w:kern w:val="0"/>
          <w:sz w:val="16"/>
          <w:szCs w:val="16"/>
        </w:rPr>
        <w:t>57</w:t>
      </w:r>
      <w:r w:rsidRPr="0041797D">
        <w:rPr>
          <w:color w:val="000000"/>
          <w:spacing w:val="-2"/>
          <w:kern w:val="0"/>
          <w:sz w:val="16"/>
          <w:szCs w:val="16"/>
        </w:rPr>
        <w:t>: 321-326</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9</w:t>
      </w:r>
      <w:r w:rsidRPr="0041797D">
        <w:rPr>
          <w:color w:val="000000"/>
          <w:spacing w:val="-2"/>
          <w:kern w:val="0"/>
          <w:sz w:val="16"/>
          <w:szCs w:val="16"/>
        </w:rPr>
        <w:tab/>
      </w:r>
      <w:proofErr w:type="spellStart"/>
      <w:r w:rsidRPr="0041797D">
        <w:rPr>
          <w:b/>
          <w:bCs/>
          <w:color w:val="000000"/>
          <w:spacing w:val="-2"/>
          <w:kern w:val="0"/>
          <w:sz w:val="16"/>
          <w:szCs w:val="16"/>
        </w:rPr>
        <w:t>Castaño</w:t>
      </w:r>
      <w:proofErr w:type="spellEnd"/>
      <w:r w:rsidRPr="0041797D">
        <w:rPr>
          <w:b/>
          <w:bCs/>
          <w:color w:val="000000"/>
          <w:spacing w:val="-2"/>
          <w:kern w:val="0"/>
          <w:sz w:val="16"/>
          <w:szCs w:val="16"/>
        </w:rPr>
        <w:t xml:space="preserve"> L</w:t>
      </w:r>
      <w:r w:rsidRPr="0041797D">
        <w:rPr>
          <w:color w:val="000000"/>
          <w:spacing w:val="-2"/>
          <w:kern w:val="0"/>
          <w:sz w:val="16"/>
          <w:szCs w:val="16"/>
        </w:rPr>
        <w:t xml:space="preserve">, </w:t>
      </w:r>
      <w:proofErr w:type="spellStart"/>
      <w:r w:rsidRPr="0041797D">
        <w:rPr>
          <w:color w:val="000000"/>
          <w:spacing w:val="-2"/>
          <w:kern w:val="0"/>
          <w:sz w:val="16"/>
          <w:szCs w:val="16"/>
        </w:rPr>
        <w:t>Blarduni</w:t>
      </w:r>
      <w:proofErr w:type="spellEnd"/>
      <w:r w:rsidRPr="0041797D">
        <w:rPr>
          <w:color w:val="000000"/>
          <w:spacing w:val="-2"/>
          <w:kern w:val="0"/>
          <w:sz w:val="16"/>
          <w:szCs w:val="16"/>
        </w:rPr>
        <w:t xml:space="preserve"> E, Ortiz L, </w:t>
      </w:r>
      <w:proofErr w:type="spellStart"/>
      <w:r w:rsidRPr="0041797D">
        <w:rPr>
          <w:color w:val="000000"/>
          <w:spacing w:val="-2"/>
          <w:kern w:val="0"/>
          <w:sz w:val="16"/>
          <w:szCs w:val="16"/>
        </w:rPr>
        <w:t>Núñez</w:t>
      </w:r>
      <w:proofErr w:type="spellEnd"/>
      <w:r w:rsidRPr="0041797D">
        <w:rPr>
          <w:color w:val="000000"/>
          <w:spacing w:val="-2"/>
          <w:kern w:val="0"/>
          <w:sz w:val="16"/>
          <w:szCs w:val="16"/>
        </w:rPr>
        <w:t xml:space="preserve"> J, Bilbao JR, Rica I, </w:t>
      </w:r>
      <w:proofErr w:type="spellStart"/>
      <w:r w:rsidRPr="0041797D">
        <w:rPr>
          <w:color w:val="000000"/>
          <w:spacing w:val="-2"/>
          <w:kern w:val="0"/>
          <w:sz w:val="16"/>
          <w:szCs w:val="16"/>
        </w:rPr>
        <w:t>Martul</w:t>
      </w:r>
      <w:proofErr w:type="spellEnd"/>
      <w:r w:rsidRPr="0041797D">
        <w:rPr>
          <w:color w:val="000000"/>
          <w:spacing w:val="-2"/>
          <w:kern w:val="0"/>
          <w:sz w:val="16"/>
          <w:szCs w:val="16"/>
        </w:rPr>
        <w:t xml:space="preserve"> P, Vitoria JC. Prospective population screening for celiac disease: high prevalence in the first 3 years of life. </w:t>
      </w:r>
      <w:r w:rsidRPr="0041797D">
        <w:rPr>
          <w:i/>
          <w:iCs/>
          <w:color w:val="000000"/>
          <w:spacing w:val="-2"/>
          <w:kern w:val="0"/>
          <w:sz w:val="16"/>
          <w:szCs w:val="16"/>
        </w:rPr>
        <w:t xml:space="preserve">J </w:t>
      </w:r>
      <w:proofErr w:type="spellStart"/>
      <w:r w:rsidRPr="0041797D">
        <w:rPr>
          <w:i/>
          <w:iCs/>
          <w:color w:val="000000"/>
          <w:spacing w:val="-2"/>
          <w:kern w:val="0"/>
          <w:sz w:val="16"/>
          <w:szCs w:val="16"/>
        </w:rPr>
        <w:t>Pediatr</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Gastroenterol</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Nutr</w:t>
      </w:r>
      <w:proofErr w:type="spellEnd"/>
      <w:r w:rsidRPr="0041797D">
        <w:rPr>
          <w:color w:val="000000"/>
          <w:spacing w:val="-2"/>
          <w:kern w:val="0"/>
          <w:sz w:val="16"/>
          <w:szCs w:val="16"/>
        </w:rPr>
        <w:t xml:space="preserve"> 2004; </w:t>
      </w:r>
      <w:r w:rsidRPr="0041797D">
        <w:rPr>
          <w:b/>
          <w:bCs/>
          <w:color w:val="000000"/>
          <w:spacing w:val="-2"/>
          <w:kern w:val="0"/>
          <w:sz w:val="16"/>
          <w:szCs w:val="16"/>
        </w:rPr>
        <w:t>39</w:t>
      </w:r>
      <w:r w:rsidRPr="0041797D">
        <w:rPr>
          <w:color w:val="000000"/>
          <w:spacing w:val="-2"/>
          <w:kern w:val="0"/>
          <w:sz w:val="16"/>
          <w:szCs w:val="16"/>
        </w:rPr>
        <w:t>: 80-84 [PMID: 15187786]</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10</w:t>
      </w:r>
      <w:r w:rsidRPr="0041797D">
        <w:rPr>
          <w:color w:val="000000"/>
          <w:spacing w:val="-2"/>
          <w:kern w:val="0"/>
          <w:sz w:val="16"/>
          <w:szCs w:val="16"/>
        </w:rPr>
        <w:tab/>
      </w:r>
      <w:proofErr w:type="spellStart"/>
      <w:r w:rsidRPr="0041797D">
        <w:rPr>
          <w:b/>
          <w:bCs/>
          <w:color w:val="000000"/>
          <w:spacing w:val="-2"/>
          <w:kern w:val="0"/>
          <w:sz w:val="16"/>
          <w:szCs w:val="16"/>
        </w:rPr>
        <w:t>Polanco</w:t>
      </w:r>
      <w:proofErr w:type="spellEnd"/>
      <w:r w:rsidRPr="0041797D">
        <w:rPr>
          <w:b/>
          <w:bCs/>
          <w:color w:val="000000"/>
          <w:spacing w:val="-2"/>
          <w:kern w:val="0"/>
          <w:sz w:val="16"/>
          <w:szCs w:val="16"/>
        </w:rPr>
        <w:t xml:space="preserve"> I</w:t>
      </w:r>
      <w:r w:rsidRPr="0041797D">
        <w:rPr>
          <w:color w:val="000000"/>
          <w:spacing w:val="-2"/>
          <w:kern w:val="0"/>
          <w:sz w:val="16"/>
          <w:szCs w:val="16"/>
        </w:rPr>
        <w:t xml:space="preserve">, Arroba ML, </w:t>
      </w:r>
      <w:proofErr w:type="spellStart"/>
      <w:r w:rsidRPr="0041797D">
        <w:rPr>
          <w:color w:val="000000"/>
          <w:spacing w:val="-2"/>
          <w:kern w:val="0"/>
          <w:sz w:val="16"/>
          <w:szCs w:val="16"/>
        </w:rPr>
        <w:t>Gálvez</w:t>
      </w:r>
      <w:proofErr w:type="spellEnd"/>
      <w:r w:rsidRPr="0041797D">
        <w:rPr>
          <w:color w:val="000000"/>
          <w:spacing w:val="-2"/>
          <w:kern w:val="0"/>
          <w:sz w:val="16"/>
          <w:szCs w:val="16"/>
        </w:rPr>
        <w:t xml:space="preserve"> P. </w:t>
      </w:r>
      <w:proofErr w:type="spellStart"/>
      <w:r w:rsidRPr="0041797D">
        <w:rPr>
          <w:color w:val="000000"/>
          <w:spacing w:val="-2"/>
          <w:kern w:val="0"/>
          <w:sz w:val="16"/>
          <w:szCs w:val="16"/>
        </w:rPr>
        <w:t>Grupo</w:t>
      </w:r>
      <w:proofErr w:type="spellEnd"/>
      <w:r w:rsidRPr="0041797D">
        <w:rPr>
          <w:color w:val="000000"/>
          <w:spacing w:val="-2"/>
          <w:kern w:val="0"/>
          <w:sz w:val="16"/>
          <w:szCs w:val="16"/>
        </w:rPr>
        <w:t xml:space="preserve"> de </w:t>
      </w:r>
      <w:proofErr w:type="spellStart"/>
      <w:r w:rsidRPr="0041797D">
        <w:rPr>
          <w:color w:val="000000"/>
          <w:spacing w:val="-2"/>
          <w:kern w:val="0"/>
          <w:sz w:val="16"/>
          <w:szCs w:val="16"/>
        </w:rPr>
        <w:t>Trabajo</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sobre</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Diagnóstico</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precoz</w:t>
      </w:r>
      <w:proofErr w:type="spellEnd"/>
      <w:r w:rsidRPr="0041797D">
        <w:rPr>
          <w:color w:val="000000"/>
          <w:spacing w:val="-2"/>
          <w:kern w:val="0"/>
          <w:sz w:val="16"/>
          <w:szCs w:val="16"/>
        </w:rPr>
        <w:t xml:space="preserve"> de la </w:t>
      </w:r>
      <w:proofErr w:type="spellStart"/>
      <w:r w:rsidRPr="0041797D">
        <w:rPr>
          <w:color w:val="000000"/>
          <w:spacing w:val="-2"/>
          <w:kern w:val="0"/>
          <w:sz w:val="16"/>
          <w:szCs w:val="16"/>
        </w:rPr>
        <w:t>enfermedad</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celíaca</w:t>
      </w:r>
      <w:proofErr w:type="spellEnd"/>
      <w:r w:rsidRPr="0041797D">
        <w:rPr>
          <w:color w:val="000000"/>
          <w:spacing w:val="-2"/>
          <w:kern w:val="0"/>
          <w:sz w:val="16"/>
          <w:szCs w:val="16"/>
        </w:rPr>
        <w:t xml:space="preserve">”. </w:t>
      </w:r>
      <w:proofErr w:type="spellStart"/>
      <w:proofErr w:type="gramStart"/>
      <w:r w:rsidRPr="0041797D">
        <w:rPr>
          <w:color w:val="000000"/>
          <w:spacing w:val="-2"/>
          <w:kern w:val="0"/>
          <w:sz w:val="16"/>
          <w:szCs w:val="16"/>
        </w:rPr>
        <w:t>Diagnóstico</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precoz</w:t>
      </w:r>
      <w:proofErr w:type="spellEnd"/>
      <w:r w:rsidRPr="0041797D">
        <w:rPr>
          <w:color w:val="000000"/>
          <w:spacing w:val="-2"/>
          <w:kern w:val="0"/>
          <w:sz w:val="16"/>
          <w:szCs w:val="16"/>
        </w:rPr>
        <w:t xml:space="preserve"> de la </w:t>
      </w:r>
      <w:proofErr w:type="spellStart"/>
      <w:r w:rsidRPr="0041797D">
        <w:rPr>
          <w:color w:val="000000"/>
          <w:spacing w:val="-2"/>
          <w:kern w:val="0"/>
          <w:sz w:val="16"/>
          <w:szCs w:val="16"/>
        </w:rPr>
        <w:t>enfermedad</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celíaca</w:t>
      </w:r>
      <w:proofErr w:type="spellEnd"/>
      <w:r w:rsidRPr="0041797D">
        <w:rPr>
          <w:color w:val="000000"/>
          <w:spacing w:val="-2"/>
          <w:kern w:val="0"/>
          <w:sz w:val="16"/>
          <w:szCs w:val="16"/>
        </w:rPr>
        <w:t>.</w:t>
      </w:r>
      <w:proofErr w:type="gramEnd"/>
      <w:r w:rsidRPr="0041797D">
        <w:rPr>
          <w:color w:val="000000"/>
          <w:spacing w:val="-2"/>
          <w:kern w:val="0"/>
          <w:sz w:val="16"/>
          <w:szCs w:val="16"/>
        </w:rPr>
        <w:t xml:space="preserve"> </w:t>
      </w:r>
      <w:proofErr w:type="spellStart"/>
      <w:r w:rsidRPr="0041797D">
        <w:rPr>
          <w:color w:val="000000"/>
          <w:spacing w:val="-2"/>
          <w:kern w:val="0"/>
          <w:sz w:val="16"/>
          <w:szCs w:val="16"/>
        </w:rPr>
        <w:t>Ministerio</w:t>
      </w:r>
      <w:proofErr w:type="spellEnd"/>
      <w:r w:rsidRPr="0041797D">
        <w:rPr>
          <w:color w:val="000000"/>
          <w:spacing w:val="-2"/>
          <w:kern w:val="0"/>
          <w:sz w:val="16"/>
          <w:szCs w:val="16"/>
        </w:rPr>
        <w:t xml:space="preserve"> de </w:t>
      </w:r>
      <w:proofErr w:type="spellStart"/>
      <w:r w:rsidRPr="0041797D">
        <w:rPr>
          <w:color w:val="000000"/>
          <w:spacing w:val="-2"/>
          <w:kern w:val="0"/>
          <w:sz w:val="16"/>
          <w:szCs w:val="16"/>
        </w:rPr>
        <w:t>Sanidad</w:t>
      </w:r>
      <w:proofErr w:type="spellEnd"/>
      <w:r w:rsidRPr="0041797D">
        <w:rPr>
          <w:color w:val="000000"/>
          <w:spacing w:val="-2"/>
          <w:kern w:val="0"/>
          <w:sz w:val="16"/>
          <w:szCs w:val="16"/>
        </w:rPr>
        <w:t xml:space="preserve"> y </w:t>
      </w:r>
      <w:proofErr w:type="spellStart"/>
      <w:r w:rsidRPr="0041797D">
        <w:rPr>
          <w:color w:val="000000"/>
          <w:spacing w:val="-2"/>
          <w:kern w:val="0"/>
          <w:sz w:val="16"/>
          <w:szCs w:val="16"/>
        </w:rPr>
        <w:t>Consumo</w:t>
      </w:r>
      <w:proofErr w:type="spellEnd"/>
      <w:r w:rsidRPr="0041797D">
        <w:rPr>
          <w:color w:val="000000"/>
          <w:spacing w:val="-2"/>
          <w:kern w:val="0"/>
          <w:sz w:val="16"/>
          <w:szCs w:val="16"/>
        </w:rPr>
        <w:t xml:space="preserve">: Din </w:t>
      </w:r>
      <w:proofErr w:type="spellStart"/>
      <w:r w:rsidRPr="0041797D">
        <w:rPr>
          <w:color w:val="000000"/>
          <w:spacing w:val="-2"/>
          <w:kern w:val="0"/>
          <w:sz w:val="16"/>
          <w:szCs w:val="16"/>
        </w:rPr>
        <w:t>Impresores</w:t>
      </w:r>
      <w:proofErr w:type="spellEnd"/>
      <w:r w:rsidRPr="0041797D">
        <w:rPr>
          <w:color w:val="000000"/>
          <w:spacing w:val="-2"/>
          <w:kern w:val="0"/>
          <w:sz w:val="16"/>
          <w:szCs w:val="16"/>
        </w:rPr>
        <w:t>, 2008</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11</w:t>
      </w:r>
      <w:r w:rsidRPr="0041797D">
        <w:rPr>
          <w:color w:val="000000"/>
          <w:spacing w:val="-2"/>
          <w:kern w:val="0"/>
          <w:sz w:val="16"/>
          <w:szCs w:val="16"/>
        </w:rPr>
        <w:tab/>
      </w:r>
      <w:proofErr w:type="spellStart"/>
      <w:r w:rsidRPr="0041797D">
        <w:rPr>
          <w:b/>
          <w:bCs/>
          <w:color w:val="000000"/>
          <w:spacing w:val="-2"/>
          <w:kern w:val="0"/>
          <w:sz w:val="16"/>
          <w:szCs w:val="16"/>
        </w:rPr>
        <w:t>Weersma</w:t>
      </w:r>
      <w:proofErr w:type="spellEnd"/>
      <w:r w:rsidRPr="0041797D">
        <w:rPr>
          <w:b/>
          <w:bCs/>
          <w:color w:val="000000"/>
          <w:spacing w:val="-2"/>
          <w:kern w:val="0"/>
          <w:sz w:val="16"/>
          <w:szCs w:val="16"/>
        </w:rPr>
        <w:t xml:space="preserve"> RK</w:t>
      </w:r>
      <w:r w:rsidRPr="0041797D">
        <w:rPr>
          <w:color w:val="000000"/>
          <w:spacing w:val="-2"/>
          <w:kern w:val="0"/>
          <w:sz w:val="16"/>
          <w:szCs w:val="16"/>
        </w:rPr>
        <w:t xml:space="preserve">, </w:t>
      </w:r>
      <w:proofErr w:type="spellStart"/>
      <w:r w:rsidRPr="0041797D">
        <w:rPr>
          <w:color w:val="000000"/>
          <w:spacing w:val="-2"/>
          <w:kern w:val="0"/>
          <w:sz w:val="16"/>
          <w:szCs w:val="16"/>
        </w:rPr>
        <w:t>Stokkers</w:t>
      </w:r>
      <w:proofErr w:type="spellEnd"/>
      <w:r w:rsidRPr="0041797D">
        <w:rPr>
          <w:color w:val="000000"/>
          <w:spacing w:val="-2"/>
          <w:kern w:val="0"/>
          <w:sz w:val="16"/>
          <w:szCs w:val="16"/>
        </w:rPr>
        <w:t xml:space="preserve"> PC, </w:t>
      </w:r>
      <w:proofErr w:type="spellStart"/>
      <w:r w:rsidRPr="0041797D">
        <w:rPr>
          <w:color w:val="000000"/>
          <w:spacing w:val="-2"/>
          <w:kern w:val="0"/>
          <w:sz w:val="16"/>
          <w:szCs w:val="16"/>
        </w:rPr>
        <w:t>Cleynen</w:t>
      </w:r>
      <w:proofErr w:type="spellEnd"/>
      <w:r w:rsidRPr="0041797D">
        <w:rPr>
          <w:color w:val="000000"/>
          <w:spacing w:val="-2"/>
          <w:kern w:val="0"/>
          <w:sz w:val="16"/>
          <w:szCs w:val="16"/>
        </w:rPr>
        <w:t xml:space="preserve"> I, </w:t>
      </w:r>
      <w:proofErr w:type="spellStart"/>
      <w:r w:rsidRPr="0041797D">
        <w:rPr>
          <w:color w:val="000000"/>
          <w:spacing w:val="-2"/>
          <w:kern w:val="0"/>
          <w:sz w:val="16"/>
          <w:szCs w:val="16"/>
        </w:rPr>
        <w:t>Wolfkamp</w:t>
      </w:r>
      <w:proofErr w:type="spellEnd"/>
      <w:r w:rsidRPr="0041797D">
        <w:rPr>
          <w:color w:val="000000"/>
          <w:spacing w:val="-2"/>
          <w:kern w:val="0"/>
          <w:sz w:val="16"/>
          <w:szCs w:val="16"/>
        </w:rPr>
        <w:t xml:space="preserve"> SC, </w:t>
      </w:r>
      <w:proofErr w:type="spellStart"/>
      <w:r w:rsidRPr="0041797D">
        <w:rPr>
          <w:color w:val="000000"/>
          <w:spacing w:val="-2"/>
          <w:kern w:val="0"/>
          <w:sz w:val="16"/>
          <w:szCs w:val="16"/>
        </w:rPr>
        <w:t>Henckaerts</w:t>
      </w:r>
      <w:proofErr w:type="spellEnd"/>
      <w:r w:rsidRPr="0041797D">
        <w:rPr>
          <w:color w:val="000000"/>
          <w:spacing w:val="-2"/>
          <w:kern w:val="0"/>
          <w:sz w:val="16"/>
          <w:szCs w:val="16"/>
        </w:rPr>
        <w:t xml:space="preserve"> L, Schreiber S, </w:t>
      </w:r>
      <w:proofErr w:type="spellStart"/>
      <w:r w:rsidRPr="0041797D">
        <w:rPr>
          <w:color w:val="000000"/>
          <w:spacing w:val="-2"/>
          <w:kern w:val="0"/>
          <w:sz w:val="16"/>
          <w:szCs w:val="16"/>
        </w:rPr>
        <w:t>Dijkstra</w:t>
      </w:r>
      <w:proofErr w:type="spellEnd"/>
      <w:r w:rsidRPr="0041797D">
        <w:rPr>
          <w:color w:val="000000"/>
          <w:spacing w:val="-2"/>
          <w:kern w:val="0"/>
          <w:sz w:val="16"/>
          <w:szCs w:val="16"/>
        </w:rPr>
        <w:t xml:space="preserve"> G, </w:t>
      </w:r>
      <w:proofErr w:type="spellStart"/>
      <w:r w:rsidRPr="0041797D">
        <w:rPr>
          <w:color w:val="000000"/>
          <w:spacing w:val="-2"/>
          <w:kern w:val="0"/>
          <w:sz w:val="16"/>
          <w:szCs w:val="16"/>
        </w:rPr>
        <w:t>Franke</w:t>
      </w:r>
      <w:proofErr w:type="spellEnd"/>
      <w:r w:rsidRPr="0041797D">
        <w:rPr>
          <w:color w:val="000000"/>
          <w:spacing w:val="-2"/>
          <w:kern w:val="0"/>
          <w:sz w:val="16"/>
          <w:szCs w:val="16"/>
        </w:rPr>
        <w:t xml:space="preserve"> A, Nolte IM, </w:t>
      </w:r>
      <w:proofErr w:type="spellStart"/>
      <w:r w:rsidRPr="0041797D">
        <w:rPr>
          <w:color w:val="000000"/>
          <w:spacing w:val="-2"/>
          <w:kern w:val="0"/>
          <w:sz w:val="16"/>
          <w:szCs w:val="16"/>
        </w:rPr>
        <w:t>Rutgeerts</w:t>
      </w:r>
      <w:proofErr w:type="spellEnd"/>
      <w:r w:rsidRPr="0041797D">
        <w:rPr>
          <w:color w:val="000000"/>
          <w:spacing w:val="-2"/>
          <w:kern w:val="0"/>
          <w:sz w:val="16"/>
          <w:szCs w:val="16"/>
        </w:rPr>
        <w:t xml:space="preserve"> P, </w:t>
      </w:r>
      <w:proofErr w:type="spellStart"/>
      <w:r w:rsidRPr="0041797D">
        <w:rPr>
          <w:color w:val="000000"/>
          <w:spacing w:val="-2"/>
          <w:kern w:val="0"/>
          <w:sz w:val="16"/>
          <w:szCs w:val="16"/>
        </w:rPr>
        <w:t>Wijmenga</w:t>
      </w:r>
      <w:proofErr w:type="spellEnd"/>
      <w:r w:rsidRPr="0041797D">
        <w:rPr>
          <w:color w:val="000000"/>
          <w:spacing w:val="-2"/>
          <w:kern w:val="0"/>
          <w:sz w:val="16"/>
          <w:szCs w:val="16"/>
        </w:rPr>
        <w:t xml:space="preserve"> C, </w:t>
      </w:r>
      <w:proofErr w:type="spellStart"/>
      <w:r w:rsidRPr="0041797D">
        <w:rPr>
          <w:color w:val="000000"/>
          <w:spacing w:val="-2"/>
          <w:kern w:val="0"/>
          <w:sz w:val="16"/>
          <w:szCs w:val="16"/>
        </w:rPr>
        <w:t>Vermeire</w:t>
      </w:r>
      <w:proofErr w:type="spellEnd"/>
      <w:r w:rsidRPr="0041797D">
        <w:rPr>
          <w:color w:val="000000"/>
          <w:spacing w:val="-2"/>
          <w:kern w:val="0"/>
          <w:sz w:val="16"/>
          <w:szCs w:val="16"/>
        </w:rPr>
        <w:t xml:space="preserve"> S. Confirmation of multiple </w:t>
      </w:r>
      <w:proofErr w:type="spellStart"/>
      <w:r w:rsidRPr="0041797D">
        <w:rPr>
          <w:color w:val="000000"/>
          <w:spacing w:val="-2"/>
          <w:kern w:val="0"/>
          <w:sz w:val="16"/>
          <w:szCs w:val="16"/>
        </w:rPr>
        <w:t>Crohn’s</w:t>
      </w:r>
      <w:proofErr w:type="spellEnd"/>
      <w:r w:rsidRPr="0041797D">
        <w:rPr>
          <w:color w:val="000000"/>
          <w:spacing w:val="-2"/>
          <w:kern w:val="0"/>
          <w:sz w:val="16"/>
          <w:szCs w:val="16"/>
        </w:rPr>
        <w:t xml:space="preserve"> disease susceptibility loci in a large Dutch-Belgian cohort. </w:t>
      </w:r>
      <w:r w:rsidRPr="0041797D">
        <w:rPr>
          <w:i/>
          <w:iCs/>
          <w:color w:val="000000"/>
          <w:spacing w:val="-2"/>
          <w:kern w:val="0"/>
          <w:sz w:val="16"/>
          <w:szCs w:val="16"/>
        </w:rPr>
        <w:t xml:space="preserve">Am J </w:t>
      </w:r>
      <w:proofErr w:type="spellStart"/>
      <w:r w:rsidRPr="0041797D">
        <w:rPr>
          <w:i/>
          <w:iCs/>
          <w:color w:val="000000"/>
          <w:spacing w:val="-2"/>
          <w:kern w:val="0"/>
          <w:sz w:val="16"/>
          <w:szCs w:val="16"/>
        </w:rPr>
        <w:t>Gastroenterol</w:t>
      </w:r>
      <w:proofErr w:type="spellEnd"/>
      <w:r w:rsidRPr="0041797D">
        <w:rPr>
          <w:color w:val="000000"/>
          <w:spacing w:val="-2"/>
          <w:kern w:val="0"/>
          <w:sz w:val="16"/>
          <w:szCs w:val="16"/>
        </w:rPr>
        <w:t xml:space="preserve"> 2009; </w:t>
      </w:r>
      <w:r w:rsidRPr="0041797D">
        <w:rPr>
          <w:b/>
          <w:bCs/>
          <w:color w:val="000000"/>
          <w:spacing w:val="-2"/>
          <w:kern w:val="0"/>
          <w:sz w:val="16"/>
          <w:szCs w:val="16"/>
        </w:rPr>
        <w:t>104</w:t>
      </w:r>
      <w:r w:rsidRPr="0041797D">
        <w:rPr>
          <w:color w:val="000000"/>
          <w:spacing w:val="-2"/>
          <w:kern w:val="0"/>
          <w:sz w:val="16"/>
          <w:szCs w:val="16"/>
        </w:rPr>
        <w:t>: 630-638 [PMID: 19174780 DOI: 10.1038/ajg.2008.112]</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12</w:t>
      </w:r>
      <w:r w:rsidRPr="0041797D">
        <w:rPr>
          <w:color w:val="000000"/>
          <w:spacing w:val="-2"/>
          <w:kern w:val="0"/>
          <w:sz w:val="16"/>
          <w:szCs w:val="16"/>
        </w:rPr>
        <w:tab/>
      </w:r>
      <w:r w:rsidRPr="0041797D">
        <w:rPr>
          <w:b/>
          <w:bCs/>
          <w:color w:val="000000"/>
          <w:spacing w:val="-2"/>
          <w:kern w:val="0"/>
          <w:sz w:val="16"/>
          <w:szCs w:val="16"/>
        </w:rPr>
        <w:t>Rodrigo L</w:t>
      </w:r>
      <w:r w:rsidRPr="0041797D">
        <w:rPr>
          <w:color w:val="000000"/>
          <w:spacing w:val="-2"/>
          <w:kern w:val="0"/>
          <w:sz w:val="16"/>
          <w:szCs w:val="16"/>
        </w:rPr>
        <w:t xml:space="preserve">, Pena AS. </w:t>
      </w:r>
      <w:proofErr w:type="spellStart"/>
      <w:proofErr w:type="gramStart"/>
      <w:r w:rsidRPr="0041797D">
        <w:rPr>
          <w:color w:val="000000"/>
          <w:spacing w:val="-2"/>
          <w:kern w:val="0"/>
          <w:sz w:val="16"/>
          <w:szCs w:val="16"/>
        </w:rPr>
        <w:t>Enfermedad</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celíaca</w:t>
      </w:r>
      <w:proofErr w:type="spellEnd"/>
      <w:r w:rsidRPr="0041797D">
        <w:rPr>
          <w:color w:val="000000"/>
          <w:spacing w:val="-2"/>
          <w:kern w:val="0"/>
          <w:sz w:val="16"/>
          <w:szCs w:val="16"/>
        </w:rPr>
        <w:t xml:space="preserve"> y </w:t>
      </w:r>
      <w:proofErr w:type="spellStart"/>
      <w:r w:rsidRPr="0041797D">
        <w:rPr>
          <w:color w:val="000000"/>
          <w:spacing w:val="-2"/>
          <w:kern w:val="0"/>
          <w:sz w:val="16"/>
          <w:szCs w:val="16"/>
        </w:rPr>
        <w:t>sensibilidad</w:t>
      </w:r>
      <w:proofErr w:type="spellEnd"/>
      <w:r w:rsidRPr="0041797D">
        <w:rPr>
          <w:color w:val="000000"/>
          <w:spacing w:val="-2"/>
          <w:kern w:val="0"/>
          <w:sz w:val="16"/>
          <w:szCs w:val="16"/>
        </w:rPr>
        <w:t xml:space="preserve"> al gluten no </w:t>
      </w:r>
      <w:proofErr w:type="spellStart"/>
      <w:r w:rsidRPr="0041797D">
        <w:rPr>
          <w:color w:val="000000"/>
          <w:spacing w:val="-2"/>
          <w:kern w:val="0"/>
          <w:sz w:val="16"/>
          <w:szCs w:val="16"/>
        </w:rPr>
        <w:t>celíaca</w:t>
      </w:r>
      <w:proofErr w:type="spellEnd"/>
      <w:r w:rsidRPr="0041797D">
        <w:rPr>
          <w:color w:val="000000"/>
          <w:spacing w:val="-2"/>
          <w:kern w:val="0"/>
          <w:sz w:val="16"/>
          <w:szCs w:val="16"/>
        </w:rPr>
        <w:t>.</w:t>
      </w:r>
      <w:proofErr w:type="gramEnd"/>
      <w:r w:rsidRPr="0041797D">
        <w:rPr>
          <w:color w:val="000000"/>
          <w:spacing w:val="-2"/>
          <w:kern w:val="0"/>
          <w:sz w:val="16"/>
          <w:szCs w:val="16"/>
        </w:rPr>
        <w:t xml:space="preserve"> 1ª </w:t>
      </w:r>
      <w:proofErr w:type="spellStart"/>
      <w:r w:rsidRPr="0041797D">
        <w:rPr>
          <w:color w:val="000000"/>
          <w:spacing w:val="-2"/>
          <w:kern w:val="0"/>
          <w:sz w:val="16"/>
          <w:szCs w:val="16"/>
        </w:rPr>
        <w:t>edición</w:t>
      </w:r>
      <w:proofErr w:type="spellEnd"/>
      <w:r w:rsidRPr="0041797D">
        <w:rPr>
          <w:color w:val="000000"/>
          <w:spacing w:val="-2"/>
          <w:kern w:val="0"/>
          <w:sz w:val="16"/>
          <w:szCs w:val="16"/>
        </w:rPr>
        <w:t xml:space="preserve"> © 2013 </w:t>
      </w:r>
      <w:proofErr w:type="spellStart"/>
      <w:r w:rsidRPr="0041797D">
        <w:rPr>
          <w:color w:val="000000"/>
          <w:spacing w:val="-2"/>
          <w:kern w:val="0"/>
          <w:sz w:val="16"/>
          <w:szCs w:val="16"/>
        </w:rPr>
        <w:t>OmniaScience</w:t>
      </w:r>
      <w:proofErr w:type="spellEnd"/>
      <w:r w:rsidRPr="0041797D">
        <w:rPr>
          <w:color w:val="000000"/>
          <w:spacing w:val="-2"/>
          <w:kern w:val="0"/>
          <w:sz w:val="16"/>
          <w:szCs w:val="16"/>
        </w:rPr>
        <w:t xml:space="preserve"> (Omnia Publisher SL) ed. </w:t>
      </w:r>
      <w:proofErr w:type="spellStart"/>
      <w:r w:rsidRPr="0041797D">
        <w:rPr>
          <w:color w:val="000000"/>
          <w:spacing w:val="-2"/>
          <w:kern w:val="0"/>
          <w:sz w:val="16"/>
          <w:szCs w:val="16"/>
        </w:rPr>
        <w:t>Espa</w:t>
      </w:r>
      <w:proofErr w:type="spellEnd"/>
      <w:r w:rsidRPr="0041797D">
        <w:rPr>
          <w:color w:val="000000"/>
          <w:spacing w:val="-2"/>
          <w:kern w:val="0"/>
          <w:sz w:val="16"/>
          <w:szCs w:val="16"/>
        </w:rPr>
        <w:t xml:space="preserve">-a: </w:t>
      </w:r>
      <w:proofErr w:type="spellStart"/>
      <w:r w:rsidRPr="0041797D">
        <w:rPr>
          <w:color w:val="000000"/>
          <w:spacing w:val="-2"/>
          <w:kern w:val="0"/>
          <w:sz w:val="16"/>
          <w:szCs w:val="16"/>
        </w:rPr>
        <w:t>OmniaScience</w:t>
      </w:r>
      <w:proofErr w:type="spellEnd"/>
      <w:r w:rsidRPr="0041797D">
        <w:rPr>
          <w:color w:val="000000"/>
          <w:spacing w:val="-2"/>
          <w:kern w:val="0"/>
          <w:sz w:val="16"/>
          <w:szCs w:val="16"/>
        </w:rPr>
        <w:t>, 2013</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3"/>
          <w:kern w:val="0"/>
          <w:sz w:val="16"/>
          <w:szCs w:val="16"/>
        </w:rPr>
      </w:pPr>
      <w:r w:rsidRPr="0041797D">
        <w:rPr>
          <w:color w:val="000000"/>
          <w:spacing w:val="-3"/>
          <w:kern w:val="0"/>
          <w:sz w:val="16"/>
          <w:szCs w:val="16"/>
        </w:rPr>
        <w:t>13</w:t>
      </w:r>
      <w:r w:rsidRPr="0041797D">
        <w:rPr>
          <w:color w:val="000000"/>
          <w:spacing w:val="-3"/>
          <w:kern w:val="0"/>
          <w:sz w:val="16"/>
          <w:szCs w:val="16"/>
        </w:rPr>
        <w:tab/>
      </w:r>
      <w:r w:rsidRPr="0041797D">
        <w:rPr>
          <w:b/>
          <w:bCs/>
          <w:color w:val="000000"/>
          <w:spacing w:val="-3"/>
          <w:kern w:val="0"/>
          <w:sz w:val="16"/>
          <w:szCs w:val="16"/>
        </w:rPr>
        <w:t>De Palma G</w:t>
      </w:r>
      <w:r w:rsidRPr="0041797D">
        <w:rPr>
          <w:color w:val="000000"/>
          <w:spacing w:val="-3"/>
          <w:kern w:val="0"/>
          <w:sz w:val="16"/>
          <w:szCs w:val="16"/>
        </w:rPr>
        <w:t xml:space="preserve">, </w:t>
      </w:r>
      <w:proofErr w:type="spellStart"/>
      <w:r w:rsidRPr="0041797D">
        <w:rPr>
          <w:color w:val="000000"/>
          <w:spacing w:val="-3"/>
          <w:kern w:val="0"/>
          <w:sz w:val="16"/>
          <w:szCs w:val="16"/>
        </w:rPr>
        <w:t>Nadal</w:t>
      </w:r>
      <w:proofErr w:type="spellEnd"/>
      <w:r w:rsidRPr="0041797D">
        <w:rPr>
          <w:color w:val="000000"/>
          <w:spacing w:val="-3"/>
          <w:kern w:val="0"/>
          <w:sz w:val="16"/>
          <w:szCs w:val="16"/>
        </w:rPr>
        <w:t xml:space="preserve"> I, Medina M, </w:t>
      </w:r>
      <w:proofErr w:type="spellStart"/>
      <w:r w:rsidRPr="0041797D">
        <w:rPr>
          <w:color w:val="000000"/>
          <w:spacing w:val="-3"/>
          <w:kern w:val="0"/>
          <w:sz w:val="16"/>
          <w:szCs w:val="16"/>
        </w:rPr>
        <w:t>Donat</w:t>
      </w:r>
      <w:proofErr w:type="spellEnd"/>
      <w:r w:rsidRPr="0041797D">
        <w:rPr>
          <w:color w:val="000000"/>
          <w:spacing w:val="-3"/>
          <w:kern w:val="0"/>
          <w:sz w:val="16"/>
          <w:szCs w:val="16"/>
        </w:rPr>
        <w:t xml:space="preserve"> E, </w:t>
      </w:r>
      <w:proofErr w:type="spellStart"/>
      <w:r w:rsidRPr="0041797D">
        <w:rPr>
          <w:color w:val="000000"/>
          <w:spacing w:val="-3"/>
          <w:kern w:val="0"/>
          <w:sz w:val="16"/>
          <w:szCs w:val="16"/>
        </w:rPr>
        <w:t>Ribes-Koninckx</w:t>
      </w:r>
      <w:proofErr w:type="spellEnd"/>
      <w:r w:rsidRPr="0041797D">
        <w:rPr>
          <w:color w:val="000000"/>
          <w:spacing w:val="-3"/>
          <w:kern w:val="0"/>
          <w:sz w:val="16"/>
          <w:szCs w:val="16"/>
        </w:rPr>
        <w:t xml:space="preserve"> C, </w:t>
      </w:r>
      <w:proofErr w:type="spellStart"/>
      <w:r w:rsidRPr="0041797D">
        <w:rPr>
          <w:color w:val="000000"/>
          <w:spacing w:val="-3"/>
          <w:kern w:val="0"/>
          <w:sz w:val="16"/>
          <w:szCs w:val="16"/>
        </w:rPr>
        <w:t>Calabuig</w:t>
      </w:r>
      <w:proofErr w:type="spellEnd"/>
      <w:r w:rsidRPr="0041797D">
        <w:rPr>
          <w:color w:val="000000"/>
          <w:spacing w:val="-3"/>
          <w:kern w:val="0"/>
          <w:sz w:val="16"/>
          <w:szCs w:val="16"/>
        </w:rPr>
        <w:t xml:space="preserve"> M, </w:t>
      </w:r>
      <w:proofErr w:type="spellStart"/>
      <w:r w:rsidRPr="0041797D">
        <w:rPr>
          <w:color w:val="000000"/>
          <w:spacing w:val="-3"/>
          <w:kern w:val="0"/>
          <w:sz w:val="16"/>
          <w:szCs w:val="16"/>
        </w:rPr>
        <w:t>Sanz</w:t>
      </w:r>
      <w:proofErr w:type="spellEnd"/>
      <w:r w:rsidRPr="0041797D">
        <w:rPr>
          <w:color w:val="000000"/>
          <w:spacing w:val="-3"/>
          <w:kern w:val="0"/>
          <w:sz w:val="16"/>
          <w:szCs w:val="16"/>
        </w:rPr>
        <w:t xml:space="preserve"> Y. Intestinal </w:t>
      </w:r>
      <w:proofErr w:type="spellStart"/>
      <w:r w:rsidRPr="0041797D">
        <w:rPr>
          <w:color w:val="000000"/>
          <w:spacing w:val="-3"/>
          <w:kern w:val="0"/>
          <w:sz w:val="16"/>
          <w:szCs w:val="16"/>
        </w:rPr>
        <w:t>dysbiosis</w:t>
      </w:r>
      <w:proofErr w:type="spellEnd"/>
      <w:r w:rsidRPr="0041797D">
        <w:rPr>
          <w:color w:val="000000"/>
          <w:spacing w:val="-3"/>
          <w:kern w:val="0"/>
          <w:sz w:val="16"/>
          <w:szCs w:val="16"/>
        </w:rPr>
        <w:t xml:space="preserve"> and reduced immunoglobulin-coated bacteria associated with coeliac disease in children. </w:t>
      </w:r>
      <w:r w:rsidRPr="0041797D">
        <w:rPr>
          <w:i/>
          <w:iCs/>
          <w:color w:val="000000"/>
          <w:spacing w:val="-3"/>
          <w:kern w:val="0"/>
          <w:sz w:val="16"/>
          <w:szCs w:val="16"/>
        </w:rPr>
        <w:t xml:space="preserve">BMC </w:t>
      </w:r>
      <w:proofErr w:type="spellStart"/>
      <w:r w:rsidRPr="0041797D">
        <w:rPr>
          <w:i/>
          <w:iCs/>
          <w:color w:val="000000"/>
          <w:spacing w:val="-3"/>
          <w:kern w:val="0"/>
          <w:sz w:val="16"/>
          <w:szCs w:val="16"/>
        </w:rPr>
        <w:t>Microbiol</w:t>
      </w:r>
      <w:proofErr w:type="spellEnd"/>
      <w:r w:rsidRPr="0041797D">
        <w:rPr>
          <w:color w:val="000000"/>
          <w:spacing w:val="-3"/>
          <w:kern w:val="0"/>
          <w:sz w:val="16"/>
          <w:szCs w:val="16"/>
        </w:rPr>
        <w:t xml:space="preserve"> 2010; </w:t>
      </w:r>
      <w:r w:rsidRPr="0041797D">
        <w:rPr>
          <w:b/>
          <w:bCs/>
          <w:color w:val="000000"/>
          <w:spacing w:val="-3"/>
          <w:kern w:val="0"/>
          <w:sz w:val="16"/>
          <w:szCs w:val="16"/>
        </w:rPr>
        <w:t>10</w:t>
      </w:r>
      <w:r w:rsidRPr="0041797D">
        <w:rPr>
          <w:color w:val="000000"/>
          <w:spacing w:val="-3"/>
          <w:kern w:val="0"/>
          <w:sz w:val="16"/>
          <w:szCs w:val="16"/>
        </w:rPr>
        <w:t>: 63 [PMID: 20181275 DOI: 10.1186/1471-2180-10-63]</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14</w:t>
      </w:r>
      <w:r w:rsidRPr="0041797D">
        <w:rPr>
          <w:color w:val="000000"/>
          <w:spacing w:val="-2"/>
          <w:kern w:val="0"/>
          <w:sz w:val="16"/>
          <w:szCs w:val="16"/>
        </w:rPr>
        <w:tab/>
      </w:r>
      <w:proofErr w:type="spellStart"/>
      <w:r w:rsidRPr="0041797D">
        <w:rPr>
          <w:b/>
          <w:bCs/>
          <w:color w:val="000000"/>
          <w:spacing w:val="-2"/>
          <w:kern w:val="0"/>
          <w:sz w:val="16"/>
          <w:szCs w:val="16"/>
        </w:rPr>
        <w:t>Megiorni</w:t>
      </w:r>
      <w:proofErr w:type="spellEnd"/>
      <w:r w:rsidRPr="0041797D">
        <w:rPr>
          <w:b/>
          <w:bCs/>
          <w:color w:val="000000"/>
          <w:spacing w:val="-2"/>
          <w:kern w:val="0"/>
          <w:sz w:val="16"/>
          <w:szCs w:val="16"/>
        </w:rPr>
        <w:t xml:space="preserve"> F</w:t>
      </w:r>
      <w:r w:rsidRPr="0041797D">
        <w:rPr>
          <w:color w:val="000000"/>
          <w:spacing w:val="-2"/>
          <w:kern w:val="0"/>
          <w:sz w:val="16"/>
          <w:szCs w:val="16"/>
        </w:rPr>
        <w:t xml:space="preserve">, Mora B, </w:t>
      </w:r>
      <w:proofErr w:type="spellStart"/>
      <w:r w:rsidRPr="0041797D">
        <w:rPr>
          <w:color w:val="000000"/>
          <w:spacing w:val="-2"/>
          <w:kern w:val="0"/>
          <w:sz w:val="16"/>
          <w:szCs w:val="16"/>
        </w:rPr>
        <w:t>Bonamico</w:t>
      </w:r>
      <w:proofErr w:type="spellEnd"/>
      <w:r w:rsidRPr="0041797D">
        <w:rPr>
          <w:color w:val="000000"/>
          <w:spacing w:val="-2"/>
          <w:kern w:val="0"/>
          <w:sz w:val="16"/>
          <w:szCs w:val="16"/>
        </w:rPr>
        <w:t xml:space="preserve"> M, </w:t>
      </w:r>
      <w:proofErr w:type="spellStart"/>
      <w:r w:rsidRPr="0041797D">
        <w:rPr>
          <w:color w:val="000000"/>
          <w:spacing w:val="-2"/>
          <w:kern w:val="0"/>
          <w:sz w:val="16"/>
          <w:szCs w:val="16"/>
        </w:rPr>
        <w:t>Barbato</w:t>
      </w:r>
      <w:proofErr w:type="spellEnd"/>
      <w:r w:rsidRPr="0041797D">
        <w:rPr>
          <w:color w:val="000000"/>
          <w:spacing w:val="-2"/>
          <w:kern w:val="0"/>
          <w:sz w:val="16"/>
          <w:szCs w:val="16"/>
        </w:rPr>
        <w:t xml:space="preserve"> M, </w:t>
      </w:r>
      <w:proofErr w:type="spellStart"/>
      <w:r w:rsidRPr="0041797D">
        <w:rPr>
          <w:color w:val="000000"/>
          <w:spacing w:val="-2"/>
          <w:kern w:val="0"/>
          <w:sz w:val="16"/>
          <w:szCs w:val="16"/>
        </w:rPr>
        <w:t>Montuori</w:t>
      </w:r>
      <w:proofErr w:type="spellEnd"/>
      <w:r w:rsidRPr="0041797D">
        <w:rPr>
          <w:color w:val="000000"/>
          <w:spacing w:val="-2"/>
          <w:kern w:val="0"/>
          <w:sz w:val="16"/>
          <w:szCs w:val="16"/>
        </w:rPr>
        <w:t xml:space="preserve"> M, Viola F, </w:t>
      </w:r>
      <w:proofErr w:type="spellStart"/>
      <w:r w:rsidRPr="0041797D">
        <w:rPr>
          <w:color w:val="000000"/>
          <w:spacing w:val="-2"/>
          <w:kern w:val="0"/>
          <w:sz w:val="16"/>
          <w:szCs w:val="16"/>
        </w:rPr>
        <w:t>Trabace</w:t>
      </w:r>
      <w:proofErr w:type="spellEnd"/>
      <w:r w:rsidRPr="0041797D">
        <w:rPr>
          <w:color w:val="000000"/>
          <w:spacing w:val="-2"/>
          <w:kern w:val="0"/>
          <w:sz w:val="16"/>
          <w:szCs w:val="16"/>
        </w:rPr>
        <w:t xml:space="preserve"> S, </w:t>
      </w:r>
      <w:proofErr w:type="spellStart"/>
      <w:r w:rsidRPr="0041797D">
        <w:rPr>
          <w:color w:val="000000"/>
          <w:spacing w:val="-2"/>
          <w:kern w:val="0"/>
          <w:sz w:val="16"/>
          <w:szCs w:val="16"/>
        </w:rPr>
        <w:t>Mazzilli</w:t>
      </w:r>
      <w:proofErr w:type="spellEnd"/>
      <w:r w:rsidRPr="0041797D">
        <w:rPr>
          <w:color w:val="000000"/>
          <w:spacing w:val="-2"/>
          <w:kern w:val="0"/>
          <w:sz w:val="16"/>
          <w:szCs w:val="16"/>
        </w:rPr>
        <w:t xml:space="preserve"> MC. HLA-DQ and susceptibility to celiac disease: evidence for gender differences and parent-of-origin effects. </w:t>
      </w:r>
      <w:r w:rsidRPr="0041797D">
        <w:rPr>
          <w:i/>
          <w:iCs/>
          <w:color w:val="000000"/>
          <w:spacing w:val="-2"/>
          <w:kern w:val="0"/>
          <w:sz w:val="16"/>
          <w:szCs w:val="16"/>
        </w:rPr>
        <w:t xml:space="preserve">Am J </w:t>
      </w:r>
      <w:proofErr w:type="spellStart"/>
      <w:r w:rsidRPr="0041797D">
        <w:rPr>
          <w:i/>
          <w:iCs/>
          <w:color w:val="000000"/>
          <w:spacing w:val="-2"/>
          <w:kern w:val="0"/>
          <w:sz w:val="16"/>
          <w:szCs w:val="16"/>
        </w:rPr>
        <w:t>Gastroenterol</w:t>
      </w:r>
      <w:proofErr w:type="spellEnd"/>
      <w:r w:rsidRPr="0041797D">
        <w:rPr>
          <w:color w:val="000000"/>
          <w:spacing w:val="-2"/>
          <w:kern w:val="0"/>
          <w:sz w:val="16"/>
          <w:szCs w:val="16"/>
        </w:rPr>
        <w:t xml:space="preserve"> 2008; </w:t>
      </w:r>
      <w:r w:rsidRPr="0041797D">
        <w:rPr>
          <w:b/>
          <w:bCs/>
          <w:color w:val="000000"/>
          <w:spacing w:val="-2"/>
          <w:kern w:val="0"/>
          <w:sz w:val="16"/>
          <w:szCs w:val="16"/>
        </w:rPr>
        <w:t>103</w:t>
      </w:r>
      <w:r w:rsidRPr="0041797D">
        <w:rPr>
          <w:color w:val="000000"/>
          <w:spacing w:val="-2"/>
          <w:kern w:val="0"/>
          <w:sz w:val="16"/>
          <w:szCs w:val="16"/>
        </w:rPr>
        <w:t xml:space="preserve">: 997-1003 [PMID: 18177450 DOI: </w:t>
      </w:r>
      <w:r w:rsidRPr="0041797D">
        <w:rPr>
          <w:color w:val="000000"/>
          <w:spacing w:val="-2"/>
          <w:kern w:val="0"/>
          <w:sz w:val="16"/>
          <w:szCs w:val="16"/>
        </w:rPr>
        <w:lastRenderedPageBreak/>
        <w:t>10.1111/j.1572-0241.2007.01716.x]</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15</w:t>
      </w:r>
      <w:r w:rsidRPr="0041797D">
        <w:rPr>
          <w:color w:val="000000"/>
          <w:spacing w:val="-2"/>
          <w:kern w:val="0"/>
          <w:sz w:val="16"/>
          <w:szCs w:val="16"/>
        </w:rPr>
        <w:tab/>
      </w:r>
      <w:proofErr w:type="spellStart"/>
      <w:r w:rsidRPr="0041797D">
        <w:rPr>
          <w:b/>
          <w:bCs/>
          <w:color w:val="000000"/>
          <w:spacing w:val="-2"/>
          <w:kern w:val="0"/>
          <w:sz w:val="16"/>
          <w:szCs w:val="16"/>
        </w:rPr>
        <w:t>Festen</w:t>
      </w:r>
      <w:proofErr w:type="spellEnd"/>
      <w:r w:rsidRPr="0041797D">
        <w:rPr>
          <w:b/>
          <w:bCs/>
          <w:color w:val="000000"/>
          <w:spacing w:val="-2"/>
          <w:kern w:val="0"/>
          <w:sz w:val="16"/>
          <w:szCs w:val="16"/>
        </w:rPr>
        <w:t xml:space="preserve"> EA</w:t>
      </w:r>
      <w:r w:rsidRPr="0041797D">
        <w:rPr>
          <w:color w:val="000000"/>
          <w:spacing w:val="-2"/>
          <w:kern w:val="0"/>
          <w:sz w:val="16"/>
          <w:szCs w:val="16"/>
        </w:rPr>
        <w:t xml:space="preserve">, </w:t>
      </w:r>
      <w:proofErr w:type="spellStart"/>
      <w:r w:rsidRPr="0041797D">
        <w:rPr>
          <w:color w:val="000000"/>
          <w:spacing w:val="-2"/>
          <w:kern w:val="0"/>
          <w:sz w:val="16"/>
          <w:szCs w:val="16"/>
        </w:rPr>
        <w:t>Szperl</w:t>
      </w:r>
      <w:proofErr w:type="spellEnd"/>
      <w:r w:rsidRPr="0041797D">
        <w:rPr>
          <w:color w:val="000000"/>
          <w:spacing w:val="-2"/>
          <w:kern w:val="0"/>
          <w:sz w:val="16"/>
          <w:szCs w:val="16"/>
        </w:rPr>
        <w:t xml:space="preserve"> AM, </w:t>
      </w:r>
      <w:proofErr w:type="spellStart"/>
      <w:proofErr w:type="gramStart"/>
      <w:r w:rsidRPr="0041797D">
        <w:rPr>
          <w:color w:val="000000"/>
          <w:spacing w:val="-2"/>
          <w:kern w:val="0"/>
          <w:sz w:val="16"/>
          <w:szCs w:val="16"/>
        </w:rPr>
        <w:t>Weersma</w:t>
      </w:r>
      <w:proofErr w:type="spellEnd"/>
      <w:proofErr w:type="gramEnd"/>
      <w:r w:rsidRPr="0041797D">
        <w:rPr>
          <w:color w:val="000000"/>
          <w:spacing w:val="-2"/>
          <w:kern w:val="0"/>
          <w:sz w:val="16"/>
          <w:szCs w:val="16"/>
        </w:rPr>
        <w:t xml:space="preserve"> RK, </w:t>
      </w:r>
      <w:proofErr w:type="spellStart"/>
      <w:r w:rsidRPr="0041797D">
        <w:rPr>
          <w:color w:val="000000"/>
          <w:spacing w:val="-2"/>
          <w:kern w:val="0"/>
          <w:sz w:val="16"/>
          <w:szCs w:val="16"/>
        </w:rPr>
        <w:t>Wijmenga</w:t>
      </w:r>
      <w:proofErr w:type="spellEnd"/>
      <w:r w:rsidRPr="0041797D">
        <w:rPr>
          <w:color w:val="000000"/>
          <w:spacing w:val="-2"/>
          <w:kern w:val="0"/>
          <w:sz w:val="16"/>
          <w:szCs w:val="16"/>
        </w:rPr>
        <w:t xml:space="preserve"> C, </w:t>
      </w:r>
      <w:proofErr w:type="spellStart"/>
      <w:r w:rsidRPr="0041797D">
        <w:rPr>
          <w:color w:val="000000"/>
          <w:spacing w:val="-2"/>
          <w:kern w:val="0"/>
          <w:sz w:val="16"/>
          <w:szCs w:val="16"/>
        </w:rPr>
        <w:t>Wapenaar</w:t>
      </w:r>
      <w:proofErr w:type="spellEnd"/>
      <w:r w:rsidRPr="0041797D">
        <w:rPr>
          <w:color w:val="000000"/>
          <w:spacing w:val="-2"/>
          <w:kern w:val="0"/>
          <w:sz w:val="16"/>
          <w:szCs w:val="16"/>
        </w:rPr>
        <w:t xml:space="preserve"> MC. Inflammatory bowel disease and celiac disease: overlaps in the pathology and genetics, and their potential drug targets. </w:t>
      </w:r>
      <w:proofErr w:type="spellStart"/>
      <w:r w:rsidRPr="0041797D">
        <w:rPr>
          <w:i/>
          <w:iCs/>
          <w:color w:val="000000"/>
          <w:spacing w:val="-2"/>
          <w:kern w:val="0"/>
          <w:sz w:val="16"/>
          <w:szCs w:val="16"/>
        </w:rPr>
        <w:t>Endocr</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Metab</w:t>
      </w:r>
      <w:proofErr w:type="spellEnd"/>
      <w:r w:rsidRPr="0041797D">
        <w:rPr>
          <w:i/>
          <w:iCs/>
          <w:color w:val="000000"/>
          <w:spacing w:val="-2"/>
          <w:kern w:val="0"/>
          <w:sz w:val="16"/>
          <w:szCs w:val="16"/>
        </w:rPr>
        <w:t xml:space="preserve"> Immune </w:t>
      </w:r>
      <w:proofErr w:type="spellStart"/>
      <w:r w:rsidRPr="0041797D">
        <w:rPr>
          <w:i/>
          <w:iCs/>
          <w:color w:val="000000"/>
          <w:spacing w:val="-2"/>
          <w:kern w:val="0"/>
          <w:sz w:val="16"/>
          <w:szCs w:val="16"/>
        </w:rPr>
        <w:t>Disord</w:t>
      </w:r>
      <w:proofErr w:type="spellEnd"/>
      <w:r w:rsidRPr="0041797D">
        <w:rPr>
          <w:i/>
          <w:iCs/>
          <w:color w:val="000000"/>
          <w:spacing w:val="-2"/>
          <w:kern w:val="0"/>
          <w:sz w:val="16"/>
          <w:szCs w:val="16"/>
        </w:rPr>
        <w:t xml:space="preserve"> Drug Targets</w:t>
      </w:r>
      <w:r w:rsidRPr="0041797D">
        <w:rPr>
          <w:color w:val="000000"/>
          <w:spacing w:val="-2"/>
          <w:kern w:val="0"/>
          <w:sz w:val="16"/>
          <w:szCs w:val="16"/>
        </w:rPr>
        <w:t xml:space="preserve"> 2009; </w:t>
      </w:r>
      <w:r w:rsidRPr="0041797D">
        <w:rPr>
          <w:b/>
          <w:bCs/>
          <w:color w:val="000000"/>
          <w:spacing w:val="-2"/>
          <w:kern w:val="0"/>
          <w:sz w:val="16"/>
          <w:szCs w:val="16"/>
        </w:rPr>
        <w:t>9</w:t>
      </w:r>
      <w:r w:rsidRPr="0041797D">
        <w:rPr>
          <w:color w:val="000000"/>
          <w:spacing w:val="-2"/>
          <w:kern w:val="0"/>
          <w:sz w:val="16"/>
          <w:szCs w:val="16"/>
        </w:rPr>
        <w:t>: 199-218 [PMID: 19519468 DOI: 10.2174/187153009788452426]</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4"/>
          <w:kern w:val="0"/>
          <w:sz w:val="16"/>
          <w:szCs w:val="16"/>
        </w:rPr>
      </w:pPr>
      <w:r w:rsidRPr="0041797D">
        <w:rPr>
          <w:color w:val="000000"/>
          <w:spacing w:val="-4"/>
          <w:kern w:val="0"/>
          <w:sz w:val="16"/>
          <w:szCs w:val="16"/>
        </w:rPr>
        <w:t>16</w:t>
      </w:r>
      <w:r w:rsidRPr="0041797D">
        <w:rPr>
          <w:color w:val="000000"/>
          <w:spacing w:val="-4"/>
          <w:kern w:val="0"/>
          <w:sz w:val="16"/>
          <w:szCs w:val="16"/>
        </w:rPr>
        <w:tab/>
      </w:r>
      <w:proofErr w:type="spellStart"/>
      <w:r w:rsidRPr="0041797D">
        <w:rPr>
          <w:b/>
          <w:bCs/>
          <w:color w:val="000000"/>
          <w:spacing w:val="-4"/>
          <w:kern w:val="0"/>
          <w:sz w:val="16"/>
          <w:szCs w:val="16"/>
        </w:rPr>
        <w:t>Baumgart</w:t>
      </w:r>
      <w:proofErr w:type="spellEnd"/>
      <w:r w:rsidRPr="0041797D">
        <w:rPr>
          <w:b/>
          <w:bCs/>
          <w:color w:val="000000"/>
          <w:spacing w:val="-4"/>
          <w:kern w:val="0"/>
          <w:sz w:val="16"/>
          <w:szCs w:val="16"/>
        </w:rPr>
        <w:t xml:space="preserve"> DC</w:t>
      </w:r>
      <w:r w:rsidRPr="0041797D">
        <w:rPr>
          <w:color w:val="000000"/>
          <w:spacing w:val="-4"/>
          <w:kern w:val="0"/>
          <w:sz w:val="16"/>
          <w:szCs w:val="16"/>
        </w:rPr>
        <w:t xml:space="preserve">, </w:t>
      </w:r>
      <w:proofErr w:type="spellStart"/>
      <w:r w:rsidRPr="0041797D">
        <w:rPr>
          <w:color w:val="000000"/>
          <w:spacing w:val="-4"/>
          <w:kern w:val="0"/>
          <w:sz w:val="16"/>
          <w:szCs w:val="16"/>
        </w:rPr>
        <w:t>Sandborn</w:t>
      </w:r>
      <w:proofErr w:type="spellEnd"/>
      <w:r w:rsidRPr="0041797D">
        <w:rPr>
          <w:color w:val="000000"/>
          <w:spacing w:val="-4"/>
          <w:kern w:val="0"/>
          <w:sz w:val="16"/>
          <w:szCs w:val="16"/>
        </w:rPr>
        <w:t xml:space="preserve"> WJ. </w:t>
      </w:r>
      <w:proofErr w:type="spellStart"/>
      <w:proofErr w:type="gramStart"/>
      <w:r w:rsidRPr="0041797D">
        <w:rPr>
          <w:color w:val="000000"/>
          <w:spacing w:val="-4"/>
          <w:kern w:val="0"/>
          <w:sz w:val="16"/>
          <w:szCs w:val="16"/>
        </w:rPr>
        <w:t>Crohn’s</w:t>
      </w:r>
      <w:proofErr w:type="spellEnd"/>
      <w:r w:rsidRPr="0041797D">
        <w:rPr>
          <w:color w:val="000000"/>
          <w:spacing w:val="-4"/>
          <w:kern w:val="0"/>
          <w:sz w:val="16"/>
          <w:szCs w:val="16"/>
        </w:rPr>
        <w:t xml:space="preserve"> disease.</w:t>
      </w:r>
      <w:proofErr w:type="gramEnd"/>
      <w:r w:rsidRPr="0041797D">
        <w:rPr>
          <w:color w:val="000000"/>
          <w:spacing w:val="-4"/>
          <w:kern w:val="0"/>
          <w:sz w:val="16"/>
          <w:szCs w:val="16"/>
        </w:rPr>
        <w:t xml:space="preserve"> </w:t>
      </w:r>
      <w:r w:rsidRPr="0041797D">
        <w:rPr>
          <w:i/>
          <w:iCs/>
          <w:color w:val="000000"/>
          <w:spacing w:val="-4"/>
          <w:kern w:val="0"/>
          <w:sz w:val="16"/>
          <w:szCs w:val="16"/>
        </w:rPr>
        <w:t>Lancet</w:t>
      </w:r>
      <w:r w:rsidRPr="0041797D">
        <w:rPr>
          <w:color w:val="000000"/>
          <w:spacing w:val="-4"/>
          <w:kern w:val="0"/>
          <w:sz w:val="16"/>
          <w:szCs w:val="16"/>
        </w:rPr>
        <w:t xml:space="preserve"> 2012; </w:t>
      </w:r>
      <w:r w:rsidRPr="0041797D">
        <w:rPr>
          <w:b/>
          <w:bCs/>
          <w:color w:val="000000"/>
          <w:spacing w:val="-4"/>
          <w:kern w:val="0"/>
          <w:sz w:val="16"/>
          <w:szCs w:val="16"/>
        </w:rPr>
        <w:t>380</w:t>
      </w:r>
      <w:r w:rsidRPr="0041797D">
        <w:rPr>
          <w:color w:val="000000"/>
          <w:spacing w:val="-4"/>
          <w:kern w:val="0"/>
          <w:sz w:val="16"/>
          <w:szCs w:val="16"/>
        </w:rPr>
        <w:t>: 1590-1605 [PMID: 22914295 DOI: 10.1016/S0140-6736(12)60026-9]</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17</w:t>
      </w:r>
      <w:r w:rsidRPr="0041797D">
        <w:rPr>
          <w:color w:val="000000"/>
          <w:spacing w:val="-2"/>
          <w:kern w:val="0"/>
          <w:sz w:val="16"/>
          <w:szCs w:val="16"/>
        </w:rPr>
        <w:tab/>
      </w:r>
      <w:proofErr w:type="spellStart"/>
      <w:r w:rsidRPr="0041797D">
        <w:rPr>
          <w:b/>
          <w:bCs/>
          <w:color w:val="000000"/>
          <w:spacing w:val="-2"/>
          <w:kern w:val="0"/>
          <w:sz w:val="16"/>
          <w:szCs w:val="16"/>
        </w:rPr>
        <w:t>Stokkers</w:t>
      </w:r>
      <w:proofErr w:type="spellEnd"/>
      <w:r w:rsidRPr="0041797D">
        <w:rPr>
          <w:b/>
          <w:bCs/>
          <w:color w:val="000000"/>
          <w:spacing w:val="-2"/>
          <w:kern w:val="0"/>
          <w:sz w:val="16"/>
          <w:szCs w:val="16"/>
        </w:rPr>
        <w:t xml:space="preserve"> PC</w:t>
      </w:r>
      <w:r w:rsidRPr="0041797D">
        <w:rPr>
          <w:color w:val="000000"/>
          <w:spacing w:val="-2"/>
          <w:kern w:val="0"/>
          <w:sz w:val="16"/>
          <w:szCs w:val="16"/>
        </w:rPr>
        <w:t xml:space="preserve">, </w:t>
      </w:r>
      <w:proofErr w:type="spellStart"/>
      <w:r w:rsidRPr="0041797D">
        <w:rPr>
          <w:color w:val="000000"/>
          <w:spacing w:val="-2"/>
          <w:kern w:val="0"/>
          <w:sz w:val="16"/>
          <w:szCs w:val="16"/>
        </w:rPr>
        <w:t>Reitsma</w:t>
      </w:r>
      <w:proofErr w:type="spellEnd"/>
      <w:r w:rsidRPr="0041797D">
        <w:rPr>
          <w:color w:val="000000"/>
          <w:spacing w:val="-2"/>
          <w:kern w:val="0"/>
          <w:sz w:val="16"/>
          <w:szCs w:val="16"/>
        </w:rPr>
        <w:t xml:space="preserve"> PH, </w:t>
      </w:r>
      <w:proofErr w:type="spellStart"/>
      <w:r w:rsidRPr="0041797D">
        <w:rPr>
          <w:color w:val="000000"/>
          <w:spacing w:val="-2"/>
          <w:kern w:val="0"/>
          <w:sz w:val="16"/>
          <w:szCs w:val="16"/>
        </w:rPr>
        <w:t>Tytgat</w:t>
      </w:r>
      <w:proofErr w:type="spellEnd"/>
      <w:r w:rsidRPr="0041797D">
        <w:rPr>
          <w:color w:val="000000"/>
          <w:spacing w:val="-2"/>
          <w:kern w:val="0"/>
          <w:sz w:val="16"/>
          <w:szCs w:val="16"/>
        </w:rPr>
        <w:t xml:space="preserve"> GN, van Deventer SJ. HLA-DR and -DQ phenotypes in inflammatory bowel disease: a meta-analysis. </w:t>
      </w:r>
      <w:r w:rsidRPr="0041797D">
        <w:rPr>
          <w:i/>
          <w:iCs/>
          <w:color w:val="000000"/>
          <w:spacing w:val="-2"/>
          <w:kern w:val="0"/>
          <w:sz w:val="16"/>
          <w:szCs w:val="16"/>
        </w:rPr>
        <w:t>Gut</w:t>
      </w:r>
      <w:r w:rsidRPr="0041797D">
        <w:rPr>
          <w:color w:val="000000"/>
          <w:spacing w:val="-2"/>
          <w:kern w:val="0"/>
          <w:sz w:val="16"/>
          <w:szCs w:val="16"/>
        </w:rPr>
        <w:t xml:space="preserve"> 1999; </w:t>
      </w:r>
      <w:r w:rsidRPr="0041797D">
        <w:rPr>
          <w:b/>
          <w:bCs/>
          <w:color w:val="000000"/>
          <w:spacing w:val="-2"/>
          <w:kern w:val="0"/>
          <w:sz w:val="16"/>
          <w:szCs w:val="16"/>
        </w:rPr>
        <w:t>45</w:t>
      </w:r>
      <w:r w:rsidRPr="0041797D">
        <w:rPr>
          <w:color w:val="000000"/>
          <w:spacing w:val="-2"/>
          <w:kern w:val="0"/>
          <w:sz w:val="16"/>
          <w:szCs w:val="16"/>
        </w:rPr>
        <w:t>: 395-401 [PMID: 10446108 DOI: 10.1136/gut.45.3.395]</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18</w:t>
      </w:r>
      <w:r w:rsidRPr="0041797D">
        <w:rPr>
          <w:color w:val="000000"/>
          <w:spacing w:val="-2"/>
          <w:kern w:val="0"/>
          <w:sz w:val="16"/>
          <w:szCs w:val="16"/>
        </w:rPr>
        <w:tab/>
      </w:r>
      <w:proofErr w:type="spellStart"/>
      <w:r w:rsidRPr="0041797D">
        <w:rPr>
          <w:b/>
          <w:bCs/>
          <w:color w:val="000000"/>
          <w:spacing w:val="-2"/>
          <w:kern w:val="0"/>
          <w:sz w:val="16"/>
          <w:szCs w:val="16"/>
        </w:rPr>
        <w:t>Yoshitake</w:t>
      </w:r>
      <w:proofErr w:type="spellEnd"/>
      <w:r w:rsidRPr="0041797D">
        <w:rPr>
          <w:b/>
          <w:bCs/>
          <w:color w:val="000000"/>
          <w:spacing w:val="-2"/>
          <w:kern w:val="0"/>
          <w:sz w:val="16"/>
          <w:szCs w:val="16"/>
        </w:rPr>
        <w:t xml:space="preserve"> S</w:t>
      </w:r>
      <w:r w:rsidRPr="0041797D">
        <w:rPr>
          <w:color w:val="000000"/>
          <w:spacing w:val="-2"/>
          <w:kern w:val="0"/>
          <w:sz w:val="16"/>
          <w:szCs w:val="16"/>
        </w:rPr>
        <w:t xml:space="preserve">, Kimura A, Okada M, Yao T, </w:t>
      </w:r>
      <w:proofErr w:type="spellStart"/>
      <w:r w:rsidRPr="0041797D">
        <w:rPr>
          <w:color w:val="000000"/>
          <w:spacing w:val="-2"/>
          <w:kern w:val="0"/>
          <w:sz w:val="16"/>
          <w:szCs w:val="16"/>
        </w:rPr>
        <w:t>Sasazuki</w:t>
      </w:r>
      <w:proofErr w:type="spellEnd"/>
      <w:r w:rsidRPr="0041797D">
        <w:rPr>
          <w:color w:val="000000"/>
          <w:spacing w:val="-2"/>
          <w:kern w:val="0"/>
          <w:sz w:val="16"/>
          <w:szCs w:val="16"/>
        </w:rPr>
        <w:t xml:space="preserve"> T. HLA class II alleles in Japanese patients with inflammatory bowel disease. </w:t>
      </w:r>
      <w:r w:rsidRPr="0041797D">
        <w:rPr>
          <w:i/>
          <w:iCs/>
          <w:color w:val="000000"/>
          <w:spacing w:val="-2"/>
          <w:kern w:val="0"/>
          <w:sz w:val="16"/>
          <w:szCs w:val="16"/>
        </w:rPr>
        <w:t>Tissue Antigens</w:t>
      </w:r>
      <w:r w:rsidRPr="0041797D">
        <w:rPr>
          <w:color w:val="000000"/>
          <w:spacing w:val="-2"/>
          <w:kern w:val="0"/>
          <w:sz w:val="16"/>
          <w:szCs w:val="16"/>
        </w:rPr>
        <w:t xml:space="preserve"> 1999; </w:t>
      </w:r>
      <w:r w:rsidRPr="0041797D">
        <w:rPr>
          <w:b/>
          <w:bCs/>
          <w:color w:val="000000"/>
          <w:spacing w:val="-2"/>
          <w:kern w:val="0"/>
          <w:sz w:val="16"/>
          <w:szCs w:val="16"/>
        </w:rPr>
        <w:t>53</w:t>
      </w:r>
      <w:r w:rsidRPr="0041797D">
        <w:rPr>
          <w:color w:val="000000"/>
          <w:spacing w:val="-2"/>
          <w:kern w:val="0"/>
          <w:sz w:val="16"/>
          <w:szCs w:val="16"/>
        </w:rPr>
        <w:t>: 350-358 [PMID: 10323339]</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19</w:t>
      </w:r>
      <w:r w:rsidRPr="0041797D">
        <w:rPr>
          <w:color w:val="000000"/>
          <w:spacing w:val="-2"/>
          <w:kern w:val="0"/>
          <w:sz w:val="16"/>
          <w:szCs w:val="16"/>
        </w:rPr>
        <w:tab/>
      </w:r>
      <w:proofErr w:type="spellStart"/>
      <w:r w:rsidRPr="0041797D">
        <w:rPr>
          <w:b/>
          <w:bCs/>
          <w:color w:val="000000"/>
          <w:spacing w:val="-2"/>
          <w:kern w:val="0"/>
          <w:sz w:val="16"/>
          <w:szCs w:val="16"/>
        </w:rPr>
        <w:t>DiGiacomo</w:t>
      </w:r>
      <w:proofErr w:type="spellEnd"/>
      <w:r w:rsidRPr="0041797D">
        <w:rPr>
          <w:b/>
          <w:bCs/>
          <w:color w:val="000000"/>
          <w:spacing w:val="-2"/>
          <w:kern w:val="0"/>
          <w:sz w:val="16"/>
          <w:szCs w:val="16"/>
        </w:rPr>
        <w:t xml:space="preserve"> D</w:t>
      </w:r>
      <w:r w:rsidRPr="0041797D">
        <w:rPr>
          <w:color w:val="000000"/>
          <w:spacing w:val="-2"/>
          <w:kern w:val="0"/>
          <w:sz w:val="16"/>
          <w:szCs w:val="16"/>
        </w:rPr>
        <w:t xml:space="preserve">, </w:t>
      </w:r>
      <w:proofErr w:type="spellStart"/>
      <w:r w:rsidRPr="0041797D">
        <w:rPr>
          <w:color w:val="000000"/>
          <w:spacing w:val="-2"/>
          <w:kern w:val="0"/>
          <w:sz w:val="16"/>
          <w:szCs w:val="16"/>
        </w:rPr>
        <w:t>Santonicola</w:t>
      </w:r>
      <w:proofErr w:type="spellEnd"/>
      <w:r w:rsidRPr="0041797D">
        <w:rPr>
          <w:color w:val="000000"/>
          <w:spacing w:val="-2"/>
          <w:kern w:val="0"/>
          <w:sz w:val="16"/>
          <w:szCs w:val="16"/>
        </w:rPr>
        <w:t xml:space="preserve"> A, </w:t>
      </w:r>
      <w:proofErr w:type="spellStart"/>
      <w:r w:rsidRPr="0041797D">
        <w:rPr>
          <w:color w:val="000000"/>
          <w:spacing w:val="-2"/>
          <w:kern w:val="0"/>
          <w:sz w:val="16"/>
          <w:szCs w:val="16"/>
        </w:rPr>
        <w:t>Zingone</w:t>
      </w:r>
      <w:proofErr w:type="spellEnd"/>
      <w:r w:rsidRPr="0041797D">
        <w:rPr>
          <w:color w:val="000000"/>
          <w:spacing w:val="-2"/>
          <w:kern w:val="0"/>
          <w:sz w:val="16"/>
          <w:szCs w:val="16"/>
        </w:rPr>
        <w:t xml:space="preserve"> F, </w:t>
      </w:r>
      <w:proofErr w:type="spellStart"/>
      <w:r w:rsidRPr="0041797D">
        <w:rPr>
          <w:color w:val="000000"/>
          <w:spacing w:val="-2"/>
          <w:kern w:val="0"/>
          <w:sz w:val="16"/>
          <w:szCs w:val="16"/>
        </w:rPr>
        <w:t>Troncone</w:t>
      </w:r>
      <w:proofErr w:type="spellEnd"/>
      <w:r w:rsidRPr="0041797D">
        <w:rPr>
          <w:color w:val="000000"/>
          <w:spacing w:val="-2"/>
          <w:kern w:val="0"/>
          <w:sz w:val="16"/>
          <w:szCs w:val="16"/>
        </w:rPr>
        <w:t xml:space="preserve"> E, Caria MC, </w:t>
      </w:r>
      <w:proofErr w:type="spellStart"/>
      <w:r w:rsidRPr="0041797D">
        <w:rPr>
          <w:color w:val="000000"/>
          <w:spacing w:val="-2"/>
          <w:kern w:val="0"/>
          <w:sz w:val="16"/>
          <w:szCs w:val="16"/>
        </w:rPr>
        <w:t>Borgheresi</w:t>
      </w:r>
      <w:proofErr w:type="spellEnd"/>
      <w:r w:rsidRPr="0041797D">
        <w:rPr>
          <w:color w:val="000000"/>
          <w:spacing w:val="-2"/>
          <w:kern w:val="0"/>
          <w:sz w:val="16"/>
          <w:szCs w:val="16"/>
        </w:rPr>
        <w:t xml:space="preserve"> P, </w:t>
      </w:r>
      <w:proofErr w:type="spellStart"/>
      <w:r w:rsidRPr="0041797D">
        <w:rPr>
          <w:color w:val="000000"/>
          <w:spacing w:val="-2"/>
          <w:kern w:val="0"/>
          <w:sz w:val="16"/>
          <w:szCs w:val="16"/>
        </w:rPr>
        <w:t>Parrilli</w:t>
      </w:r>
      <w:proofErr w:type="spellEnd"/>
      <w:r w:rsidRPr="0041797D">
        <w:rPr>
          <w:color w:val="000000"/>
          <w:spacing w:val="-2"/>
          <w:kern w:val="0"/>
          <w:sz w:val="16"/>
          <w:szCs w:val="16"/>
        </w:rPr>
        <w:t xml:space="preserve"> G, </w:t>
      </w:r>
      <w:proofErr w:type="spellStart"/>
      <w:r w:rsidRPr="0041797D">
        <w:rPr>
          <w:color w:val="000000"/>
          <w:spacing w:val="-2"/>
          <w:kern w:val="0"/>
          <w:sz w:val="16"/>
          <w:szCs w:val="16"/>
        </w:rPr>
        <w:t>Ciacci</w:t>
      </w:r>
      <w:proofErr w:type="spellEnd"/>
      <w:r w:rsidRPr="0041797D">
        <w:rPr>
          <w:color w:val="000000"/>
          <w:spacing w:val="-2"/>
          <w:kern w:val="0"/>
          <w:sz w:val="16"/>
          <w:szCs w:val="16"/>
        </w:rPr>
        <w:t xml:space="preserve"> C. Human leukocyte antigen DQ2/8 prevalence in non-celiac patients with gastrointestinal diseases. </w:t>
      </w:r>
      <w:r w:rsidRPr="0041797D">
        <w:rPr>
          <w:i/>
          <w:iCs/>
          <w:color w:val="000000"/>
          <w:spacing w:val="-2"/>
          <w:kern w:val="0"/>
          <w:sz w:val="16"/>
          <w:szCs w:val="16"/>
        </w:rPr>
        <w:t xml:space="preserve">World J </w:t>
      </w:r>
      <w:proofErr w:type="spellStart"/>
      <w:r w:rsidRPr="0041797D">
        <w:rPr>
          <w:i/>
          <w:iCs/>
          <w:color w:val="000000"/>
          <w:spacing w:val="-2"/>
          <w:kern w:val="0"/>
          <w:sz w:val="16"/>
          <w:szCs w:val="16"/>
        </w:rPr>
        <w:t>Gastroenterol</w:t>
      </w:r>
      <w:proofErr w:type="spellEnd"/>
      <w:r w:rsidRPr="0041797D">
        <w:rPr>
          <w:color w:val="000000"/>
          <w:spacing w:val="-2"/>
          <w:kern w:val="0"/>
          <w:sz w:val="16"/>
          <w:szCs w:val="16"/>
        </w:rPr>
        <w:t xml:space="preserve"> 2013; </w:t>
      </w:r>
      <w:r w:rsidRPr="0041797D">
        <w:rPr>
          <w:b/>
          <w:bCs/>
          <w:color w:val="000000"/>
          <w:spacing w:val="-2"/>
          <w:kern w:val="0"/>
          <w:sz w:val="16"/>
          <w:szCs w:val="16"/>
        </w:rPr>
        <w:t>19</w:t>
      </w:r>
      <w:r w:rsidRPr="0041797D">
        <w:rPr>
          <w:color w:val="000000"/>
          <w:spacing w:val="-2"/>
          <w:kern w:val="0"/>
          <w:sz w:val="16"/>
          <w:szCs w:val="16"/>
        </w:rPr>
        <w:t>: 2507-2513 [PMID: 23674852 DOI: 10.3748/wjg.v19.i16.2507]</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20</w:t>
      </w:r>
      <w:r w:rsidRPr="0041797D">
        <w:rPr>
          <w:color w:val="000000"/>
          <w:spacing w:val="-2"/>
          <w:kern w:val="0"/>
          <w:sz w:val="16"/>
          <w:szCs w:val="16"/>
        </w:rPr>
        <w:tab/>
      </w:r>
      <w:proofErr w:type="spellStart"/>
      <w:r w:rsidRPr="0041797D">
        <w:rPr>
          <w:b/>
          <w:bCs/>
          <w:color w:val="000000"/>
          <w:spacing w:val="-2"/>
          <w:kern w:val="0"/>
          <w:sz w:val="16"/>
          <w:szCs w:val="16"/>
        </w:rPr>
        <w:t>Satsangi</w:t>
      </w:r>
      <w:proofErr w:type="spellEnd"/>
      <w:r w:rsidRPr="0041797D">
        <w:rPr>
          <w:b/>
          <w:bCs/>
          <w:color w:val="000000"/>
          <w:spacing w:val="-2"/>
          <w:kern w:val="0"/>
          <w:sz w:val="16"/>
          <w:szCs w:val="16"/>
        </w:rPr>
        <w:t xml:space="preserve"> J</w:t>
      </w:r>
      <w:r w:rsidRPr="0041797D">
        <w:rPr>
          <w:color w:val="000000"/>
          <w:spacing w:val="-2"/>
          <w:kern w:val="0"/>
          <w:sz w:val="16"/>
          <w:szCs w:val="16"/>
        </w:rPr>
        <w:t xml:space="preserve">, Silverberg MS, </w:t>
      </w:r>
      <w:proofErr w:type="spellStart"/>
      <w:r w:rsidRPr="0041797D">
        <w:rPr>
          <w:color w:val="000000"/>
          <w:spacing w:val="-2"/>
          <w:kern w:val="0"/>
          <w:sz w:val="16"/>
          <w:szCs w:val="16"/>
        </w:rPr>
        <w:t>Vermeire</w:t>
      </w:r>
      <w:proofErr w:type="spellEnd"/>
      <w:r w:rsidRPr="0041797D">
        <w:rPr>
          <w:color w:val="000000"/>
          <w:spacing w:val="-2"/>
          <w:kern w:val="0"/>
          <w:sz w:val="16"/>
          <w:szCs w:val="16"/>
        </w:rPr>
        <w:t xml:space="preserve"> S, </w:t>
      </w:r>
      <w:proofErr w:type="spellStart"/>
      <w:r w:rsidRPr="0041797D">
        <w:rPr>
          <w:color w:val="000000"/>
          <w:spacing w:val="-2"/>
          <w:kern w:val="0"/>
          <w:sz w:val="16"/>
          <w:szCs w:val="16"/>
        </w:rPr>
        <w:t>Colombel</w:t>
      </w:r>
      <w:proofErr w:type="spellEnd"/>
      <w:r w:rsidRPr="0041797D">
        <w:rPr>
          <w:color w:val="000000"/>
          <w:spacing w:val="-2"/>
          <w:kern w:val="0"/>
          <w:sz w:val="16"/>
          <w:szCs w:val="16"/>
        </w:rPr>
        <w:t xml:space="preserve"> JF. The Montreal classification of inflammatory bowel disease: controversies, consensus, and implications. </w:t>
      </w:r>
      <w:r w:rsidRPr="0041797D">
        <w:rPr>
          <w:i/>
          <w:iCs/>
          <w:color w:val="000000"/>
          <w:spacing w:val="-2"/>
          <w:kern w:val="0"/>
          <w:sz w:val="16"/>
          <w:szCs w:val="16"/>
        </w:rPr>
        <w:t>Gut</w:t>
      </w:r>
      <w:r w:rsidRPr="0041797D">
        <w:rPr>
          <w:color w:val="000000"/>
          <w:spacing w:val="-2"/>
          <w:kern w:val="0"/>
          <w:sz w:val="16"/>
          <w:szCs w:val="16"/>
        </w:rPr>
        <w:t xml:space="preserve"> 2006; </w:t>
      </w:r>
      <w:r w:rsidRPr="0041797D">
        <w:rPr>
          <w:b/>
          <w:bCs/>
          <w:color w:val="000000"/>
          <w:spacing w:val="-2"/>
          <w:kern w:val="0"/>
          <w:sz w:val="16"/>
          <w:szCs w:val="16"/>
        </w:rPr>
        <w:t>55</w:t>
      </w:r>
      <w:r w:rsidRPr="0041797D">
        <w:rPr>
          <w:color w:val="000000"/>
          <w:spacing w:val="-2"/>
          <w:kern w:val="0"/>
          <w:sz w:val="16"/>
          <w:szCs w:val="16"/>
        </w:rPr>
        <w:t>: 749-753 [PMID: 16698746 DOI: 10.1136/gut.2005.082909]</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21</w:t>
      </w:r>
      <w:r w:rsidRPr="0041797D">
        <w:rPr>
          <w:color w:val="000000"/>
          <w:spacing w:val="-2"/>
          <w:kern w:val="0"/>
          <w:sz w:val="16"/>
          <w:szCs w:val="16"/>
        </w:rPr>
        <w:tab/>
      </w:r>
      <w:proofErr w:type="spellStart"/>
      <w:r w:rsidRPr="0041797D">
        <w:rPr>
          <w:b/>
          <w:bCs/>
          <w:color w:val="000000"/>
          <w:spacing w:val="-2"/>
          <w:kern w:val="0"/>
          <w:sz w:val="16"/>
          <w:szCs w:val="16"/>
        </w:rPr>
        <w:t>Olerup</w:t>
      </w:r>
      <w:proofErr w:type="spellEnd"/>
      <w:r w:rsidRPr="0041797D">
        <w:rPr>
          <w:b/>
          <w:bCs/>
          <w:color w:val="000000"/>
          <w:spacing w:val="-2"/>
          <w:kern w:val="0"/>
          <w:sz w:val="16"/>
          <w:szCs w:val="16"/>
        </w:rPr>
        <w:t xml:space="preserve"> O</w:t>
      </w:r>
      <w:r w:rsidRPr="0041797D">
        <w:rPr>
          <w:color w:val="000000"/>
          <w:spacing w:val="-2"/>
          <w:kern w:val="0"/>
          <w:sz w:val="16"/>
          <w:szCs w:val="16"/>
        </w:rPr>
        <w:t xml:space="preserve">, </w:t>
      </w:r>
      <w:proofErr w:type="spellStart"/>
      <w:r w:rsidRPr="0041797D">
        <w:rPr>
          <w:color w:val="000000"/>
          <w:spacing w:val="-2"/>
          <w:kern w:val="0"/>
          <w:sz w:val="16"/>
          <w:szCs w:val="16"/>
        </w:rPr>
        <w:t>Aldener</w:t>
      </w:r>
      <w:proofErr w:type="spellEnd"/>
      <w:r w:rsidRPr="0041797D">
        <w:rPr>
          <w:color w:val="000000"/>
          <w:spacing w:val="-2"/>
          <w:kern w:val="0"/>
          <w:sz w:val="16"/>
          <w:szCs w:val="16"/>
        </w:rPr>
        <w:t xml:space="preserve"> A, </w:t>
      </w:r>
      <w:proofErr w:type="spellStart"/>
      <w:r w:rsidRPr="0041797D">
        <w:rPr>
          <w:color w:val="000000"/>
          <w:spacing w:val="-2"/>
          <w:kern w:val="0"/>
          <w:sz w:val="16"/>
          <w:szCs w:val="16"/>
        </w:rPr>
        <w:t>Fogdell</w:t>
      </w:r>
      <w:proofErr w:type="spellEnd"/>
      <w:r w:rsidRPr="0041797D">
        <w:rPr>
          <w:color w:val="000000"/>
          <w:spacing w:val="-2"/>
          <w:kern w:val="0"/>
          <w:sz w:val="16"/>
          <w:szCs w:val="16"/>
        </w:rPr>
        <w:t xml:space="preserve"> A. HLA-DQB1 and -DQA1 typing by PCR amplification with sequence-specific primers (PCR-SSP) in 2 hours. </w:t>
      </w:r>
      <w:r w:rsidRPr="0041797D">
        <w:rPr>
          <w:i/>
          <w:iCs/>
          <w:color w:val="000000"/>
          <w:spacing w:val="-2"/>
          <w:kern w:val="0"/>
          <w:sz w:val="16"/>
          <w:szCs w:val="16"/>
        </w:rPr>
        <w:t>Tissue Antigens</w:t>
      </w:r>
      <w:r w:rsidRPr="0041797D">
        <w:rPr>
          <w:color w:val="000000"/>
          <w:spacing w:val="-2"/>
          <w:kern w:val="0"/>
          <w:sz w:val="16"/>
          <w:szCs w:val="16"/>
        </w:rPr>
        <w:t xml:space="preserve"> 1993; </w:t>
      </w:r>
      <w:r w:rsidRPr="0041797D">
        <w:rPr>
          <w:b/>
          <w:bCs/>
          <w:color w:val="000000"/>
          <w:spacing w:val="-2"/>
          <w:kern w:val="0"/>
          <w:sz w:val="16"/>
          <w:szCs w:val="16"/>
        </w:rPr>
        <w:t>41</w:t>
      </w:r>
      <w:r w:rsidRPr="0041797D">
        <w:rPr>
          <w:color w:val="000000"/>
          <w:spacing w:val="-2"/>
          <w:kern w:val="0"/>
          <w:sz w:val="16"/>
          <w:szCs w:val="16"/>
        </w:rPr>
        <w:t>: 119-134 [PMID: 8316943 DOI: 10.1111/j.1399-0039.1993.tb01991.x]</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22</w:t>
      </w:r>
      <w:r w:rsidRPr="0041797D">
        <w:rPr>
          <w:color w:val="000000"/>
          <w:spacing w:val="-2"/>
          <w:kern w:val="0"/>
          <w:sz w:val="16"/>
          <w:szCs w:val="16"/>
        </w:rPr>
        <w:tab/>
      </w:r>
      <w:proofErr w:type="spellStart"/>
      <w:r w:rsidRPr="0041797D">
        <w:rPr>
          <w:b/>
          <w:bCs/>
          <w:color w:val="000000"/>
          <w:spacing w:val="-2"/>
          <w:kern w:val="0"/>
          <w:sz w:val="16"/>
          <w:szCs w:val="16"/>
        </w:rPr>
        <w:t>Tamatsukuri</w:t>
      </w:r>
      <w:proofErr w:type="spellEnd"/>
      <w:r w:rsidRPr="0041797D">
        <w:rPr>
          <w:b/>
          <w:bCs/>
          <w:color w:val="000000"/>
          <w:spacing w:val="-2"/>
          <w:kern w:val="0"/>
          <w:sz w:val="16"/>
          <w:szCs w:val="16"/>
        </w:rPr>
        <w:t xml:space="preserve"> S</w:t>
      </w:r>
      <w:r w:rsidRPr="0041797D">
        <w:rPr>
          <w:color w:val="000000"/>
          <w:spacing w:val="-2"/>
          <w:kern w:val="0"/>
          <w:sz w:val="16"/>
          <w:szCs w:val="16"/>
        </w:rPr>
        <w:t xml:space="preserve">. Development of diagnostic technology using magnetic </w:t>
      </w:r>
      <w:proofErr w:type="spellStart"/>
      <w:r w:rsidRPr="0041797D">
        <w:rPr>
          <w:color w:val="000000"/>
          <w:spacing w:val="-2"/>
          <w:kern w:val="0"/>
          <w:sz w:val="16"/>
          <w:szCs w:val="16"/>
        </w:rPr>
        <w:t>microparticles</w:t>
      </w:r>
      <w:proofErr w:type="spellEnd"/>
      <w:r w:rsidRPr="0041797D">
        <w:rPr>
          <w:color w:val="000000"/>
          <w:spacing w:val="-2"/>
          <w:kern w:val="0"/>
          <w:sz w:val="16"/>
          <w:szCs w:val="16"/>
        </w:rPr>
        <w:t xml:space="preserve">. </w:t>
      </w:r>
      <w:r w:rsidRPr="0041797D">
        <w:rPr>
          <w:i/>
          <w:iCs/>
          <w:color w:val="000000"/>
          <w:spacing w:val="-2"/>
          <w:kern w:val="0"/>
          <w:sz w:val="16"/>
          <w:szCs w:val="16"/>
        </w:rPr>
        <w:t>Bio-Industry</w:t>
      </w:r>
      <w:r w:rsidRPr="0041797D">
        <w:rPr>
          <w:color w:val="000000"/>
          <w:spacing w:val="-2"/>
          <w:kern w:val="0"/>
          <w:sz w:val="16"/>
          <w:szCs w:val="16"/>
        </w:rPr>
        <w:t xml:space="preserve"> 2005; </w:t>
      </w:r>
      <w:r w:rsidRPr="0041797D">
        <w:rPr>
          <w:b/>
          <w:bCs/>
          <w:color w:val="000000"/>
          <w:spacing w:val="-2"/>
          <w:kern w:val="0"/>
          <w:sz w:val="16"/>
          <w:szCs w:val="16"/>
        </w:rPr>
        <w:t>21</w:t>
      </w:r>
      <w:r w:rsidRPr="0041797D">
        <w:rPr>
          <w:color w:val="000000"/>
          <w:spacing w:val="-2"/>
          <w:kern w:val="0"/>
          <w:sz w:val="16"/>
          <w:szCs w:val="16"/>
        </w:rPr>
        <w:t>: 39-47</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3"/>
          <w:kern w:val="0"/>
          <w:sz w:val="16"/>
          <w:szCs w:val="16"/>
        </w:rPr>
      </w:pPr>
      <w:r w:rsidRPr="0041797D">
        <w:rPr>
          <w:color w:val="000000"/>
          <w:spacing w:val="-3"/>
          <w:kern w:val="0"/>
          <w:sz w:val="16"/>
          <w:szCs w:val="16"/>
        </w:rPr>
        <w:t>23</w:t>
      </w:r>
      <w:r w:rsidRPr="0041797D">
        <w:rPr>
          <w:color w:val="000000"/>
          <w:spacing w:val="-3"/>
          <w:kern w:val="0"/>
          <w:sz w:val="16"/>
          <w:szCs w:val="16"/>
        </w:rPr>
        <w:tab/>
      </w:r>
      <w:proofErr w:type="spellStart"/>
      <w:r w:rsidRPr="0041797D">
        <w:rPr>
          <w:b/>
          <w:bCs/>
          <w:color w:val="000000"/>
          <w:spacing w:val="-3"/>
          <w:kern w:val="0"/>
          <w:sz w:val="16"/>
          <w:szCs w:val="16"/>
        </w:rPr>
        <w:t>Dignass</w:t>
      </w:r>
      <w:proofErr w:type="spellEnd"/>
      <w:r w:rsidRPr="0041797D">
        <w:rPr>
          <w:b/>
          <w:bCs/>
          <w:color w:val="000000"/>
          <w:spacing w:val="-3"/>
          <w:kern w:val="0"/>
          <w:sz w:val="16"/>
          <w:szCs w:val="16"/>
        </w:rPr>
        <w:t xml:space="preserve"> A</w:t>
      </w:r>
      <w:r w:rsidRPr="0041797D">
        <w:rPr>
          <w:color w:val="000000"/>
          <w:spacing w:val="-3"/>
          <w:kern w:val="0"/>
          <w:sz w:val="16"/>
          <w:szCs w:val="16"/>
        </w:rPr>
        <w:t xml:space="preserve">, Van </w:t>
      </w:r>
      <w:proofErr w:type="spellStart"/>
      <w:r w:rsidRPr="0041797D">
        <w:rPr>
          <w:color w:val="000000"/>
          <w:spacing w:val="-3"/>
          <w:kern w:val="0"/>
          <w:sz w:val="16"/>
          <w:szCs w:val="16"/>
        </w:rPr>
        <w:t>Assche</w:t>
      </w:r>
      <w:proofErr w:type="spellEnd"/>
      <w:r w:rsidRPr="0041797D">
        <w:rPr>
          <w:color w:val="000000"/>
          <w:spacing w:val="-3"/>
          <w:kern w:val="0"/>
          <w:sz w:val="16"/>
          <w:szCs w:val="16"/>
        </w:rPr>
        <w:t xml:space="preserve"> G, Lindsay JO, </w:t>
      </w:r>
      <w:proofErr w:type="spellStart"/>
      <w:r w:rsidRPr="0041797D">
        <w:rPr>
          <w:color w:val="000000"/>
          <w:spacing w:val="-3"/>
          <w:kern w:val="0"/>
          <w:sz w:val="16"/>
          <w:szCs w:val="16"/>
        </w:rPr>
        <w:t>Lémann</w:t>
      </w:r>
      <w:proofErr w:type="spellEnd"/>
      <w:r w:rsidRPr="0041797D">
        <w:rPr>
          <w:color w:val="000000"/>
          <w:spacing w:val="-3"/>
          <w:kern w:val="0"/>
          <w:sz w:val="16"/>
          <w:szCs w:val="16"/>
        </w:rPr>
        <w:t xml:space="preserve"> M, </w:t>
      </w:r>
      <w:proofErr w:type="spellStart"/>
      <w:r w:rsidRPr="0041797D">
        <w:rPr>
          <w:color w:val="000000"/>
          <w:spacing w:val="-3"/>
          <w:kern w:val="0"/>
          <w:sz w:val="16"/>
          <w:szCs w:val="16"/>
        </w:rPr>
        <w:t>Söderholm</w:t>
      </w:r>
      <w:proofErr w:type="spellEnd"/>
      <w:r w:rsidRPr="0041797D">
        <w:rPr>
          <w:color w:val="000000"/>
          <w:spacing w:val="-3"/>
          <w:kern w:val="0"/>
          <w:sz w:val="16"/>
          <w:szCs w:val="16"/>
        </w:rPr>
        <w:t xml:space="preserve"> J, </w:t>
      </w:r>
      <w:proofErr w:type="spellStart"/>
      <w:r w:rsidRPr="0041797D">
        <w:rPr>
          <w:color w:val="000000"/>
          <w:spacing w:val="-3"/>
          <w:kern w:val="0"/>
          <w:sz w:val="16"/>
          <w:szCs w:val="16"/>
        </w:rPr>
        <w:t>Colombel</w:t>
      </w:r>
      <w:proofErr w:type="spellEnd"/>
      <w:r w:rsidRPr="0041797D">
        <w:rPr>
          <w:color w:val="000000"/>
          <w:spacing w:val="-3"/>
          <w:kern w:val="0"/>
          <w:sz w:val="16"/>
          <w:szCs w:val="16"/>
        </w:rPr>
        <w:t xml:space="preserve"> JF, </w:t>
      </w:r>
      <w:proofErr w:type="spellStart"/>
      <w:r w:rsidRPr="0041797D">
        <w:rPr>
          <w:color w:val="000000"/>
          <w:spacing w:val="-3"/>
          <w:kern w:val="0"/>
          <w:sz w:val="16"/>
          <w:szCs w:val="16"/>
        </w:rPr>
        <w:t>Danese</w:t>
      </w:r>
      <w:proofErr w:type="spellEnd"/>
      <w:r w:rsidRPr="0041797D">
        <w:rPr>
          <w:color w:val="000000"/>
          <w:spacing w:val="-3"/>
          <w:kern w:val="0"/>
          <w:sz w:val="16"/>
          <w:szCs w:val="16"/>
        </w:rPr>
        <w:t xml:space="preserve"> S, </w:t>
      </w:r>
      <w:proofErr w:type="spellStart"/>
      <w:r w:rsidRPr="0041797D">
        <w:rPr>
          <w:color w:val="000000"/>
          <w:spacing w:val="-3"/>
          <w:kern w:val="0"/>
          <w:sz w:val="16"/>
          <w:szCs w:val="16"/>
        </w:rPr>
        <w:t>D’Hoore</w:t>
      </w:r>
      <w:proofErr w:type="spellEnd"/>
      <w:r w:rsidRPr="0041797D">
        <w:rPr>
          <w:color w:val="000000"/>
          <w:spacing w:val="-3"/>
          <w:kern w:val="0"/>
          <w:sz w:val="16"/>
          <w:szCs w:val="16"/>
        </w:rPr>
        <w:t xml:space="preserve"> A, </w:t>
      </w:r>
      <w:proofErr w:type="spellStart"/>
      <w:r w:rsidRPr="0041797D">
        <w:rPr>
          <w:color w:val="000000"/>
          <w:spacing w:val="-3"/>
          <w:kern w:val="0"/>
          <w:sz w:val="16"/>
          <w:szCs w:val="16"/>
        </w:rPr>
        <w:t>Gassull</w:t>
      </w:r>
      <w:proofErr w:type="spellEnd"/>
      <w:r w:rsidRPr="0041797D">
        <w:rPr>
          <w:color w:val="000000"/>
          <w:spacing w:val="-3"/>
          <w:kern w:val="0"/>
          <w:sz w:val="16"/>
          <w:szCs w:val="16"/>
        </w:rPr>
        <w:t xml:space="preserve"> M, </w:t>
      </w:r>
      <w:proofErr w:type="spellStart"/>
      <w:r w:rsidRPr="0041797D">
        <w:rPr>
          <w:color w:val="000000"/>
          <w:spacing w:val="-3"/>
          <w:kern w:val="0"/>
          <w:sz w:val="16"/>
          <w:szCs w:val="16"/>
        </w:rPr>
        <w:t>Gomollón</w:t>
      </w:r>
      <w:proofErr w:type="spellEnd"/>
      <w:r w:rsidRPr="0041797D">
        <w:rPr>
          <w:color w:val="000000"/>
          <w:spacing w:val="-3"/>
          <w:kern w:val="0"/>
          <w:sz w:val="16"/>
          <w:szCs w:val="16"/>
        </w:rPr>
        <w:t xml:space="preserve"> F, </w:t>
      </w:r>
      <w:proofErr w:type="spellStart"/>
      <w:r w:rsidRPr="0041797D">
        <w:rPr>
          <w:color w:val="000000"/>
          <w:spacing w:val="-3"/>
          <w:kern w:val="0"/>
          <w:sz w:val="16"/>
          <w:szCs w:val="16"/>
        </w:rPr>
        <w:t>Hommes</w:t>
      </w:r>
      <w:proofErr w:type="spellEnd"/>
      <w:r w:rsidRPr="0041797D">
        <w:rPr>
          <w:color w:val="000000"/>
          <w:spacing w:val="-3"/>
          <w:kern w:val="0"/>
          <w:sz w:val="16"/>
          <w:szCs w:val="16"/>
        </w:rPr>
        <w:t xml:space="preserve"> DW, </w:t>
      </w:r>
      <w:proofErr w:type="spellStart"/>
      <w:r w:rsidRPr="0041797D">
        <w:rPr>
          <w:color w:val="000000"/>
          <w:spacing w:val="-3"/>
          <w:kern w:val="0"/>
          <w:sz w:val="16"/>
          <w:szCs w:val="16"/>
        </w:rPr>
        <w:t>Michetti</w:t>
      </w:r>
      <w:proofErr w:type="spellEnd"/>
      <w:r w:rsidRPr="0041797D">
        <w:rPr>
          <w:color w:val="000000"/>
          <w:spacing w:val="-3"/>
          <w:kern w:val="0"/>
          <w:sz w:val="16"/>
          <w:szCs w:val="16"/>
        </w:rPr>
        <w:t xml:space="preserve"> </w:t>
      </w:r>
      <w:proofErr w:type="spellStart"/>
      <w:r w:rsidRPr="0041797D">
        <w:rPr>
          <w:color w:val="000000"/>
          <w:spacing w:val="-3"/>
          <w:kern w:val="0"/>
          <w:sz w:val="16"/>
          <w:szCs w:val="16"/>
        </w:rPr>
        <w:t>P,O’Morain</w:t>
      </w:r>
      <w:proofErr w:type="spellEnd"/>
      <w:r w:rsidRPr="0041797D">
        <w:rPr>
          <w:color w:val="000000"/>
          <w:spacing w:val="-3"/>
          <w:kern w:val="0"/>
          <w:sz w:val="16"/>
          <w:szCs w:val="16"/>
        </w:rPr>
        <w:t xml:space="preserve"> C, </w:t>
      </w:r>
      <w:proofErr w:type="spellStart"/>
      <w:r w:rsidRPr="0041797D">
        <w:rPr>
          <w:color w:val="000000"/>
          <w:spacing w:val="-3"/>
          <w:kern w:val="0"/>
          <w:sz w:val="16"/>
          <w:szCs w:val="16"/>
        </w:rPr>
        <w:t>Oresland</w:t>
      </w:r>
      <w:proofErr w:type="spellEnd"/>
      <w:r w:rsidRPr="0041797D">
        <w:rPr>
          <w:color w:val="000000"/>
          <w:spacing w:val="-3"/>
          <w:kern w:val="0"/>
          <w:sz w:val="16"/>
          <w:szCs w:val="16"/>
        </w:rPr>
        <w:t xml:space="preserve"> T, Windsor A, </w:t>
      </w:r>
      <w:proofErr w:type="spellStart"/>
      <w:r w:rsidRPr="0041797D">
        <w:rPr>
          <w:color w:val="000000"/>
          <w:spacing w:val="-3"/>
          <w:kern w:val="0"/>
          <w:sz w:val="16"/>
          <w:szCs w:val="16"/>
        </w:rPr>
        <w:t>Stange</w:t>
      </w:r>
      <w:proofErr w:type="spellEnd"/>
      <w:r w:rsidRPr="0041797D">
        <w:rPr>
          <w:color w:val="000000"/>
          <w:spacing w:val="-3"/>
          <w:kern w:val="0"/>
          <w:sz w:val="16"/>
          <w:szCs w:val="16"/>
        </w:rPr>
        <w:t xml:space="preserve"> EF, Travis SP; European </w:t>
      </w:r>
      <w:proofErr w:type="spellStart"/>
      <w:r w:rsidRPr="0041797D">
        <w:rPr>
          <w:color w:val="000000"/>
          <w:spacing w:val="-3"/>
          <w:kern w:val="0"/>
          <w:sz w:val="16"/>
          <w:szCs w:val="16"/>
        </w:rPr>
        <w:t>Crohn’s</w:t>
      </w:r>
      <w:proofErr w:type="spellEnd"/>
      <w:r w:rsidRPr="0041797D">
        <w:rPr>
          <w:color w:val="000000"/>
          <w:spacing w:val="-3"/>
          <w:kern w:val="0"/>
          <w:sz w:val="16"/>
          <w:szCs w:val="16"/>
        </w:rPr>
        <w:t xml:space="preserve"> and Colitis </w:t>
      </w:r>
      <w:proofErr w:type="spellStart"/>
      <w:r w:rsidRPr="0041797D">
        <w:rPr>
          <w:color w:val="000000"/>
          <w:spacing w:val="-3"/>
          <w:kern w:val="0"/>
          <w:sz w:val="16"/>
          <w:szCs w:val="16"/>
        </w:rPr>
        <w:t>Organisation</w:t>
      </w:r>
      <w:proofErr w:type="spellEnd"/>
      <w:r w:rsidRPr="0041797D">
        <w:rPr>
          <w:color w:val="000000"/>
          <w:spacing w:val="-3"/>
          <w:kern w:val="0"/>
          <w:sz w:val="16"/>
          <w:szCs w:val="16"/>
        </w:rPr>
        <w:t xml:space="preserve"> (ECCO). The second European evidence-based Consensus on the diagnosis and management of </w:t>
      </w:r>
      <w:proofErr w:type="spellStart"/>
      <w:r w:rsidRPr="0041797D">
        <w:rPr>
          <w:color w:val="000000"/>
          <w:spacing w:val="-3"/>
          <w:kern w:val="0"/>
          <w:sz w:val="16"/>
          <w:szCs w:val="16"/>
        </w:rPr>
        <w:t>Crohn’s</w:t>
      </w:r>
      <w:proofErr w:type="spellEnd"/>
      <w:r w:rsidRPr="0041797D">
        <w:rPr>
          <w:color w:val="000000"/>
          <w:spacing w:val="-3"/>
          <w:kern w:val="0"/>
          <w:sz w:val="16"/>
          <w:szCs w:val="16"/>
        </w:rPr>
        <w:t xml:space="preserve"> disease: Current management. </w:t>
      </w:r>
      <w:r w:rsidRPr="0041797D">
        <w:rPr>
          <w:i/>
          <w:iCs/>
          <w:color w:val="000000"/>
          <w:spacing w:val="-3"/>
          <w:kern w:val="0"/>
          <w:sz w:val="16"/>
          <w:szCs w:val="16"/>
        </w:rPr>
        <w:t xml:space="preserve">J </w:t>
      </w:r>
      <w:proofErr w:type="spellStart"/>
      <w:r w:rsidRPr="0041797D">
        <w:rPr>
          <w:i/>
          <w:iCs/>
          <w:color w:val="000000"/>
          <w:spacing w:val="-3"/>
          <w:kern w:val="0"/>
          <w:sz w:val="16"/>
          <w:szCs w:val="16"/>
        </w:rPr>
        <w:t>Crohns</w:t>
      </w:r>
      <w:proofErr w:type="spellEnd"/>
      <w:r w:rsidRPr="0041797D">
        <w:rPr>
          <w:i/>
          <w:iCs/>
          <w:color w:val="000000"/>
          <w:spacing w:val="-3"/>
          <w:kern w:val="0"/>
          <w:sz w:val="16"/>
          <w:szCs w:val="16"/>
        </w:rPr>
        <w:t xml:space="preserve"> Colitis</w:t>
      </w:r>
      <w:r w:rsidRPr="0041797D">
        <w:rPr>
          <w:color w:val="000000"/>
          <w:spacing w:val="-3"/>
          <w:kern w:val="0"/>
          <w:sz w:val="16"/>
          <w:szCs w:val="16"/>
        </w:rPr>
        <w:t xml:space="preserve"> 2010; </w:t>
      </w:r>
      <w:r w:rsidRPr="0041797D">
        <w:rPr>
          <w:b/>
          <w:bCs/>
          <w:color w:val="000000"/>
          <w:spacing w:val="-3"/>
          <w:kern w:val="0"/>
          <w:sz w:val="16"/>
          <w:szCs w:val="16"/>
        </w:rPr>
        <w:t>4</w:t>
      </w:r>
      <w:r w:rsidRPr="0041797D">
        <w:rPr>
          <w:color w:val="000000"/>
          <w:spacing w:val="-3"/>
          <w:kern w:val="0"/>
          <w:sz w:val="16"/>
          <w:szCs w:val="16"/>
        </w:rPr>
        <w:t>: 28-62 [DOI:10.1016/j.crohns.2009.12.002]</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24</w:t>
      </w:r>
      <w:r w:rsidRPr="0041797D">
        <w:rPr>
          <w:color w:val="000000"/>
          <w:spacing w:val="-2"/>
          <w:kern w:val="0"/>
          <w:sz w:val="16"/>
          <w:szCs w:val="16"/>
        </w:rPr>
        <w:tab/>
      </w:r>
      <w:r w:rsidRPr="0041797D">
        <w:rPr>
          <w:b/>
          <w:bCs/>
          <w:color w:val="000000"/>
          <w:spacing w:val="-2"/>
          <w:kern w:val="0"/>
          <w:sz w:val="16"/>
          <w:szCs w:val="16"/>
        </w:rPr>
        <w:t>Bernstein CN</w:t>
      </w:r>
      <w:r w:rsidRPr="0041797D">
        <w:rPr>
          <w:color w:val="000000"/>
          <w:spacing w:val="-2"/>
          <w:kern w:val="0"/>
          <w:sz w:val="16"/>
          <w:szCs w:val="16"/>
        </w:rPr>
        <w:t xml:space="preserve">, Fried M, </w:t>
      </w:r>
      <w:proofErr w:type="spellStart"/>
      <w:r w:rsidRPr="0041797D">
        <w:rPr>
          <w:color w:val="000000"/>
          <w:spacing w:val="-2"/>
          <w:kern w:val="0"/>
          <w:sz w:val="16"/>
          <w:szCs w:val="16"/>
        </w:rPr>
        <w:t>Krabshuis</w:t>
      </w:r>
      <w:proofErr w:type="spellEnd"/>
      <w:r w:rsidRPr="0041797D">
        <w:rPr>
          <w:color w:val="000000"/>
          <w:spacing w:val="-2"/>
          <w:kern w:val="0"/>
          <w:sz w:val="16"/>
          <w:szCs w:val="16"/>
        </w:rPr>
        <w:t xml:space="preserve"> JH, Cohen H, </w:t>
      </w:r>
      <w:proofErr w:type="spellStart"/>
      <w:r w:rsidRPr="0041797D">
        <w:rPr>
          <w:color w:val="000000"/>
          <w:spacing w:val="-2"/>
          <w:kern w:val="0"/>
          <w:sz w:val="16"/>
          <w:szCs w:val="16"/>
        </w:rPr>
        <w:t>Eliakim</w:t>
      </w:r>
      <w:proofErr w:type="spellEnd"/>
      <w:r w:rsidRPr="0041797D">
        <w:rPr>
          <w:color w:val="000000"/>
          <w:spacing w:val="-2"/>
          <w:kern w:val="0"/>
          <w:sz w:val="16"/>
          <w:szCs w:val="16"/>
        </w:rPr>
        <w:t xml:space="preserve"> R, </w:t>
      </w:r>
      <w:proofErr w:type="spellStart"/>
      <w:r w:rsidRPr="0041797D">
        <w:rPr>
          <w:color w:val="000000"/>
          <w:spacing w:val="-2"/>
          <w:kern w:val="0"/>
          <w:sz w:val="16"/>
          <w:szCs w:val="16"/>
        </w:rPr>
        <w:t>Fedail</w:t>
      </w:r>
      <w:proofErr w:type="spellEnd"/>
      <w:r w:rsidRPr="0041797D">
        <w:rPr>
          <w:color w:val="000000"/>
          <w:spacing w:val="-2"/>
          <w:kern w:val="0"/>
          <w:sz w:val="16"/>
          <w:szCs w:val="16"/>
        </w:rPr>
        <w:t xml:space="preserve"> S, </w:t>
      </w:r>
      <w:proofErr w:type="spellStart"/>
      <w:r w:rsidRPr="0041797D">
        <w:rPr>
          <w:color w:val="000000"/>
          <w:spacing w:val="-2"/>
          <w:kern w:val="0"/>
          <w:sz w:val="16"/>
          <w:szCs w:val="16"/>
        </w:rPr>
        <w:t>Gearry</w:t>
      </w:r>
      <w:proofErr w:type="spellEnd"/>
      <w:r w:rsidRPr="0041797D">
        <w:rPr>
          <w:color w:val="000000"/>
          <w:spacing w:val="-2"/>
          <w:kern w:val="0"/>
          <w:sz w:val="16"/>
          <w:szCs w:val="16"/>
        </w:rPr>
        <w:t xml:space="preserve"> R, </w:t>
      </w:r>
      <w:proofErr w:type="spellStart"/>
      <w:r w:rsidRPr="0041797D">
        <w:rPr>
          <w:color w:val="000000"/>
          <w:spacing w:val="-2"/>
          <w:kern w:val="0"/>
          <w:sz w:val="16"/>
          <w:szCs w:val="16"/>
        </w:rPr>
        <w:t>Goh</w:t>
      </w:r>
      <w:proofErr w:type="spellEnd"/>
      <w:r w:rsidRPr="0041797D">
        <w:rPr>
          <w:color w:val="000000"/>
          <w:spacing w:val="-2"/>
          <w:kern w:val="0"/>
          <w:sz w:val="16"/>
          <w:szCs w:val="16"/>
        </w:rPr>
        <w:t xml:space="preserve"> KL, Hamid S, Khan AG, </w:t>
      </w:r>
      <w:proofErr w:type="spellStart"/>
      <w:r w:rsidRPr="0041797D">
        <w:rPr>
          <w:color w:val="000000"/>
          <w:spacing w:val="-2"/>
          <w:kern w:val="0"/>
          <w:sz w:val="16"/>
          <w:szCs w:val="16"/>
        </w:rPr>
        <w:t>LeMair</w:t>
      </w:r>
      <w:proofErr w:type="spellEnd"/>
      <w:r w:rsidRPr="0041797D">
        <w:rPr>
          <w:color w:val="000000"/>
          <w:spacing w:val="-2"/>
          <w:kern w:val="0"/>
          <w:sz w:val="16"/>
          <w:szCs w:val="16"/>
        </w:rPr>
        <w:t xml:space="preserve"> AW, </w:t>
      </w:r>
      <w:proofErr w:type="spellStart"/>
      <w:r w:rsidRPr="0041797D">
        <w:rPr>
          <w:color w:val="000000"/>
          <w:spacing w:val="-2"/>
          <w:kern w:val="0"/>
          <w:sz w:val="16"/>
          <w:szCs w:val="16"/>
        </w:rPr>
        <w:t>Malfertheiner</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Ouyang</w:t>
      </w:r>
      <w:proofErr w:type="spellEnd"/>
      <w:r w:rsidRPr="0041797D">
        <w:rPr>
          <w:color w:val="000000"/>
          <w:spacing w:val="-2"/>
          <w:kern w:val="0"/>
          <w:sz w:val="16"/>
          <w:szCs w:val="16"/>
        </w:rPr>
        <w:t xml:space="preserve"> Q, Rey JF, </w:t>
      </w:r>
      <w:proofErr w:type="spellStart"/>
      <w:r w:rsidRPr="0041797D">
        <w:rPr>
          <w:color w:val="000000"/>
          <w:spacing w:val="-2"/>
          <w:kern w:val="0"/>
          <w:sz w:val="16"/>
          <w:szCs w:val="16"/>
        </w:rPr>
        <w:t>Sood</w:t>
      </w:r>
      <w:proofErr w:type="spellEnd"/>
      <w:r w:rsidRPr="0041797D">
        <w:rPr>
          <w:color w:val="000000"/>
          <w:spacing w:val="-2"/>
          <w:kern w:val="0"/>
          <w:sz w:val="16"/>
          <w:szCs w:val="16"/>
        </w:rPr>
        <w:t xml:space="preserve"> A, </w:t>
      </w:r>
      <w:proofErr w:type="spellStart"/>
      <w:r w:rsidRPr="0041797D">
        <w:rPr>
          <w:color w:val="000000"/>
          <w:spacing w:val="-2"/>
          <w:kern w:val="0"/>
          <w:sz w:val="16"/>
          <w:szCs w:val="16"/>
        </w:rPr>
        <w:t>Steinwurz</w:t>
      </w:r>
      <w:proofErr w:type="spellEnd"/>
      <w:r w:rsidRPr="0041797D">
        <w:rPr>
          <w:color w:val="000000"/>
          <w:spacing w:val="-2"/>
          <w:kern w:val="0"/>
          <w:sz w:val="16"/>
          <w:szCs w:val="16"/>
        </w:rPr>
        <w:t xml:space="preserve"> F, Thomsen OO, Thomson A, </w:t>
      </w:r>
      <w:proofErr w:type="spellStart"/>
      <w:r w:rsidRPr="0041797D">
        <w:rPr>
          <w:color w:val="000000"/>
          <w:spacing w:val="-2"/>
          <w:kern w:val="0"/>
          <w:sz w:val="16"/>
          <w:szCs w:val="16"/>
        </w:rPr>
        <w:t>Watermeyer</w:t>
      </w:r>
      <w:proofErr w:type="spellEnd"/>
      <w:r w:rsidRPr="0041797D">
        <w:rPr>
          <w:color w:val="000000"/>
          <w:spacing w:val="-2"/>
          <w:kern w:val="0"/>
          <w:sz w:val="16"/>
          <w:szCs w:val="16"/>
        </w:rPr>
        <w:t xml:space="preserve"> G. World Gastroenterology Organization Practice Guidelines for the diagnosis and management of IBD in 2010. </w:t>
      </w:r>
      <w:proofErr w:type="spellStart"/>
      <w:r w:rsidRPr="0041797D">
        <w:rPr>
          <w:i/>
          <w:iCs/>
          <w:color w:val="000000"/>
          <w:spacing w:val="-2"/>
          <w:kern w:val="0"/>
          <w:sz w:val="16"/>
          <w:szCs w:val="16"/>
        </w:rPr>
        <w:t>Inflamm</w:t>
      </w:r>
      <w:proofErr w:type="spellEnd"/>
      <w:r w:rsidRPr="0041797D">
        <w:rPr>
          <w:i/>
          <w:iCs/>
          <w:color w:val="000000"/>
          <w:spacing w:val="-2"/>
          <w:kern w:val="0"/>
          <w:sz w:val="16"/>
          <w:szCs w:val="16"/>
        </w:rPr>
        <w:t xml:space="preserve"> Bowel Dis</w:t>
      </w:r>
      <w:r w:rsidRPr="0041797D">
        <w:rPr>
          <w:color w:val="000000"/>
          <w:spacing w:val="-2"/>
          <w:kern w:val="0"/>
          <w:sz w:val="16"/>
          <w:szCs w:val="16"/>
        </w:rPr>
        <w:t xml:space="preserve"> 2010; </w:t>
      </w:r>
      <w:r w:rsidRPr="0041797D">
        <w:rPr>
          <w:b/>
          <w:bCs/>
          <w:color w:val="000000"/>
          <w:spacing w:val="-2"/>
          <w:kern w:val="0"/>
          <w:sz w:val="16"/>
          <w:szCs w:val="16"/>
        </w:rPr>
        <w:t>16</w:t>
      </w:r>
      <w:r w:rsidRPr="0041797D">
        <w:rPr>
          <w:color w:val="000000"/>
          <w:spacing w:val="-2"/>
          <w:kern w:val="0"/>
          <w:sz w:val="16"/>
          <w:szCs w:val="16"/>
        </w:rPr>
        <w:t>: 112-124 [PMID: 19653289 DOI: 10.1002/ibd.21048]</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25</w:t>
      </w:r>
      <w:r w:rsidRPr="0041797D">
        <w:rPr>
          <w:color w:val="000000"/>
          <w:spacing w:val="-2"/>
          <w:kern w:val="0"/>
          <w:sz w:val="16"/>
          <w:szCs w:val="16"/>
        </w:rPr>
        <w:tab/>
      </w:r>
      <w:proofErr w:type="spellStart"/>
      <w:r w:rsidRPr="0041797D">
        <w:rPr>
          <w:b/>
          <w:bCs/>
          <w:color w:val="000000"/>
          <w:spacing w:val="-2"/>
          <w:kern w:val="0"/>
          <w:sz w:val="16"/>
          <w:szCs w:val="16"/>
        </w:rPr>
        <w:t>Delcò</w:t>
      </w:r>
      <w:proofErr w:type="spellEnd"/>
      <w:r w:rsidRPr="0041797D">
        <w:rPr>
          <w:b/>
          <w:bCs/>
          <w:color w:val="000000"/>
          <w:spacing w:val="-2"/>
          <w:kern w:val="0"/>
          <w:sz w:val="16"/>
          <w:szCs w:val="16"/>
        </w:rPr>
        <w:t xml:space="preserve"> F</w:t>
      </w:r>
      <w:r w:rsidRPr="0041797D">
        <w:rPr>
          <w:color w:val="000000"/>
          <w:spacing w:val="-2"/>
          <w:kern w:val="0"/>
          <w:sz w:val="16"/>
          <w:szCs w:val="16"/>
        </w:rPr>
        <w:t>, El-</w:t>
      </w:r>
      <w:proofErr w:type="spellStart"/>
      <w:r w:rsidRPr="0041797D">
        <w:rPr>
          <w:color w:val="000000"/>
          <w:spacing w:val="-2"/>
          <w:kern w:val="0"/>
          <w:sz w:val="16"/>
          <w:szCs w:val="16"/>
        </w:rPr>
        <w:t>Serag</w:t>
      </w:r>
      <w:proofErr w:type="spellEnd"/>
      <w:r w:rsidRPr="0041797D">
        <w:rPr>
          <w:color w:val="000000"/>
          <w:spacing w:val="-2"/>
          <w:kern w:val="0"/>
          <w:sz w:val="16"/>
          <w:szCs w:val="16"/>
        </w:rPr>
        <w:t xml:space="preserve"> HB, </w:t>
      </w:r>
      <w:proofErr w:type="spellStart"/>
      <w:r w:rsidRPr="0041797D">
        <w:rPr>
          <w:color w:val="000000"/>
          <w:spacing w:val="-2"/>
          <w:kern w:val="0"/>
          <w:sz w:val="16"/>
          <w:szCs w:val="16"/>
        </w:rPr>
        <w:t>Sonnenberg</w:t>
      </w:r>
      <w:proofErr w:type="spellEnd"/>
      <w:r w:rsidRPr="0041797D">
        <w:rPr>
          <w:color w:val="000000"/>
          <w:spacing w:val="-2"/>
          <w:kern w:val="0"/>
          <w:sz w:val="16"/>
          <w:szCs w:val="16"/>
        </w:rPr>
        <w:t xml:space="preserve"> A. Celiac </w:t>
      </w:r>
      <w:proofErr w:type="spellStart"/>
      <w:r w:rsidRPr="0041797D">
        <w:rPr>
          <w:color w:val="000000"/>
          <w:spacing w:val="-2"/>
          <w:kern w:val="0"/>
          <w:sz w:val="16"/>
          <w:szCs w:val="16"/>
        </w:rPr>
        <w:t>sprue</w:t>
      </w:r>
      <w:proofErr w:type="spellEnd"/>
      <w:r w:rsidRPr="0041797D">
        <w:rPr>
          <w:color w:val="000000"/>
          <w:spacing w:val="-2"/>
          <w:kern w:val="0"/>
          <w:sz w:val="16"/>
          <w:szCs w:val="16"/>
        </w:rPr>
        <w:t xml:space="preserve"> among US military veterans: associated disorders and clinical manifestations. </w:t>
      </w:r>
      <w:r w:rsidRPr="0041797D">
        <w:rPr>
          <w:i/>
          <w:iCs/>
          <w:color w:val="000000"/>
          <w:spacing w:val="-2"/>
          <w:kern w:val="0"/>
          <w:sz w:val="16"/>
          <w:szCs w:val="16"/>
        </w:rPr>
        <w:t xml:space="preserve">Dig Dis </w:t>
      </w:r>
      <w:proofErr w:type="spellStart"/>
      <w:r w:rsidRPr="0041797D">
        <w:rPr>
          <w:i/>
          <w:iCs/>
          <w:color w:val="000000"/>
          <w:spacing w:val="-2"/>
          <w:kern w:val="0"/>
          <w:sz w:val="16"/>
          <w:szCs w:val="16"/>
        </w:rPr>
        <w:t>Sci</w:t>
      </w:r>
      <w:proofErr w:type="spellEnd"/>
      <w:r w:rsidRPr="0041797D">
        <w:rPr>
          <w:color w:val="000000"/>
          <w:spacing w:val="-2"/>
          <w:kern w:val="0"/>
          <w:sz w:val="16"/>
          <w:szCs w:val="16"/>
        </w:rPr>
        <w:t xml:space="preserve"> 1999; </w:t>
      </w:r>
      <w:r w:rsidRPr="0041797D">
        <w:rPr>
          <w:b/>
          <w:bCs/>
          <w:color w:val="000000"/>
          <w:spacing w:val="-2"/>
          <w:kern w:val="0"/>
          <w:sz w:val="16"/>
          <w:szCs w:val="16"/>
        </w:rPr>
        <w:t>44</w:t>
      </w:r>
      <w:r w:rsidRPr="0041797D">
        <w:rPr>
          <w:color w:val="000000"/>
          <w:spacing w:val="-2"/>
          <w:kern w:val="0"/>
          <w:sz w:val="16"/>
          <w:szCs w:val="16"/>
        </w:rPr>
        <w:t>: 966-972 [PMID: 10235605 DOI: 10.1023/A</w:t>
      </w:r>
      <w:proofErr w:type="gramStart"/>
      <w:r w:rsidRPr="0041797D">
        <w:rPr>
          <w:color w:val="000000"/>
          <w:spacing w:val="-2"/>
          <w:kern w:val="0"/>
          <w:sz w:val="16"/>
          <w:szCs w:val="16"/>
        </w:rPr>
        <w:t>:1026660614372</w:t>
      </w:r>
      <w:proofErr w:type="gramEnd"/>
      <w:r w:rsidRPr="0041797D">
        <w:rPr>
          <w:color w:val="000000"/>
          <w:spacing w:val="-2"/>
          <w:kern w:val="0"/>
          <w:sz w:val="16"/>
          <w:szCs w:val="16"/>
        </w:rPr>
        <w:t>]</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26</w:t>
      </w:r>
      <w:r w:rsidRPr="0041797D">
        <w:rPr>
          <w:color w:val="000000"/>
          <w:spacing w:val="-2"/>
          <w:kern w:val="0"/>
          <w:sz w:val="16"/>
          <w:szCs w:val="16"/>
        </w:rPr>
        <w:tab/>
      </w:r>
      <w:r w:rsidRPr="0041797D">
        <w:rPr>
          <w:b/>
          <w:bCs/>
          <w:color w:val="000000"/>
          <w:spacing w:val="-2"/>
          <w:kern w:val="0"/>
          <w:sz w:val="16"/>
          <w:szCs w:val="16"/>
        </w:rPr>
        <w:t>Casella G</w:t>
      </w:r>
      <w:r w:rsidRPr="0041797D">
        <w:rPr>
          <w:color w:val="000000"/>
          <w:spacing w:val="-2"/>
          <w:kern w:val="0"/>
          <w:sz w:val="16"/>
          <w:szCs w:val="16"/>
        </w:rPr>
        <w:t xml:space="preserve">, </w:t>
      </w:r>
      <w:proofErr w:type="spellStart"/>
      <w:r w:rsidRPr="0041797D">
        <w:rPr>
          <w:color w:val="000000"/>
          <w:spacing w:val="-2"/>
          <w:kern w:val="0"/>
          <w:sz w:val="16"/>
          <w:szCs w:val="16"/>
        </w:rPr>
        <w:t>D’Inca</w:t>
      </w:r>
      <w:proofErr w:type="spellEnd"/>
      <w:r w:rsidRPr="0041797D">
        <w:rPr>
          <w:color w:val="000000"/>
          <w:spacing w:val="-2"/>
          <w:kern w:val="0"/>
          <w:sz w:val="16"/>
          <w:szCs w:val="16"/>
        </w:rPr>
        <w:t xml:space="preserve"> R, </w:t>
      </w:r>
      <w:proofErr w:type="spellStart"/>
      <w:r w:rsidRPr="0041797D">
        <w:rPr>
          <w:color w:val="000000"/>
          <w:spacing w:val="-2"/>
          <w:kern w:val="0"/>
          <w:sz w:val="16"/>
          <w:szCs w:val="16"/>
        </w:rPr>
        <w:t>Oliva</w:t>
      </w:r>
      <w:proofErr w:type="spellEnd"/>
      <w:r w:rsidRPr="0041797D">
        <w:rPr>
          <w:color w:val="000000"/>
          <w:spacing w:val="-2"/>
          <w:kern w:val="0"/>
          <w:sz w:val="16"/>
          <w:szCs w:val="16"/>
        </w:rPr>
        <w:t xml:space="preserve"> L, </w:t>
      </w:r>
      <w:proofErr w:type="spellStart"/>
      <w:r w:rsidRPr="0041797D">
        <w:rPr>
          <w:color w:val="000000"/>
          <w:spacing w:val="-2"/>
          <w:kern w:val="0"/>
          <w:sz w:val="16"/>
          <w:szCs w:val="16"/>
        </w:rPr>
        <w:t>Daperno</w:t>
      </w:r>
      <w:proofErr w:type="spellEnd"/>
      <w:r w:rsidRPr="0041797D">
        <w:rPr>
          <w:color w:val="000000"/>
          <w:spacing w:val="-2"/>
          <w:kern w:val="0"/>
          <w:sz w:val="16"/>
          <w:szCs w:val="16"/>
        </w:rPr>
        <w:t xml:space="preserve"> M, </w:t>
      </w:r>
      <w:proofErr w:type="spellStart"/>
      <w:r w:rsidRPr="0041797D">
        <w:rPr>
          <w:color w:val="000000"/>
          <w:spacing w:val="-2"/>
          <w:kern w:val="0"/>
          <w:sz w:val="16"/>
          <w:szCs w:val="16"/>
        </w:rPr>
        <w:t>Saladino</w:t>
      </w:r>
      <w:proofErr w:type="spellEnd"/>
      <w:r w:rsidRPr="0041797D">
        <w:rPr>
          <w:color w:val="000000"/>
          <w:spacing w:val="-2"/>
          <w:kern w:val="0"/>
          <w:sz w:val="16"/>
          <w:szCs w:val="16"/>
        </w:rPr>
        <w:t xml:space="preserve"> V, </w:t>
      </w:r>
      <w:proofErr w:type="spellStart"/>
      <w:r w:rsidRPr="0041797D">
        <w:rPr>
          <w:color w:val="000000"/>
          <w:spacing w:val="-2"/>
          <w:kern w:val="0"/>
          <w:sz w:val="16"/>
          <w:szCs w:val="16"/>
        </w:rPr>
        <w:t>Zoli</w:t>
      </w:r>
      <w:proofErr w:type="spellEnd"/>
      <w:r w:rsidRPr="0041797D">
        <w:rPr>
          <w:color w:val="000000"/>
          <w:spacing w:val="-2"/>
          <w:kern w:val="0"/>
          <w:sz w:val="16"/>
          <w:szCs w:val="16"/>
        </w:rPr>
        <w:t xml:space="preserve"> G, </w:t>
      </w:r>
      <w:proofErr w:type="spellStart"/>
      <w:r w:rsidRPr="0041797D">
        <w:rPr>
          <w:color w:val="000000"/>
          <w:spacing w:val="-2"/>
          <w:kern w:val="0"/>
          <w:sz w:val="16"/>
          <w:szCs w:val="16"/>
        </w:rPr>
        <w:t>Annese</w:t>
      </w:r>
      <w:proofErr w:type="spellEnd"/>
      <w:r w:rsidRPr="0041797D">
        <w:rPr>
          <w:color w:val="000000"/>
          <w:spacing w:val="-2"/>
          <w:kern w:val="0"/>
          <w:sz w:val="16"/>
          <w:szCs w:val="16"/>
        </w:rPr>
        <w:t xml:space="preserve"> V, Fries W, </w:t>
      </w:r>
      <w:proofErr w:type="spellStart"/>
      <w:r w:rsidRPr="0041797D">
        <w:rPr>
          <w:color w:val="000000"/>
          <w:spacing w:val="-2"/>
          <w:kern w:val="0"/>
          <w:sz w:val="16"/>
          <w:szCs w:val="16"/>
        </w:rPr>
        <w:t>Cortellezzi</w:t>
      </w:r>
      <w:proofErr w:type="spellEnd"/>
      <w:r w:rsidRPr="0041797D">
        <w:rPr>
          <w:color w:val="000000"/>
          <w:spacing w:val="-2"/>
          <w:kern w:val="0"/>
          <w:sz w:val="16"/>
          <w:szCs w:val="16"/>
        </w:rPr>
        <w:t xml:space="preserve"> C; Italian Group - IBD. Celiac Disease (</w:t>
      </w:r>
      <w:proofErr w:type="spellStart"/>
      <w:proofErr w:type="gramStart"/>
      <w:r w:rsidRPr="0041797D">
        <w:rPr>
          <w:color w:val="000000"/>
          <w:spacing w:val="-2"/>
          <w:kern w:val="0"/>
          <w:sz w:val="16"/>
          <w:szCs w:val="16"/>
        </w:rPr>
        <w:t>CeD</w:t>
      </w:r>
      <w:proofErr w:type="spellEnd"/>
      <w:proofErr w:type="gramEnd"/>
      <w:r w:rsidRPr="0041797D">
        <w:rPr>
          <w:color w:val="000000"/>
          <w:spacing w:val="-2"/>
          <w:kern w:val="0"/>
          <w:sz w:val="16"/>
          <w:szCs w:val="16"/>
        </w:rPr>
        <w:t xml:space="preserve">) in Inflammatory Bowel Diseases (IBD): Preliminary Results of An Italian Multicenter Study. </w:t>
      </w:r>
      <w:r w:rsidRPr="0041797D">
        <w:rPr>
          <w:i/>
          <w:iCs/>
          <w:color w:val="000000"/>
          <w:spacing w:val="-2"/>
          <w:kern w:val="0"/>
          <w:sz w:val="16"/>
          <w:szCs w:val="16"/>
        </w:rPr>
        <w:t>J Medical Virology</w:t>
      </w:r>
      <w:r w:rsidRPr="0041797D">
        <w:rPr>
          <w:color w:val="000000"/>
          <w:spacing w:val="-2"/>
          <w:kern w:val="0"/>
          <w:sz w:val="16"/>
          <w:szCs w:val="16"/>
        </w:rPr>
        <w:t xml:space="preserve"> 2005; </w:t>
      </w:r>
      <w:r w:rsidRPr="0041797D">
        <w:rPr>
          <w:b/>
          <w:bCs/>
          <w:color w:val="000000"/>
          <w:spacing w:val="-2"/>
          <w:kern w:val="0"/>
          <w:sz w:val="16"/>
          <w:szCs w:val="16"/>
        </w:rPr>
        <w:t>128</w:t>
      </w:r>
      <w:r w:rsidRPr="0041797D">
        <w:rPr>
          <w:color w:val="000000"/>
          <w:spacing w:val="-2"/>
          <w:kern w:val="0"/>
          <w:sz w:val="16"/>
          <w:szCs w:val="16"/>
        </w:rPr>
        <w:t>: A254</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27</w:t>
      </w:r>
      <w:r w:rsidRPr="0041797D">
        <w:rPr>
          <w:color w:val="000000"/>
          <w:spacing w:val="-2"/>
          <w:kern w:val="0"/>
          <w:sz w:val="16"/>
          <w:szCs w:val="16"/>
        </w:rPr>
        <w:tab/>
      </w:r>
      <w:proofErr w:type="spellStart"/>
      <w:r w:rsidRPr="0041797D">
        <w:rPr>
          <w:b/>
          <w:bCs/>
          <w:color w:val="000000"/>
          <w:spacing w:val="-2"/>
          <w:kern w:val="0"/>
          <w:sz w:val="16"/>
          <w:szCs w:val="16"/>
        </w:rPr>
        <w:t>Cottone</w:t>
      </w:r>
      <w:proofErr w:type="spellEnd"/>
      <w:r w:rsidRPr="0041797D">
        <w:rPr>
          <w:b/>
          <w:bCs/>
          <w:color w:val="000000"/>
          <w:spacing w:val="-2"/>
          <w:kern w:val="0"/>
          <w:sz w:val="16"/>
          <w:szCs w:val="16"/>
        </w:rPr>
        <w:t xml:space="preserve"> M</w:t>
      </w:r>
      <w:r w:rsidRPr="0041797D">
        <w:rPr>
          <w:color w:val="000000"/>
          <w:spacing w:val="-2"/>
          <w:kern w:val="0"/>
          <w:sz w:val="16"/>
          <w:szCs w:val="16"/>
        </w:rPr>
        <w:t xml:space="preserve">, </w:t>
      </w:r>
      <w:proofErr w:type="spellStart"/>
      <w:r w:rsidRPr="0041797D">
        <w:rPr>
          <w:color w:val="000000"/>
          <w:spacing w:val="-2"/>
          <w:kern w:val="0"/>
          <w:sz w:val="16"/>
          <w:szCs w:val="16"/>
        </w:rPr>
        <w:t>Marrone</w:t>
      </w:r>
      <w:proofErr w:type="spellEnd"/>
      <w:r w:rsidRPr="0041797D">
        <w:rPr>
          <w:color w:val="000000"/>
          <w:spacing w:val="-2"/>
          <w:kern w:val="0"/>
          <w:sz w:val="16"/>
          <w:szCs w:val="16"/>
        </w:rPr>
        <w:t xml:space="preserve"> C, </w:t>
      </w:r>
      <w:proofErr w:type="spellStart"/>
      <w:r w:rsidRPr="0041797D">
        <w:rPr>
          <w:color w:val="000000"/>
          <w:spacing w:val="-2"/>
          <w:kern w:val="0"/>
          <w:sz w:val="16"/>
          <w:szCs w:val="16"/>
        </w:rPr>
        <w:t>Casà</w:t>
      </w:r>
      <w:proofErr w:type="spellEnd"/>
      <w:r w:rsidRPr="0041797D">
        <w:rPr>
          <w:color w:val="000000"/>
          <w:spacing w:val="-2"/>
          <w:kern w:val="0"/>
          <w:sz w:val="16"/>
          <w:szCs w:val="16"/>
        </w:rPr>
        <w:t xml:space="preserve"> A, </w:t>
      </w:r>
      <w:proofErr w:type="spellStart"/>
      <w:r w:rsidRPr="0041797D">
        <w:rPr>
          <w:color w:val="000000"/>
          <w:spacing w:val="-2"/>
          <w:kern w:val="0"/>
          <w:sz w:val="16"/>
          <w:szCs w:val="16"/>
        </w:rPr>
        <w:t>Oliva</w:t>
      </w:r>
      <w:proofErr w:type="spellEnd"/>
      <w:r w:rsidRPr="0041797D">
        <w:rPr>
          <w:color w:val="000000"/>
          <w:spacing w:val="-2"/>
          <w:kern w:val="0"/>
          <w:sz w:val="16"/>
          <w:szCs w:val="16"/>
        </w:rPr>
        <w:t xml:space="preserve"> L, Orlando A, Calabrese E, </w:t>
      </w:r>
      <w:proofErr w:type="spellStart"/>
      <w:r w:rsidRPr="0041797D">
        <w:rPr>
          <w:color w:val="000000"/>
          <w:spacing w:val="-2"/>
          <w:kern w:val="0"/>
          <w:sz w:val="16"/>
          <w:szCs w:val="16"/>
        </w:rPr>
        <w:t>Martorana</w:t>
      </w:r>
      <w:proofErr w:type="spellEnd"/>
      <w:r w:rsidRPr="0041797D">
        <w:rPr>
          <w:color w:val="000000"/>
          <w:spacing w:val="-2"/>
          <w:kern w:val="0"/>
          <w:sz w:val="16"/>
          <w:szCs w:val="16"/>
        </w:rPr>
        <w:t xml:space="preserve"> G, </w:t>
      </w:r>
      <w:proofErr w:type="spellStart"/>
      <w:r w:rsidRPr="0041797D">
        <w:rPr>
          <w:color w:val="000000"/>
          <w:spacing w:val="-2"/>
          <w:kern w:val="0"/>
          <w:sz w:val="16"/>
          <w:szCs w:val="16"/>
        </w:rPr>
        <w:t>Pagliaro</w:t>
      </w:r>
      <w:proofErr w:type="spellEnd"/>
      <w:r w:rsidRPr="0041797D">
        <w:rPr>
          <w:color w:val="000000"/>
          <w:spacing w:val="-2"/>
          <w:kern w:val="0"/>
          <w:sz w:val="16"/>
          <w:szCs w:val="16"/>
        </w:rPr>
        <w:t xml:space="preserve"> L. Familial occurrence of inflammatory bowel disease in celiac disease. </w:t>
      </w:r>
      <w:proofErr w:type="spellStart"/>
      <w:r w:rsidRPr="0041797D">
        <w:rPr>
          <w:i/>
          <w:iCs/>
          <w:color w:val="000000"/>
          <w:spacing w:val="-2"/>
          <w:kern w:val="0"/>
          <w:sz w:val="16"/>
          <w:szCs w:val="16"/>
        </w:rPr>
        <w:t>Inflamm</w:t>
      </w:r>
      <w:proofErr w:type="spellEnd"/>
      <w:r w:rsidRPr="0041797D">
        <w:rPr>
          <w:i/>
          <w:iCs/>
          <w:color w:val="000000"/>
          <w:spacing w:val="-2"/>
          <w:kern w:val="0"/>
          <w:sz w:val="16"/>
          <w:szCs w:val="16"/>
        </w:rPr>
        <w:t xml:space="preserve"> Bowel Dis</w:t>
      </w:r>
      <w:r w:rsidRPr="0041797D">
        <w:rPr>
          <w:color w:val="000000"/>
          <w:spacing w:val="-2"/>
          <w:kern w:val="0"/>
          <w:sz w:val="16"/>
          <w:szCs w:val="16"/>
        </w:rPr>
        <w:t xml:space="preserve"> 2003; </w:t>
      </w:r>
      <w:r w:rsidRPr="0041797D">
        <w:rPr>
          <w:b/>
          <w:bCs/>
          <w:color w:val="000000"/>
          <w:spacing w:val="-2"/>
          <w:kern w:val="0"/>
          <w:sz w:val="16"/>
          <w:szCs w:val="16"/>
        </w:rPr>
        <w:t>9</w:t>
      </w:r>
      <w:r w:rsidRPr="0041797D">
        <w:rPr>
          <w:color w:val="000000"/>
          <w:spacing w:val="-2"/>
          <w:kern w:val="0"/>
          <w:sz w:val="16"/>
          <w:szCs w:val="16"/>
        </w:rPr>
        <w:t>: 321-323 [PMID: 14555916 DOI: 10.1097/00054725-200309000-00006]</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28</w:t>
      </w:r>
      <w:r w:rsidRPr="0041797D">
        <w:rPr>
          <w:color w:val="000000"/>
          <w:spacing w:val="-2"/>
          <w:kern w:val="0"/>
          <w:sz w:val="16"/>
          <w:szCs w:val="16"/>
        </w:rPr>
        <w:tab/>
      </w:r>
      <w:r w:rsidRPr="0041797D">
        <w:rPr>
          <w:b/>
          <w:bCs/>
          <w:color w:val="000000"/>
          <w:spacing w:val="-2"/>
          <w:kern w:val="0"/>
          <w:sz w:val="16"/>
          <w:szCs w:val="16"/>
        </w:rPr>
        <w:t>Yang A</w:t>
      </w:r>
      <w:r w:rsidRPr="0041797D">
        <w:rPr>
          <w:color w:val="000000"/>
          <w:spacing w:val="-2"/>
          <w:kern w:val="0"/>
          <w:sz w:val="16"/>
          <w:szCs w:val="16"/>
        </w:rPr>
        <w:t xml:space="preserve">, Chen Y, </w:t>
      </w:r>
      <w:proofErr w:type="spellStart"/>
      <w:r w:rsidRPr="0041797D">
        <w:rPr>
          <w:color w:val="000000"/>
          <w:spacing w:val="-2"/>
          <w:kern w:val="0"/>
          <w:sz w:val="16"/>
          <w:szCs w:val="16"/>
        </w:rPr>
        <w:t>Scherl</w:t>
      </w:r>
      <w:proofErr w:type="spellEnd"/>
      <w:r w:rsidRPr="0041797D">
        <w:rPr>
          <w:color w:val="000000"/>
          <w:spacing w:val="-2"/>
          <w:kern w:val="0"/>
          <w:sz w:val="16"/>
          <w:szCs w:val="16"/>
        </w:rPr>
        <w:t xml:space="preserve"> E, </w:t>
      </w:r>
      <w:proofErr w:type="spellStart"/>
      <w:r w:rsidRPr="0041797D">
        <w:rPr>
          <w:color w:val="000000"/>
          <w:spacing w:val="-2"/>
          <w:kern w:val="0"/>
          <w:sz w:val="16"/>
          <w:szCs w:val="16"/>
        </w:rPr>
        <w:t>Neugut</w:t>
      </w:r>
      <w:proofErr w:type="spellEnd"/>
      <w:r w:rsidRPr="0041797D">
        <w:rPr>
          <w:color w:val="000000"/>
          <w:spacing w:val="-2"/>
          <w:kern w:val="0"/>
          <w:sz w:val="16"/>
          <w:szCs w:val="16"/>
        </w:rPr>
        <w:t xml:space="preserve"> AI, </w:t>
      </w:r>
      <w:proofErr w:type="spellStart"/>
      <w:r w:rsidRPr="0041797D">
        <w:rPr>
          <w:color w:val="000000"/>
          <w:spacing w:val="-2"/>
          <w:kern w:val="0"/>
          <w:sz w:val="16"/>
          <w:szCs w:val="16"/>
        </w:rPr>
        <w:t>Bhagat</w:t>
      </w:r>
      <w:proofErr w:type="spellEnd"/>
      <w:r w:rsidRPr="0041797D">
        <w:rPr>
          <w:color w:val="000000"/>
          <w:spacing w:val="-2"/>
          <w:kern w:val="0"/>
          <w:sz w:val="16"/>
          <w:szCs w:val="16"/>
        </w:rPr>
        <w:t xml:space="preserve"> G, Green PH. Inflammatory bowel disease in patients with celiac disease. </w:t>
      </w:r>
      <w:proofErr w:type="spellStart"/>
      <w:r w:rsidRPr="0041797D">
        <w:rPr>
          <w:i/>
          <w:iCs/>
          <w:color w:val="000000"/>
          <w:spacing w:val="-2"/>
          <w:kern w:val="0"/>
          <w:sz w:val="16"/>
          <w:szCs w:val="16"/>
        </w:rPr>
        <w:t>Inflamm</w:t>
      </w:r>
      <w:proofErr w:type="spellEnd"/>
      <w:r w:rsidRPr="0041797D">
        <w:rPr>
          <w:i/>
          <w:iCs/>
          <w:color w:val="000000"/>
          <w:spacing w:val="-2"/>
          <w:kern w:val="0"/>
          <w:sz w:val="16"/>
          <w:szCs w:val="16"/>
        </w:rPr>
        <w:t xml:space="preserve"> Bowel Dis</w:t>
      </w:r>
      <w:r w:rsidRPr="0041797D">
        <w:rPr>
          <w:color w:val="000000"/>
          <w:spacing w:val="-2"/>
          <w:kern w:val="0"/>
          <w:sz w:val="16"/>
          <w:szCs w:val="16"/>
        </w:rPr>
        <w:t xml:space="preserve"> 2005; </w:t>
      </w:r>
      <w:r w:rsidRPr="0041797D">
        <w:rPr>
          <w:b/>
          <w:bCs/>
          <w:color w:val="000000"/>
          <w:spacing w:val="-2"/>
          <w:kern w:val="0"/>
          <w:sz w:val="16"/>
          <w:szCs w:val="16"/>
        </w:rPr>
        <w:t>11</w:t>
      </w:r>
      <w:r w:rsidRPr="0041797D">
        <w:rPr>
          <w:color w:val="000000"/>
          <w:spacing w:val="-2"/>
          <w:kern w:val="0"/>
          <w:sz w:val="16"/>
          <w:szCs w:val="16"/>
        </w:rPr>
        <w:t>: 528-532 [PMID: 15905699 DOI: 10.1097/01.MIB.0000161308.65951.db]</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29</w:t>
      </w:r>
      <w:r w:rsidRPr="0041797D">
        <w:rPr>
          <w:color w:val="000000"/>
          <w:spacing w:val="-2"/>
          <w:kern w:val="0"/>
          <w:sz w:val="16"/>
          <w:szCs w:val="16"/>
        </w:rPr>
        <w:tab/>
      </w:r>
      <w:r w:rsidRPr="0041797D">
        <w:rPr>
          <w:b/>
          <w:bCs/>
          <w:color w:val="000000"/>
          <w:spacing w:val="-2"/>
          <w:kern w:val="0"/>
          <w:sz w:val="16"/>
          <w:szCs w:val="16"/>
        </w:rPr>
        <w:t>Dickey W</w:t>
      </w:r>
      <w:r w:rsidRPr="0041797D">
        <w:rPr>
          <w:color w:val="000000"/>
          <w:spacing w:val="-2"/>
          <w:kern w:val="0"/>
          <w:sz w:val="16"/>
          <w:szCs w:val="16"/>
        </w:rPr>
        <w:t xml:space="preserve">. </w:t>
      </w:r>
      <w:proofErr w:type="gramStart"/>
      <w:r w:rsidRPr="0041797D">
        <w:rPr>
          <w:color w:val="000000"/>
          <w:spacing w:val="-2"/>
          <w:kern w:val="0"/>
          <w:sz w:val="16"/>
          <w:szCs w:val="16"/>
        </w:rPr>
        <w:t>A case of sequential development of celiac disease and ulcerative colitis.</w:t>
      </w:r>
      <w:proofErr w:type="gramEnd"/>
      <w:r w:rsidRPr="0041797D">
        <w:rPr>
          <w:color w:val="000000"/>
          <w:spacing w:val="-2"/>
          <w:kern w:val="0"/>
          <w:sz w:val="16"/>
          <w:szCs w:val="16"/>
        </w:rPr>
        <w:t xml:space="preserve"> </w:t>
      </w:r>
      <w:r w:rsidRPr="0041797D">
        <w:rPr>
          <w:i/>
          <w:iCs/>
          <w:color w:val="000000"/>
          <w:spacing w:val="-2"/>
          <w:kern w:val="0"/>
          <w:sz w:val="16"/>
          <w:szCs w:val="16"/>
        </w:rPr>
        <w:t xml:space="preserve">Nat </w:t>
      </w:r>
      <w:proofErr w:type="spellStart"/>
      <w:r w:rsidRPr="0041797D">
        <w:rPr>
          <w:i/>
          <w:iCs/>
          <w:color w:val="000000"/>
          <w:spacing w:val="-2"/>
          <w:kern w:val="0"/>
          <w:sz w:val="16"/>
          <w:szCs w:val="16"/>
        </w:rPr>
        <w:t>Clin</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Pract</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Gastroenterol</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Hepatol</w:t>
      </w:r>
      <w:proofErr w:type="spellEnd"/>
      <w:r w:rsidRPr="0041797D">
        <w:rPr>
          <w:color w:val="000000"/>
          <w:spacing w:val="-2"/>
          <w:kern w:val="0"/>
          <w:sz w:val="16"/>
          <w:szCs w:val="16"/>
        </w:rPr>
        <w:t xml:space="preserve"> 2007; </w:t>
      </w:r>
      <w:r w:rsidRPr="0041797D">
        <w:rPr>
          <w:b/>
          <w:bCs/>
          <w:color w:val="000000"/>
          <w:spacing w:val="-2"/>
          <w:kern w:val="0"/>
          <w:sz w:val="16"/>
          <w:szCs w:val="16"/>
        </w:rPr>
        <w:t>4</w:t>
      </w:r>
      <w:r w:rsidRPr="0041797D">
        <w:rPr>
          <w:color w:val="000000"/>
          <w:spacing w:val="-2"/>
          <w:kern w:val="0"/>
          <w:sz w:val="16"/>
          <w:szCs w:val="16"/>
        </w:rPr>
        <w:t>: 463-467 [PMID: 17667995 DOI: 10.1038/ncpgasthep0897]</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30</w:t>
      </w:r>
      <w:r w:rsidRPr="0041797D">
        <w:rPr>
          <w:color w:val="000000"/>
          <w:spacing w:val="-2"/>
          <w:kern w:val="0"/>
          <w:sz w:val="16"/>
          <w:szCs w:val="16"/>
        </w:rPr>
        <w:tab/>
      </w:r>
      <w:proofErr w:type="spellStart"/>
      <w:r w:rsidRPr="0041797D">
        <w:rPr>
          <w:b/>
          <w:bCs/>
          <w:color w:val="000000"/>
          <w:spacing w:val="-2"/>
          <w:kern w:val="0"/>
          <w:sz w:val="16"/>
          <w:szCs w:val="16"/>
        </w:rPr>
        <w:t>Tursi</w:t>
      </w:r>
      <w:proofErr w:type="spellEnd"/>
      <w:r w:rsidRPr="0041797D">
        <w:rPr>
          <w:b/>
          <w:bCs/>
          <w:color w:val="000000"/>
          <w:spacing w:val="-2"/>
          <w:kern w:val="0"/>
          <w:sz w:val="16"/>
          <w:szCs w:val="16"/>
        </w:rPr>
        <w:t xml:space="preserve"> A</w:t>
      </w:r>
      <w:r w:rsidRPr="0041797D">
        <w:rPr>
          <w:color w:val="000000"/>
          <w:spacing w:val="-2"/>
          <w:kern w:val="0"/>
          <w:sz w:val="16"/>
          <w:szCs w:val="16"/>
        </w:rPr>
        <w:t xml:space="preserve">, </w:t>
      </w:r>
      <w:proofErr w:type="spellStart"/>
      <w:r w:rsidRPr="0041797D">
        <w:rPr>
          <w:color w:val="000000"/>
          <w:spacing w:val="-2"/>
          <w:kern w:val="0"/>
          <w:sz w:val="16"/>
          <w:szCs w:val="16"/>
        </w:rPr>
        <w:t>Giorgetti</w:t>
      </w:r>
      <w:proofErr w:type="spellEnd"/>
      <w:r w:rsidRPr="0041797D">
        <w:rPr>
          <w:color w:val="000000"/>
          <w:spacing w:val="-2"/>
          <w:kern w:val="0"/>
          <w:sz w:val="16"/>
          <w:szCs w:val="16"/>
        </w:rPr>
        <w:t xml:space="preserve"> GM, </w:t>
      </w:r>
      <w:proofErr w:type="spellStart"/>
      <w:r w:rsidRPr="0041797D">
        <w:rPr>
          <w:color w:val="000000"/>
          <w:spacing w:val="-2"/>
          <w:kern w:val="0"/>
          <w:sz w:val="16"/>
          <w:szCs w:val="16"/>
        </w:rPr>
        <w:t>Brandimarte</w:t>
      </w:r>
      <w:proofErr w:type="spellEnd"/>
      <w:r w:rsidRPr="0041797D">
        <w:rPr>
          <w:color w:val="000000"/>
          <w:spacing w:val="-2"/>
          <w:kern w:val="0"/>
          <w:sz w:val="16"/>
          <w:szCs w:val="16"/>
        </w:rPr>
        <w:t xml:space="preserve"> G, </w:t>
      </w:r>
      <w:proofErr w:type="spellStart"/>
      <w:r w:rsidRPr="0041797D">
        <w:rPr>
          <w:color w:val="000000"/>
          <w:spacing w:val="-2"/>
          <w:kern w:val="0"/>
          <w:sz w:val="16"/>
          <w:szCs w:val="16"/>
        </w:rPr>
        <w:t>Elisei</w:t>
      </w:r>
      <w:proofErr w:type="spellEnd"/>
      <w:r w:rsidRPr="0041797D">
        <w:rPr>
          <w:color w:val="000000"/>
          <w:spacing w:val="-2"/>
          <w:kern w:val="0"/>
          <w:sz w:val="16"/>
          <w:szCs w:val="16"/>
        </w:rPr>
        <w:t xml:space="preserve"> W. High prevalence of celiac disease among patients affected by </w:t>
      </w:r>
      <w:proofErr w:type="spellStart"/>
      <w:r w:rsidRPr="0041797D">
        <w:rPr>
          <w:color w:val="000000"/>
          <w:spacing w:val="-2"/>
          <w:kern w:val="0"/>
          <w:sz w:val="16"/>
          <w:szCs w:val="16"/>
        </w:rPr>
        <w:t>Crohn’s</w:t>
      </w:r>
      <w:proofErr w:type="spellEnd"/>
      <w:r w:rsidRPr="0041797D">
        <w:rPr>
          <w:color w:val="000000"/>
          <w:spacing w:val="-2"/>
          <w:kern w:val="0"/>
          <w:sz w:val="16"/>
          <w:szCs w:val="16"/>
        </w:rPr>
        <w:t xml:space="preserve"> disease. </w:t>
      </w:r>
      <w:proofErr w:type="spellStart"/>
      <w:r w:rsidRPr="0041797D">
        <w:rPr>
          <w:i/>
          <w:iCs/>
          <w:color w:val="000000"/>
          <w:spacing w:val="-2"/>
          <w:kern w:val="0"/>
          <w:sz w:val="16"/>
          <w:szCs w:val="16"/>
        </w:rPr>
        <w:t>Inflamm</w:t>
      </w:r>
      <w:proofErr w:type="spellEnd"/>
      <w:r w:rsidRPr="0041797D">
        <w:rPr>
          <w:i/>
          <w:iCs/>
          <w:color w:val="000000"/>
          <w:spacing w:val="-2"/>
          <w:kern w:val="0"/>
          <w:sz w:val="16"/>
          <w:szCs w:val="16"/>
        </w:rPr>
        <w:t xml:space="preserve"> Bowel Dis</w:t>
      </w:r>
      <w:r w:rsidRPr="0041797D">
        <w:rPr>
          <w:color w:val="000000"/>
          <w:spacing w:val="-2"/>
          <w:kern w:val="0"/>
          <w:sz w:val="16"/>
          <w:szCs w:val="16"/>
        </w:rPr>
        <w:t xml:space="preserve"> 2005; </w:t>
      </w:r>
      <w:r w:rsidRPr="0041797D">
        <w:rPr>
          <w:b/>
          <w:bCs/>
          <w:color w:val="000000"/>
          <w:spacing w:val="-2"/>
          <w:kern w:val="0"/>
          <w:sz w:val="16"/>
          <w:szCs w:val="16"/>
        </w:rPr>
        <w:t>11</w:t>
      </w:r>
      <w:r w:rsidRPr="0041797D">
        <w:rPr>
          <w:color w:val="000000"/>
          <w:spacing w:val="-2"/>
          <w:kern w:val="0"/>
          <w:sz w:val="16"/>
          <w:szCs w:val="16"/>
        </w:rPr>
        <w:t>: 662-666 [PMID: 15973121 DOI: 10.1097/01.MIB.0000164195.75207.1e]</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31</w:t>
      </w:r>
      <w:r w:rsidRPr="0041797D">
        <w:rPr>
          <w:color w:val="000000"/>
          <w:spacing w:val="-2"/>
          <w:kern w:val="0"/>
          <w:sz w:val="16"/>
          <w:szCs w:val="16"/>
        </w:rPr>
        <w:tab/>
      </w:r>
      <w:proofErr w:type="spellStart"/>
      <w:r w:rsidRPr="0041797D">
        <w:rPr>
          <w:b/>
          <w:bCs/>
          <w:color w:val="000000"/>
          <w:spacing w:val="-2"/>
          <w:kern w:val="0"/>
          <w:sz w:val="16"/>
          <w:szCs w:val="16"/>
        </w:rPr>
        <w:t>Malekzadeh</w:t>
      </w:r>
      <w:proofErr w:type="spellEnd"/>
      <w:r w:rsidRPr="0041797D">
        <w:rPr>
          <w:b/>
          <w:bCs/>
          <w:color w:val="000000"/>
          <w:spacing w:val="-2"/>
          <w:kern w:val="0"/>
          <w:sz w:val="16"/>
          <w:szCs w:val="16"/>
        </w:rPr>
        <w:t xml:space="preserve"> R</w:t>
      </w:r>
      <w:r w:rsidRPr="0041797D">
        <w:rPr>
          <w:color w:val="000000"/>
          <w:spacing w:val="-2"/>
          <w:kern w:val="0"/>
          <w:sz w:val="16"/>
          <w:szCs w:val="16"/>
        </w:rPr>
        <w:t xml:space="preserve">, </w:t>
      </w:r>
      <w:proofErr w:type="spellStart"/>
      <w:r w:rsidRPr="0041797D">
        <w:rPr>
          <w:color w:val="000000"/>
          <w:spacing w:val="-2"/>
          <w:kern w:val="0"/>
          <w:sz w:val="16"/>
          <w:szCs w:val="16"/>
        </w:rPr>
        <w:t>Sachdev</w:t>
      </w:r>
      <w:proofErr w:type="spellEnd"/>
      <w:r w:rsidRPr="0041797D">
        <w:rPr>
          <w:color w:val="000000"/>
          <w:spacing w:val="-2"/>
          <w:kern w:val="0"/>
          <w:sz w:val="16"/>
          <w:szCs w:val="16"/>
        </w:rPr>
        <w:t xml:space="preserve"> A, </w:t>
      </w:r>
      <w:proofErr w:type="spellStart"/>
      <w:r w:rsidRPr="0041797D">
        <w:rPr>
          <w:color w:val="000000"/>
          <w:spacing w:val="-2"/>
          <w:kern w:val="0"/>
          <w:sz w:val="16"/>
          <w:szCs w:val="16"/>
        </w:rPr>
        <w:t>Fahid</w:t>
      </w:r>
      <w:proofErr w:type="spellEnd"/>
      <w:r w:rsidRPr="0041797D">
        <w:rPr>
          <w:color w:val="000000"/>
          <w:spacing w:val="-2"/>
          <w:kern w:val="0"/>
          <w:sz w:val="16"/>
          <w:szCs w:val="16"/>
        </w:rPr>
        <w:t xml:space="preserve"> Ali A. Coeliac disease in developing countries: Middle East, India and North Africa. </w:t>
      </w:r>
      <w:r w:rsidRPr="0041797D">
        <w:rPr>
          <w:i/>
          <w:iCs/>
          <w:color w:val="000000"/>
          <w:spacing w:val="-2"/>
          <w:kern w:val="0"/>
          <w:sz w:val="16"/>
          <w:szCs w:val="16"/>
        </w:rPr>
        <w:t xml:space="preserve">Best </w:t>
      </w:r>
      <w:proofErr w:type="spellStart"/>
      <w:r w:rsidRPr="0041797D">
        <w:rPr>
          <w:i/>
          <w:iCs/>
          <w:color w:val="000000"/>
          <w:spacing w:val="-2"/>
          <w:kern w:val="0"/>
          <w:sz w:val="16"/>
          <w:szCs w:val="16"/>
        </w:rPr>
        <w:t>Pract</w:t>
      </w:r>
      <w:proofErr w:type="spellEnd"/>
      <w:r w:rsidRPr="0041797D">
        <w:rPr>
          <w:i/>
          <w:iCs/>
          <w:color w:val="000000"/>
          <w:spacing w:val="-2"/>
          <w:kern w:val="0"/>
          <w:sz w:val="16"/>
          <w:szCs w:val="16"/>
        </w:rPr>
        <w:t xml:space="preserve"> Res </w:t>
      </w:r>
      <w:proofErr w:type="spellStart"/>
      <w:r w:rsidRPr="0041797D">
        <w:rPr>
          <w:i/>
          <w:iCs/>
          <w:color w:val="000000"/>
          <w:spacing w:val="-2"/>
          <w:kern w:val="0"/>
          <w:sz w:val="16"/>
          <w:szCs w:val="16"/>
        </w:rPr>
        <w:t>Clin</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Gastroenterol</w:t>
      </w:r>
      <w:proofErr w:type="spellEnd"/>
      <w:r w:rsidRPr="0041797D">
        <w:rPr>
          <w:color w:val="000000"/>
          <w:spacing w:val="-2"/>
          <w:kern w:val="0"/>
          <w:sz w:val="16"/>
          <w:szCs w:val="16"/>
        </w:rPr>
        <w:t xml:space="preserve"> 2005; </w:t>
      </w:r>
      <w:r w:rsidRPr="0041797D">
        <w:rPr>
          <w:b/>
          <w:bCs/>
          <w:color w:val="000000"/>
          <w:spacing w:val="-2"/>
          <w:kern w:val="0"/>
          <w:sz w:val="16"/>
          <w:szCs w:val="16"/>
        </w:rPr>
        <w:t>19</w:t>
      </w:r>
      <w:r w:rsidRPr="0041797D">
        <w:rPr>
          <w:color w:val="000000"/>
          <w:spacing w:val="-2"/>
          <w:kern w:val="0"/>
          <w:sz w:val="16"/>
          <w:szCs w:val="16"/>
        </w:rPr>
        <w:t>: 351-358 [PMID: 15925841 DOI: 10.1016/j.bpg.2005.01.004]</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32</w:t>
      </w:r>
      <w:r w:rsidRPr="0041797D">
        <w:rPr>
          <w:color w:val="000000"/>
          <w:spacing w:val="-2"/>
          <w:kern w:val="0"/>
          <w:sz w:val="16"/>
          <w:szCs w:val="16"/>
        </w:rPr>
        <w:tab/>
      </w:r>
      <w:proofErr w:type="spellStart"/>
      <w:r w:rsidRPr="0041797D">
        <w:rPr>
          <w:b/>
          <w:bCs/>
          <w:color w:val="000000"/>
          <w:spacing w:val="-2"/>
          <w:kern w:val="0"/>
          <w:sz w:val="16"/>
          <w:szCs w:val="16"/>
        </w:rPr>
        <w:t>Masachs</w:t>
      </w:r>
      <w:proofErr w:type="spellEnd"/>
      <w:r w:rsidRPr="0041797D">
        <w:rPr>
          <w:b/>
          <w:bCs/>
          <w:color w:val="000000"/>
          <w:spacing w:val="-2"/>
          <w:kern w:val="0"/>
          <w:sz w:val="16"/>
          <w:szCs w:val="16"/>
        </w:rPr>
        <w:t xml:space="preserve"> M</w:t>
      </w:r>
      <w:r w:rsidRPr="0041797D">
        <w:rPr>
          <w:color w:val="000000"/>
          <w:spacing w:val="-2"/>
          <w:kern w:val="0"/>
          <w:sz w:val="16"/>
          <w:szCs w:val="16"/>
        </w:rPr>
        <w:t xml:space="preserve">, </w:t>
      </w:r>
      <w:proofErr w:type="spellStart"/>
      <w:r w:rsidRPr="0041797D">
        <w:rPr>
          <w:color w:val="000000"/>
          <w:spacing w:val="-2"/>
          <w:kern w:val="0"/>
          <w:sz w:val="16"/>
          <w:szCs w:val="16"/>
        </w:rPr>
        <w:t>Casellas</w:t>
      </w:r>
      <w:proofErr w:type="spellEnd"/>
      <w:r w:rsidRPr="0041797D">
        <w:rPr>
          <w:color w:val="000000"/>
          <w:spacing w:val="-2"/>
          <w:kern w:val="0"/>
          <w:sz w:val="16"/>
          <w:szCs w:val="16"/>
        </w:rPr>
        <w:t xml:space="preserve"> F, </w:t>
      </w:r>
      <w:proofErr w:type="spellStart"/>
      <w:r w:rsidRPr="0041797D">
        <w:rPr>
          <w:color w:val="000000"/>
          <w:spacing w:val="-2"/>
          <w:kern w:val="0"/>
          <w:sz w:val="16"/>
          <w:szCs w:val="16"/>
        </w:rPr>
        <w:t>Malagelada</w:t>
      </w:r>
      <w:proofErr w:type="spellEnd"/>
      <w:r w:rsidRPr="0041797D">
        <w:rPr>
          <w:color w:val="000000"/>
          <w:spacing w:val="-2"/>
          <w:kern w:val="0"/>
          <w:sz w:val="16"/>
          <w:szCs w:val="16"/>
        </w:rPr>
        <w:t xml:space="preserve"> JR. [Inflammatory bowel disease in celiac patients]. </w:t>
      </w:r>
      <w:r w:rsidRPr="0041797D">
        <w:rPr>
          <w:i/>
          <w:iCs/>
          <w:color w:val="000000"/>
          <w:spacing w:val="-2"/>
          <w:kern w:val="0"/>
          <w:sz w:val="16"/>
          <w:szCs w:val="16"/>
        </w:rPr>
        <w:t xml:space="preserve">Rev </w:t>
      </w:r>
      <w:proofErr w:type="spellStart"/>
      <w:proofErr w:type="gramStart"/>
      <w:r w:rsidRPr="0041797D">
        <w:rPr>
          <w:i/>
          <w:iCs/>
          <w:color w:val="000000"/>
          <w:spacing w:val="-2"/>
          <w:kern w:val="0"/>
          <w:sz w:val="16"/>
          <w:szCs w:val="16"/>
        </w:rPr>
        <w:t>Esp</w:t>
      </w:r>
      <w:proofErr w:type="spellEnd"/>
      <w:proofErr w:type="gramEnd"/>
      <w:r w:rsidRPr="0041797D">
        <w:rPr>
          <w:i/>
          <w:iCs/>
          <w:color w:val="000000"/>
          <w:spacing w:val="-2"/>
          <w:kern w:val="0"/>
          <w:sz w:val="16"/>
          <w:szCs w:val="16"/>
        </w:rPr>
        <w:t xml:space="preserve"> </w:t>
      </w:r>
      <w:proofErr w:type="spellStart"/>
      <w:r w:rsidRPr="0041797D">
        <w:rPr>
          <w:i/>
          <w:iCs/>
          <w:color w:val="000000"/>
          <w:spacing w:val="-2"/>
          <w:kern w:val="0"/>
          <w:sz w:val="16"/>
          <w:szCs w:val="16"/>
        </w:rPr>
        <w:t>Enferm</w:t>
      </w:r>
      <w:proofErr w:type="spellEnd"/>
      <w:r w:rsidRPr="0041797D">
        <w:rPr>
          <w:i/>
          <w:iCs/>
          <w:color w:val="000000"/>
          <w:spacing w:val="-2"/>
          <w:kern w:val="0"/>
          <w:sz w:val="16"/>
          <w:szCs w:val="16"/>
        </w:rPr>
        <w:t xml:space="preserve"> Dig</w:t>
      </w:r>
      <w:r w:rsidRPr="0041797D">
        <w:rPr>
          <w:color w:val="000000"/>
          <w:spacing w:val="-2"/>
          <w:kern w:val="0"/>
          <w:sz w:val="16"/>
          <w:szCs w:val="16"/>
        </w:rPr>
        <w:t xml:space="preserve"> 2007; </w:t>
      </w:r>
      <w:r w:rsidRPr="0041797D">
        <w:rPr>
          <w:b/>
          <w:bCs/>
          <w:color w:val="000000"/>
          <w:spacing w:val="-2"/>
          <w:kern w:val="0"/>
          <w:sz w:val="16"/>
          <w:szCs w:val="16"/>
        </w:rPr>
        <w:t>99</w:t>
      </w:r>
      <w:r w:rsidRPr="0041797D">
        <w:rPr>
          <w:color w:val="000000"/>
          <w:spacing w:val="-2"/>
          <w:kern w:val="0"/>
          <w:sz w:val="16"/>
          <w:szCs w:val="16"/>
        </w:rPr>
        <w:t xml:space="preserve">: 446-450 [PMID: </w:t>
      </w:r>
      <w:r w:rsidRPr="0041797D">
        <w:rPr>
          <w:color w:val="000000"/>
          <w:spacing w:val="-2"/>
          <w:kern w:val="0"/>
          <w:sz w:val="16"/>
          <w:szCs w:val="16"/>
        </w:rPr>
        <w:lastRenderedPageBreak/>
        <w:t>18020860]</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33</w:t>
      </w:r>
      <w:r w:rsidRPr="0041797D">
        <w:rPr>
          <w:color w:val="000000"/>
          <w:spacing w:val="-2"/>
          <w:kern w:val="0"/>
          <w:sz w:val="16"/>
          <w:szCs w:val="16"/>
        </w:rPr>
        <w:tab/>
      </w:r>
      <w:r w:rsidRPr="0041797D">
        <w:rPr>
          <w:b/>
          <w:bCs/>
          <w:color w:val="000000"/>
          <w:spacing w:val="-2"/>
          <w:kern w:val="0"/>
          <w:sz w:val="16"/>
          <w:szCs w:val="16"/>
        </w:rPr>
        <w:t>Leeds JS</w:t>
      </w:r>
      <w:r w:rsidRPr="0041797D">
        <w:rPr>
          <w:color w:val="000000"/>
          <w:spacing w:val="-2"/>
          <w:kern w:val="0"/>
          <w:sz w:val="16"/>
          <w:szCs w:val="16"/>
        </w:rPr>
        <w:t xml:space="preserve">, </w:t>
      </w:r>
      <w:proofErr w:type="spellStart"/>
      <w:r w:rsidRPr="0041797D">
        <w:rPr>
          <w:color w:val="000000"/>
          <w:spacing w:val="-2"/>
          <w:kern w:val="0"/>
          <w:sz w:val="16"/>
          <w:szCs w:val="16"/>
        </w:rPr>
        <w:t>Höroldt</w:t>
      </w:r>
      <w:proofErr w:type="spellEnd"/>
      <w:r w:rsidRPr="0041797D">
        <w:rPr>
          <w:color w:val="000000"/>
          <w:spacing w:val="-2"/>
          <w:kern w:val="0"/>
          <w:sz w:val="16"/>
          <w:szCs w:val="16"/>
        </w:rPr>
        <w:t xml:space="preserve"> BS, </w:t>
      </w:r>
      <w:proofErr w:type="spellStart"/>
      <w:r w:rsidRPr="0041797D">
        <w:rPr>
          <w:color w:val="000000"/>
          <w:spacing w:val="-2"/>
          <w:kern w:val="0"/>
          <w:sz w:val="16"/>
          <w:szCs w:val="16"/>
        </w:rPr>
        <w:t>Sidhu</w:t>
      </w:r>
      <w:proofErr w:type="spellEnd"/>
      <w:r w:rsidRPr="0041797D">
        <w:rPr>
          <w:color w:val="000000"/>
          <w:spacing w:val="-2"/>
          <w:kern w:val="0"/>
          <w:sz w:val="16"/>
          <w:szCs w:val="16"/>
        </w:rPr>
        <w:t xml:space="preserve"> R, Hopper AD, Robinson K, </w:t>
      </w:r>
      <w:proofErr w:type="spellStart"/>
      <w:r w:rsidRPr="0041797D">
        <w:rPr>
          <w:color w:val="000000"/>
          <w:spacing w:val="-2"/>
          <w:kern w:val="0"/>
          <w:sz w:val="16"/>
          <w:szCs w:val="16"/>
        </w:rPr>
        <w:t>Toulson</w:t>
      </w:r>
      <w:proofErr w:type="spellEnd"/>
      <w:r w:rsidRPr="0041797D">
        <w:rPr>
          <w:color w:val="000000"/>
          <w:spacing w:val="-2"/>
          <w:kern w:val="0"/>
          <w:sz w:val="16"/>
          <w:szCs w:val="16"/>
        </w:rPr>
        <w:t xml:space="preserve"> B, Dixon L, Lobo AJ, </w:t>
      </w:r>
      <w:proofErr w:type="spellStart"/>
      <w:r w:rsidRPr="0041797D">
        <w:rPr>
          <w:color w:val="000000"/>
          <w:spacing w:val="-2"/>
          <w:kern w:val="0"/>
          <w:sz w:val="16"/>
          <w:szCs w:val="16"/>
        </w:rPr>
        <w:t>McAlindon</w:t>
      </w:r>
      <w:proofErr w:type="spellEnd"/>
      <w:r w:rsidRPr="0041797D">
        <w:rPr>
          <w:color w:val="000000"/>
          <w:spacing w:val="-2"/>
          <w:kern w:val="0"/>
          <w:sz w:val="16"/>
          <w:szCs w:val="16"/>
        </w:rPr>
        <w:t xml:space="preserve"> ME, Hurlstone DP, Sanders DS. Is there an association between coeliac disease and inflammatory bowel diseases? </w:t>
      </w:r>
      <w:proofErr w:type="gramStart"/>
      <w:r w:rsidRPr="0041797D">
        <w:rPr>
          <w:color w:val="000000"/>
          <w:spacing w:val="-2"/>
          <w:kern w:val="0"/>
          <w:sz w:val="16"/>
          <w:szCs w:val="16"/>
        </w:rPr>
        <w:t>A study of relative prevalence in comparison with population controls.</w:t>
      </w:r>
      <w:proofErr w:type="gramEnd"/>
      <w:r w:rsidRPr="0041797D">
        <w:rPr>
          <w:color w:val="000000"/>
          <w:spacing w:val="-2"/>
          <w:kern w:val="0"/>
          <w:sz w:val="16"/>
          <w:szCs w:val="16"/>
        </w:rPr>
        <w:t xml:space="preserve"> </w:t>
      </w:r>
      <w:proofErr w:type="spellStart"/>
      <w:r w:rsidRPr="0041797D">
        <w:rPr>
          <w:i/>
          <w:iCs/>
          <w:color w:val="000000"/>
          <w:spacing w:val="-2"/>
          <w:kern w:val="0"/>
          <w:sz w:val="16"/>
          <w:szCs w:val="16"/>
        </w:rPr>
        <w:t>Scand</w:t>
      </w:r>
      <w:proofErr w:type="spellEnd"/>
      <w:r w:rsidRPr="0041797D">
        <w:rPr>
          <w:i/>
          <w:iCs/>
          <w:color w:val="000000"/>
          <w:spacing w:val="-2"/>
          <w:kern w:val="0"/>
          <w:sz w:val="16"/>
          <w:szCs w:val="16"/>
        </w:rPr>
        <w:t xml:space="preserve"> J </w:t>
      </w:r>
      <w:proofErr w:type="spellStart"/>
      <w:r w:rsidRPr="0041797D">
        <w:rPr>
          <w:i/>
          <w:iCs/>
          <w:color w:val="000000"/>
          <w:spacing w:val="-2"/>
          <w:kern w:val="0"/>
          <w:sz w:val="16"/>
          <w:szCs w:val="16"/>
        </w:rPr>
        <w:t>Gastroenterol</w:t>
      </w:r>
      <w:proofErr w:type="spellEnd"/>
      <w:r w:rsidRPr="0041797D">
        <w:rPr>
          <w:color w:val="000000"/>
          <w:spacing w:val="-2"/>
          <w:kern w:val="0"/>
          <w:sz w:val="16"/>
          <w:szCs w:val="16"/>
        </w:rPr>
        <w:t xml:space="preserve"> 2007; </w:t>
      </w:r>
      <w:r w:rsidRPr="0041797D">
        <w:rPr>
          <w:b/>
          <w:bCs/>
          <w:color w:val="000000"/>
          <w:spacing w:val="-2"/>
          <w:kern w:val="0"/>
          <w:sz w:val="16"/>
          <w:szCs w:val="16"/>
        </w:rPr>
        <w:t>42</w:t>
      </w:r>
      <w:r w:rsidRPr="0041797D">
        <w:rPr>
          <w:color w:val="000000"/>
          <w:spacing w:val="-2"/>
          <w:kern w:val="0"/>
          <w:sz w:val="16"/>
          <w:szCs w:val="16"/>
        </w:rPr>
        <w:t>: 1214-1220 [PMID: 17918008 DOI: 10.1080/00365520701365112]</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34</w:t>
      </w:r>
      <w:r w:rsidRPr="0041797D">
        <w:rPr>
          <w:color w:val="000000"/>
          <w:spacing w:val="-2"/>
          <w:kern w:val="0"/>
          <w:sz w:val="16"/>
          <w:szCs w:val="16"/>
        </w:rPr>
        <w:tab/>
      </w:r>
      <w:r w:rsidRPr="0041797D">
        <w:rPr>
          <w:b/>
          <w:bCs/>
          <w:color w:val="000000"/>
          <w:spacing w:val="-2"/>
          <w:kern w:val="0"/>
          <w:sz w:val="16"/>
          <w:szCs w:val="16"/>
        </w:rPr>
        <w:t>Lees CW</w:t>
      </w:r>
      <w:r w:rsidRPr="0041797D">
        <w:rPr>
          <w:color w:val="000000"/>
          <w:spacing w:val="-2"/>
          <w:kern w:val="0"/>
          <w:sz w:val="16"/>
          <w:szCs w:val="16"/>
        </w:rPr>
        <w:t xml:space="preserve">, Barrett JC, </w:t>
      </w:r>
      <w:proofErr w:type="spellStart"/>
      <w:r w:rsidRPr="0041797D">
        <w:rPr>
          <w:color w:val="000000"/>
          <w:spacing w:val="-2"/>
          <w:kern w:val="0"/>
          <w:sz w:val="16"/>
          <w:szCs w:val="16"/>
        </w:rPr>
        <w:t>Parkes</w:t>
      </w:r>
      <w:proofErr w:type="spellEnd"/>
      <w:r w:rsidRPr="0041797D">
        <w:rPr>
          <w:color w:val="000000"/>
          <w:spacing w:val="-2"/>
          <w:kern w:val="0"/>
          <w:sz w:val="16"/>
          <w:szCs w:val="16"/>
        </w:rPr>
        <w:t xml:space="preserve"> M, </w:t>
      </w:r>
      <w:proofErr w:type="spellStart"/>
      <w:r w:rsidRPr="0041797D">
        <w:rPr>
          <w:color w:val="000000"/>
          <w:spacing w:val="-2"/>
          <w:kern w:val="0"/>
          <w:sz w:val="16"/>
          <w:szCs w:val="16"/>
        </w:rPr>
        <w:t>Satsangi</w:t>
      </w:r>
      <w:proofErr w:type="spellEnd"/>
      <w:r w:rsidRPr="0041797D">
        <w:rPr>
          <w:color w:val="000000"/>
          <w:spacing w:val="-2"/>
          <w:kern w:val="0"/>
          <w:sz w:val="16"/>
          <w:szCs w:val="16"/>
        </w:rPr>
        <w:t xml:space="preserve"> J. New IBD genetics: common pathways with other diseases. </w:t>
      </w:r>
      <w:r w:rsidRPr="0041797D">
        <w:rPr>
          <w:i/>
          <w:iCs/>
          <w:color w:val="000000"/>
          <w:spacing w:val="-2"/>
          <w:kern w:val="0"/>
          <w:sz w:val="16"/>
          <w:szCs w:val="16"/>
        </w:rPr>
        <w:t>Gut</w:t>
      </w:r>
      <w:r w:rsidRPr="0041797D">
        <w:rPr>
          <w:color w:val="000000"/>
          <w:spacing w:val="-2"/>
          <w:kern w:val="0"/>
          <w:sz w:val="16"/>
          <w:szCs w:val="16"/>
        </w:rPr>
        <w:t xml:space="preserve"> 2011; </w:t>
      </w:r>
      <w:r w:rsidRPr="0041797D">
        <w:rPr>
          <w:b/>
          <w:bCs/>
          <w:color w:val="000000"/>
          <w:spacing w:val="-2"/>
          <w:kern w:val="0"/>
          <w:sz w:val="16"/>
          <w:szCs w:val="16"/>
        </w:rPr>
        <w:t>60</w:t>
      </w:r>
      <w:r w:rsidRPr="0041797D">
        <w:rPr>
          <w:color w:val="000000"/>
          <w:spacing w:val="-2"/>
          <w:kern w:val="0"/>
          <w:sz w:val="16"/>
          <w:szCs w:val="16"/>
        </w:rPr>
        <w:t>: 1739-1753 [PMID: 21300624 DOI: 10.1136/gut.2009.199679]</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35</w:t>
      </w:r>
      <w:r w:rsidRPr="0041797D">
        <w:rPr>
          <w:color w:val="000000"/>
          <w:spacing w:val="-2"/>
          <w:kern w:val="0"/>
          <w:sz w:val="16"/>
          <w:szCs w:val="16"/>
        </w:rPr>
        <w:tab/>
      </w:r>
      <w:proofErr w:type="spellStart"/>
      <w:r w:rsidRPr="0041797D">
        <w:rPr>
          <w:b/>
          <w:bCs/>
          <w:color w:val="000000"/>
          <w:spacing w:val="-2"/>
          <w:kern w:val="0"/>
          <w:sz w:val="16"/>
          <w:szCs w:val="16"/>
        </w:rPr>
        <w:t>Barisani</w:t>
      </w:r>
      <w:proofErr w:type="spellEnd"/>
      <w:r w:rsidRPr="0041797D">
        <w:rPr>
          <w:b/>
          <w:bCs/>
          <w:color w:val="000000"/>
          <w:spacing w:val="-2"/>
          <w:kern w:val="0"/>
          <w:sz w:val="16"/>
          <w:szCs w:val="16"/>
        </w:rPr>
        <w:t xml:space="preserve"> D</w:t>
      </w:r>
      <w:r w:rsidRPr="0041797D">
        <w:rPr>
          <w:color w:val="000000"/>
          <w:spacing w:val="-2"/>
          <w:kern w:val="0"/>
          <w:sz w:val="16"/>
          <w:szCs w:val="16"/>
        </w:rPr>
        <w:t xml:space="preserve">, </w:t>
      </w:r>
      <w:proofErr w:type="spellStart"/>
      <w:r w:rsidRPr="0041797D">
        <w:rPr>
          <w:color w:val="000000"/>
          <w:spacing w:val="-2"/>
          <w:kern w:val="0"/>
          <w:sz w:val="16"/>
          <w:szCs w:val="16"/>
        </w:rPr>
        <w:t>Ceroni</w:t>
      </w:r>
      <w:proofErr w:type="spellEnd"/>
      <w:r w:rsidRPr="0041797D">
        <w:rPr>
          <w:color w:val="000000"/>
          <w:spacing w:val="-2"/>
          <w:kern w:val="0"/>
          <w:sz w:val="16"/>
          <w:szCs w:val="16"/>
        </w:rPr>
        <w:t xml:space="preserve"> S, </w:t>
      </w:r>
      <w:proofErr w:type="spellStart"/>
      <w:r w:rsidRPr="0041797D">
        <w:rPr>
          <w:color w:val="000000"/>
          <w:spacing w:val="-2"/>
          <w:kern w:val="0"/>
          <w:sz w:val="16"/>
          <w:szCs w:val="16"/>
        </w:rPr>
        <w:t>Meneveri</w:t>
      </w:r>
      <w:proofErr w:type="spellEnd"/>
      <w:r w:rsidRPr="0041797D">
        <w:rPr>
          <w:color w:val="000000"/>
          <w:spacing w:val="-2"/>
          <w:kern w:val="0"/>
          <w:sz w:val="16"/>
          <w:szCs w:val="16"/>
        </w:rPr>
        <w:t xml:space="preserve"> R, </w:t>
      </w:r>
      <w:proofErr w:type="spellStart"/>
      <w:r w:rsidRPr="0041797D">
        <w:rPr>
          <w:color w:val="000000"/>
          <w:spacing w:val="-2"/>
          <w:kern w:val="0"/>
          <w:sz w:val="16"/>
          <w:szCs w:val="16"/>
        </w:rPr>
        <w:t>Cesana</w:t>
      </w:r>
      <w:proofErr w:type="spellEnd"/>
      <w:r w:rsidRPr="0041797D">
        <w:rPr>
          <w:color w:val="000000"/>
          <w:spacing w:val="-2"/>
          <w:kern w:val="0"/>
          <w:sz w:val="16"/>
          <w:szCs w:val="16"/>
        </w:rPr>
        <w:t xml:space="preserve"> BM, </w:t>
      </w:r>
      <w:proofErr w:type="spellStart"/>
      <w:r w:rsidRPr="0041797D">
        <w:rPr>
          <w:color w:val="000000"/>
          <w:spacing w:val="-2"/>
          <w:kern w:val="0"/>
          <w:sz w:val="16"/>
          <w:szCs w:val="16"/>
        </w:rPr>
        <w:t>Bardella</w:t>
      </w:r>
      <w:proofErr w:type="spellEnd"/>
      <w:r w:rsidRPr="0041797D">
        <w:rPr>
          <w:color w:val="000000"/>
          <w:spacing w:val="-2"/>
          <w:kern w:val="0"/>
          <w:sz w:val="16"/>
          <w:szCs w:val="16"/>
        </w:rPr>
        <w:t xml:space="preserve"> MT. IL-10 polymorphisms are associated with early-onset celiac disease and severe mucosal damage in patients of Caucasian origin. </w:t>
      </w:r>
      <w:r w:rsidRPr="0041797D">
        <w:rPr>
          <w:i/>
          <w:iCs/>
          <w:color w:val="000000"/>
          <w:spacing w:val="-2"/>
          <w:kern w:val="0"/>
          <w:sz w:val="16"/>
          <w:szCs w:val="16"/>
        </w:rPr>
        <w:t>Genet Med</w:t>
      </w:r>
      <w:r w:rsidRPr="0041797D">
        <w:rPr>
          <w:color w:val="000000"/>
          <w:spacing w:val="-2"/>
          <w:kern w:val="0"/>
          <w:sz w:val="16"/>
          <w:szCs w:val="16"/>
        </w:rPr>
        <w:t xml:space="preserve"> 2006; </w:t>
      </w:r>
      <w:r w:rsidRPr="0041797D">
        <w:rPr>
          <w:b/>
          <w:bCs/>
          <w:color w:val="000000"/>
          <w:spacing w:val="-2"/>
          <w:kern w:val="0"/>
          <w:sz w:val="16"/>
          <w:szCs w:val="16"/>
        </w:rPr>
        <w:t>8</w:t>
      </w:r>
      <w:r w:rsidRPr="0041797D">
        <w:rPr>
          <w:color w:val="000000"/>
          <w:spacing w:val="-2"/>
          <w:kern w:val="0"/>
          <w:sz w:val="16"/>
          <w:szCs w:val="16"/>
        </w:rPr>
        <w:t>: 169-174 [PMID: 16540751]</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36</w:t>
      </w:r>
      <w:r w:rsidRPr="0041797D">
        <w:rPr>
          <w:color w:val="000000"/>
          <w:spacing w:val="-2"/>
          <w:kern w:val="0"/>
          <w:sz w:val="16"/>
          <w:szCs w:val="16"/>
        </w:rPr>
        <w:tab/>
      </w:r>
      <w:proofErr w:type="spellStart"/>
      <w:r w:rsidRPr="0041797D">
        <w:rPr>
          <w:b/>
          <w:bCs/>
          <w:color w:val="000000"/>
          <w:spacing w:val="-2"/>
          <w:kern w:val="0"/>
          <w:sz w:val="16"/>
          <w:szCs w:val="16"/>
        </w:rPr>
        <w:t>Festen</w:t>
      </w:r>
      <w:proofErr w:type="spellEnd"/>
      <w:r w:rsidRPr="0041797D">
        <w:rPr>
          <w:b/>
          <w:bCs/>
          <w:color w:val="000000"/>
          <w:spacing w:val="-2"/>
          <w:kern w:val="0"/>
          <w:sz w:val="16"/>
          <w:szCs w:val="16"/>
        </w:rPr>
        <w:t xml:space="preserve"> EA</w:t>
      </w:r>
      <w:r w:rsidRPr="0041797D">
        <w:rPr>
          <w:color w:val="000000"/>
          <w:spacing w:val="-2"/>
          <w:kern w:val="0"/>
          <w:sz w:val="16"/>
          <w:szCs w:val="16"/>
        </w:rPr>
        <w:t xml:space="preserve">, </w:t>
      </w:r>
      <w:proofErr w:type="spellStart"/>
      <w:r w:rsidRPr="0041797D">
        <w:rPr>
          <w:color w:val="000000"/>
          <w:spacing w:val="-2"/>
          <w:kern w:val="0"/>
          <w:sz w:val="16"/>
          <w:szCs w:val="16"/>
        </w:rPr>
        <w:t>Goyette</w:t>
      </w:r>
      <w:proofErr w:type="spellEnd"/>
      <w:r w:rsidRPr="0041797D">
        <w:rPr>
          <w:color w:val="000000"/>
          <w:spacing w:val="-2"/>
          <w:kern w:val="0"/>
          <w:sz w:val="16"/>
          <w:szCs w:val="16"/>
        </w:rPr>
        <w:t xml:space="preserve"> P, Green T, Boucher G, Beauchamp C, </w:t>
      </w:r>
      <w:proofErr w:type="spellStart"/>
      <w:r w:rsidRPr="0041797D">
        <w:rPr>
          <w:color w:val="000000"/>
          <w:spacing w:val="-2"/>
          <w:kern w:val="0"/>
          <w:sz w:val="16"/>
          <w:szCs w:val="16"/>
        </w:rPr>
        <w:t>Trynka</w:t>
      </w:r>
      <w:proofErr w:type="spellEnd"/>
      <w:r w:rsidRPr="0041797D">
        <w:rPr>
          <w:color w:val="000000"/>
          <w:spacing w:val="-2"/>
          <w:kern w:val="0"/>
          <w:sz w:val="16"/>
          <w:szCs w:val="16"/>
        </w:rPr>
        <w:t xml:space="preserve"> G, Dubois PC, </w:t>
      </w:r>
      <w:proofErr w:type="spellStart"/>
      <w:r w:rsidRPr="0041797D">
        <w:rPr>
          <w:color w:val="000000"/>
          <w:spacing w:val="-2"/>
          <w:kern w:val="0"/>
          <w:sz w:val="16"/>
          <w:szCs w:val="16"/>
        </w:rPr>
        <w:t>Lagacé</w:t>
      </w:r>
      <w:proofErr w:type="spellEnd"/>
      <w:r w:rsidRPr="0041797D">
        <w:rPr>
          <w:color w:val="000000"/>
          <w:spacing w:val="-2"/>
          <w:kern w:val="0"/>
          <w:sz w:val="16"/>
          <w:szCs w:val="16"/>
        </w:rPr>
        <w:t xml:space="preserve"> C, </w:t>
      </w:r>
      <w:proofErr w:type="spellStart"/>
      <w:r w:rsidRPr="0041797D">
        <w:rPr>
          <w:color w:val="000000"/>
          <w:spacing w:val="-2"/>
          <w:kern w:val="0"/>
          <w:sz w:val="16"/>
          <w:szCs w:val="16"/>
        </w:rPr>
        <w:t>Stokkers</w:t>
      </w:r>
      <w:proofErr w:type="spellEnd"/>
      <w:r w:rsidRPr="0041797D">
        <w:rPr>
          <w:color w:val="000000"/>
          <w:spacing w:val="-2"/>
          <w:kern w:val="0"/>
          <w:sz w:val="16"/>
          <w:szCs w:val="16"/>
        </w:rPr>
        <w:t xml:space="preserve"> PC, </w:t>
      </w:r>
      <w:proofErr w:type="spellStart"/>
      <w:r w:rsidRPr="0041797D">
        <w:rPr>
          <w:color w:val="000000"/>
          <w:spacing w:val="-2"/>
          <w:kern w:val="0"/>
          <w:sz w:val="16"/>
          <w:szCs w:val="16"/>
        </w:rPr>
        <w:t>Hommes</w:t>
      </w:r>
      <w:proofErr w:type="spellEnd"/>
      <w:r w:rsidRPr="0041797D">
        <w:rPr>
          <w:color w:val="000000"/>
          <w:spacing w:val="-2"/>
          <w:kern w:val="0"/>
          <w:sz w:val="16"/>
          <w:szCs w:val="16"/>
        </w:rPr>
        <w:t xml:space="preserve"> DW, </w:t>
      </w:r>
      <w:proofErr w:type="spellStart"/>
      <w:r w:rsidRPr="0041797D">
        <w:rPr>
          <w:color w:val="000000"/>
          <w:spacing w:val="-2"/>
          <w:kern w:val="0"/>
          <w:sz w:val="16"/>
          <w:szCs w:val="16"/>
        </w:rPr>
        <w:t>Barisani</w:t>
      </w:r>
      <w:proofErr w:type="spellEnd"/>
      <w:r w:rsidRPr="0041797D">
        <w:rPr>
          <w:color w:val="000000"/>
          <w:spacing w:val="-2"/>
          <w:kern w:val="0"/>
          <w:sz w:val="16"/>
          <w:szCs w:val="16"/>
        </w:rPr>
        <w:t xml:space="preserve"> D, </w:t>
      </w:r>
      <w:proofErr w:type="spellStart"/>
      <w:r w:rsidRPr="0041797D">
        <w:rPr>
          <w:color w:val="000000"/>
          <w:spacing w:val="-2"/>
          <w:kern w:val="0"/>
          <w:sz w:val="16"/>
          <w:szCs w:val="16"/>
        </w:rPr>
        <w:t>Palmieri</w:t>
      </w:r>
      <w:proofErr w:type="spellEnd"/>
      <w:r w:rsidRPr="0041797D">
        <w:rPr>
          <w:color w:val="000000"/>
          <w:spacing w:val="-2"/>
          <w:kern w:val="0"/>
          <w:sz w:val="16"/>
          <w:szCs w:val="16"/>
        </w:rPr>
        <w:t xml:space="preserve"> O, </w:t>
      </w:r>
      <w:proofErr w:type="spellStart"/>
      <w:r w:rsidRPr="0041797D">
        <w:rPr>
          <w:color w:val="000000"/>
          <w:spacing w:val="-2"/>
          <w:kern w:val="0"/>
          <w:sz w:val="16"/>
          <w:szCs w:val="16"/>
        </w:rPr>
        <w:t>Annese</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V,van</w:t>
      </w:r>
      <w:proofErr w:type="spellEnd"/>
      <w:r w:rsidRPr="0041797D">
        <w:rPr>
          <w:color w:val="000000"/>
          <w:spacing w:val="-2"/>
          <w:kern w:val="0"/>
          <w:sz w:val="16"/>
          <w:szCs w:val="16"/>
        </w:rPr>
        <w:t xml:space="preserve"> Heel DA, </w:t>
      </w:r>
      <w:proofErr w:type="spellStart"/>
      <w:r w:rsidRPr="0041797D">
        <w:rPr>
          <w:color w:val="000000"/>
          <w:spacing w:val="-2"/>
          <w:kern w:val="0"/>
          <w:sz w:val="16"/>
          <w:szCs w:val="16"/>
        </w:rPr>
        <w:t>Weersma</w:t>
      </w:r>
      <w:proofErr w:type="spellEnd"/>
      <w:r w:rsidRPr="0041797D">
        <w:rPr>
          <w:color w:val="000000"/>
          <w:spacing w:val="-2"/>
          <w:kern w:val="0"/>
          <w:sz w:val="16"/>
          <w:szCs w:val="16"/>
        </w:rPr>
        <w:t xml:space="preserve"> RK, Daly MJ, </w:t>
      </w:r>
      <w:proofErr w:type="spellStart"/>
      <w:r w:rsidRPr="0041797D">
        <w:rPr>
          <w:color w:val="000000"/>
          <w:spacing w:val="-2"/>
          <w:kern w:val="0"/>
          <w:sz w:val="16"/>
          <w:szCs w:val="16"/>
        </w:rPr>
        <w:t>Wijmenga</w:t>
      </w:r>
      <w:proofErr w:type="spellEnd"/>
      <w:r w:rsidRPr="0041797D">
        <w:rPr>
          <w:color w:val="000000"/>
          <w:spacing w:val="-2"/>
          <w:kern w:val="0"/>
          <w:sz w:val="16"/>
          <w:szCs w:val="16"/>
        </w:rPr>
        <w:t xml:space="preserve"> C, </w:t>
      </w:r>
      <w:proofErr w:type="spellStart"/>
      <w:r w:rsidRPr="0041797D">
        <w:rPr>
          <w:color w:val="000000"/>
          <w:spacing w:val="-2"/>
          <w:kern w:val="0"/>
          <w:sz w:val="16"/>
          <w:szCs w:val="16"/>
        </w:rPr>
        <w:t>Rioux</w:t>
      </w:r>
      <w:proofErr w:type="spellEnd"/>
      <w:r w:rsidRPr="0041797D">
        <w:rPr>
          <w:color w:val="000000"/>
          <w:spacing w:val="-2"/>
          <w:kern w:val="0"/>
          <w:sz w:val="16"/>
          <w:szCs w:val="16"/>
        </w:rPr>
        <w:t xml:space="preserve"> JD. A meta-analysis of genome-wide association scans identifies IL18RAP, PTPN2, TAGAP, and PUS10 as shared risk loci for </w:t>
      </w:r>
      <w:proofErr w:type="spellStart"/>
      <w:r w:rsidRPr="0041797D">
        <w:rPr>
          <w:color w:val="000000"/>
          <w:spacing w:val="-2"/>
          <w:kern w:val="0"/>
          <w:sz w:val="16"/>
          <w:szCs w:val="16"/>
        </w:rPr>
        <w:t>Crohn’s</w:t>
      </w:r>
      <w:proofErr w:type="spellEnd"/>
      <w:r w:rsidRPr="0041797D">
        <w:rPr>
          <w:color w:val="000000"/>
          <w:spacing w:val="-2"/>
          <w:kern w:val="0"/>
          <w:sz w:val="16"/>
          <w:szCs w:val="16"/>
        </w:rPr>
        <w:t xml:space="preserve"> disease and celiac disease. </w:t>
      </w:r>
      <w:proofErr w:type="spellStart"/>
      <w:r w:rsidRPr="0041797D">
        <w:rPr>
          <w:i/>
          <w:iCs/>
          <w:color w:val="000000"/>
          <w:spacing w:val="-2"/>
          <w:kern w:val="0"/>
          <w:sz w:val="16"/>
          <w:szCs w:val="16"/>
        </w:rPr>
        <w:t>PLoS</w:t>
      </w:r>
      <w:proofErr w:type="spellEnd"/>
      <w:r w:rsidRPr="0041797D">
        <w:rPr>
          <w:i/>
          <w:iCs/>
          <w:color w:val="000000"/>
          <w:spacing w:val="-2"/>
          <w:kern w:val="0"/>
          <w:sz w:val="16"/>
          <w:szCs w:val="16"/>
        </w:rPr>
        <w:t xml:space="preserve"> Genet</w:t>
      </w:r>
      <w:r w:rsidRPr="0041797D">
        <w:rPr>
          <w:color w:val="000000"/>
          <w:spacing w:val="-2"/>
          <w:kern w:val="0"/>
          <w:sz w:val="16"/>
          <w:szCs w:val="16"/>
        </w:rPr>
        <w:t xml:space="preserve"> 2011; </w:t>
      </w:r>
      <w:r w:rsidRPr="0041797D">
        <w:rPr>
          <w:b/>
          <w:bCs/>
          <w:color w:val="000000"/>
          <w:spacing w:val="-2"/>
          <w:kern w:val="0"/>
          <w:sz w:val="16"/>
          <w:szCs w:val="16"/>
        </w:rPr>
        <w:t>7</w:t>
      </w:r>
      <w:r w:rsidRPr="0041797D">
        <w:rPr>
          <w:color w:val="000000"/>
          <w:spacing w:val="-2"/>
          <w:kern w:val="0"/>
          <w:sz w:val="16"/>
          <w:szCs w:val="16"/>
        </w:rPr>
        <w:t>:e1001283 [PMID: 21298027 DOI:10.1371/journal.pgen.1001283]</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37</w:t>
      </w:r>
      <w:r w:rsidRPr="0041797D">
        <w:rPr>
          <w:color w:val="000000"/>
          <w:spacing w:val="-2"/>
          <w:kern w:val="0"/>
          <w:sz w:val="16"/>
          <w:szCs w:val="16"/>
        </w:rPr>
        <w:tab/>
      </w:r>
      <w:r w:rsidRPr="0041797D">
        <w:rPr>
          <w:b/>
          <w:bCs/>
          <w:color w:val="000000"/>
          <w:spacing w:val="-2"/>
          <w:kern w:val="0"/>
          <w:sz w:val="16"/>
          <w:szCs w:val="16"/>
        </w:rPr>
        <w:t>Casella G</w:t>
      </w:r>
      <w:r w:rsidRPr="0041797D">
        <w:rPr>
          <w:color w:val="000000"/>
          <w:spacing w:val="-2"/>
          <w:kern w:val="0"/>
          <w:sz w:val="16"/>
          <w:szCs w:val="16"/>
        </w:rPr>
        <w:t xml:space="preserve">, </w:t>
      </w:r>
      <w:proofErr w:type="spellStart"/>
      <w:r w:rsidRPr="0041797D">
        <w:rPr>
          <w:color w:val="000000"/>
          <w:spacing w:val="-2"/>
          <w:kern w:val="0"/>
          <w:sz w:val="16"/>
          <w:szCs w:val="16"/>
        </w:rPr>
        <w:t>D’Incà</w:t>
      </w:r>
      <w:proofErr w:type="spellEnd"/>
      <w:r w:rsidRPr="0041797D">
        <w:rPr>
          <w:color w:val="000000"/>
          <w:spacing w:val="-2"/>
          <w:kern w:val="0"/>
          <w:sz w:val="16"/>
          <w:szCs w:val="16"/>
        </w:rPr>
        <w:t xml:space="preserve"> R, </w:t>
      </w:r>
      <w:proofErr w:type="spellStart"/>
      <w:r w:rsidRPr="0041797D">
        <w:rPr>
          <w:color w:val="000000"/>
          <w:spacing w:val="-2"/>
          <w:kern w:val="0"/>
          <w:sz w:val="16"/>
          <w:szCs w:val="16"/>
        </w:rPr>
        <w:t>Oliva</w:t>
      </w:r>
      <w:proofErr w:type="spellEnd"/>
      <w:r w:rsidRPr="0041797D">
        <w:rPr>
          <w:color w:val="000000"/>
          <w:spacing w:val="-2"/>
          <w:kern w:val="0"/>
          <w:sz w:val="16"/>
          <w:szCs w:val="16"/>
        </w:rPr>
        <w:t xml:space="preserve"> L, </w:t>
      </w:r>
      <w:proofErr w:type="spellStart"/>
      <w:r w:rsidRPr="0041797D">
        <w:rPr>
          <w:color w:val="000000"/>
          <w:spacing w:val="-2"/>
          <w:kern w:val="0"/>
          <w:sz w:val="16"/>
          <w:szCs w:val="16"/>
        </w:rPr>
        <w:t>Daperno</w:t>
      </w:r>
      <w:proofErr w:type="spellEnd"/>
      <w:r w:rsidRPr="0041797D">
        <w:rPr>
          <w:color w:val="000000"/>
          <w:spacing w:val="-2"/>
          <w:kern w:val="0"/>
          <w:sz w:val="16"/>
          <w:szCs w:val="16"/>
        </w:rPr>
        <w:t xml:space="preserve"> M, </w:t>
      </w:r>
      <w:proofErr w:type="spellStart"/>
      <w:r w:rsidRPr="0041797D">
        <w:rPr>
          <w:color w:val="000000"/>
          <w:spacing w:val="-2"/>
          <w:kern w:val="0"/>
          <w:sz w:val="16"/>
          <w:szCs w:val="16"/>
        </w:rPr>
        <w:t>Saladino</w:t>
      </w:r>
      <w:proofErr w:type="spellEnd"/>
      <w:r w:rsidRPr="0041797D">
        <w:rPr>
          <w:color w:val="000000"/>
          <w:spacing w:val="-2"/>
          <w:kern w:val="0"/>
          <w:sz w:val="16"/>
          <w:szCs w:val="16"/>
        </w:rPr>
        <w:t xml:space="preserve"> V, </w:t>
      </w:r>
      <w:proofErr w:type="spellStart"/>
      <w:r w:rsidRPr="0041797D">
        <w:rPr>
          <w:color w:val="000000"/>
          <w:spacing w:val="-2"/>
          <w:kern w:val="0"/>
          <w:sz w:val="16"/>
          <w:szCs w:val="16"/>
        </w:rPr>
        <w:t>Zoli</w:t>
      </w:r>
      <w:proofErr w:type="spellEnd"/>
      <w:r w:rsidRPr="0041797D">
        <w:rPr>
          <w:color w:val="000000"/>
          <w:spacing w:val="-2"/>
          <w:kern w:val="0"/>
          <w:sz w:val="16"/>
          <w:szCs w:val="16"/>
        </w:rPr>
        <w:t xml:space="preserve"> G, </w:t>
      </w:r>
      <w:proofErr w:type="spellStart"/>
      <w:r w:rsidRPr="0041797D">
        <w:rPr>
          <w:color w:val="000000"/>
          <w:spacing w:val="-2"/>
          <w:kern w:val="0"/>
          <w:sz w:val="16"/>
          <w:szCs w:val="16"/>
        </w:rPr>
        <w:t>Annese</w:t>
      </w:r>
      <w:proofErr w:type="spellEnd"/>
      <w:r w:rsidRPr="0041797D">
        <w:rPr>
          <w:color w:val="000000"/>
          <w:spacing w:val="-2"/>
          <w:kern w:val="0"/>
          <w:sz w:val="16"/>
          <w:szCs w:val="16"/>
        </w:rPr>
        <w:t xml:space="preserve"> V, Fries W, </w:t>
      </w:r>
      <w:proofErr w:type="spellStart"/>
      <w:r w:rsidRPr="0041797D">
        <w:rPr>
          <w:color w:val="000000"/>
          <w:spacing w:val="-2"/>
          <w:kern w:val="0"/>
          <w:sz w:val="16"/>
          <w:szCs w:val="16"/>
        </w:rPr>
        <w:t>Cortellezzi</w:t>
      </w:r>
      <w:proofErr w:type="spellEnd"/>
      <w:r w:rsidRPr="0041797D">
        <w:rPr>
          <w:color w:val="000000"/>
          <w:spacing w:val="-2"/>
          <w:kern w:val="0"/>
          <w:sz w:val="16"/>
          <w:szCs w:val="16"/>
        </w:rPr>
        <w:t xml:space="preserve"> C; Italian Group - IBD. Prevalence of celiac disease in inflammatory bowel diseases: An IG-IBD </w:t>
      </w:r>
      <w:proofErr w:type="spellStart"/>
      <w:r w:rsidRPr="0041797D">
        <w:rPr>
          <w:color w:val="000000"/>
          <w:spacing w:val="-2"/>
          <w:kern w:val="0"/>
          <w:sz w:val="16"/>
          <w:szCs w:val="16"/>
        </w:rPr>
        <w:t>multicentre</w:t>
      </w:r>
      <w:proofErr w:type="spellEnd"/>
      <w:r w:rsidRPr="0041797D">
        <w:rPr>
          <w:color w:val="000000"/>
          <w:spacing w:val="-2"/>
          <w:kern w:val="0"/>
          <w:sz w:val="16"/>
          <w:szCs w:val="16"/>
        </w:rPr>
        <w:t xml:space="preserve"> study. </w:t>
      </w:r>
      <w:r w:rsidRPr="0041797D">
        <w:rPr>
          <w:i/>
          <w:iCs/>
          <w:color w:val="000000"/>
          <w:spacing w:val="-2"/>
          <w:kern w:val="0"/>
          <w:sz w:val="16"/>
          <w:szCs w:val="16"/>
        </w:rPr>
        <w:t>Dig Liver Dis</w:t>
      </w:r>
      <w:r w:rsidRPr="0041797D">
        <w:rPr>
          <w:color w:val="000000"/>
          <w:spacing w:val="-2"/>
          <w:kern w:val="0"/>
          <w:sz w:val="16"/>
          <w:szCs w:val="16"/>
        </w:rPr>
        <w:t xml:space="preserve"> 2010; </w:t>
      </w:r>
      <w:r w:rsidRPr="0041797D">
        <w:rPr>
          <w:b/>
          <w:bCs/>
          <w:color w:val="000000"/>
          <w:spacing w:val="-2"/>
          <w:kern w:val="0"/>
          <w:sz w:val="16"/>
          <w:szCs w:val="16"/>
        </w:rPr>
        <w:t>42</w:t>
      </w:r>
      <w:r w:rsidRPr="0041797D">
        <w:rPr>
          <w:color w:val="000000"/>
          <w:spacing w:val="-2"/>
          <w:kern w:val="0"/>
          <w:sz w:val="16"/>
          <w:szCs w:val="16"/>
        </w:rPr>
        <w:t>: 175-178 [PMID: 19786375 DOI: 10.1016/j.dld.2009.08.005]</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38</w:t>
      </w:r>
      <w:r w:rsidRPr="0041797D">
        <w:rPr>
          <w:color w:val="000000"/>
          <w:spacing w:val="-2"/>
          <w:kern w:val="0"/>
          <w:sz w:val="16"/>
          <w:szCs w:val="16"/>
        </w:rPr>
        <w:tab/>
      </w:r>
      <w:proofErr w:type="spellStart"/>
      <w:r w:rsidRPr="0041797D">
        <w:rPr>
          <w:b/>
          <w:bCs/>
          <w:color w:val="000000"/>
          <w:spacing w:val="-2"/>
          <w:kern w:val="0"/>
          <w:sz w:val="16"/>
          <w:szCs w:val="16"/>
        </w:rPr>
        <w:t>Cassinotti</w:t>
      </w:r>
      <w:proofErr w:type="spellEnd"/>
      <w:r w:rsidRPr="0041797D">
        <w:rPr>
          <w:b/>
          <w:bCs/>
          <w:color w:val="000000"/>
          <w:spacing w:val="-2"/>
          <w:kern w:val="0"/>
          <w:sz w:val="16"/>
          <w:szCs w:val="16"/>
        </w:rPr>
        <w:t xml:space="preserve"> A</w:t>
      </w:r>
      <w:r w:rsidRPr="0041797D">
        <w:rPr>
          <w:color w:val="000000"/>
          <w:spacing w:val="-2"/>
          <w:kern w:val="0"/>
          <w:sz w:val="16"/>
          <w:szCs w:val="16"/>
        </w:rPr>
        <w:t xml:space="preserve">, </w:t>
      </w:r>
      <w:proofErr w:type="spellStart"/>
      <w:r w:rsidRPr="0041797D">
        <w:rPr>
          <w:color w:val="000000"/>
          <w:spacing w:val="-2"/>
          <w:kern w:val="0"/>
          <w:sz w:val="16"/>
          <w:szCs w:val="16"/>
        </w:rPr>
        <w:t>Birindelli</w:t>
      </w:r>
      <w:proofErr w:type="spellEnd"/>
      <w:r w:rsidRPr="0041797D">
        <w:rPr>
          <w:color w:val="000000"/>
          <w:spacing w:val="-2"/>
          <w:kern w:val="0"/>
          <w:sz w:val="16"/>
          <w:szCs w:val="16"/>
        </w:rPr>
        <w:t xml:space="preserve"> S, </w:t>
      </w:r>
      <w:proofErr w:type="spellStart"/>
      <w:r w:rsidRPr="0041797D">
        <w:rPr>
          <w:color w:val="000000"/>
          <w:spacing w:val="-2"/>
          <w:kern w:val="0"/>
          <w:sz w:val="16"/>
          <w:szCs w:val="16"/>
        </w:rPr>
        <w:t>Clerici</w:t>
      </w:r>
      <w:proofErr w:type="spellEnd"/>
      <w:r w:rsidRPr="0041797D">
        <w:rPr>
          <w:color w:val="000000"/>
          <w:spacing w:val="-2"/>
          <w:kern w:val="0"/>
          <w:sz w:val="16"/>
          <w:szCs w:val="16"/>
        </w:rPr>
        <w:t xml:space="preserve"> M, </w:t>
      </w:r>
      <w:proofErr w:type="spellStart"/>
      <w:r w:rsidRPr="0041797D">
        <w:rPr>
          <w:color w:val="000000"/>
          <w:spacing w:val="-2"/>
          <w:kern w:val="0"/>
          <w:sz w:val="16"/>
          <w:szCs w:val="16"/>
        </w:rPr>
        <w:t>Trabattoni</w:t>
      </w:r>
      <w:proofErr w:type="spellEnd"/>
      <w:r w:rsidRPr="0041797D">
        <w:rPr>
          <w:color w:val="000000"/>
          <w:spacing w:val="-2"/>
          <w:kern w:val="0"/>
          <w:sz w:val="16"/>
          <w:szCs w:val="16"/>
        </w:rPr>
        <w:t xml:space="preserve"> D, </w:t>
      </w:r>
      <w:proofErr w:type="spellStart"/>
      <w:r w:rsidRPr="0041797D">
        <w:rPr>
          <w:color w:val="000000"/>
          <w:spacing w:val="-2"/>
          <w:kern w:val="0"/>
          <w:sz w:val="16"/>
          <w:szCs w:val="16"/>
        </w:rPr>
        <w:t>Lazzaroni</w:t>
      </w:r>
      <w:proofErr w:type="spellEnd"/>
      <w:r w:rsidRPr="0041797D">
        <w:rPr>
          <w:color w:val="000000"/>
          <w:spacing w:val="-2"/>
          <w:kern w:val="0"/>
          <w:sz w:val="16"/>
          <w:szCs w:val="16"/>
        </w:rPr>
        <w:t xml:space="preserve"> M, </w:t>
      </w:r>
      <w:proofErr w:type="spellStart"/>
      <w:r w:rsidRPr="0041797D">
        <w:rPr>
          <w:color w:val="000000"/>
          <w:spacing w:val="-2"/>
          <w:kern w:val="0"/>
          <w:sz w:val="16"/>
          <w:szCs w:val="16"/>
        </w:rPr>
        <w:t>Ardizzone</w:t>
      </w:r>
      <w:proofErr w:type="spellEnd"/>
      <w:r w:rsidRPr="0041797D">
        <w:rPr>
          <w:color w:val="000000"/>
          <w:spacing w:val="-2"/>
          <w:kern w:val="0"/>
          <w:sz w:val="16"/>
          <w:szCs w:val="16"/>
        </w:rPr>
        <w:t xml:space="preserve"> S, Colombo R, Rossi E, </w:t>
      </w:r>
      <w:proofErr w:type="spellStart"/>
      <w:r w:rsidRPr="0041797D">
        <w:rPr>
          <w:color w:val="000000"/>
          <w:spacing w:val="-2"/>
          <w:kern w:val="0"/>
          <w:sz w:val="16"/>
          <w:szCs w:val="16"/>
        </w:rPr>
        <w:t>Porro</w:t>
      </w:r>
      <w:proofErr w:type="spellEnd"/>
      <w:r w:rsidRPr="0041797D">
        <w:rPr>
          <w:color w:val="000000"/>
          <w:spacing w:val="-2"/>
          <w:kern w:val="0"/>
          <w:sz w:val="16"/>
          <w:szCs w:val="16"/>
        </w:rPr>
        <w:t xml:space="preserve"> GB. HLA and autoimmune digestive disease: a clinically oriented review for gastroenterologists. </w:t>
      </w:r>
      <w:r w:rsidRPr="0041797D">
        <w:rPr>
          <w:i/>
          <w:iCs/>
          <w:color w:val="000000"/>
          <w:spacing w:val="-2"/>
          <w:kern w:val="0"/>
          <w:sz w:val="16"/>
          <w:szCs w:val="16"/>
        </w:rPr>
        <w:t xml:space="preserve">Am J </w:t>
      </w:r>
      <w:proofErr w:type="spellStart"/>
      <w:r w:rsidRPr="0041797D">
        <w:rPr>
          <w:i/>
          <w:iCs/>
          <w:color w:val="000000"/>
          <w:spacing w:val="-2"/>
          <w:kern w:val="0"/>
          <w:sz w:val="16"/>
          <w:szCs w:val="16"/>
        </w:rPr>
        <w:t>Gastroenterol</w:t>
      </w:r>
      <w:proofErr w:type="spellEnd"/>
      <w:r w:rsidRPr="0041797D">
        <w:rPr>
          <w:color w:val="000000"/>
          <w:spacing w:val="-2"/>
          <w:kern w:val="0"/>
          <w:sz w:val="16"/>
          <w:szCs w:val="16"/>
        </w:rPr>
        <w:t xml:space="preserve"> 2009; </w:t>
      </w:r>
      <w:r w:rsidRPr="0041797D">
        <w:rPr>
          <w:b/>
          <w:bCs/>
          <w:color w:val="000000"/>
          <w:spacing w:val="-2"/>
          <w:kern w:val="0"/>
          <w:sz w:val="16"/>
          <w:szCs w:val="16"/>
        </w:rPr>
        <w:t>104</w:t>
      </w:r>
      <w:r w:rsidRPr="0041797D">
        <w:rPr>
          <w:color w:val="000000"/>
          <w:spacing w:val="-2"/>
          <w:kern w:val="0"/>
          <w:sz w:val="16"/>
          <w:szCs w:val="16"/>
        </w:rPr>
        <w:t>: 195-217; quiz 194, 218 [PMID: 19098870 DOI: 10.1038/ajg.2008.10]</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39</w:t>
      </w:r>
      <w:r w:rsidRPr="0041797D">
        <w:rPr>
          <w:color w:val="000000"/>
          <w:spacing w:val="-2"/>
          <w:kern w:val="0"/>
          <w:sz w:val="16"/>
          <w:szCs w:val="16"/>
        </w:rPr>
        <w:tab/>
      </w:r>
      <w:r w:rsidRPr="0041797D">
        <w:rPr>
          <w:b/>
          <w:bCs/>
          <w:color w:val="000000"/>
          <w:spacing w:val="-2"/>
          <w:kern w:val="0"/>
          <w:sz w:val="16"/>
          <w:szCs w:val="16"/>
        </w:rPr>
        <w:t>Marquez M</w:t>
      </w:r>
      <w:r w:rsidRPr="0041797D">
        <w:rPr>
          <w:color w:val="000000"/>
          <w:spacing w:val="-2"/>
          <w:kern w:val="0"/>
          <w:sz w:val="16"/>
          <w:szCs w:val="16"/>
        </w:rPr>
        <w:t xml:space="preserve">, </w:t>
      </w:r>
      <w:proofErr w:type="spellStart"/>
      <w:r w:rsidRPr="0041797D">
        <w:rPr>
          <w:color w:val="000000"/>
          <w:spacing w:val="-2"/>
          <w:kern w:val="0"/>
          <w:sz w:val="16"/>
          <w:szCs w:val="16"/>
        </w:rPr>
        <w:t>Polanco</w:t>
      </w:r>
      <w:proofErr w:type="spellEnd"/>
      <w:r w:rsidRPr="0041797D">
        <w:rPr>
          <w:color w:val="000000"/>
          <w:spacing w:val="-2"/>
          <w:kern w:val="0"/>
          <w:sz w:val="16"/>
          <w:szCs w:val="16"/>
        </w:rPr>
        <w:t xml:space="preserve"> I, Alonso M, </w:t>
      </w:r>
      <w:proofErr w:type="spellStart"/>
      <w:r w:rsidRPr="0041797D">
        <w:rPr>
          <w:color w:val="000000"/>
          <w:spacing w:val="-2"/>
          <w:kern w:val="0"/>
          <w:sz w:val="16"/>
          <w:szCs w:val="16"/>
        </w:rPr>
        <w:t>Mearin</w:t>
      </w:r>
      <w:proofErr w:type="spellEnd"/>
      <w:r w:rsidRPr="0041797D">
        <w:rPr>
          <w:color w:val="000000"/>
          <w:spacing w:val="-2"/>
          <w:kern w:val="0"/>
          <w:sz w:val="16"/>
          <w:szCs w:val="16"/>
        </w:rPr>
        <w:t xml:space="preserve"> ML, </w:t>
      </w:r>
      <w:proofErr w:type="spellStart"/>
      <w:r w:rsidRPr="0041797D">
        <w:rPr>
          <w:color w:val="000000"/>
          <w:spacing w:val="-2"/>
          <w:kern w:val="0"/>
          <w:sz w:val="16"/>
          <w:szCs w:val="16"/>
        </w:rPr>
        <w:t>Ribes</w:t>
      </w:r>
      <w:proofErr w:type="spellEnd"/>
      <w:r w:rsidRPr="0041797D">
        <w:rPr>
          <w:color w:val="000000"/>
          <w:spacing w:val="-2"/>
          <w:kern w:val="0"/>
          <w:sz w:val="16"/>
          <w:szCs w:val="16"/>
        </w:rPr>
        <w:t xml:space="preserve"> C, Garcia MD. </w:t>
      </w:r>
      <w:proofErr w:type="spellStart"/>
      <w:proofErr w:type="gramStart"/>
      <w:r w:rsidRPr="0041797D">
        <w:rPr>
          <w:color w:val="000000"/>
          <w:spacing w:val="-2"/>
          <w:kern w:val="0"/>
          <w:sz w:val="16"/>
          <w:szCs w:val="16"/>
        </w:rPr>
        <w:t>Enfermedad</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celíaca</w:t>
      </w:r>
      <w:proofErr w:type="spellEnd"/>
      <w:r w:rsidRPr="0041797D">
        <w:rPr>
          <w:color w:val="000000"/>
          <w:spacing w:val="-2"/>
          <w:kern w:val="0"/>
          <w:sz w:val="16"/>
          <w:szCs w:val="16"/>
        </w:rPr>
        <w:t>.</w:t>
      </w:r>
      <w:proofErr w:type="gramEnd"/>
      <w:r w:rsidRPr="0041797D">
        <w:rPr>
          <w:color w:val="000000"/>
          <w:spacing w:val="-2"/>
          <w:kern w:val="0"/>
          <w:sz w:val="16"/>
          <w:szCs w:val="16"/>
        </w:rPr>
        <w:t xml:space="preserve"> Manual </w:t>
      </w:r>
      <w:proofErr w:type="gramStart"/>
      <w:r w:rsidRPr="0041797D">
        <w:rPr>
          <w:color w:val="000000"/>
          <w:spacing w:val="-2"/>
          <w:kern w:val="0"/>
          <w:sz w:val="16"/>
          <w:szCs w:val="16"/>
        </w:rPr>
        <w:t>del</w:t>
      </w:r>
      <w:proofErr w:type="gramEnd"/>
      <w:r w:rsidRPr="0041797D">
        <w:rPr>
          <w:color w:val="000000"/>
          <w:spacing w:val="-2"/>
          <w:kern w:val="0"/>
          <w:sz w:val="16"/>
          <w:szCs w:val="16"/>
        </w:rPr>
        <w:t xml:space="preserve"> </w:t>
      </w:r>
      <w:proofErr w:type="spellStart"/>
      <w:r w:rsidRPr="0041797D">
        <w:rPr>
          <w:color w:val="000000"/>
          <w:spacing w:val="-2"/>
          <w:kern w:val="0"/>
          <w:sz w:val="16"/>
          <w:szCs w:val="16"/>
        </w:rPr>
        <w:t>celíaco</w:t>
      </w:r>
      <w:proofErr w:type="spellEnd"/>
      <w:r w:rsidRPr="0041797D">
        <w:rPr>
          <w:color w:val="000000"/>
          <w:spacing w:val="-2"/>
          <w:kern w:val="0"/>
          <w:sz w:val="16"/>
          <w:szCs w:val="16"/>
        </w:rPr>
        <w:t xml:space="preserve">. </w:t>
      </w:r>
      <w:proofErr w:type="spellStart"/>
      <w:proofErr w:type="gramStart"/>
      <w:r w:rsidRPr="0041797D">
        <w:rPr>
          <w:color w:val="000000"/>
          <w:spacing w:val="-2"/>
          <w:kern w:val="0"/>
          <w:sz w:val="16"/>
          <w:szCs w:val="16"/>
        </w:rPr>
        <w:t>primera</w:t>
      </w:r>
      <w:proofErr w:type="spellEnd"/>
      <w:proofErr w:type="gramEnd"/>
      <w:r w:rsidRPr="0041797D">
        <w:rPr>
          <w:color w:val="000000"/>
          <w:spacing w:val="-2"/>
          <w:kern w:val="0"/>
          <w:sz w:val="16"/>
          <w:szCs w:val="16"/>
        </w:rPr>
        <w:t xml:space="preserve"> </w:t>
      </w:r>
      <w:proofErr w:type="spellStart"/>
      <w:r w:rsidRPr="0041797D">
        <w:rPr>
          <w:color w:val="000000"/>
          <w:spacing w:val="-2"/>
          <w:kern w:val="0"/>
          <w:sz w:val="16"/>
          <w:szCs w:val="16"/>
        </w:rPr>
        <w:t>edición</w:t>
      </w:r>
      <w:proofErr w:type="spellEnd"/>
      <w:r w:rsidRPr="0041797D">
        <w:rPr>
          <w:color w:val="000000"/>
          <w:spacing w:val="-2"/>
          <w:kern w:val="0"/>
          <w:sz w:val="16"/>
          <w:szCs w:val="16"/>
        </w:rPr>
        <w:t xml:space="preserve"> ed. Real </w:t>
      </w:r>
      <w:proofErr w:type="spellStart"/>
      <w:r w:rsidRPr="0041797D">
        <w:rPr>
          <w:color w:val="000000"/>
          <w:spacing w:val="-2"/>
          <w:kern w:val="0"/>
          <w:sz w:val="16"/>
          <w:szCs w:val="16"/>
        </w:rPr>
        <w:t>Patronato</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sobre</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Discapacidad</w:t>
      </w:r>
      <w:proofErr w:type="spellEnd"/>
      <w:r w:rsidRPr="0041797D">
        <w:rPr>
          <w:color w:val="000000"/>
          <w:spacing w:val="-2"/>
          <w:kern w:val="0"/>
          <w:sz w:val="16"/>
          <w:szCs w:val="16"/>
        </w:rPr>
        <w:t xml:space="preserve"> y </w:t>
      </w:r>
      <w:proofErr w:type="spellStart"/>
      <w:r w:rsidRPr="0041797D">
        <w:rPr>
          <w:color w:val="000000"/>
          <w:spacing w:val="-2"/>
          <w:kern w:val="0"/>
          <w:sz w:val="16"/>
          <w:szCs w:val="16"/>
        </w:rPr>
        <w:t>Federación</w:t>
      </w:r>
      <w:proofErr w:type="spellEnd"/>
      <w:r w:rsidRPr="0041797D">
        <w:rPr>
          <w:color w:val="000000"/>
          <w:spacing w:val="-2"/>
          <w:kern w:val="0"/>
          <w:sz w:val="16"/>
          <w:szCs w:val="16"/>
        </w:rPr>
        <w:t xml:space="preserve"> de </w:t>
      </w:r>
      <w:proofErr w:type="spellStart"/>
      <w:r w:rsidRPr="0041797D">
        <w:rPr>
          <w:color w:val="000000"/>
          <w:spacing w:val="-2"/>
          <w:kern w:val="0"/>
          <w:sz w:val="16"/>
          <w:szCs w:val="16"/>
        </w:rPr>
        <w:t>Asociaciones</w:t>
      </w:r>
      <w:proofErr w:type="spellEnd"/>
      <w:r w:rsidRPr="0041797D">
        <w:rPr>
          <w:color w:val="000000"/>
          <w:spacing w:val="-2"/>
          <w:kern w:val="0"/>
          <w:sz w:val="16"/>
          <w:szCs w:val="16"/>
        </w:rPr>
        <w:t xml:space="preserve"> de </w:t>
      </w:r>
      <w:proofErr w:type="spellStart"/>
      <w:r w:rsidRPr="0041797D">
        <w:rPr>
          <w:color w:val="000000"/>
          <w:spacing w:val="-2"/>
          <w:kern w:val="0"/>
          <w:sz w:val="16"/>
          <w:szCs w:val="16"/>
        </w:rPr>
        <w:t>Celíacos</w:t>
      </w:r>
      <w:proofErr w:type="spellEnd"/>
      <w:r w:rsidRPr="0041797D">
        <w:rPr>
          <w:color w:val="000000"/>
          <w:spacing w:val="-2"/>
          <w:kern w:val="0"/>
          <w:sz w:val="16"/>
          <w:szCs w:val="16"/>
        </w:rPr>
        <w:t xml:space="preserve"> de </w:t>
      </w:r>
      <w:proofErr w:type="spellStart"/>
      <w:r w:rsidRPr="0041797D">
        <w:rPr>
          <w:color w:val="000000"/>
          <w:spacing w:val="-2"/>
          <w:kern w:val="0"/>
          <w:sz w:val="16"/>
          <w:szCs w:val="16"/>
        </w:rPr>
        <w:t>Espa</w:t>
      </w:r>
      <w:proofErr w:type="spellEnd"/>
      <w:r w:rsidRPr="0041797D">
        <w:rPr>
          <w:color w:val="000000"/>
          <w:spacing w:val="-2"/>
          <w:kern w:val="0"/>
          <w:sz w:val="16"/>
          <w:szCs w:val="16"/>
        </w:rPr>
        <w:t xml:space="preserve">-a, editor. Madrid, </w:t>
      </w:r>
      <w:proofErr w:type="spellStart"/>
      <w:r w:rsidRPr="0041797D">
        <w:rPr>
          <w:color w:val="000000"/>
          <w:spacing w:val="-2"/>
          <w:kern w:val="0"/>
          <w:sz w:val="16"/>
          <w:szCs w:val="16"/>
        </w:rPr>
        <w:t>Espa</w:t>
      </w:r>
      <w:proofErr w:type="spellEnd"/>
      <w:r w:rsidRPr="0041797D">
        <w:rPr>
          <w:color w:val="000000"/>
          <w:spacing w:val="-2"/>
          <w:kern w:val="0"/>
          <w:sz w:val="16"/>
          <w:szCs w:val="16"/>
        </w:rPr>
        <w:t xml:space="preserve">-a: Real </w:t>
      </w:r>
      <w:proofErr w:type="spellStart"/>
      <w:r w:rsidRPr="0041797D">
        <w:rPr>
          <w:color w:val="000000"/>
          <w:spacing w:val="-2"/>
          <w:kern w:val="0"/>
          <w:sz w:val="16"/>
          <w:szCs w:val="16"/>
        </w:rPr>
        <w:t>Patronato</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sobre</w:t>
      </w:r>
      <w:proofErr w:type="spellEnd"/>
      <w:r w:rsidRPr="0041797D">
        <w:rPr>
          <w:color w:val="000000"/>
          <w:spacing w:val="-2"/>
          <w:kern w:val="0"/>
          <w:sz w:val="16"/>
          <w:szCs w:val="16"/>
        </w:rPr>
        <w:t xml:space="preserve"> </w:t>
      </w:r>
      <w:proofErr w:type="spellStart"/>
      <w:r w:rsidRPr="0041797D">
        <w:rPr>
          <w:color w:val="000000"/>
          <w:spacing w:val="-2"/>
          <w:kern w:val="0"/>
          <w:sz w:val="16"/>
          <w:szCs w:val="16"/>
        </w:rPr>
        <w:t>Discapacidad</w:t>
      </w:r>
      <w:proofErr w:type="spellEnd"/>
      <w:r w:rsidRPr="0041797D">
        <w:rPr>
          <w:color w:val="000000"/>
          <w:spacing w:val="-2"/>
          <w:kern w:val="0"/>
          <w:sz w:val="16"/>
          <w:szCs w:val="16"/>
        </w:rPr>
        <w:t>, 2002</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40</w:t>
      </w:r>
      <w:r w:rsidRPr="0041797D">
        <w:rPr>
          <w:color w:val="000000"/>
          <w:spacing w:val="-2"/>
          <w:kern w:val="0"/>
          <w:sz w:val="16"/>
          <w:szCs w:val="16"/>
        </w:rPr>
        <w:tab/>
      </w:r>
      <w:proofErr w:type="spellStart"/>
      <w:r w:rsidRPr="0041797D">
        <w:rPr>
          <w:b/>
          <w:bCs/>
          <w:color w:val="000000"/>
          <w:spacing w:val="-2"/>
          <w:kern w:val="0"/>
          <w:sz w:val="16"/>
          <w:szCs w:val="16"/>
        </w:rPr>
        <w:t>Zubillaga</w:t>
      </w:r>
      <w:proofErr w:type="spellEnd"/>
      <w:r w:rsidRPr="0041797D">
        <w:rPr>
          <w:b/>
          <w:bCs/>
          <w:color w:val="000000"/>
          <w:spacing w:val="-2"/>
          <w:kern w:val="0"/>
          <w:sz w:val="16"/>
          <w:szCs w:val="16"/>
        </w:rPr>
        <w:t xml:space="preserve"> P</w:t>
      </w:r>
      <w:r w:rsidRPr="0041797D">
        <w:rPr>
          <w:color w:val="000000"/>
          <w:spacing w:val="-2"/>
          <w:kern w:val="0"/>
          <w:sz w:val="16"/>
          <w:szCs w:val="16"/>
        </w:rPr>
        <w:t xml:space="preserve">, </w:t>
      </w:r>
      <w:proofErr w:type="spellStart"/>
      <w:r w:rsidRPr="0041797D">
        <w:rPr>
          <w:color w:val="000000"/>
          <w:spacing w:val="-2"/>
          <w:kern w:val="0"/>
          <w:sz w:val="16"/>
          <w:szCs w:val="16"/>
        </w:rPr>
        <w:t>Vidales</w:t>
      </w:r>
      <w:proofErr w:type="spellEnd"/>
      <w:r w:rsidRPr="0041797D">
        <w:rPr>
          <w:color w:val="000000"/>
          <w:spacing w:val="-2"/>
          <w:kern w:val="0"/>
          <w:sz w:val="16"/>
          <w:szCs w:val="16"/>
        </w:rPr>
        <w:t xml:space="preserve"> MC, </w:t>
      </w:r>
      <w:proofErr w:type="spellStart"/>
      <w:r w:rsidRPr="0041797D">
        <w:rPr>
          <w:color w:val="000000"/>
          <w:spacing w:val="-2"/>
          <w:kern w:val="0"/>
          <w:sz w:val="16"/>
          <w:szCs w:val="16"/>
        </w:rPr>
        <w:t>Zubillaga</w:t>
      </w:r>
      <w:proofErr w:type="spellEnd"/>
      <w:r w:rsidRPr="0041797D">
        <w:rPr>
          <w:color w:val="000000"/>
          <w:spacing w:val="-2"/>
          <w:kern w:val="0"/>
          <w:sz w:val="16"/>
          <w:szCs w:val="16"/>
        </w:rPr>
        <w:t xml:space="preserve"> I, </w:t>
      </w:r>
      <w:proofErr w:type="spellStart"/>
      <w:r w:rsidRPr="0041797D">
        <w:rPr>
          <w:color w:val="000000"/>
          <w:spacing w:val="-2"/>
          <w:kern w:val="0"/>
          <w:sz w:val="16"/>
          <w:szCs w:val="16"/>
        </w:rPr>
        <w:t>Ormaechea</w:t>
      </w:r>
      <w:proofErr w:type="spellEnd"/>
      <w:r w:rsidRPr="0041797D">
        <w:rPr>
          <w:color w:val="000000"/>
          <w:spacing w:val="-2"/>
          <w:kern w:val="0"/>
          <w:sz w:val="16"/>
          <w:szCs w:val="16"/>
        </w:rPr>
        <w:t xml:space="preserve"> V, </w:t>
      </w:r>
      <w:proofErr w:type="spellStart"/>
      <w:r w:rsidRPr="0041797D">
        <w:rPr>
          <w:color w:val="000000"/>
          <w:spacing w:val="-2"/>
          <w:kern w:val="0"/>
          <w:sz w:val="16"/>
          <w:szCs w:val="16"/>
        </w:rPr>
        <w:t>García-Urkía</w:t>
      </w:r>
      <w:proofErr w:type="spellEnd"/>
      <w:r w:rsidRPr="0041797D">
        <w:rPr>
          <w:color w:val="000000"/>
          <w:spacing w:val="-2"/>
          <w:kern w:val="0"/>
          <w:sz w:val="16"/>
          <w:szCs w:val="16"/>
        </w:rPr>
        <w:t xml:space="preserve"> N, Vitoria JC. </w:t>
      </w:r>
      <w:proofErr w:type="gramStart"/>
      <w:r w:rsidRPr="0041797D">
        <w:rPr>
          <w:color w:val="000000"/>
          <w:spacing w:val="-2"/>
          <w:kern w:val="0"/>
          <w:sz w:val="16"/>
          <w:szCs w:val="16"/>
        </w:rPr>
        <w:t>HLA-DQA1 and HLA-DQB1 genetic markers and clinical presentation in celiac disease.</w:t>
      </w:r>
      <w:proofErr w:type="gramEnd"/>
      <w:r w:rsidRPr="0041797D">
        <w:rPr>
          <w:color w:val="000000"/>
          <w:spacing w:val="-2"/>
          <w:kern w:val="0"/>
          <w:sz w:val="16"/>
          <w:szCs w:val="16"/>
        </w:rPr>
        <w:t xml:space="preserve"> </w:t>
      </w:r>
      <w:r w:rsidRPr="0041797D">
        <w:rPr>
          <w:i/>
          <w:iCs/>
          <w:color w:val="000000"/>
          <w:spacing w:val="-2"/>
          <w:kern w:val="0"/>
          <w:sz w:val="16"/>
          <w:szCs w:val="16"/>
        </w:rPr>
        <w:t xml:space="preserve">J </w:t>
      </w:r>
      <w:proofErr w:type="spellStart"/>
      <w:r w:rsidRPr="0041797D">
        <w:rPr>
          <w:i/>
          <w:iCs/>
          <w:color w:val="000000"/>
          <w:spacing w:val="-2"/>
          <w:kern w:val="0"/>
          <w:sz w:val="16"/>
          <w:szCs w:val="16"/>
        </w:rPr>
        <w:t>Pediatr</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Gastroenterol</w:t>
      </w:r>
      <w:proofErr w:type="spellEnd"/>
      <w:r w:rsidRPr="0041797D">
        <w:rPr>
          <w:i/>
          <w:iCs/>
          <w:color w:val="000000"/>
          <w:spacing w:val="-2"/>
          <w:kern w:val="0"/>
          <w:sz w:val="16"/>
          <w:szCs w:val="16"/>
        </w:rPr>
        <w:t xml:space="preserve"> </w:t>
      </w:r>
      <w:proofErr w:type="spellStart"/>
      <w:r w:rsidRPr="0041797D">
        <w:rPr>
          <w:i/>
          <w:iCs/>
          <w:color w:val="000000"/>
          <w:spacing w:val="-2"/>
          <w:kern w:val="0"/>
          <w:sz w:val="16"/>
          <w:szCs w:val="16"/>
        </w:rPr>
        <w:t>Nutr</w:t>
      </w:r>
      <w:proofErr w:type="spellEnd"/>
      <w:r w:rsidRPr="0041797D">
        <w:rPr>
          <w:color w:val="000000"/>
          <w:spacing w:val="-2"/>
          <w:kern w:val="0"/>
          <w:sz w:val="16"/>
          <w:szCs w:val="16"/>
        </w:rPr>
        <w:t xml:space="preserve"> 2002; </w:t>
      </w:r>
      <w:r w:rsidRPr="0041797D">
        <w:rPr>
          <w:b/>
          <w:bCs/>
          <w:color w:val="000000"/>
          <w:spacing w:val="-2"/>
          <w:kern w:val="0"/>
          <w:sz w:val="16"/>
          <w:szCs w:val="16"/>
        </w:rPr>
        <w:t>34</w:t>
      </w:r>
      <w:r w:rsidRPr="0041797D">
        <w:rPr>
          <w:color w:val="000000"/>
          <w:spacing w:val="-2"/>
          <w:kern w:val="0"/>
          <w:sz w:val="16"/>
          <w:szCs w:val="16"/>
        </w:rPr>
        <w:t>: 548-554 [PMID: 12050583 DOI: 10.1097/00005176-200205000-00014]</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41</w:t>
      </w:r>
      <w:r w:rsidRPr="0041797D">
        <w:rPr>
          <w:color w:val="000000"/>
          <w:spacing w:val="-2"/>
          <w:kern w:val="0"/>
          <w:sz w:val="16"/>
          <w:szCs w:val="16"/>
        </w:rPr>
        <w:tab/>
      </w:r>
      <w:r w:rsidRPr="0041797D">
        <w:rPr>
          <w:b/>
          <w:bCs/>
          <w:color w:val="000000"/>
          <w:spacing w:val="-2"/>
          <w:kern w:val="0"/>
          <w:sz w:val="16"/>
          <w:szCs w:val="16"/>
        </w:rPr>
        <w:t>Lombardi M,</w:t>
      </w:r>
      <w:r w:rsidRPr="0041797D">
        <w:rPr>
          <w:color w:val="000000"/>
          <w:spacing w:val="-2"/>
          <w:kern w:val="0"/>
          <w:sz w:val="16"/>
          <w:szCs w:val="16"/>
        </w:rPr>
        <w:t xml:space="preserve"> </w:t>
      </w:r>
      <w:proofErr w:type="spellStart"/>
      <w:r w:rsidRPr="0041797D">
        <w:rPr>
          <w:color w:val="000000"/>
          <w:spacing w:val="-2"/>
          <w:kern w:val="0"/>
          <w:sz w:val="16"/>
          <w:szCs w:val="16"/>
        </w:rPr>
        <w:t>Pirozzi</w:t>
      </w:r>
      <w:proofErr w:type="spellEnd"/>
      <w:r w:rsidRPr="0041797D">
        <w:rPr>
          <w:color w:val="000000"/>
          <w:spacing w:val="-2"/>
          <w:kern w:val="0"/>
          <w:sz w:val="16"/>
          <w:szCs w:val="16"/>
        </w:rPr>
        <w:t xml:space="preserve"> G, </w:t>
      </w:r>
      <w:proofErr w:type="spellStart"/>
      <w:r w:rsidRPr="0041797D">
        <w:rPr>
          <w:color w:val="000000"/>
          <w:spacing w:val="-2"/>
          <w:kern w:val="0"/>
          <w:sz w:val="16"/>
          <w:szCs w:val="16"/>
        </w:rPr>
        <w:t>Luongo</w:t>
      </w:r>
      <w:proofErr w:type="spellEnd"/>
      <w:r w:rsidRPr="0041797D">
        <w:rPr>
          <w:color w:val="000000"/>
          <w:spacing w:val="-2"/>
          <w:kern w:val="0"/>
          <w:sz w:val="16"/>
          <w:szCs w:val="16"/>
        </w:rPr>
        <w:t xml:space="preserve"> V, </w:t>
      </w:r>
      <w:proofErr w:type="spellStart"/>
      <w:r w:rsidRPr="0041797D">
        <w:rPr>
          <w:color w:val="000000"/>
          <w:spacing w:val="-2"/>
          <w:kern w:val="0"/>
          <w:sz w:val="16"/>
          <w:szCs w:val="16"/>
        </w:rPr>
        <w:t>Mercuro</w:t>
      </w:r>
      <w:proofErr w:type="spellEnd"/>
      <w:r w:rsidRPr="0041797D">
        <w:rPr>
          <w:color w:val="000000"/>
          <w:spacing w:val="-2"/>
          <w:kern w:val="0"/>
          <w:sz w:val="16"/>
          <w:szCs w:val="16"/>
        </w:rPr>
        <w:t xml:space="preserve"> O, Pace E, Blanco Del </w:t>
      </w:r>
      <w:proofErr w:type="spellStart"/>
      <w:r w:rsidRPr="0041797D">
        <w:rPr>
          <w:color w:val="000000"/>
          <w:spacing w:val="-2"/>
          <w:kern w:val="0"/>
          <w:sz w:val="16"/>
          <w:szCs w:val="16"/>
        </w:rPr>
        <w:t>Vecchio</w:t>
      </w:r>
      <w:proofErr w:type="spellEnd"/>
      <w:r w:rsidRPr="0041797D">
        <w:rPr>
          <w:color w:val="000000"/>
          <w:spacing w:val="-2"/>
          <w:kern w:val="0"/>
          <w:sz w:val="16"/>
          <w:szCs w:val="16"/>
        </w:rPr>
        <w:t xml:space="preserve"> G, </w:t>
      </w:r>
      <w:proofErr w:type="spellStart"/>
      <w:r w:rsidRPr="0041797D">
        <w:rPr>
          <w:color w:val="000000"/>
          <w:spacing w:val="-2"/>
          <w:kern w:val="0"/>
          <w:sz w:val="16"/>
          <w:szCs w:val="16"/>
        </w:rPr>
        <w:t>Cozzolino</w:t>
      </w:r>
      <w:proofErr w:type="spellEnd"/>
      <w:r w:rsidRPr="0041797D">
        <w:rPr>
          <w:color w:val="000000"/>
          <w:spacing w:val="-2"/>
          <w:kern w:val="0"/>
          <w:sz w:val="16"/>
          <w:szCs w:val="16"/>
        </w:rPr>
        <w:t xml:space="preserve"> A, </w:t>
      </w:r>
      <w:proofErr w:type="spellStart"/>
      <w:r w:rsidRPr="0041797D">
        <w:rPr>
          <w:color w:val="000000"/>
          <w:spacing w:val="-2"/>
          <w:kern w:val="0"/>
          <w:sz w:val="16"/>
          <w:szCs w:val="16"/>
        </w:rPr>
        <w:t>Errico</w:t>
      </w:r>
      <w:proofErr w:type="spellEnd"/>
      <w:r w:rsidRPr="0041797D">
        <w:rPr>
          <w:color w:val="000000"/>
          <w:spacing w:val="-2"/>
          <w:kern w:val="0"/>
          <w:sz w:val="16"/>
          <w:szCs w:val="16"/>
        </w:rPr>
        <w:t xml:space="preserve"> S, Fusco C, Castiglione F. </w:t>
      </w:r>
      <w:proofErr w:type="spellStart"/>
      <w:r w:rsidRPr="0041797D">
        <w:rPr>
          <w:color w:val="000000"/>
          <w:spacing w:val="-2"/>
          <w:kern w:val="0"/>
          <w:sz w:val="16"/>
          <w:szCs w:val="16"/>
        </w:rPr>
        <w:t>Crohn</w:t>
      </w:r>
      <w:proofErr w:type="spellEnd"/>
      <w:r w:rsidRPr="0041797D">
        <w:rPr>
          <w:color w:val="000000"/>
          <w:spacing w:val="-2"/>
          <w:kern w:val="0"/>
          <w:sz w:val="16"/>
          <w:szCs w:val="16"/>
        </w:rPr>
        <w:t xml:space="preserve"> disease: susceptibility and disease heterogeneity revealed by HLA genotyping. </w:t>
      </w:r>
      <w:r w:rsidRPr="0041797D">
        <w:rPr>
          <w:i/>
          <w:iCs/>
          <w:color w:val="000000"/>
          <w:spacing w:val="-2"/>
          <w:kern w:val="0"/>
          <w:sz w:val="16"/>
          <w:szCs w:val="16"/>
        </w:rPr>
        <w:t xml:space="preserve">Hum </w:t>
      </w:r>
      <w:proofErr w:type="spellStart"/>
      <w:r w:rsidRPr="0041797D">
        <w:rPr>
          <w:i/>
          <w:iCs/>
          <w:color w:val="000000"/>
          <w:spacing w:val="-2"/>
          <w:kern w:val="0"/>
          <w:sz w:val="16"/>
          <w:szCs w:val="16"/>
        </w:rPr>
        <w:t>Immunol</w:t>
      </w:r>
      <w:proofErr w:type="spellEnd"/>
      <w:r w:rsidRPr="0041797D">
        <w:rPr>
          <w:color w:val="000000"/>
          <w:spacing w:val="-2"/>
          <w:kern w:val="0"/>
          <w:sz w:val="16"/>
          <w:szCs w:val="16"/>
        </w:rPr>
        <w:t xml:space="preserve"> 2001; </w:t>
      </w:r>
      <w:r w:rsidRPr="0041797D">
        <w:rPr>
          <w:b/>
          <w:bCs/>
          <w:color w:val="000000"/>
          <w:spacing w:val="-2"/>
          <w:kern w:val="0"/>
          <w:sz w:val="16"/>
          <w:szCs w:val="16"/>
        </w:rPr>
        <w:t>72</w:t>
      </w:r>
      <w:r w:rsidRPr="0041797D">
        <w:rPr>
          <w:color w:val="000000"/>
          <w:spacing w:val="-2"/>
          <w:kern w:val="0"/>
          <w:sz w:val="16"/>
          <w:szCs w:val="16"/>
        </w:rPr>
        <w:t>: 701 [DOI: 10.1016/S0198-8859(01)00259-2]</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42</w:t>
      </w:r>
      <w:r w:rsidRPr="0041797D">
        <w:rPr>
          <w:color w:val="000000"/>
          <w:spacing w:val="-2"/>
          <w:kern w:val="0"/>
          <w:sz w:val="16"/>
          <w:szCs w:val="16"/>
        </w:rPr>
        <w:tab/>
      </w:r>
      <w:proofErr w:type="spellStart"/>
      <w:r w:rsidRPr="0041797D">
        <w:rPr>
          <w:b/>
          <w:bCs/>
          <w:color w:val="000000"/>
          <w:spacing w:val="-2"/>
          <w:kern w:val="0"/>
          <w:sz w:val="16"/>
          <w:szCs w:val="16"/>
        </w:rPr>
        <w:t>D</w:t>
      </w:r>
      <w:r w:rsidRPr="0041797D">
        <w:rPr>
          <w:b/>
          <w:bCs/>
          <w:color w:val="000000"/>
          <w:spacing w:val="-8"/>
          <w:kern w:val="0"/>
          <w:sz w:val="16"/>
          <w:szCs w:val="16"/>
        </w:rPr>
        <w:t>anzé</w:t>
      </w:r>
      <w:proofErr w:type="spellEnd"/>
      <w:r w:rsidRPr="0041797D">
        <w:rPr>
          <w:b/>
          <w:bCs/>
          <w:color w:val="000000"/>
          <w:spacing w:val="-8"/>
          <w:kern w:val="0"/>
          <w:sz w:val="16"/>
          <w:szCs w:val="16"/>
        </w:rPr>
        <w:t xml:space="preserve"> PM</w:t>
      </w:r>
      <w:r w:rsidRPr="0041797D">
        <w:rPr>
          <w:color w:val="000000"/>
          <w:spacing w:val="-8"/>
          <w:kern w:val="0"/>
          <w:sz w:val="16"/>
          <w:szCs w:val="16"/>
        </w:rPr>
        <w:t xml:space="preserve">, </w:t>
      </w:r>
      <w:proofErr w:type="spellStart"/>
      <w:r w:rsidRPr="0041797D">
        <w:rPr>
          <w:color w:val="000000"/>
          <w:spacing w:val="-8"/>
          <w:kern w:val="0"/>
          <w:sz w:val="16"/>
          <w:szCs w:val="16"/>
        </w:rPr>
        <w:t>Colombel</w:t>
      </w:r>
      <w:proofErr w:type="spellEnd"/>
      <w:r w:rsidRPr="0041797D">
        <w:rPr>
          <w:color w:val="000000"/>
          <w:spacing w:val="-8"/>
          <w:kern w:val="0"/>
          <w:sz w:val="16"/>
          <w:szCs w:val="16"/>
        </w:rPr>
        <w:t xml:space="preserve"> JF, </w:t>
      </w:r>
      <w:proofErr w:type="spellStart"/>
      <w:r w:rsidRPr="0041797D">
        <w:rPr>
          <w:color w:val="000000"/>
          <w:spacing w:val="-8"/>
          <w:kern w:val="0"/>
          <w:sz w:val="16"/>
          <w:szCs w:val="16"/>
        </w:rPr>
        <w:t>Jacquot</w:t>
      </w:r>
      <w:proofErr w:type="spellEnd"/>
      <w:r w:rsidRPr="0041797D">
        <w:rPr>
          <w:color w:val="000000"/>
          <w:spacing w:val="-8"/>
          <w:kern w:val="0"/>
          <w:sz w:val="16"/>
          <w:szCs w:val="16"/>
        </w:rPr>
        <w:t xml:space="preserve"> S, </w:t>
      </w:r>
      <w:proofErr w:type="spellStart"/>
      <w:r w:rsidRPr="0041797D">
        <w:rPr>
          <w:color w:val="000000"/>
          <w:spacing w:val="-8"/>
          <w:kern w:val="0"/>
          <w:sz w:val="16"/>
          <w:szCs w:val="16"/>
        </w:rPr>
        <w:t>Loste</w:t>
      </w:r>
      <w:proofErr w:type="spellEnd"/>
      <w:r w:rsidRPr="0041797D">
        <w:rPr>
          <w:color w:val="000000"/>
          <w:spacing w:val="-8"/>
          <w:kern w:val="0"/>
          <w:sz w:val="16"/>
          <w:szCs w:val="16"/>
        </w:rPr>
        <w:t xml:space="preserve"> MN, </w:t>
      </w:r>
      <w:proofErr w:type="spellStart"/>
      <w:r w:rsidRPr="0041797D">
        <w:rPr>
          <w:color w:val="000000"/>
          <w:spacing w:val="-8"/>
          <w:kern w:val="0"/>
          <w:sz w:val="16"/>
          <w:szCs w:val="16"/>
        </w:rPr>
        <w:t>Heresbach</w:t>
      </w:r>
      <w:proofErr w:type="spellEnd"/>
      <w:r w:rsidRPr="0041797D">
        <w:rPr>
          <w:color w:val="000000"/>
          <w:spacing w:val="-8"/>
          <w:kern w:val="0"/>
          <w:sz w:val="16"/>
          <w:szCs w:val="16"/>
        </w:rPr>
        <w:t xml:space="preserve"> D, </w:t>
      </w:r>
      <w:proofErr w:type="spellStart"/>
      <w:r w:rsidRPr="0041797D">
        <w:rPr>
          <w:color w:val="000000"/>
          <w:spacing w:val="-8"/>
          <w:kern w:val="0"/>
          <w:sz w:val="16"/>
          <w:szCs w:val="16"/>
        </w:rPr>
        <w:t>Ategbo</w:t>
      </w:r>
      <w:proofErr w:type="spellEnd"/>
      <w:r w:rsidRPr="0041797D">
        <w:rPr>
          <w:color w:val="000000"/>
          <w:spacing w:val="-8"/>
          <w:kern w:val="0"/>
          <w:sz w:val="16"/>
          <w:szCs w:val="16"/>
        </w:rPr>
        <w:t xml:space="preserve"> S, </w:t>
      </w:r>
      <w:proofErr w:type="spellStart"/>
      <w:r w:rsidRPr="0041797D">
        <w:rPr>
          <w:color w:val="000000"/>
          <w:spacing w:val="-8"/>
          <w:kern w:val="0"/>
          <w:sz w:val="16"/>
          <w:szCs w:val="16"/>
        </w:rPr>
        <w:t>Khamassi</w:t>
      </w:r>
      <w:proofErr w:type="spellEnd"/>
      <w:r w:rsidRPr="0041797D">
        <w:rPr>
          <w:color w:val="000000"/>
          <w:spacing w:val="-8"/>
          <w:kern w:val="0"/>
          <w:sz w:val="16"/>
          <w:szCs w:val="16"/>
        </w:rPr>
        <w:t xml:space="preserve"> S, </w:t>
      </w:r>
      <w:proofErr w:type="spellStart"/>
      <w:r w:rsidRPr="0041797D">
        <w:rPr>
          <w:color w:val="000000"/>
          <w:spacing w:val="-8"/>
          <w:kern w:val="0"/>
          <w:sz w:val="16"/>
          <w:szCs w:val="16"/>
        </w:rPr>
        <w:t>Périchon</w:t>
      </w:r>
      <w:proofErr w:type="spellEnd"/>
      <w:r w:rsidRPr="0041797D">
        <w:rPr>
          <w:color w:val="000000"/>
          <w:spacing w:val="-8"/>
          <w:kern w:val="0"/>
          <w:sz w:val="16"/>
          <w:szCs w:val="16"/>
        </w:rPr>
        <w:t xml:space="preserve"> B, </w:t>
      </w:r>
      <w:proofErr w:type="spellStart"/>
      <w:r w:rsidRPr="0041797D">
        <w:rPr>
          <w:color w:val="000000"/>
          <w:spacing w:val="-8"/>
          <w:kern w:val="0"/>
          <w:sz w:val="16"/>
          <w:szCs w:val="16"/>
        </w:rPr>
        <w:t>Semana</w:t>
      </w:r>
      <w:proofErr w:type="spellEnd"/>
      <w:r w:rsidRPr="0041797D">
        <w:rPr>
          <w:color w:val="000000"/>
          <w:spacing w:val="-8"/>
          <w:kern w:val="0"/>
          <w:sz w:val="16"/>
          <w:szCs w:val="16"/>
        </w:rPr>
        <w:t xml:space="preserve"> G, </w:t>
      </w:r>
      <w:proofErr w:type="spellStart"/>
      <w:r w:rsidRPr="0041797D">
        <w:rPr>
          <w:color w:val="000000"/>
          <w:spacing w:val="-8"/>
          <w:kern w:val="0"/>
          <w:sz w:val="16"/>
          <w:szCs w:val="16"/>
        </w:rPr>
        <w:t>Charron</w:t>
      </w:r>
      <w:proofErr w:type="spellEnd"/>
      <w:r w:rsidRPr="0041797D">
        <w:rPr>
          <w:color w:val="000000"/>
          <w:spacing w:val="-8"/>
          <w:kern w:val="0"/>
          <w:sz w:val="16"/>
          <w:szCs w:val="16"/>
        </w:rPr>
        <w:t xml:space="preserve"> D, </w:t>
      </w:r>
      <w:proofErr w:type="spellStart"/>
      <w:r w:rsidRPr="0041797D">
        <w:rPr>
          <w:color w:val="000000"/>
          <w:spacing w:val="-8"/>
          <w:kern w:val="0"/>
          <w:sz w:val="16"/>
          <w:szCs w:val="16"/>
        </w:rPr>
        <w:t>Cézard</w:t>
      </w:r>
      <w:proofErr w:type="spellEnd"/>
      <w:r w:rsidRPr="0041797D">
        <w:rPr>
          <w:color w:val="000000"/>
          <w:spacing w:val="-8"/>
          <w:kern w:val="0"/>
          <w:sz w:val="16"/>
          <w:szCs w:val="16"/>
        </w:rPr>
        <w:t xml:space="preserve"> JP. </w:t>
      </w:r>
      <w:proofErr w:type="gramStart"/>
      <w:r w:rsidRPr="0041797D">
        <w:rPr>
          <w:color w:val="000000"/>
          <w:spacing w:val="-8"/>
          <w:kern w:val="0"/>
          <w:sz w:val="16"/>
          <w:szCs w:val="16"/>
        </w:rPr>
        <w:t xml:space="preserve">Association of HLA class II genes with susceptibility to </w:t>
      </w:r>
      <w:proofErr w:type="spellStart"/>
      <w:r w:rsidRPr="0041797D">
        <w:rPr>
          <w:color w:val="000000"/>
          <w:spacing w:val="-8"/>
          <w:kern w:val="0"/>
          <w:sz w:val="16"/>
          <w:szCs w:val="16"/>
        </w:rPr>
        <w:t>Crohn’s</w:t>
      </w:r>
      <w:proofErr w:type="spellEnd"/>
      <w:r w:rsidRPr="0041797D">
        <w:rPr>
          <w:color w:val="000000"/>
          <w:spacing w:val="-2"/>
          <w:kern w:val="0"/>
          <w:sz w:val="16"/>
          <w:szCs w:val="16"/>
        </w:rPr>
        <w:t xml:space="preserve"> disease.</w:t>
      </w:r>
      <w:proofErr w:type="gramEnd"/>
      <w:r w:rsidRPr="0041797D">
        <w:rPr>
          <w:color w:val="000000"/>
          <w:spacing w:val="-2"/>
          <w:kern w:val="0"/>
          <w:sz w:val="16"/>
          <w:szCs w:val="16"/>
        </w:rPr>
        <w:t xml:space="preserve"> </w:t>
      </w:r>
      <w:r w:rsidRPr="0041797D">
        <w:rPr>
          <w:i/>
          <w:iCs/>
          <w:color w:val="000000"/>
          <w:spacing w:val="-2"/>
          <w:kern w:val="0"/>
          <w:sz w:val="16"/>
          <w:szCs w:val="16"/>
        </w:rPr>
        <w:t>Gut</w:t>
      </w:r>
      <w:r w:rsidRPr="0041797D">
        <w:rPr>
          <w:color w:val="000000"/>
          <w:spacing w:val="-2"/>
          <w:kern w:val="0"/>
          <w:sz w:val="16"/>
          <w:szCs w:val="16"/>
        </w:rPr>
        <w:t xml:space="preserve"> 1996; </w:t>
      </w:r>
      <w:r w:rsidRPr="0041797D">
        <w:rPr>
          <w:b/>
          <w:bCs/>
          <w:color w:val="000000"/>
          <w:spacing w:val="-2"/>
          <w:kern w:val="0"/>
          <w:sz w:val="16"/>
          <w:szCs w:val="16"/>
        </w:rPr>
        <w:t>39</w:t>
      </w:r>
      <w:r w:rsidRPr="0041797D">
        <w:rPr>
          <w:color w:val="000000"/>
          <w:spacing w:val="-2"/>
          <w:kern w:val="0"/>
          <w:sz w:val="16"/>
          <w:szCs w:val="16"/>
        </w:rPr>
        <w:t>: 69-72 [PMID: 8881812 DOI: 10.1136/gut.39.1.69]</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1"/>
          <w:kern w:val="0"/>
          <w:sz w:val="16"/>
          <w:szCs w:val="16"/>
        </w:rPr>
      </w:pPr>
      <w:r w:rsidRPr="0041797D">
        <w:rPr>
          <w:color w:val="000000"/>
          <w:spacing w:val="-1"/>
          <w:kern w:val="0"/>
          <w:sz w:val="16"/>
          <w:szCs w:val="16"/>
        </w:rPr>
        <w:t>43</w:t>
      </w:r>
      <w:r w:rsidRPr="0041797D">
        <w:rPr>
          <w:color w:val="000000"/>
          <w:spacing w:val="-1"/>
          <w:kern w:val="0"/>
          <w:sz w:val="16"/>
          <w:szCs w:val="16"/>
        </w:rPr>
        <w:tab/>
      </w:r>
      <w:proofErr w:type="spellStart"/>
      <w:r w:rsidRPr="0041797D">
        <w:rPr>
          <w:b/>
          <w:bCs/>
          <w:color w:val="000000"/>
          <w:spacing w:val="-1"/>
          <w:kern w:val="0"/>
          <w:sz w:val="16"/>
          <w:szCs w:val="16"/>
        </w:rPr>
        <w:t>Bouma</w:t>
      </w:r>
      <w:proofErr w:type="spellEnd"/>
      <w:r w:rsidRPr="0041797D">
        <w:rPr>
          <w:b/>
          <w:bCs/>
          <w:color w:val="000000"/>
          <w:spacing w:val="-1"/>
          <w:kern w:val="0"/>
          <w:sz w:val="16"/>
          <w:szCs w:val="16"/>
        </w:rPr>
        <w:t xml:space="preserve"> G</w:t>
      </w:r>
      <w:r w:rsidRPr="0041797D">
        <w:rPr>
          <w:color w:val="000000"/>
          <w:spacing w:val="-1"/>
          <w:kern w:val="0"/>
          <w:sz w:val="16"/>
          <w:szCs w:val="16"/>
        </w:rPr>
        <w:t xml:space="preserve">, </w:t>
      </w:r>
      <w:proofErr w:type="spellStart"/>
      <w:r w:rsidRPr="0041797D">
        <w:rPr>
          <w:color w:val="000000"/>
          <w:spacing w:val="-1"/>
          <w:kern w:val="0"/>
          <w:sz w:val="16"/>
          <w:szCs w:val="16"/>
        </w:rPr>
        <w:t>Oudkerk</w:t>
      </w:r>
      <w:proofErr w:type="spellEnd"/>
      <w:r w:rsidRPr="0041797D">
        <w:rPr>
          <w:color w:val="000000"/>
          <w:spacing w:val="-1"/>
          <w:kern w:val="0"/>
          <w:sz w:val="16"/>
          <w:szCs w:val="16"/>
        </w:rPr>
        <w:t xml:space="preserve"> Pool M, </w:t>
      </w:r>
      <w:proofErr w:type="spellStart"/>
      <w:r w:rsidRPr="0041797D">
        <w:rPr>
          <w:color w:val="000000"/>
          <w:spacing w:val="-1"/>
          <w:kern w:val="0"/>
          <w:sz w:val="16"/>
          <w:szCs w:val="16"/>
        </w:rPr>
        <w:t>Crusius</w:t>
      </w:r>
      <w:proofErr w:type="spellEnd"/>
      <w:r w:rsidRPr="0041797D">
        <w:rPr>
          <w:color w:val="000000"/>
          <w:spacing w:val="-1"/>
          <w:kern w:val="0"/>
          <w:sz w:val="16"/>
          <w:szCs w:val="16"/>
        </w:rPr>
        <w:t xml:space="preserve"> JB, </w:t>
      </w:r>
      <w:proofErr w:type="spellStart"/>
      <w:r w:rsidRPr="0041797D">
        <w:rPr>
          <w:color w:val="000000"/>
          <w:spacing w:val="-1"/>
          <w:kern w:val="0"/>
          <w:sz w:val="16"/>
          <w:szCs w:val="16"/>
        </w:rPr>
        <w:t>Schreuder</w:t>
      </w:r>
      <w:proofErr w:type="spellEnd"/>
      <w:r w:rsidRPr="0041797D">
        <w:rPr>
          <w:color w:val="000000"/>
          <w:spacing w:val="-1"/>
          <w:kern w:val="0"/>
          <w:sz w:val="16"/>
          <w:szCs w:val="16"/>
        </w:rPr>
        <w:t xml:space="preserve"> GM, </w:t>
      </w:r>
      <w:proofErr w:type="spellStart"/>
      <w:r w:rsidRPr="0041797D">
        <w:rPr>
          <w:color w:val="000000"/>
          <w:spacing w:val="-1"/>
          <w:kern w:val="0"/>
          <w:sz w:val="16"/>
          <w:szCs w:val="16"/>
        </w:rPr>
        <w:t>Hellemans</w:t>
      </w:r>
      <w:proofErr w:type="spellEnd"/>
      <w:r w:rsidRPr="0041797D">
        <w:rPr>
          <w:color w:val="000000"/>
          <w:spacing w:val="-1"/>
          <w:kern w:val="0"/>
          <w:sz w:val="16"/>
          <w:szCs w:val="16"/>
        </w:rPr>
        <w:t xml:space="preserve"> HP, Meijer BU, </w:t>
      </w:r>
      <w:proofErr w:type="spellStart"/>
      <w:r w:rsidRPr="0041797D">
        <w:rPr>
          <w:color w:val="000000"/>
          <w:spacing w:val="-1"/>
          <w:kern w:val="0"/>
          <w:sz w:val="16"/>
          <w:szCs w:val="16"/>
        </w:rPr>
        <w:t>Kostense</w:t>
      </w:r>
      <w:proofErr w:type="spellEnd"/>
      <w:r w:rsidRPr="0041797D">
        <w:rPr>
          <w:color w:val="000000"/>
          <w:spacing w:val="-1"/>
          <w:kern w:val="0"/>
          <w:sz w:val="16"/>
          <w:szCs w:val="16"/>
        </w:rPr>
        <w:t xml:space="preserve"> PJ, </w:t>
      </w:r>
      <w:proofErr w:type="spellStart"/>
      <w:r w:rsidRPr="0041797D">
        <w:rPr>
          <w:color w:val="000000"/>
          <w:spacing w:val="-1"/>
          <w:kern w:val="0"/>
          <w:sz w:val="16"/>
          <w:szCs w:val="16"/>
        </w:rPr>
        <w:t>Giphart</w:t>
      </w:r>
      <w:proofErr w:type="spellEnd"/>
      <w:r w:rsidRPr="0041797D">
        <w:rPr>
          <w:color w:val="000000"/>
          <w:spacing w:val="-1"/>
          <w:kern w:val="0"/>
          <w:sz w:val="16"/>
          <w:szCs w:val="16"/>
        </w:rPr>
        <w:t xml:space="preserve"> MJ, </w:t>
      </w:r>
      <w:proofErr w:type="spellStart"/>
      <w:r w:rsidRPr="0041797D">
        <w:rPr>
          <w:color w:val="000000"/>
          <w:spacing w:val="-1"/>
          <w:kern w:val="0"/>
          <w:sz w:val="16"/>
          <w:szCs w:val="16"/>
        </w:rPr>
        <w:t>Meuwissen</w:t>
      </w:r>
      <w:proofErr w:type="spellEnd"/>
      <w:r w:rsidRPr="0041797D">
        <w:rPr>
          <w:color w:val="000000"/>
          <w:spacing w:val="-1"/>
          <w:kern w:val="0"/>
          <w:sz w:val="16"/>
          <w:szCs w:val="16"/>
        </w:rPr>
        <w:t xml:space="preserve"> SG, Peña AS. </w:t>
      </w:r>
      <w:proofErr w:type="gramStart"/>
      <w:r w:rsidRPr="0041797D">
        <w:rPr>
          <w:color w:val="000000"/>
          <w:spacing w:val="-1"/>
          <w:kern w:val="0"/>
          <w:sz w:val="16"/>
          <w:szCs w:val="16"/>
        </w:rPr>
        <w:t xml:space="preserve">Evidence for genetic heterogeneity in inflammatory bowel disease (IBD); HLA genes in the predisposition to suffer from ulcerative colitis (UC) and </w:t>
      </w:r>
      <w:proofErr w:type="spellStart"/>
      <w:r w:rsidRPr="0041797D">
        <w:rPr>
          <w:color w:val="000000"/>
          <w:spacing w:val="-1"/>
          <w:kern w:val="0"/>
          <w:sz w:val="16"/>
          <w:szCs w:val="16"/>
        </w:rPr>
        <w:t>Crohn’s</w:t>
      </w:r>
      <w:proofErr w:type="spellEnd"/>
      <w:r w:rsidRPr="0041797D">
        <w:rPr>
          <w:color w:val="000000"/>
          <w:spacing w:val="-1"/>
          <w:kern w:val="0"/>
          <w:sz w:val="16"/>
          <w:szCs w:val="16"/>
        </w:rPr>
        <w:t xml:space="preserve"> disease (CD).</w:t>
      </w:r>
      <w:proofErr w:type="gramEnd"/>
      <w:r w:rsidRPr="0041797D">
        <w:rPr>
          <w:color w:val="000000"/>
          <w:spacing w:val="-1"/>
          <w:kern w:val="0"/>
          <w:sz w:val="16"/>
          <w:szCs w:val="16"/>
        </w:rPr>
        <w:t xml:space="preserve"> </w:t>
      </w:r>
      <w:proofErr w:type="spellStart"/>
      <w:r w:rsidRPr="0041797D">
        <w:rPr>
          <w:i/>
          <w:iCs/>
          <w:color w:val="000000"/>
          <w:spacing w:val="-1"/>
          <w:kern w:val="0"/>
          <w:sz w:val="16"/>
          <w:szCs w:val="16"/>
        </w:rPr>
        <w:t>Clin</w:t>
      </w:r>
      <w:proofErr w:type="spellEnd"/>
      <w:r w:rsidRPr="0041797D">
        <w:rPr>
          <w:i/>
          <w:iCs/>
          <w:color w:val="000000"/>
          <w:spacing w:val="-1"/>
          <w:kern w:val="0"/>
          <w:sz w:val="16"/>
          <w:szCs w:val="16"/>
        </w:rPr>
        <w:t xml:space="preserve"> </w:t>
      </w:r>
      <w:proofErr w:type="spellStart"/>
      <w:r w:rsidRPr="0041797D">
        <w:rPr>
          <w:i/>
          <w:iCs/>
          <w:color w:val="000000"/>
          <w:spacing w:val="-1"/>
          <w:kern w:val="0"/>
          <w:sz w:val="16"/>
          <w:szCs w:val="16"/>
        </w:rPr>
        <w:t>Exp</w:t>
      </w:r>
      <w:proofErr w:type="spellEnd"/>
      <w:r w:rsidRPr="0041797D">
        <w:rPr>
          <w:i/>
          <w:iCs/>
          <w:color w:val="000000"/>
          <w:spacing w:val="-1"/>
          <w:kern w:val="0"/>
          <w:sz w:val="16"/>
          <w:szCs w:val="16"/>
        </w:rPr>
        <w:t xml:space="preserve"> </w:t>
      </w:r>
      <w:proofErr w:type="spellStart"/>
      <w:r w:rsidRPr="0041797D">
        <w:rPr>
          <w:i/>
          <w:iCs/>
          <w:color w:val="000000"/>
          <w:spacing w:val="-1"/>
          <w:kern w:val="0"/>
          <w:sz w:val="16"/>
          <w:szCs w:val="16"/>
        </w:rPr>
        <w:t>Immunol</w:t>
      </w:r>
      <w:proofErr w:type="spellEnd"/>
      <w:r w:rsidRPr="0041797D">
        <w:rPr>
          <w:color w:val="000000"/>
          <w:spacing w:val="-1"/>
          <w:kern w:val="0"/>
          <w:sz w:val="16"/>
          <w:szCs w:val="16"/>
        </w:rPr>
        <w:t xml:space="preserve"> 1997; </w:t>
      </w:r>
      <w:r w:rsidRPr="0041797D">
        <w:rPr>
          <w:b/>
          <w:bCs/>
          <w:color w:val="000000"/>
          <w:spacing w:val="-1"/>
          <w:kern w:val="0"/>
          <w:sz w:val="16"/>
          <w:szCs w:val="16"/>
        </w:rPr>
        <w:t>109</w:t>
      </w:r>
      <w:r w:rsidRPr="0041797D">
        <w:rPr>
          <w:color w:val="000000"/>
          <w:spacing w:val="-1"/>
          <w:kern w:val="0"/>
          <w:sz w:val="16"/>
          <w:szCs w:val="16"/>
        </w:rPr>
        <w:t>: 175-179 [PMID: 9218841 DOI: 10.1046/j.1365-2249.1997.4121510.x]</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44</w:t>
      </w:r>
      <w:r w:rsidRPr="0041797D">
        <w:rPr>
          <w:color w:val="000000"/>
          <w:spacing w:val="-2"/>
          <w:kern w:val="0"/>
          <w:sz w:val="16"/>
          <w:szCs w:val="16"/>
        </w:rPr>
        <w:tab/>
      </w:r>
      <w:r w:rsidRPr="0041797D">
        <w:rPr>
          <w:b/>
          <w:bCs/>
          <w:color w:val="000000"/>
          <w:spacing w:val="-2"/>
          <w:kern w:val="0"/>
          <w:sz w:val="16"/>
          <w:szCs w:val="16"/>
        </w:rPr>
        <w:t>Ahmad T</w:t>
      </w:r>
      <w:r w:rsidRPr="0041797D">
        <w:rPr>
          <w:color w:val="000000"/>
          <w:spacing w:val="-2"/>
          <w:kern w:val="0"/>
          <w:sz w:val="16"/>
          <w:szCs w:val="16"/>
        </w:rPr>
        <w:t xml:space="preserve">, Marshall SE, Jewell D. Genetics of inflammatory bowel disease: the role of the HLA complex. </w:t>
      </w:r>
      <w:r w:rsidRPr="0041797D">
        <w:rPr>
          <w:i/>
          <w:iCs/>
          <w:color w:val="000000"/>
          <w:spacing w:val="-2"/>
          <w:kern w:val="0"/>
          <w:sz w:val="16"/>
          <w:szCs w:val="16"/>
        </w:rPr>
        <w:t xml:space="preserve">World J </w:t>
      </w:r>
      <w:proofErr w:type="spellStart"/>
      <w:r w:rsidRPr="0041797D">
        <w:rPr>
          <w:i/>
          <w:iCs/>
          <w:color w:val="000000"/>
          <w:spacing w:val="-2"/>
          <w:kern w:val="0"/>
          <w:sz w:val="16"/>
          <w:szCs w:val="16"/>
        </w:rPr>
        <w:t>Gastroenterol</w:t>
      </w:r>
      <w:proofErr w:type="spellEnd"/>
      <w:r w:rsidRPr="0041797D">
        <w:rPr>
          <w:color w:val="000000"/>
          <w:spacing w:val="-2"/>
          <w:kern w:val="0"/>
          <w:sz w:val="16"/>
          <w:szCs w:val="16"/>
        </w:rPr>
        <w:t xml:space="preserve"> 2006; </w:t>
      </w:r>
      <w:r w:rsidRPr="0041797D">
        <w:rPr>
          <w:b/>
          <w:bCs/>
          <w:color w:val="000000"/>
          <w:spacing w:val="-2"/>
          <w:kern w:val="0"/>
          <w:sz w:val="16"/>
          <w:szCs w:val="16"/>
        </w:rPr>
        <w:t>12</w:t>
      </w:r>
      <w:r w:rsidRPr="0041797D">
        <w:rPr>
          <w:color w:val="000000"/>
          <w:spacing w:val="-2"/>
          <w:kern w:val="0"/>
          <w:sz w:val="16"/>
          <w:szCs w:val="16"/>
        </w:rPr>
        <w:t>: 3628-3635 [PMID: 16773677 DOI: 10.3748/wjg.v12.i23.3628]</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2"/>
          <w:kern w:val="0"/>
          <w:sz w:val="16"/>
          <w:szCs w:val="16"/>
        </w:rPr>
      </w:pPr>
      <w:r w:rsidRPr="0041797D">
        <w:rPr>
          <w:color w:val="000000"/>
          <w:spacing w:val="-2"/>
          <w:kern w:val="0"/>
          <w:sz w:val="16"/>
          <w:szCs w:val="16"/>
        </w:rPr>
        <w:t>45</w:t>
      </w:r>
      <w:r w:rsidRPr="0041797D">
        <w:rPr>
          <w:color w:val="000000"/>
          <w:spacing w:val="-2"/>
          <w:kern w:val="0"/>
          <w:sz w:val="16"/>
          <w:szCs w:val="16"/>
        </w:rPr>
        <w:tab/>
      </w:r>
      <w:r w:rsidRPr="0041797D">
        <w:rPr>
          <w:b/>
          <w:bCs/>
          <w:color w:val="000000"/>
          <w:spacing w:val="-2"/>
          <w:kern w:val="0"/>
          <w:sz w:val="16"/>
          <w:szCs w:val="16"/>
        </w:rPr>
        <w:t>Fernandez L</w:t>
      </w:r>
      <w:r w:rsidRPr="0041797D">
        <w:rPr>
          <w:color w:val="000000"/>
          <w:spacing w:val="-2"/>
          <w:kern w:val="0"/>
          <w:sz w:val="16"/>
          <w:szCs w:val="16"/>
        </w:rPr>
        <w:t xml:space="preserve">, Mendoza JL, Martinez A, </w:t>
      </w:r>
      <w:proofErr w:type="spellStart"/>
      <w:r w:rsidRPr="0041797D">
        <w:rPr>
          <w:color w:val="000000"/>
          <w:spacing w:val="-2"/>
          <w:kern w:val="0"/>
          <w:sz w:val="16"/>
          <w:szCs w:val="16"/>
        </w:rPr>
        <w:t>Urcelay</w:t>
      </w:r>
      <w:proofErr w:type="spellEnd"/>
      <w:r w:rsidRPr="0041797D">
        <w:rPr>
          <w:color w:val="000000"/>
          <w:spacing w:val="-2"/>
          <w:kern w:val="0"/>
          <w:sz w:val="16"/>
          <w:szCs w:val="16"/>
        </w:rPr>
        <w:t xml:space="preserve"> E, Fernandez-</w:t>
      </w:r>
      <w:proofErr w:type="spellStart"/>
      <w:r w:rsidRPr="0041797D">
        <w:rPr>
          <w:color w:val="000000"/>
          <w:spacing w:val="-2"/>
          <w:kern w:val="0"/>
          <w:sz w:val="16"/>
          <w:szCs w:val="16"/>
        </w:rPr>
        <w:t>Arquero</w:t>
      </w:r>
      <w:proofErr w:type="spellEnd"/>
      <w:r w:rsidRPr="0041797D">
        <w:rPr>
          <w:color w:val="000000"/>
          <w:spacing w:val="-2"/>
          <w:kern w:val="0"/>
          <w:sz w:val="16"/>
          <w:szCs w:val="16"/>
        </w:rPr>
        <w:t xml:space="preserve"> M, Garcia-</w:t>
      </w:r>
      <w:proofErr w:type="spellStart"/>
      <w:r w:rsidRPr="0041797D">
        <w:rPr>
          <w:color w:val="000000"/>
          <w:spacing w:val="-2"/>
          <w:kern w:val="0"/>
          <w:sz w:val="16"/>
          <w:szCs w:val="16"/>
        </w:rPr>
        <w:t>Paredes</w:t>
      </w:r>
      <w:proofErr w:type="spellEnd"/>
      <w:r w:rsidRPr="0041797D">
        <w:rPr>
          <w:color w:val="000000"/>
          <w:spacing w:val="-2"/>
          <w:kern w:val="0"/>
          <w:sz w:val="16"/>
          <w:szCs w:val="16"/>
        </w:rPr>
        <w:t xml:space="preserve"> J, Peña AS, Diaz-Rubio M, de la Concha EG. IBD1 and IBD3 determine location of </w:t>
      </w:r>
      <w:proofErr w:type="spellStart"/>
      <w:r w:rsidRPr="0041797D">
        <w:rPr>
          <w:color w:val="000000"/>
          <w:spacing w:val="-2"/>
          <w:kern w:val="0"/>
          <w:sz w:val="16"/>
          <w:szCs w:val="16"/>
        </w:rPr>
        <w:t>Crohn’s</w:t>
      </w:r>
      <w:proofErr w:type="spellEnd"/>
      <w:r w:rsidRPr="0041797D">
        <w:rPr>
          <w:color w:val="000000"/>
          <w:spacing w:val="-2"/>
          <w:kern w:val="0"/>
          <w:sz w:val="16"/>
          <w:szCs w:val="16"/>
        </w:rPr>
        <w:t xml:space="preserve"> disease in the Spanish population. </w:t>
      </w:r>
      <w:proofErr w:type="spellStart"/>
      <w:r w:rsidRPr="0041797D">
        <w:rPr>
          <w:i/>
          <w:iCs/>
          <w:color w:val="000000"/>
          <w:spacing w:val="-2"/>
          <w:kern w:val="0"/>
          <w:sz w:val="16"/>
          <w:szCs w:val="16"/>
        </w:rPr>
        <w:t>Inflamm</w:t>
      </w:r>
      <w:proofErr w:type="spellEnd"/>
      <w:r w:rsidRPr="0041797D">
        <w:rPr>
          <w:i/>
          <w:iCs/>
          <w:color w:val="000000"/>
          <w:spacing w:val="-2"/>
          <w:kern w:val="0"/>
          <w:sz w:val="16"/>
          <w:szCs w:val="16"/>
        </w:rPr>
        <w:t xml:space="preserve"> Bowel Dis</w:t>
      </w:r>
      <w:r w:rsidRPr="0041797D">
        <w:rPr>
          <w:color w:val="000000"/>
          <w:spacing w:val="-2"/>
          <w:kern w:val="0"/>
          <w:sz w:val="16"/>
          <w:szCs w:val="16"/>
        </w:rPr>
        <w:t xml:space="preserve"> 2004; </w:t>
      </w:r>
      <w:r w:rsidRPr="0041797D">
        <w:rPr>
          <w:b/>
          <w:bCs/>
          <w:color w:val="000000"/>
          <w:spacing w:val="-2"/>
          <w:kern w:val="0"/>
          <w:sz w:val="16"/>
          <w:szCs w:val="16"/>
        </w:rPr>
        <w:t>10</w:t>
      </w:r>
      <w:r w:rsidRPr="0041797D">
        <w:rPr>
          <w:color w:val="000000"/>
          <w:spacing w:val="-2"/>
          <w:kern w:val="0"/>
          <w:sz w:val="16"/>
          <w:szCs w:val="16"/>
        </w:rPr>
        <w:t>: 715-722 [PMID: 15626888 DOI: 10.1097/00054725-200411000-00004]</w:t>
      </w:r>
    </w:p>
    <w:p w:rsidR="00B77E3C" w:rsidRPr="0041797D" w:rsidRDefault="00B77E3C" w:rsidP="00B77E3C">
      <w:pPr>
        <w:suppressAutoHyphens/>
        <w:autoSpaceDE w:val="0"/>
        <w:autoSpaceDN w:val="0"/>
        <w:adjustRightInd w:val="0"/>
        <w:spacing w:line="200" w:lineRule="atLeast"/>
        <w:ind w:left="360" w:hanging="360"/>
        <w:textAlignment w:val="center"/>
        <w:rPr>
          <w:color w:val="000000"/>
          <w:spacing w:val="-1"/>
          <w:kern w:val="0"/>
          <w:sz w:val="16"/>
          <w:szCs w:val="16"/>
        </w:rPr>
      </w:pPr>
      <w:r w:rsidRPr="0041797D">
        <w:rPr>
          <w:color w:val="000000"/>
          <w:spacing w:val="-1"/>
          <w:kern w:val="0"/>
          <w:sz w:val="16"/>
          <w:szCs w:val="16"/>
        </w:rPr>
        <w:t>46</w:t>
      </w:r>
      <w:r w:rsidRPr="0041797D">
        <w:rPr>
          <w:color w:val="000000"/>
          <w:spacing w:val="-1"/>
          <w:kern w:val="0"/>
          <w:sz w:val="16"/>
          <w:szCs w:val="16"/>
        </w:rPr>
        <w:tab/>
      </w:r>
      <w:proofErr w:type="spellStart"/>
      <w:r w:rsidRPr="0041797D">
        <w:rPr>
          <w:b/>
          <w:bCs/>
          <w:color w:val="000000"/>
          <w:spacing w:val="-1"/>
          <w:kern w:val="0"/>
          <w:sz w:val="16"/>
          <w:szCs w:val="16"/>
        </w:rPr>
        <w:t>Cleynen</w:t>
      </w:r>
      <w:proofErr w:type="spellEnd"/>
      <w:r w:rsidRPr="0041797D">
        <w:rPr>
          <w:b/>
          <w:bCs/>
          <w:color w:val="000000"/>
          <w:spacing w:val="-1"/>
          <w:kern w:val="0"/>
          <w:sz w:val="16"/>
          <w:szCs w:val="16"/>
        </w:rPr>
        <w:t xml:space="preserve"> I</w:t>
      </w:r>
      <w:r w:rsidRPr="0041797D">
        <w:rPr>
          <w:color w:val="000000"/>
          <w:spacing w:val="-1"/>
          <w:kern w:val="0"/>
          <w:sz w:val="16"/>
          <w:szCs w:val="16"/>
        </w:rPr>
        <w:t xml:space="preserve">, Boucher G, </w:t>
      </w:r>
      <w:proofErr w:type="spellStart"/>
      <w:r w:rsidRPr="0041797D">
        <w:rPr>
          <w:color w:val="000000"/>
          <w:spacing w:val="-1"/>
          <w:kern w:val="0"/>
          <w:sz w:val="16"/>
          <w:szCs w:val="16"/>
        </w:rPr>
        <w:t>Jostins</w:t>
      </w:r>
      <w:proofErr w:type="spellEnd"/>
      <w:r w:rsidRPr="0041797D">
        <w:rPr>
          <w:color w:val="000000"/>
          <w:spacing w:val="-1"/>
          <w:kern w:val="0"/>
          <w:sz w:val="16"/>
          <w:szCs w:val="16"/>
        </w:rPr>
        <w:t xml:space="preserve"> L, </w:t>
      </w:r>
      <w:proofErr w:type="spellStart"/>
      <w:r w:rsidRPr="0041797D">
        <w:rPr>
          <w:color w:val="000000"/>
          <w:spacing w:val="-1"/>
          <w:kern w:val="0"/>
          <w:sz w:val="16"/>
          <w:szCs w:val="16"/>
        </w:rPr>
        <w:t>Schumm</w:t>
      </w:r>
      <w:proofErr w:type="spellEnd"/>
      <w:r w:rsidRPr="0041797D">
        <w:rPr>
          <w:color w:val="000000"/>
          <w:spacing w:val="-1"/>
          <w:kern w:val="0"/>
          <w:sz w:val="16"/>
          <w:szCs w:val="16"/>
        </w:rPr>
        <w:t xml:space="preserve"> LP, </w:t>
      </w:r>
      <w:proofErr w:type="spellStart"/>
      <w:r w:rsidRPr="0041797D">
        <w:rPr>
          <w:color w:val="000000"/>
          <w:spacing w:val="-1"/>
          <w:kern w:val="0"/>
          <w:sz w:val="16"/>
          <w:szCs w:val="16"/>
        </w:rPr>
        <w:t>Zeissig</w:t>
      </w:r>
      <w:proofErr w:type="spellEnd"/>
      <w:r w:rsidRPr="0041797D">
        <w:rPr>
          <w:color w:val="000000"/>
          <w:spacing w:val="-1"/>
          <w:kern w:val="0"/>
          <w:sz w:val="16"/>
          <w:szCs w:val="16"/>
        </w:rPr>
        <w:t xml:space="preserve"> S, Ahmad T, Andersen V, Andrews JM, </w:t>
      </w:r>
      <w:proofErr w:type="spellStart"/>
      <w:r w:rsidRPr="0041797D">
        <w:rPr>
          <w:color w:val="000000"/>
          <w:spacing w:val="-1"/>
          <w:kern w:val="0"/>
          <w:sz w:val="16"/>
          <w:szCs w:val="16"/>
        </w:rPr>
        <w:t>Annese</w:t>
      </w:r>
      <w:proofErr w:type="spellEnd"/>
      <w:r w:rsidRPr="0041797D">
        <w:rPr>
          <w:color w:val="000000"/>
          <w:spacing w:val="-1"/>
          <w:kern w:val="0"/>
          <w:sz w:val="16"/>
          <w:szCs w:val="16"/>
        </w:rPr>
        <w:t xml:space="preserve"> V, Brand S, Brant SR, Cho JH, Daly MJ, Dubinsky M, </w:t>
      </w:r>
      <w:proofErr w:type="spellStart"/>
      <w:r w:rsidRPr="0041797D">
        <w:rPr>
          <w:color w:val="000000"/>
          <w:spacing w:val="-1"/>
          <w:kern w:val="0"/>
          <w:sz w:val="16"/>
          <w:szCs w:val="16"/>
        </w:rPr>
        <w:t>Duerr</w:t>
      </w:r>
      <w:proofErr w:type="spellEnd"/>
      <w:r w:rsidRPr="0041797D">
        <w:rPr>
          <w:color w:val="000000"/>
          <w:spacing w:val="-1"/>
          <w:kern w:val="0"/>
          <w:sz w:val="16"/>
          <w:szCs w:val="16"/>
        </w:rPr>
        <w:t xml:space="preserve"> RH, Ferguson LR, </w:t>
      </w:r>
      <w:proofErr w:type="spellStart"/>
      <w:r w:rsidRPr="0041797D">
        <w:rPr>
          <w:color w:val="000000"/>
          <w:spacing w:val="-1"/>
          <w:kern w:val="0"/>
          <w:sz w:val="16"/>
          <w:szCs w:val="16"/>
        </w:rPr>
        <w:t>Franke</w:t>
      </w:r>
      <w:proofErr w:type="spellEnd"/>
      <w:r w:rsidRPr="0041797D">
        <w:rPr>
          <w:color w:val="000000"/>
          <w:spacing w:val="-1"/>
          <w:kern w:val="0"/>
          <w:sz w:val="16"/>
          <w:szCs w:val="16"/>
        </w:rPr>
        <w:t xml:space="preserve"> A, </w:t>
      </w:r>
      <w:proofErr w:type="spellStart"/>
      <w:r w:rsidRPr="0041797D">
        <w:rPr>
          <w:color w:val="000000"/>
          <w:spacing w:val="-1"/>
          <w:kern w:val="0"/>
          <w:sz w:val="16"/>
          <w:szCs w:val="16"/>
        </w:rPr>
        <w:t>Gearry</w:t>
      </w:r>
      <w:proofErr w:type="spellEnd"/>
      <w:r w:rsidRPr="0041797D">
        <w:rPr>
          <w:color w:val="000000"/>
          <w:spacing w:val="-1"/>
          <w:kern w:val="0"/>
          <w:sz w:val="16"/>
          <w:szCs w:val="16"/>
        </w:rPr>
        <w:t xml:space="preserve"> RB, </w:t>
      </w:r>
      <w:proofErr w:type="spellStart"/>
      <w:r w:rsidRPr="0041797D">
        <w:rPr>
          <w:color w:val="000000"/>
          <w:spacing w:val="-1"/>
          <w:kern w:val="0"/>
          <w:sz w:val="16"/>
          <w:szCs w:val="16"/>
        </w:rPr>
        <w:t>Goyette</w:t>
      </w:r>
      <w:proofErr w:type="spellEnd"/>
      <w:r w:rsidRPr="0041797D">
        <w:rPr>
          <w:color w:val="000000"/>
          <w:spacing w:val="-1"/>
          <w:kern w:val="0"/>
          <w:sz w:val="16"/>
          <w:szCs w:val="16"/>
        </w:rPr>
        <w:t xml:space="preserve"> P, </w:t>
      </w:r>
      <w:proofErr w:type="spellStart"/>
      <w:r w:rsidRPr="0041797D">
        <w:rPr>
          <w:color w:val="000000"/>
          <w:spacing w:val="-1"/>
          <w:kern w:val="0"/>
          <w:sz w:val="16"/>
          <w:szCs w:val="16"/>
        </w:rPr>
        <w:t>Hakonarson</w:t>
      </w:r>
      <w:proofErr w:type="spellEnd"/>
      <w:r w:rsidRPr="0041797D">
        <w:rPr>
          <w:color w:val="000000"/>
          <w:spacing w:val="-1"/>
          <w:kern w:val="0"/>
          <w:sz w:val="16"/>
          <w:szCs w:val="16"/>
        </w:rPr>
        <w:t xml:space="preserve"> H, </w:t>
      </w:r>
      <w:proofErr w:type="spellStart"/>
      <w:r w:rsidRPr="0041797D">
        <w:rPr>
          <w:color w:val="000000"/>
          <w:spacing w:val="-1"/>
          <w:kern w:val="0"/>
          <w:sz w:val="16"/>
          <w:szCs w:val="16"/>
        </w:rPr>
        <w:t>Halfvarson</w:t>
      </w:r>
      <w:proofErr w:type="spellEnd"/>
      <w:r w:rsidRPr="0041797D">
        <w:rPr>
          <w:color w:val="000000"/>
          <w:spacing w:val="-1"/>
          <w:kern w:val="0"/>
          <w:sz w:val="16"/>
          <w:szCs w:val="16"/>
        </w:rPr>
        <w:t xml:space="preserve"> J, </w:t>
      </w:r>
      <w:proofErr w:type="spellStart"/>
      <w:r w:rsidRPr="0041797D">
        <w:rPr>
          <w:color w:val="000000"/>
          <w:spacing w:val="-1"/>
          <w:kern w:val="0"/>
          <w:sz w:val="16"/>
          <w:szCs w:val="16"/>
        </w:rPr>
        <w:t>Hov</w:t>
      </w:r>
      <w:proofErr w:type="spellEnd"/>
      <w:r w:rsidRPr="0041797D">
        <w:rPr>
          <w:color w:val="000000"/>
          <w:spacing w:val="-1"/>
          <w:kern w:val="0"/>
          <w:sz w:val="16"/>
          <w:szCs w:val="16"/>
        </w:rPr>
        <w:t xml:space="preserve"> JR, Huang H, Kennedy NA, </w:t>
      </w:r>
      <w:proofErr w:type="spellStart"/>
      <w:r w:rsidRPr="0041797D">
        <w:rPr>
          <w:color w:val="000000"/>
          <w:spacing w:val="-1"/>
          <w:kern w:val="0"/>
          <w:sz w:val="16"/>
          <w:szCs w:val="16"/>
        </w:rPr>
        <w:t>Kupcinskas</w:t>
      </w:r>
      <w:proofErr w:type="spellEnd"/>
      <w:r w:rsidRPr="0041797D">
        <w:rPr>
          <w:color w:val="000000"/>
          <w:spacing w:val="-1"/>
          <w:kern w:val="0"/>
          <w:sz w:val="16"/>
          <w:szCs w:val="16"/>
        </w:rPr>
        <w:t xml:space="preserve"> L, </w:t>
      </w:r>
      <w:proofErr w:type="spellStart"/>
      <w:r w:rsidRPr="0041797D">
        <w:rPr>
          <w:color w:val="000000"/>
          <w:spacing w:val="-1"/>
          <w:kern w:val="0"/>
          <w:sz w:val="16"/>
          <w:szCs w:val="16"/>
        </w:rPr>
        <w:t>Lawrance</w:t>
      </w:r>
      <w:proofErr w:type="spellEnd"/>
      <w:r w:rsidRPr="0041797D">
        <w:rPr>
          <w:color w:val="000000"/>
          <w:spacing w:val="-1"/>
          <w:kern w:val="0"/>
          <w:sz w:val="16"/>
          <w:szCs w:val="16"/>
        </w:rPr>
        <w:t xml:space="preserve"> IC, Lee JC, </w:t>
      </w:r>
      <w:proofErr w:type="spellStart"/>
      <w:r w:rsidRPr="0041797D">
        <w:rPr>
          <w:color w:val="000000"/>
          <w:spacing w:val="-1"/>
          <w:kern w:val="0"/>
          <w:sz w:val="16"/>
          <w:szCs w:val="16"/>
        </w:rPr>
        <w:t>Satsangi</w:t>
      </w:r>
      <w:proofErr w:type="spellEnd"/>
      <w:r w:rsidRPr="0041797D">
        <w:rPr>
          <w:color w:val="000000"/>
          <w:spacing w:val="-1"/>
          <w:kern w:val="0"/>
          <w:sz w:val="16"/>
          <w:szCs w:val="16"/>
        </w:rPr>
        <w:t xml:space="preserve"> J, Schreiber S, </w:t>
      </w:r>
      <w:proofErr w:type="spellStart"/>
      <w:r w:rsidRPr="0041797D">
        <w:rPr>
          <w:color w:val="000000"/>
          <w:spacing w:val="-1"/>
          <w:kern w:val="0"/>
          <w:sz w:val="16"/>
          <w:szCs w:val="16"/>
        </w:rPr>
        <w:t>Théâtre</w:t>
      </w:r>
      <w:proofErr w:type="spellEnd"/>
      <w:r w:rsidRPr="0041797D">
        <w:rPr>
          <w:color w:val="000000"/>
          <w:spacing w:val="-1"/>
          <w:kern w:val="0"/>
          <w:sz w:val="16"/>
          <w:szCs w:val="16"/>
        </w:rPr>
        <w:t xml:space="preserve"> E, van der </w:t>
      </w:r>
      <w:proofErr w:type="spellStart"/>
      <w:r w:rsidRPr="0041797D">
        <w:rPr>
          <w:color w:val="000000"/>
          <w:spacing w:val="-1"/>
          <w:kern w:val="0"/>
          <w:sz w:val="16"/>
          <w:szCs w:val="16"/>
        </w:rPr>
        <w:t>Meulen</w:t>
      </w:r>
      <w:proofErr w:type="spellEnd"/>
      <w:r w:rsidRPr="0041797D">
        <w:rPr>
          <w:color w:val="000000"/>
          <w:spacing w:val="-1"/>
          <w:kern w:val="0"/>
          <w:sz w:val="16"/>
          <w:szCs w:val="16"/>
        </w:rPr>
        <w:t xml:space="preserve">-de Jong AE, </w:t>
      </w:r>
      <w:proofErr w:type="spellStart"/>
      <w:r w:rsidRPr="0041797D">
        <w:rPr>
          <w:color w:val="000000"/>
          <w:spacing w:val="-1"/>
          <w:kern w:val="0"/>
          <w:sz w:val="16"/>
          <w:szCs w:val="16"/>
        </w:rPr>
        <w:t>Weersma</w:t>
      </w:r>
      <w:proofErr w:type="spellEnd"/>
      <w:r w:rsidRPr="0041797D">
        <w:rPr>
          <w:color w:val="000000"/>
          <w:spacing w:val="-1"/>
          <w:kern w:val="0"/>
          <w:sz w:val="16"/>
          <w:szCs w:val="16"/>
        </w:rPr>
        <w:t xml:space="preserve"> RK, Wilson DC; International Inflammatory Bowel Disease Genetics Consortium, </w:t>
      </w:r>
      <w:proofErr w:type="spellStart"/>
      <w:r w:rsidRPr="0041797D">
        <w:rPr>
          <w:color w:val="000000"/>
          <w:spacing w:val="-1"/>
          <w:kern w:val="0"/>
          <w:sz w:val="16"/>
          <w:szCs w:val="16"/>
        </w:rPr>
        <w:t>Parkes</w:t>
      </w:r>
      <w:proofErr w:type="spellEnd"/>
      <w:r w:rsidRPr="0041797D">
        <w:rPr>
          <w:color w:val="000000"/>
          <w:spacing w:val="-1"/>
          <w:kern w:val="0"/>
          <w:sz w:val="16"/>
          <w:szCs w:val="16"/>
        </w:rPr>
        <w:t xml:space="preserve"> M, </w:t>
      </w:r>
      <w:proofErr w:type="spellStart"/>
      <w:r w:rsidRPr="0041797D">
        <w:rPr>
          <w:color w:val="000000"/>
          <w:spacing w:val="-1"/>
          <w:kern w:val="0"/>
          <w:sz w:val="16"/>
          <w:szCs w:val="16"/>
        </w:rPr>
        <w:t>Vermeire</w:t>
      </w:r>
      <w:proofErr w:type="spellEnd"/>
      <w:r w:rsidRPr="0041797D">
        <w:rPr>
          <w:color w:val="000000"/>
          <w:spacing w:val="-1"/>
          <w:kern w:val="0"/>
          <w:sz w:val="16"/>
          <w:szCs w:val="16"/>
        </w:rPr>
        <w:t xml:space="preserve"> S, </w:t>
      </w:r>
      <w:proofErr w:type="spellStart"/>
      <w:r w:rsidRPr="0041797D">
        <w:rPr>
          <w:color w:val="000000"/>
          <w:spacing w:val="-1"/>
          <w:kern w:val="0"/>
          <w:sz w:val="16"/>
          <w:szCs w:val="16"/>
        </w:rPr>
        <w:t>Rioux</w:t>
      </w:r>
      <w:proofErr w:type="spellEnd"/>
      <w:r w:rsidRPr="0041797D">
        <w:rPr>
          <w:color w:val="000000"/>
          <w:spacing w:val="-1"/>
          <w:kern w:val="0"/>
          <w:sz w:val="16"/>
          <w:szCs w:val="16"/>
        </w:rPr>
        <w:t xml:space="preserve"> JD, Mansfield J, Silverberg MS, Radford-Smith G, </w:t>
      </w:r>
      <w:r w:rsidRPr="0041797D">
        <w:rPr>
          <w:color w:val="000000"/>
          <w:spacing w:val="-1"/>
          <w:kern w:val="0"/>
          <w:sz w:val="16"/>
          <w:szCs w:val="16"/>
        </w:rPr>
        <w:lastRenderedPageBreak/>
        <w:t xml:space="preserve">McGovern DP, Barrett JC, Lees CW. Inherited determinants of </w:t>
      </w:r>
      <w:proofErr w:type="spellStart"/>
      <w:r w:rsidRPr="0041797D">
        <w:rPr>
          <w:color w:val="000000"/>
          <w:spacing w:val="-1"/>
          <w:kern w:val="0"/>
          <w:sz w:val="16"/>
          <w:szCs w:val="16"/>
        </w:rPr>
        <w:t>Crohn’s</w:t>
      </w:r>
      <w:proofErr w:type="spellEnd"/>
      <w:r w:rsidRPr="0041797D">
        <w:rPr>
          <w:color w:val="000000"/>
          <w:spacing w:val="-1"/>
          <w:kern w:val="0"/>
          <w:sz w:val="16"/>
          <w:szCs w:val="16"/>
        </w:rPr>
        <w:t xml:space="preserve"> disease and ulcerative colitis phenotypes: a genetic association study. </w:t>
      </w:r>
      <w:r w:rsidRPr="0041797D">
        <w:rPr>
          <w:i/>
          <w:iCs/>
          <w:color w:val="000000"/>
          <w:spacing w:val="-1"/>
          <w:kern w:val="0"/>
          <w:sz w:val="16"/>
          <w:szCs w:val="16"/>
        </w:rPr>
        <w:t>Lancet</w:t>
      </w:r>
      <w:r w:rsidRPr="0041797D">
        <w:rPr>
          <w:color w:val="000000"/>
          <w:spacing w:val="-1"/>
          <w:kern w:val="0"/>
          <w:sz w:val="16"/>
          <w:szCs w:val="16"/>
        </w:rPr>
        <w:t xml:space="preserve"> 2016; </w:t>
      </w:r>
      <w:r w:rsidRPr="0041797D">
        <w:rPr>
          <w:b/>
          <w:bCs/>
          <w:color w:val="000000"/>
          <w:spacing w:val="-1"/>
          <w:kern w:val="0"/>
          <w:sz w:val="16"/>
          <w:szCs w:val="16"/>
        </w:rPr>
        <w:t>387</w:t>
      </w:r>
      <w:r w:rsidRPr="0041797D">
        <w:rPr>
          <w:color w:val="000000"/>
          <w:spacing w:val="-1"/>
          <w:kern w:val="0"/>
          <w:sz w:val="16"/>
          <w:szCs w:val="16"/>
        </w:rPr>
        <w:t>: 156-167 [PMID: 26490195 DOI: 10.1016/S0140-6736(15)00465-1]</w:t>
      </w:r>
    </w:p>
    <w:p w:rsidR="00B77E3C" w:rsidRDefault="00B77E3C" w:rsidP="00B77E3C">
      <w:pPr>
        <w:rPr>
          <w:rFonts w:hint="eastAsia"/>
        </w:rPr>
      </w:pPr>
    </w:p>
    <w:p w:rsidR="00B77E3C" w:rsidRDefault="00B77E3C" w:rsidP="00B77E3C">
      <w:pPr>
        <w:rPr>
          <w:rFonts w:hint="eastAsia"/>
        </w:rPr>
      </w:pPr>
      <w:r>
        <w:t>Footnotes</w:t>
      </w:r>
    </w:p>
    <w:p w:rsidR="00B77E3C" w:rsidRPr="0041797D" w:rsidRDefault="00B77E3C" w:rsidP="00B77E3C">
      <w:pPr>
        <w:suppressAutoHyphens/>
        <w:autoSpaceDE w:val="0"/>
        <w:autoSpaceDN w:val="0"/>
        <w:adjustRightInd w:val="0"/>
        <w:spacing w:line="210" w:lineRule="atLeast"/>
        <w:textAlignment w:val="center"/>
        <w:rPr>
          <w:color w:val="000000"/>
          <w:spacing w:val="-2"/>
          <w:kern w:val="0"/>
          <w:sz w:val="18"/>
          <w:szCs w:val="18"/>
        </w:rPr>
      </w:pPr>
      <w:r w:rsidRPr="0041797D">
        <w:rPr>
          <w:rFonts w:ascii="Tahoma" w:hAnsi="Tahoma" w:cs="Tahoma"/>
          <w:color w:val="000000"/>
          <w:spacing w:val="-2"/>
          <w:kern w:val="0"/>
          <w:sz w:val="18"/>
          <w:szCs w:val="18"/>
        </w:rPr>
        <w:t>Manuscript source:</w:t>
      </w:r>
      <w:r w:rsidRPr="0041797D">
        <w:rPr>
          <w:b/>
          <w:bCs/>
          <w:color w:val="000000"/>
          <w:spacing w:val="-2"/>
          <w:kern w:val="0"/>
          <w:sz w:val="18"/>
          <w:szCs w:val="18"/>
        </w:rPr>
        <w:t xml:space="preserve"> </w:t>
      </w:r>
      <w:r w:rsidRPr="0041797D">
        <w:rPr>
          <w:color w:val="000000"/>
          <w:spacing w:val="-2"/>
          <w:kern w:val="0"/>
          <w:sz w:val="18"/>
          <w:szCs w:val="18"/>
        </w:rPr>
        <w:t>Unsolicited manuscript</w:t>
      </w:r>
    </w:p>
    <w:p w:rsidR="00B77E3C" w:rsidRPr="0041797D" w:rsidRDefault="00B77E3C" w:rsidP="00B77E3C">
      <w:pPr>
        <w:rPr>
          <w:b/>
        </w:rPr>
      </w:pPr>
      <w:r w:rsidRPr="0041797D">
        <w:rPr>
          <w:b/>
        </w:rPr>
        <w:t xml:space="preserve">Specialty type: </w:t>
      </w:r>
      <w:r w:rsidRPr="0041797D">
        <w:t xml:space="preserve">Gastroenterology and </w:t>
      </w:r>
      <w:proofErr w:type="spellStart"/>
      <w:r w:rsidRPr="0041797D">
        <w:t>hepatology</w:t>
      </w:r>
      <w:proofErr w:type="spellEnd"/>
    </w:p>
    <w:p w:rsidR="00B77E3C" w:rsidRPr="0041797D" w:rsidRDefault="00B77E3C" w:rsidP="00B77E3C">
      <w:pPr>
        <w:rPr>
          <w:b/>
        </w:rPr>
      </w:pPr>
      <w:r w:rsidRPr="0041797D">
        <w:rPr>
          <w:b/>
        </w:rPr>
        <w:t xml:space="preserve">Country of origin: </w:t>
      </w:r>
      <w:r w:rsidRPr="0041797D">
        <w:t>Spain</w:t>
      </w:r>
    </w:p>
    <w:p w:rsidR="00B77E3C" w:rsidRPr="0041797D" w:rsidRDefault="00B77E3C" w:rsidP="00B77E3C">
      <w:pPr>
        <w:rPr>
          <w:b/>
        </w:rPr>
      </w:pPr>
      <w:r w:rsidRPr="0041797D">
        <w:rPr>
          <w:b/>
        </w:rPr>
        <w:t>Peer-review report classification</w:t>
      </w:r>
    </w:p>
    <w:p w:rsidR="00B77E3C" w:rsidRPr="0041797D" w:rsidRDefault="00B77E3C" w:rsidP="00B77E3C">
      <w:r w:rsidRPr="0041797D">
        <w:t xml:space="preserve">Grade </w:t>
      </w:r>
      <w:proofErr w:type="gramStart"/>
      <w:r w:rsidRPr="0041797D">
        <w:t>A</w:t>
      </w:r>
      <w:proofErr w:type="gramEnd"/>
      <w:r w:rsidRPr="0041797D">
        <w:t xml:space="preserve"> (Excellent): 0</w:t>
      </w:r>
    </w:p>
    <w:p w:rsidR="00B77E3C" w:rsidRPr="0041797D" w:rsidRDefault="00B77E3C" w:rsidP="00B77E3C">
      <w:r w:rsidRPr="0041797D">
        <w:t>Grade B (Very good): 0</w:t>
      </w:r>
    </w:p>
    <w:p w:rsidR="00B77E3C" w:rsidRPr="0041797D" w:rsidRDefault="00B77E3C" w:rsidP="00B77E3C">
      <w:r w:rsidRPr="0041797D">
        <w:t>Grade C (Good): C, C, C, C</w:t>
      </w:r>
    </w:p>
    <w:p w:rsidR="00B77E3C" w:rsidRPr="0041797D" w:rsidRDefault="00B77E3C" w:rsidP="00B77E3C">
      <w:r w:rsidRPr="0041797D">
        <w:t>Grade D (Fair): 0</w:t>
      </w:r>
    </w:p>
    <w:p w:rsidR="00B77E3C" w:rsidRPr="0041797D" w:rsidRDefault="00B77E3C" w:rsidP="00B77E3C">
      <w:r w:rsidRPr="0041797D">
        <w:t>Grade E (Poor): 0</w:t>
      </w:r>
    </w:p>
    <w:p w:rsidR="00B77E3C" w:rsidRPr="0041797D" w:rsidRDefault="00B77E3C" w:rsidP="00B77E3C">
      <w:pPr>
        <w:suppressAutoHyphens/>
        <w:autoSpaceDE w:val="0"/>
        <w:autoSpaceDN w:val="0"/>
        <w:adjustRightInd w:val="0"/>
        <w:spacing w:line="210" w:lineRule="atLeast"/>
        <w:textAlignment w:val="center"/>
        <w:rPr>
          <w:color w:val="000000"/>
          <w:spacing w:val="-2"/>
          <w:kern w:val="0"/>
          <w:sz w:val="18"/>
          <w:szCs w:val="18"/>
        </w:rPr>
      </w:pPr>
      <w:proofErr w:type="gramStart"/>
      <w:r w:rsidRPr="0041797D">
        <w:rPr>
          <w:rFonts w:ascii="Tahoma" w:hAnsi="Tahoma" w:cs="Tahoma"/>
          <w:color w:val="000000"/>
          <w:kern w:val="0"/>
          <w:sz w:val="18"/>
          <w:szCs w:val="18"/>
        </w:rPr>
        <w:t>Supported by</w:t>
      </w:r>
      <w:r w:rsidRPr="0041797D">
        <w:rPr>
          <w:b/>
          <w:bCs/>
          <w:color w:val="000000"/>
          <w:spacing w:val="-2"/>
          <w:kern w:val="0"/>
          <w:sz w:val="18"/>
          <w:szCs w:val="18"/>
        </w:rPr>
        <w:t xml:space="preserve"> </w:t>
      </w:r>
      <w:r w:rsidRPr="0041797D">
        <w:rPr>
          <w:color w:val="000000"/>
          <w:spacing w:val="-2"/>
          <w:kern w:val="0"/>
          <w:sz w:val="18"/>
          <w:szCs w:val="18"/>
        </w:rPr>
        <w:t xml:space="preserve">the Carlos III Institute and the University Clinic Hospital Research Institute, with a Rio </w:t>
      </w:r>
      <w:proofErr w:type="spellStart"/>
      <w:r w:rsidRPr="0041797D">
        <w:rPr>
          <w:color w:val="000000"/>
          <w:spacing w:val="-2"/>
          <w:kern w:val="0"/>
          <w:sz w:val="18"/>
          <w:szCs w:val="18"/>
        </w:rPr>
        <w:t>Hortega</w:t>
      </w:r>
      <w:proofErr w:type="spellEnd"/>
      <w:r w:rsidRPr="0041797D">
        <w:rPr>
          <w:color w:val="000000"/>
          <w:spacing w:val="-2"/>
          <w:kern w:val="0"/>
          <w:sz w:val="18"/>
          <w:szCs w:val="18"/>
        </w:rPr>
        <w:t xml:space="preserve"> </w:t>
      </w:r>
      <w:proofErr w:type="spellStart"/>
      <w:r w:rsidRPr="0041797D">
        <w:rPr>
          <w:color w:val="000000"/>
          <w:spacing w:val="-2"/>
          <w:kern w:val="0"/>
          <w:sz w:val="18"/>
          <w:szCs w:val="18"/>
        </w:rPr>
        <w:t>specialised</w:t>
      </w:r>
      <w:proofErr w:type="spellEnd"/>
      <w:r w:rsidRPr="0041797D">
        <w:rPr>
          <w:color w:val="000000"/>
          <w:spacing w:val="-2"/>
          <w:kern w:val="0"/>
          <w:sz w:val="18"/>
          <w:szCs w:val="18"/>
        </w:rPr>
        <w:t xml:space="preserve"> healthcare post-training contract granted to </w:t>
      </w:r>
      <w:proofErr w:type="spellStart"/>
      <w:r w:rsidRPr="0041797D">
        <w:rPr>
          <w:color w:val="000000"/>
          <w:spacing w:val="-2"/>
          <w:kern w:val="0"/>
          <w:sz w:val="18"/>
          <w:szCs w:val="18"/>
        </w:rPr>
        <w:t>Bosca</w:t>
      </w:r>
      <w:proofErr w:type="spellEnd"/>
      <w:r w:rsidRPr="0041797D">
        <w:rPr>
          <w:color w:val="000000"/>
          <w:spacing w:val="-2"/>
          <w:kern w:val="0"/>
          <w:sz w:val="18"/>
          <w:szCs w:val="18"/>
        </w:rPr>
        <w:t>-Watts MM (No.</w:t>
      </w:r>
      <w:proofErr w:type="gramEnd"/>
      <w:r w:rsidRPr="0041797D">
        <w:rPr>
          <w:color w:val="000000"/>
          <w:spacing w:val="-2"/>
          <w:kern w:val="0"/>
          <w:sz w:val="18"/>
          <w:szCs w:val="18"/>
        </w:rPr>
        <w:t xml:space="preserve"> </w:t>
      </w:r>
      <w:proofErr w:type="gramStart"/>
      <w:r w:rsidRPr="0041797D">
        <w:rPr>
          <w:color w:val="000000"/>
          <w:spacing w:val="-2"/>
          <w:kern w:val="0"/>
          <w:sz w:val="18"/>
          <w:szCs w:val="18"/>
        </w:rPr>
        <w:t>CM07/00240).</w:t>
      </w:r>
      <w:proofErr w:type="gramEnd"/>
      <w:r w:rsidRPr="0041797D">
        <w:rPr>
          <w:color w:val="000000"/>
          <w:spacing w:val="-2"/>
          <w:kern w:val="0"/>
          <w:sz w:val="18"/>
          <w:szCs w:val="18"/>
        </w:rPr>
        <w:t xml:space="preserve"> </w:t>
      </w:r>
    </w:p>
    <w:p w:rsidR="00B77E3C" w:rsidRPr="0041797D" w:rsidRDefault="00B77E3C" w:rsidP="00B77E3C">
      <w:pPr>
        <w:suppressAutoHyphens/>
        <w:autoSpaceDE w:val="0"/>
        <w:autoSpaceDN w:val="0"/>
        <w:adjustRightInd w:val="0"/>
        <w:spacing w:line="210" w:lineRule="atLeast"/>
        <w:textAlignment w:val="center"/>
        <w:rPr>
          <w:color w:val="000000"/>
          <w:spacing w:val="-2"/>
          <w:kern w:val="0"/>
          <w:sz w:val="18"/>
          <w:szCs w:val="18"/>
        </w:rPr>
      </w:pPr>
      <w:r w:rsidRPr="0041797D">
        <w:rPr>
          <w:rFonts w:ascii="Tahoma" w:hAnsi="Tahoma" w:cs="Tahoma"/>
          <w:color w:val="000000"/>
          <w:spacing w:val="-2"/>
          <w:kern w:val="0"/>
          <w:sz w:val="18"/>
          <w:szCs w:val="18"/>
          <w:lang w:val="it-IT"/>
        </w:rPr>
        <w:t>Informed consent statement</w:t>
      </w:r>
      <w:r w:rsidRPr="0041797D">
        <w:rPr>
          <w:rFonts w:ascii="Tahoma" w:hAnsi="Tahoma" w:cs="Tahoma"/>
          <w:color w:val="000000"/>
          <w:spacing w:val="-2"/>
          <w:kern w:val="0"/>
          <w:sz w:val="18"/>
          <w:szCs w:val="18"/>
        </w:rPr>
        <w:t>:</w:t>
      </w:r>
      <w:r w:rsidRPr="0041797D">
        <w:rPr>
          <w:b/>
          <w:bCs/>
          <w:color w:val="000000"/>
          <w:spacing w:val="-2"/>
          <w:kern w:val="0"/>
          <w:sz w:val="18"/>
          <w:szCs w:val="18"/>
        </w:rPr>
        <w:t xml:space="preserve"> </w:t>
      </w:r>
      <w:r w:rsidRPr="0041797D">
        <w:rPr>
          <w:color w:val="000000"/>
          <w:spacing w:val="-2"/>
          <w:kern w:val="0"/>
          <w:sz w:val="18"/>
          <w:szCs w:val="18"/>
        </w:rPr>
        <w:t>All involved persons (subjects or legally authorized representative) gave their informed consent (written or verbal, as appropriate) prior to study inclusion.</w:t>
      </w:r>
    </w:p>
    <w:p w:rsidR="00B77E3C" w:rsidRPr="0041797D" w:rsidRDefault="00B77E3C" w:rsidP="00B77E3C">
      <w:pPr>
        <w:suppressAutoHyphens/>
        <w:autoSpaceDE w:val="0"/>
        <w:autoSpaceDN w:val="0"/>
        <w:adjustRightInd w:val="0"/>
        <w:spacing w:line="210" w:lineRule="atLeast"/>
        <w:textAlignment w:val="center"/>
        <w:rPr>
          <w:b/>
          <w:bCs/>
          <w:color w:val="000000"/>
          <w:spacing w:val="-2"/>
          <w:kern w:val="0"/>
          <w:sz w:val="18"/>
          <w:szCs w:val="18"/>
        </w:rPr>
      </w:pPr>
      <w:r w:rsidRPr="0041797D">
        <w:rPr>
          <w:rFonts w:ascii="Tahoma" w:hAnsi="Tahoma" w:cs="Tahoma"/>
          <w:color w:val="000000"/>
          <w:spacing w:val="-2"/>
          <w:kern w:val="0"/>
          <w:sz w:val="18"/>
          <w:szCs w:val="18"/>
          <w:lang w:val="it-IT"/>
        </w:rPr>
        <w:t>Conflict-of-interest statement</w:t>
      </w:r>
      <w:r w:rsidRPr="0041797D">
        <w:rPr>
          <w:rFonts w:ascii="Tahoma" w:hAnsi="Tahoma" w:cs="Tahoma"/>
          <w:color w:val="000000"/>
          <w:spacing w:val="-2"/>
          <w:kern w:val="0"/>
          <w:sz w:val="18"/>
          <w:szCs w:val="18"/>
        </w:rPr>
        <w:t>:</w:t>
      </w:r>
      <w:r w:rsidRPr="0041797D">
        <w:rPr>
          <w:color w:val="000000"/>
          <w:spacing w:val="-2"/>
          <w:kern w:val="0"/>
          <w:sz w:val="18"/>
          <w:szCs w:val="18"/>
        </w:rPr>
        <w:t xml:space="preserve"> No potential conflicts of interest relevant to this article were reported.</w:t>
      </w:r>
    </w:p>
    <w:p w:rsidR="00B77E3C" w:rsidRPr="0041797D" w:rsidRDefault="00B77E3C" w:rsidP="00B77E3C">
      <w:pPr>
        <w:suppressAutoHyphens/>
        <w:autoSpaceDE w:val="0"/>
        <w:autoSpaceDN w:val="0"/>
        <w:adjustRightInd w:val="0"/>
        <w:spacing w:line="210" w:lineRule="atLeast"/>
        <w:textAlignment w:val="center"/>
        <w:rPr>
          <w:color w:val="000000"/>
          <w:spacing w:val="-2"/>
          <w:kern w:val="0"/>
          <w:sz w:val="18"/>
          <w:szCs w:val="18"/>
        </w:rPr>
      </w:pPr>
      <w:r w:rsidRPr="0041797D">
        <w:rPr>
          <w:rFonts w:ascii="Tahoma" w:hAnsi="Tahoma" w:cs="Tahoma"/>
          <w:color w:val="000000"/>
          <w:spacing w:val="-2"/>
          <w:kern w:val="0"/>
          <w:sz w:val="18"/>
          <w:szCs w:val="18"/>
          <w:lang w:val="it-IT"/>
        </w:rPr>
        <w:t>Data sharing statement</w:t>
      </w:r>
      <w:r w:rsidRPr="0041797D">
        <w:rPr>
          <w:rFonts w:ascii="Tahoma" w:hAnsi="Tahoma" w:cs="Tahoma"/>
          <w:color w:val="000000"/>
          <w:spacing w:val="-2"/>
          <w:kern w:val="0"/>
          <w:sz w:val="18"/>
          <w:szCs w:val="18"/>
        </w:rPr>
        <w:t>:</w:t>
      </w:r>
      <w:r w:rsidRPr="0041797D">
        <w:rPr>
          <w:color w:val="000000"/>
          <w:spacing w:val="-2"/>
          <w:kern w:val="0"/>
          <w:sz w:val="18"/>
          <w:szCs w:val="18"/>
        </w:rPr>
        <w:t xml:space="preserve"> Participants gave informed consent for data sharing, although the presented data are </w:t>
      </w:r>
      <w:proofErr w:type="spellStart"/>
      <w:r w:rsidRPr="0041797D">
        <w:rPr>
          <w:color w:val="000000"/>
          <w:spacing w:val="-2"/>
          <w:kern w:val="0"/>
          <w:sz w:val="18"/>
          <w:szCs w:val="18"/>
        </w:rPr>
        <w:t>anonymized</w:t>
      </w:r>
      <w:proofErr w:type="spellEnd"/>
      <w:r w:rsidRPr="0041797D">
        <w:rPr>
          <w:color w:val="000000"/>
          <w:spacing w:val="-2"/>
          <w:kern w:val="0"/>
          <w:sz w:val="18"/>
          <w:szCs w:val="18"/>
        </w:rPr>
        <w:t xml:space="preserve"> and risk of identification is low.</w:t>
      </w:r>
    </w:p>
    <w:p w:rsidR="00B77E3C" w:rsidRPr="0041797D" w:rsidRDefault="00B77E3C" w:rsidP="00B77E3C">
      <w:pPr>
        <w:suppressAutoHyphens/>
        <w:autoSpaceDE w:val="0"/>
        <w:autoSpaceDN w:val="0"/>
        <w:adjustRightInd w:val="0"/>
        <w:spacing w:line="210" w:lineRule="atLeast"/>
        <w:textAlignment w:val="center"/>
        <w:rPr>
          <w:color w:val="000000"/>
          <w:spacing w:val="-2"/>
          <w:kern w:val="0"/>
          <w:sz w:val="18"/>
          <w:szCs w:val="18"/>
        </w:rPr>
      </w:pPr>
      <w:r w:rsidRPr="0041797D">
        <w:rPr>
          <w:rFonts w:ascii="Tahoma" w:hAnsi="Tahoma" w:cs="Tahoma"/>
          <w:color w:val="000000"/>
          <w:spacing w:val="-2"/>
          <w:kern w:val="0"/>
          <w:sz w:val="18"/>
          <w:szCs w:val="18"/>
        </w:rPr>
        <w:t>Open-Access:</w:t>
      </w:r>
      <w:r w:rsidRPr="0041797D">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77E3C" w:rsidRPr="0041797D" w:rsidRDefault="00B77E3C" w:rsidP="00B77E3C">
      <w:pPr>
        <w:suppressAutoHyphens/>
        <w:autoSpaceDE w:val="0"/>
        <w:autoSpaceDN w:val="0"/>
        <w:adjustRightInd w:val="0"/>
        <w:spacing w:line="210" w:lineRule="atLeast"/>
        <w:textAlignment w:val="center"/>
        <w:rPr>
          <w:color w:val="000000"/>
          <w:spacing w:val="-2"/>
          <w:kern w:val="0"/>
          <w:sz w:val="18"/>
          <w:szCs w:val="18"/>
        </w:rPr>
      </w:pPr>
      <w:r w:rsidRPr="0041797D">
        <w:rPr>
          <w:rFonts w:ascii="Tahoma" w:hAnsi="Tahoma" w:cs="Tahoma"/>
          <w:color w:val="000000"/>
          <w:spacing w:val="-2"/>
          <w:kern w:val="0"/>
          <w:sz w:val="18"/>
          <w:szCs w:val="18"/>
        </w:rPr>
        <w:t>Peer-review started:</w:t>
      </w:r>
      <w:r w:rsidRPr="0041797D">
        <w:rPr>
          <w:b/>
          <w:bCs/>
          <w:color w:val="000000"/>
          <w:spacing w:val="-2"/>
          <w:kern w:val="0"/>
          <w:sz w:val="18"/>
          <w:szCs w:val="18"/>
        </w:rPr>
        <w:t xml:space="preserve"> </w:t>
      </w:r>
      <w:r w:rsidRPr="0041797D">
        <w:rPr>
          <w:color w:val="000000"/>
          <w:spacing w:val="-2"/>
          <w:kern w:val="0"/>
          <w:sz w:val="18"/>
          <w:szCs w:val="18"/>
        </w:rPr>
        <w:t>October 29, 2017</w:t>
      </w:r>
    </w:p>
    <w:p w:rsidR="00B77E3C" w:rsidRPr="0041797D" w:rsidRDefault="00B77E3C" w:rsidP="00B77E3C">
      <w:pPr>
        <w:suppressAutoHyphens/>
        <w:autoSpaceDE w:val="0"/>
        <w:autoSpaceDN w:val="0"/>
        <w:adjustRightInd w:val="0"/>
        <w:spacing w:line="210" w:lineRule="atLeast"/>
        <w:textAlignment w:val="center"/>
        <w:rPr>
          <w:color w:val="000000"/>
          <w:spacing w:val="-2"/>
          <w:kern w:val="0"/>
          <w:sz w:val="18"/>
          <w:szCs w:val="18"/>
        </w:rPr>
      </w:pPr>
      <w:r w:rsidRPr="0041797D">
        <w:rPr>
          <w:rFonts w:ascii="Tahoma" w:hAnsi="Tahoma" w:cs="Tahoma"/>
          <w:color w:val="000000"/>
          <w:spacing w:val="-2"/>
          <w:kern w:val="0"/>
          <w:sz w:val="18"/>
          <w:szCs w:val="18"/>
        </w:rPr>
        <w:t>First decision:</w:t>
      </w:r>
      <w:r w:rsidRPr="0041797D">
        <w:rPr>
          <w:b/>
          <w:bCs/>
          <w:color w:val="000000"/>
          <w:spacing w:val="-2"/>
          <w:kern w:val="0"/>
          <w:sz w:val="18"/>
          <w:szCs w:val="18"/>
        </w:rPr>
        <w:t xml:space="preserve"> </w:t>
      </w:r>
      <w:r w:rsidRPr="0041797D">
        <w:rPr>
          <w:color w:val="000000"/>
          <w:spacing w:val="-2"/>
          <w:kern w:val="0"/>
          <w:sz w:val="18"/>
          <w:szCs w:val="18"/>
        </w:rPr>
        <w:t>November 14, 2017</w:t>
      </w:r>
    </w:p>
    <w:p w:rsidR="00B77E3C" w:rsidRPr="0041797D" w:rsidRDefault="00B77E3C" w:rsidP="00B77E3C">
      <w:pPr>
        <w:suppressAutoHyphens/>
        <w:autoSpaceDE w:val="0"/>
        <w:autoSpaceDN w:val="0"/>
        <w:adjustRightInd w:val="0"/>
        <w:spacing w:line="210" w:lineRule="atLeast"/>
        <w:textAlignment w:val="center"/>
        <w:rPr>
          <w:color w:val="000000"/>
          <w:spacing w:val="-2"/>
          <w:kern w:val="0"/>
          <w:sz w:val="18"/>
          <w:szCs w:val="18"/>
        </w:rPr>
      </w:pPr>
      <w:r w:rsidRPr="0041797D">
        <w:rPr>
          <w:rFonts w:ascii="Tahoma" w:hAnsi="Tahoma" w:cs="Tahoma"/>
          <w:color w:val="000000"/>
          <w:spacing w:val="-2"/>
          <w:kern w:val="0"/>
          <w:sz w:val="18"/>
          <w:szCs w:val="18"/>
        </w:rPr>
        <w:t>Article in press:</w:t>
      </w:r>
      <w:r w:rsidRPr="0041797D">
        <w:rPr>
          <w:color w:val="000000"/>
          <w:spacing w:val="-2"/>
          <w:kern w:val="0"/>
          <w:sz w:val="18"/>
          <w:szCs w:val="18"/>
        </w:rPr>
        <w:t xml:space="preserve"> November 27, 2017</w:t>
      </w:r>
    </w:p>
    <w:p w:rsidR="00B77E3C" w:rsidRPr="0041797D" w:rsidRDefault="00B77E3C" w:rsidP="00B77E3C">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41797D">
        <w:rPr>
          <w:b/>
          <w:bCs/>
          <w:color w:val="000000"/>
          <w:spacing w:val="-1"/>
          <w:kern w:val="0"/>
          <w:sz w:val="16"/>
          <w:szCs w:val="16"/>
        </w:rPr>
        <w:t>P- Reviewer</w:t>
      </w:r>
      <w:r w:rsidRPr="0041797D">
        <w:rPr>
          <w:color w:val="000000"/>
          <w:kern w:val="0"/>
          <w:sz w:val="16"/>
          <w:szCs w:val="16"/>
        </w:rPr>
        <w:t>:</w:t>
      </w:r>
      <w:r w:rsidRPr="0041797D">
        <w:rPr>
          <w:color w:val="000000"/>
          <w:spacing w:val="-1"/>
          <w:kern w:val="0"/>
          <w:sz w:val="16"/>
          <w:szCs w:val="16"/>
        </w:rPr>
        <w:t xml:space="preserve"> </w:t>
      </w:r>
      <w:proofErr w:type="spellStart"/>
      <w:r w:rsidRPr="0041797D">
        <w:rPr>
          <w:color w:val="000000"/>
          <w:spacing w:val="-1"/>
          <w:kern w:val="0"/>
          <w:sz w:val="16"/>
          <w:szCs w:val="16"/>
        </w:rPr>
        <w:t>Ciccone</w:t>
      </w:r>
      <w:proofErr w:type="spellEnd"/>
      <w:r w:rsidRPr="0041797D">
        <w:rPr>
          <w:color w:val="000000"/>
          <w:spacing w:val="-1"/>
          <w:kern w:val="0"/>
          <w:sz w:val="16"/>
          <w:szCs w:val="16"/>
        </w:rPr>
        <w:t xml:space="preserve"> M, </w:t>
      </w:r>
      <w:proofErr w:type="spellStart"/>
      <w:r w:rsidRPr="0041797D">
        <w:rPr>
          <w:color w:val="000000"/>
          <w:spacing w:val="-1"/>
          <w:kern w:val="0"/>
          <w:sz w:val="16"/>
          <w:szCs w:val="16"/>
        </w:rPr>
        <w:t>de'Angelis</w:t>
      </w:r>
      <w:proofErr w:type="spellEnd"/>
      <w:r w:rsidRPr="0041797D">
        <w:rPr>
          <w:color w:val="000000"/>
          <w:spacing w:val="-1"/>
          <w:kern w:val="0"/>
          <w:sz w:val="16"/>
          <w:szCs w:val="16"/>
        </w:rPr>
        <w:t xml:space="preserve"> GL, Jin B, </w:t>
      </w:r>
      <w:proofErr w:type="spellStart"/>
      <w:proofErr w:type="gramStart"/>
      <w:r w:rsidRPr="0041797D">
        <w:rPr>
          <w:color w:val="000000"/>
          <w:spacing w:val="-1"/>
          <w:kern w:val="0"/>
          <w:sz w:val="16"/>
          <w:szCs w:val="16"/>
        </w:rPr>
        <w:t>Witaicenis</w:t>
      </w:r>
      <w:proofErr w:type="spellEnd"/>
      <w:r w:rsidRPr="0041797D">
        <w:rPr>
          <w:color w:val="000000"/>
          <w:spacing w:val="-1"/>
          <w:kern w:val="0"/>
          <w:sz w:val="16"/>
          <w:szCs w:val="16"/>
        </w:rPr>
        <w:t xml:space="preserve"> A   </w:t>
      </w:r>
      <w:proofErr w:type="gramEnd"/>
      <w:r w:rsidRPr="0041797D">
        <w:rPr>
          <w:color w:val="000000"/>
          <w:spacing w:val="-1"/>
          <w:kern w:val="0"/>
          <w:sz w:val="16"/>
          <w:szCs w:val="16"/>
        </w:rPr>
        <w:t xml:space="preserve"> </w:t>
      </w:r>
      <w:r w:rsidRPr="0041797D">
        <w:rPr>
          <w:b/>
          <w:bCs/>
          <w:color w:val="000000"/>
          <w:kern w:val="0"/>
          <w:sz w:val="16"/>
          <w:szCs w:val="16"/>
        </w:rPr>
        <w:t>S- Editor</w:t>
      </w:r>
      <w:r w:rsidRPr="0041797D">
        <w:rPr>
          <w:color w:val="000000"/>
          <w:kern w:val="0"/>
          <w:sz w:val="16"/>
          <w:szCs w:val="16"/>
        </w:rPr>
        <w:t>:</w:t>
      </w:r>
      <w:r w:rsidRPr="0041797D">
        <w:rPr>
          <w:b/>
          <w:bCs/>
          <w:color w:val="000000"/>
          <w:kern w:val="0"/>
          <w:sz w:val="16"/>
          <w:szCs w:val="16"/>
        </w:rPr>
        <w:t xml:space="preserve"> </w:t>
      </w:r>
      <w:r w:rsidRPr="0041797D">
        <w:rPr>
          <w:color w:val="000000"/>
          <w:kern w:val="0"/>
          <w:sz w:val="16"/>
          <w:szCs w:val="16"/>
        </w:rPr>
        <w:t xml:space="preserve">Chen K    </w:t>
      </w:r>
      <w:r w:rsidRPr="0041797D">
        <w:rPr>
          <w:b/>
          <w:bCs/>
          <w:color w:val="000000"/>
          <w:kern w:val="0"/>
          <w:sz w:val="16"/>
          <w:szCs w:val="16"/>
        </w:rPr>
        <w:t>L- Editor</w:t>
      </w:r>
      <w:r w:rsidRPr="0041797D">
        <w:rPr>
          <w:color w:val="000000"/>
          <w:kern w:val="0"/>
          <w:sz w:val="16"/>
          <w:szCs w:val="16"/>
        </w:rPr>
        <w:t xml:space="preserve">: A    </w:t>
      </w:r>
      <w:r w:rsidRPr="0041797D">
        <w:rPr>
          <w:b/>
          <w:bCs/>
          <w:color w:val="000000"/>
          <w:kern w:val="0"/>
          <w:sz w:val="16"/>
          <w:szCs w:val="16"/>
        </w:rPr>
        <w:t>E- Editor</w:t>
      </w:r>
      <w:r w:rsidRPr="0041797D">
        <w:rPr>
          <w:color w:val="000000"/>
          <w:kern w:val="0"/>
          <w:sz w:val="16"/>
          <w:szCs w:val="16"/>
        </w:rPr>
        <w:t>:</w:t>
      </w:r>
      <w:r w:rsidRPr="0041797D">
        <w:rPr>
          <w:b/>
          <w:bCs/>
          <w:color w:val="000000"/>
          <w:kern w:val="0"/>
          <w:sz w:val="16"/>
          <w:szCs w:val="16"/>
        </w:rPr>
        <w:t xml:space="preserve"> </w:t>
      </w:r>
      <w:r w:rsidRPr="0041797D">
        <w:rPr>
          <w:color w:val="000000"/>
          <w:kern w:val="0"/>
          <w:sz w:val="16"/>
          <w:szCs w:val="16"/>
        </w:rPr>
        <w:t>Wang CH</w:t>
      </w: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4455795"/>
                <wp:effectExtent l="9525" t="9525" r="12065" b="1143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455795"/>
                        </a:xfrm>
                        <a:prstGeom prst="rect">
                          <a:avLst/>
                        </a:prstGeom>
                        <a:solidFill>
                          <a:srgbClr val="FFFFFF"/>
                        </a:solidFill>
                        <a:ln w="9525">
                          <a:solidFill>
                            <a:srgbClr val="000000"/>
                          </a:solidFill>
                          <a:miter lim="800000"/>
                          <a:headEnd/>
                          <a:tailEnd/>
                        </a:ln>
                      </wps:spPr>
                      <wps:txbx>
                        <w:txbxContent>
                          <w:p w:rsidR="00B77E3C" w:rsidRPr="0041797D" w:rsidRDefault="00B77E3C" w:rsidP="00B77E3C">
                            <w:pPr>
                              <w:rPr>
                                <w:b/>
                                <w:bCs/>
                              </w:rPr>
                            </w:pPr>
                            <w:r w:rsidRPr="0041797D">
                              <w:rPr>
                                <w:b/>
                                <w:bCs/>
                              </w:rPr>
                              <w:t xml:space="preserve">Table </w:t>
                            </w:r>
                            <w:proofErr w:type="gramStart"/>
                            <w:r w:rsidRPr="0041797D">
                              <w:rPr>
                                <w:b/>
                                <w:bCs/>
                              </w:rPr>
                              <w:t xml:space="preserve">1  </w:t>
                            </w:r>
                            <w:proofErr w:type="spellStart"/>
                            <w:r w:rsidRPr="0041797D">
                              <w:rPr>
                                <w:b/>
                                <w:bCs/>
                              </w:rPr>
                              <w:t>Phenotypical</w:t>
                            </w:r>
                            <w:proofErr w:type="spellEnd"/>
                            <w:proofErr w:type="gramEnd"/>
                            <w:r w:rsidRPr="0041797D">
                              <w:rPr>
                                <w:b/>
                                <w:bCs/>
                              </w:rPr>
                              <w:t xml:space="preserve"> characteristics of infl</w:t>
                            </w:r>
                            <w:r>
                              <w:rPr>
                                <w:b/>
                                <w:bCs/>
                              </w:rPr>
                              <w:t>ammatory bowel disease patients</w:t>
                            </w:r>
                            <w:r w:rsidRPr="0041797D">
                              <w:rPr>
                                <w:b/>
                                <w:bCs/>
                              </w:rPr>
                              <w:t xml:space="preserve"> </w:t>
                            </w:r>
                            <w:r w:rsidRPr="0041797D">
                              <w:rPr>
                                <w:b/>
                                <w:bCs/>
                                <w:i/>
                                <w:iCs/>
                              </w:rPr>
                              <w:t>n</w:t>
                            </w:r>
                            <w:r w:rsidRPr="0041797D">
                              <w:rPr>
                                <w:b/>
                                <w:bCs/>
                              </w:rPr>
                              <w:t xml:space="preserve"> (%)</w:t>
                            </w:r>
                          </w:p>
                          <w:tbl>
                            <w:tblPr>
                              <w:tblW w:w="952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091"/>
                              <w:gridCol w:w="1347"/>
                              <w:gridCol w:w="3545"/>
                              <w:gridCol w:w="2545"/>
                            </w:tblGrid>
                            <w:tr w:rsidR="00B77E3C" w:rsidRPr="0041797D">
                              <w:tblPrEx>
                                <w:tblCellMar>
                                  <w:top w:w="0" w:type="dxa"/>
                                  <w:left w:w="0" w:type="dxa"/>
                                  <w:bottom w:w="0" w:type="dxa"/>
                                  <w:right w:w="0" w:type="dxa"/>
                                </w:tblCellMar>
                              </w:tblPrEx>
                              <w:trPr>
                                <w:trHeight w:val="224"/>
                              </w:trPr>
                              <w:tc>
                                <w:tcPr>
                                  <w:tcW w:w="2091" w:type="dxa"/>
                                  <w:tcBorders>
                                    <w:top w:val="single" w:sz="6" w:space="0" w:color="000000"/>
                                    <w:bottom w:val="single" w:sz="6" w:space="0" w:color="000000"/>
                                  </w:tcBorders>
                                  <w:tcMar>
                                    <w:top w:w="28" w:type="dxa"/>
                                    <w:left w:w="28" w:type="dxa"/>
                                    <w:bottom w:w="28" w:type="dxa"/>
                                    <w:right w:w="28" w:type="dxa"/>
                                  </w:tcMar>
                                </w:tcPr>
                                <w:p w:rsidR="00B77E3C" w:rsidRPr="0041797D" w:rsidRDefault="00B77E3C">
                                  <w:pPr>
                                    <w:pStyle w:val="Noparagraphstyle"/>
                                    <w:spacing w:line="240" w:lineRule="auto"/>
                                    <w:jc w:val="left"/>
                                    <w:textAlignment w:val="auto"/>
                                    <w:rPr>
                                      <w:b/>
                                      <w:color w:val="auto"/>
                                      <w:lang w:val="en-US"/>
                                    </w:rPr>
                                  </w:pPr>
                                </w:p>
                              </w:tc>
                              <w:tc>
                                <w:tcPr>
                                  <w:tcW w:w="1347" w:type="dxa"/>
                                  <w:tcBorders>
                                    <w:top w:val="single" w:sz="6" w:space="0" w:color="000000"/>
                                    <w:bottom w:val="single" w:sz="6" w:space="0" w:color="000000"/>
                                  </w:tcBorders>
                                  <w:tcMar>
                                    <w:top w:w="28" w:type="dxa"/>
                                    <w:left w:w="28" w:type="dxa"/>
                                    <w:bottom w:w="28" w:type="dxa"/>
                                    <w:right w:w="28" w:type="dxa"/>
                                  </w:tcMar>
                                </w:tcPr>
                                <w:p w:rsidR="00B77E3C" w:rsidRPr="0041797D" w:rsidRDefault="00B77E3C">
                                  <w:pPr>
                                    <w:pStyle w:val="af6"/>
                                    <w:jc w:val="center"/>
                                  </w:pPr>
                                  <w:r w:rsidRPr="0041797D">
                                    <w:t>All IBD patients</w:t>
                                  </w:r>
                                </w:p>
                                <w:p w:rsidR="00B77E3C" w:rsidRPr="0041797D" w:rsidRDefault="00B77E3C">
                                  <w:pPr>
                                    <w:pStyle w:val="af6"/>
                                    <w:jc w:val="center"/>
                                  </w:pPr>
                                </w:p>
                              </w:tc>
                              <w:tc>
                                <w:tcPr>
                                  <w:tcW w:w="3545" w:type="dxa"/>
                                  <w:tcBorders>
                                    <w:top w:val="single" w:sz="6" w:space="0" w:color="000000"/>
                                    <w:bottom w:val="single" w:sz="6" w:space="0" w:color="000000"/>
                                  </w:tcBorders>
                                  <w:tcMar>
                                    <w:top w:w="28" w:type="dxa"/>
                                    <w:left w:w="28" w:type="dxa"/>
                                    <w:bottom w:w="28" w:type="dxa"/>
                                    <w:right w:w="28" w:type="dxa"/>
                                  </w:tcMar>
                                </w:tcPr>
                                <w:p w:rsidR="00B77E3C" w:rsidRPr="0041797D" w:rsidRDefault="00B77E3C">
                                  <w:pPr>
                                    <w:pStyle w:val="af6"/>
                                    <w:jc w:val="center"/>
                                  </w:pPr>
                                  <w:r w:rsidRPr="0041797D">
                                    <w:t>Crohn</w:t>
                                  </w:r>
                                  <w:proofErr w:type="gramStart"/>
                                  <w:r w:rsidRPr="0041797D">
                                    <w:t>’</w:t>
                                  </w:r>
                                  <w:proofErr w:type="gramEnd"/>
                                  <w:r w:rsidRPr="0041797D">
                                    <w:t>s disease patients</w:t>
                                  </w:r>
                                </w:p>
                                <w:p w:rsidR="00B77E3C" w:rsidRPr="0041797D" w:rsidRDefault="00B77E3C">
                                  <w:pPr>
                                    <w:pStyle w:val="af6"/>
                                    <w:jc w:val="center"/>
                                  </w:pPr>
                                </w:p>
                              </w:tc>
                              <w:tc>
                                <w:tcPr>
                                  <w:tcW w:w="2545" w:type="dxa"/>
                                  <w:tcBorders>
                                    <w:top w:val="single" w:sz="6" w:space="0" w:color="000000"/>
                                    <w:bottom w:val="single" w:sz="6" w:space="0" w:color="000000"/>
                                  </w:tcBorders>
                                  <w:tcMar>
                                    <w:top w:w="28" w:type="dxa"/>
                                    <w:left w:w="28" w:type="dxa"/>
                                    <w:bottom w:w="28" w:type="dxa"/>
                                    <w:right w:w="28" w:type="dxa"/>
                                  </w:tcMar>
                                </w:tcPr>
                                <w:p w:rsidR="00B77E3C" w:rsidRPr="0041797D" w:rsidRDefault="00B77E3C">
                                  <w:pPr>
                                    <w:pStyle w:val="af6"/>
                                    <w:jc w:val="center"/>
                                  </w:pPr>
                                  <w:r w:rsidRPr="0041797D">
                                    <w:t>UC patients</w:t>
                                  </w:r>
                                </w:p>
                                <w:p w:rsidR="00B77E3C" w:rsidRPr="0041797D" w:rsidRDefault="00B77E3C">
                                  <w:pPr>
                                    <w:pStyle w:val="af6"/>
                                    <w:jc w:val="center"/>
                                  </w:pPr>
                                </w:p>
                              </w:tc>
                            </w:tr>
                            <w:tr w:rsidR="00B77E3C" w:rsidRPr="0041797D">
                              <w:tblPrEx>
                                <w:tblCellMar>
                                  <w:top w:w="0" w:type="dxa"/>
                                  <w:left w:w="0" w:type="dxa"/>
                                  <w:bottom w:w="0" w:type="dxa"/>
                                  <w:right w:w="0" w:type="dxa"/>
                                </w:tblCellMar>
                              </w:tblPrEx>
                              <w:trPr>
                                <w:trHeight w:val="60"/>
                              </w:trPr>
                              <w:tc>
                                <w:tcPr>
                                  <w:tcW w:w="2091" w:type="dxa"/>
                                  <w:tcBorders>
                                    <w:top w:val="single" w:sz="6" w:space="0" w:color="000000"/>
                                  </w:tcBorders>
                                  <w:tcMar>
                                    <w:top w:w="28" w:type="dxa"/>
                                    <w:left w:w="28" w:type="dxa"/>
                                    <w:bottom w:w="28" w:type="dxa"/>
                                    <w:right w:w="28" w:type="dxa"/>
                                  </w:tcMar>
                                </w:tcPr>
                                <w:p w:rsidR="00B77E3C" w:rsidRPr="0041797D" w:rsidRDefault="00B77E3C">
                                  <w:pPr>
                                    <w:pStyle w:val="af7"/>
                                    <w:jc w:val="left"/>
                                    <w:rPr>
                                      <w:b w:val="0"/>
                                      <w:lang w:val="en-US"/>
                                    </w:rPr>
                                  </w:pPr>
                                  <w:r w:rsidRPr="0041797D">
                                    <w:rPr>
                                      <w:b w:val="0"/>
                                      <w:lang w:val="en-US"/>
                                    </w:rPr>
                                    <w:t>Number of patients</w:t>
                                  </w:r>
                                </w:p>
                                <w:p w:rsidR="00B77E3C" w:rsidRPr="0041797D" w:rsidRDefault="00B77E3C">
                                  <w:pPr>
                                    <w:pStyle w:val="af7"/>
                                    <w:jc w:val="left"/>
                                    <w:rPr>
                                      <w:b w:val="0"/>
                                    </w:rPr>
                                  </w:pPr>
                                </w:p>
                              </w:tc>
                              <w:tc>
                                <w:tcPr>
                                  <w:tcW w:w="1347" w:type="dxa"/>
                                  <w:tcBorders>
                                    <w:top w:val="single" w:sz="6" w:space="0" w:color="000000"/>
                                  </w:tcBorders>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 xml:space="preserve">  457 (100)</w:t>
                                  </w:r>
                                </w:p>
                                <w:p w:rsidR="00B77E3C" w:rsidRPr="0041797D" w:rsidRDefault="00B77E3C">
                                  <w:pPr>
                                    <w:pStyle w:val="af7"/>
                                    <w:jc w:val="center"/>
                                    <w:rPr>
                                      <w:b w:val="0"/>
                                    </w:rPr>
                                  </w:pPr>
                                </w:p>
                              </w:tc>
                              <w:tc>
                                <w:tcPr>
                                  <w:tcW w:w="3545" w:type="dxa"/>
                                  <w:tcBorders>
                                    <w:top w:val="single" w:sz="6" w:space="0" w:color="000000"/>
                                  </w:tcBorders>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250 (55)</w:t>
                                  </w:r>
                                </w:p>
                                <w:p w:rsidR="00B77E3C" w:rsidRPr="0041797D" w:rsidRDefault="00B77E3C">
                                  <w:pPr>
                                    <w:pStyle w:val="af7"/>
                                    <w:jc w:val="center"/>
                                    <w:rPr>
                                      <w:b w:val="0"/>
                                    </w:rPr>
                                  </w:pPr>
                                </w:p>
                              </w:tc>
                              <w:tc>
                                <w:tcPr>
                                  <w:tcW w:w="2545" w:type="dxa"/>
                                  <w:tcBorders>
                                    <w:top w:val="single" w:sz="6" w:space="0" w:color="000000"/>
                                  </w:tcBorders>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207 (45)</w:t>
                                  </w:r>
                                </w:p>
                                <w:p w:rsidR="00B77E3C" w:rsidRPr="0041797D" w:rsidRDefault="00B77E3C">
                                  <w:pPr>
                                    <w:pStyle w:val="af7"/>
                                    <w:jc w:val="center"/>
                                    <w:rPr>
                                      <w:b w:val="0"/>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lang w:val="en-US"/>
                                    </w:rPr>
                                  </w:pPr>
                                  <w:r w:rsidRPr="0041797D">
                                    <w:rPr>
                                      <w:b w:val="0"/>
                                      <w:lang w:val="en-US"/>
                                    </w:rPr>
                                    <w:t>Gender (female)</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202 (44)</w:t>
                                  </w:r>
                                </w:p>
                                <w:p w:rsidR="00B77E3C" w:rsidRPr="0041797D" w:rsidRDefault="00B77E3C">
                                  <w:pPr>
                                    <w:pStyle w:val="af7"/>
                                    <w:jc w:val="center"/>
                                    <w:rPr>
                                      <w:b w:val="0"/>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122 (49)</w:t>
                                  </w:r>
                                </w:p>
                                <w:p w:rsidR="00B77E3C" w:rsidRPr="0041797D" w:rsidRDefault="00B77E3C">
                                  <w:pPr>
                                    <w:pStyle w:val="af7"/>
                                    <w:jc w:val="center"/>
                                    <w:rPr>
                                      <w:b w:val="0"/>
                                    </w:rPr>
                                  </w:pPr>
                                </w:p>
                              </w:tc>
                              <w:tc>
                                <w:tcPr>
                                  <w:tcW w:w="2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80 (39)</w:t>
                                  </w:r>
                                </w:p>
                                <w:p w:rsidR="00B77E3C" w:rsidRPr="0041797D" w:rsidRDefault="00B77E3C">
                                  <w:pPr>
                                    <w:pStyle w:val="af7"/>
                                    <w:jc w:val="center"/>
                                    <w:rPr>
                                      <w:b w:val="0"/>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lang w:val="en-US"/>
                                    </w:rPr>
                                  </w:pPr>
                                  <w:r w:rsidRPr="0041797D">
                                    <w:rPr>
                                      <w:b w:val="0"/>
                                      <w:lang w:val="en-US"/>
                                    </w:rPr>
                                    <w:t>Disease location</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Noparagraphstyle"/>
                                    <w:spacing w:line="240" w:lineRule="auto"/>
                                    <w:jc w:val="left"/>
                                    <w:textAlignment w:val="auto"/>
                                    <w:rPr>
                                      <w:color w:val="auto"/>
                                      <w:lang w:val="en-US"/>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L1: 60 (24.0), L2: 30 (12.0), L3: 128 (51.2), L1 + L4: 11 (4.4), L2 + L4: 1 (0.4), L3 + L4: 20 (8.0), perianal: 93 (37.2)</w:t>
                                  </w:r>
                                </w:p>
                                <w:p w:rsidR="00B77E3C" w:rsidRPr="0041797D" w:rsidRDefault="00B77E3C">
                                  <w:pPr>
                                    <w:pStyle w:val="af7"/>
                                    <w:jc w:val="center"/>
                                    <w:rPr>
                                      <w:b w:val="0"/>
                                      <w:lang w:val="en-US"/>
                                    </w:rPr>
                                  </w:pPr>
                                </w:p>
                              </w:tc>
                              <w:tc>
                                <w:tcPr>
                                  <w:tcW w:w="2545" w:type="dxa"/>
                                  <w:tcMar>
                                    <w:top w:w="28" w:type="dxa"/>
                                    <w:left w:w="28" w:type="dxa"/>
                                    <w:bottom w:w="28" w:type="dxa"/>
                                    <w:right w:w="28" w:type="dxa"/>
                                  </w:tcMar>
                                </w:tcPr>
                                <w:p w:rsidR="00B77E3C" w:rsidRPr="0041797D" w:rsidRDefault="00B77E3C">
                                  <w:pPr>
                                    <w:pStyle w:val="af7"/>
                                    <w:jc w:val="center"/>
                                    <w:rPr>
                                      <w:b w:val="0"/>
                                      <w:lang w:val="en-US"/>
                                    </w:rPr>
                                  </w:pPr>
                                  <w:proofErr w:type="spellStart"/>
                                  <w:r w:rsidRPr="0041797D">
                                    <w:rPr>
                                      <w:b w:val="0"/>
                                      <w:lang w:val="en-US"/>
                                    </w:rPr>
                                    <w:t>Proctitis</w:t>
                                  </w:r>
                                  <w:proofErr w:type="spellEnd"/>
                                  <w:r w:rsidRPr="0041797D">
                                    <w:rPr>
                                      <w:b w:val="0"/>
                                      <w:lang w:val="en-US"/>
                                    </w:rPr>
                                    <w:t>: 19 (9.2), left colitis: 60 (29.0), extensive colitis: 128 (61.8)</w:t>
                                  </w:r>
                                </w:p>
                                <w:p w:rsidR="00B77E3C" w:rsidRPr="0041797D" w:rsidRDefault="00B77E3C">
                                  <w:pPr>
                                    <w:pStyle w:val="af7"/>
                                    <w:jc w:val="center"/>
                                    <w:rPr>
                                      <w:b w:val="0"/>
                                      <w:lang w:val="en-US"/>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lang w:val="en-US"/>
                                    </w:rPr>
                                  </w:pPr>
                                  <w:r w:rsidRPr="0041797D">
                                    <w:rPr>
                                      <w:b w:val="0"/>
                                      <w:lang w:val="en-US"/>
                                    </w:rPr>
                                    <w:t>Disease behavior</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Noparagraphstyle"/>
                                    <w:spacing w:line="240" w:lineRule="auto"/>
                                    <w:jc w:val="left"/>
                                    <w:textAlignment w:val="auto"/>
                                    <w:rPr>
                                      <w:color w:val="auto"/>
                                      <w:lang w:val="en-US"/>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B1: 88 (35.2), B2: 102 (40.8), B3: 60 (24.0)</w:t>
                                  </w:r>
                                </w:p>
                                <w:p w:rsidR="00B77E3C" w:rsidRPr="0041797D" w:rsidRDefault="00B77E3C">
                                  <w:pPr>
                                    <w:pStyle w:val="af7"/>
                                    <w:jc w:val="center"/>
                                    <w:rPr>
                                      <w:b w:val="0"/>
                                    </w:rPr>
                                  </w:pPr>
                                </w:p>
                              </w:tc>
                              <w:tc>
                                <w:tcPr>
                                  <w:tcW w:w="2545" w:type="dxa"/>
                                  <w:tcMar>
                                    <w:top w:w="28" w:type="dxa"/>
                                    <w:left w:w="28" w:type="dxa"/>
                                    <w:bottom w:w="28" w:type="dxa"/>
                                    <w:right w:w="28" w:type="dxa"/>
                                  </w:tcMar>
                                </w:tcPr>
                                <w:p w:rsidR="00B77E3C" w:rsidRPr="0041797D" w:rsidRDefault="00B77E3C">
                                  <w:pPr>
                                    <w:pStyle w:val="Noparagraphstyle"/>
                                    <w:spacing w:line="240" w:lineRule="auto"/>
                                    <w:jc w:val="left"/>
                                    <w:textAlignment w:val="auto"/>
                                    <w:rPr>
                                      <w:color w:val="auto"/>
                                      <w:lang w:val="en-US"/>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lang w:val="en-US"/>
                                    </w:rPr>
                                  </w:pPr>
                                  <w:r w:rsidRPr="0041797D">
                                    <w:rPr>
                                      <w:b w:val="0"/>
                                      <w:lang w:val="en-US"/>
                                    </w:rPr>
                                    <w:t>Complications</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54 (12)</w:t>
                                  </w:r>
                                </w:p>
                                <w:p w:rsidR="00B77E3C" w:rsidRPr="0041797D" w:rsidRDefault="00B77E3C">
                                  <w:pPr>
                                    <w:pStyle w:val="af7"/>
                                    <w:jc w:val="center"/>
                                    <w:rPr>
                                      <w:b w:val="0"/>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 xml:space="preserve">  46 (19.7)</w:t>
                                  </w:r>
                                </w:p>
                                <w:p w:rsidR="00B77E3C" w:rsidRPr="0041797D" w:rsidRDefault="00B77E3C">
                                  <w:pPr>
                                    <w:pStyle w:val="af7"/>
                                    <w:jc w:val="center"/>
                                    <w:rPr>
                                      <w:b w:val="0"/>
                                    </w:rPr>
                                  </w:pPr>
                                </w:p>
                              </w:tc>
                              <w:tc>
                                <w:tcPr>
                                  <w:tcW w:w="2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8 (4.1)</w:t>
                                  </w:r>
                                </w:p>
                                <w:p w:rsidR="00B77E3C" w:rsidRPr="0041797D" w:rsidRDefault="00B77E3C">
                                  <w:pPr>
                                    <w:pStyle w:val="af7"/>
                                    <w:jc w:val="center"/>
                                    <w:rPr>
                                      <w:b w:val="0"/>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lang w:val="en-US"/>
                                    </w:rPr>
                                  </w:pPr>
                                  <w:proofErr w:type="spellStart"/>
                                  <w:r w:rsidRPr="0041797D">
                                    <w:rPr>
                                      <w:b w:val="0"/>
                                      <w:lang w:val="en-US"/>
                                    </w:rPr>
                                    <w:t>Extraintestinal</w:t>
                                  </w:r>
                                  <w:proofErr w:type="spellEnd"/>
                                  <w:r w:rsidRPr="0041797D">
                                    <w:rPr>
                                      <w:b w:val="0"/>
                                      <w:lang w:val="en-US"/>
                                    </w:rPr>
                                    <w:t xml:space="preserve"> manifestations</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 xml:space="preserve"> 163 (35.7)</w:t>
                                  </w:r>
                                </w:p>
                                <w:p w:rsidR="00B77E3C" w:rsidRPr="0041797D" w:rsidRDefault="00B77E3C">
                                  <w:pPr>
                                    <w:pStyle w:val="af7"/>
                                    <w:jc w:val="center"/>
                                    <w:rPr>
                                      <w:b w:val="0"/>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100 (41.8)</w:t>
                                  </w:r>
                                </w:p>
                                <w:p w:rsidR="00B77E3C" w:rsidRPr="0041797D" w:rsidRDefault="00B77E3C">
                                  <w:pPr>
                                    <w:pStyle w:val="af7"/>
                                    <w:jc w:val="center"/>
                                    <w:rPr>
                                      <w:b w:val="0"/>
                                    </w:rPr>
                                  </w:pPr>
                                </w:p>
                              </w:tc>
                              <w:tc>
                                <w:tcPr>
                                  <w:tcW w:w="2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63 (31.7)</w:t>
                                  </w:r>
                                </w:p>
                                <w:p w:rsidR="00B77E3C" w:rsidRPr="0041797D" w:rsidRDefault="00B77E3C">
                                  <w:pPr>
                                    <w:pStyle w:val="af7"/>
                                    <w:jc w:val="center"/>
                                    <w:rPr>
                                      <w:b w:val="0"/>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vertAlign w:val="superscript"/>
                                      <w:lang w:val="en-US"/>
                                    </w:rPr>
                                  </w:pPr>
                                  <w:r w:rsidRPr="0041797D">
                                    <w:rPr>
                                      <w:b w:val="0"/>
                                      <w:lang w:val="en-US"/>
                                    </w:rPr>
                                    <w:t>Surgery</w:t>
                                  </w:r>
                                  <w:r w:rsidRPr="0041797D">
                                    <w:rPr>
                                      <w:b w:val="0"/>
                                      <w:vertAlign w:val="superscript"/>
                                      <w:lang w:val="en-US"/>
                                    </w:rPr>
                                    <w:t>1</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 xml:space="preserve"> 166 (37.5)</w:t>
                                  </w:r>
                                </w:p>
                                <w:p w:rsidR="00B77E3C" w:rsidRPr="0041797D" w:rsidRDefault="00B77E3C">
                                  <w:pPr>
                                    <w:pStyle w:val="af7"/>
                                    <w:jc w:val="center"/>
                                    <w:rPr>
                                      <w:b w:val="0"/>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146 (59.3)</w:t>
                                  </w:r>
                                </w:p>
                                <w:p w:rsidR="00B77E3C" w:rsidRPr="0041797D" w:rsidRDefault="00B77E3C">
                                  <w:pPr>
                                    <w:pStyle w:val="af7"/>
                                    <w:jc w:val="center"/>
                                    <w:rPr>
                                      <w:b w:val="0"/>
                                    </w:rPr>
                                  </w:pPr>
                                </w:p>
                              </w:tc>
                              <w:tc>
                                <w:tcPr>
                                  <w:tcW w:w="2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20 (10.2)</w:t>
                                  </w:r>
                                </w:p>
                                <w:p w:rsidR="00B77E3C" w:rsidRPr="0041797D" w:rsidRDefault="00B77E3C">
                                  <w:pPr>
                                    <w:pStyle w:val="af7"/>
                                    <w:jc w:val="center"/>
                                    <w:rPr>
                                      <w:b w:val="0"/>
                                    </w:rPr>
                                  </w:pPr>
                                </w:p>
                              </w:tc>
                            </w:tr>
                          </w:tbl>
                          <w:p w:rsidR="00B77E3C" w:rsidRPr="00B77E3C" w:rsidRDefault="00B77E3C" w:rsidP="00B77E3C">
                            <w:pPr>
                              <w:pStyle w:val="af7"/>
                              <w:rPr>
                                <w:vertAlign w:val="superscript"/>
                                <w:lang w:val="en-US"/>
                              </w:rPr>
                            </w:pPr>
                            <w:r w:rsidRPr="0041797D">
                              <w:rPr>
                                <w:b w:val="0"/>
                                <w:vertAlign w:val="superscript"/>
                                <w:lang w:val="en-US"/>
                              </w:rPr>
                              <w:t>1</w:t>
                            </w:r>
                            <w:r w:rsidRPr="0041797D">
                              <w:rPr>
                                <w:b w:val="0"/>
                                <w:lang w:val="en-US"/>
                              </w:rPr>
                              <w:t xml:space="preserve">IBD related surgery: Intestinal or perianal; L1: Distal ileum; L2: Colonic; L3: </w:t>
                            </w:r>
                            <w:proofErr w:type="spellStart"/>
                            <w:r w:rsidRPr="0041797D">
                              <w:rPr>
                                <w:b w:val="0"/>
                                <w:lang w:val="en-US"/>
                              </w:rPr>
                              <w:t>Ileocolonic</w:t>
                            </w:r>
                            <w:proofErr w:type="spellEnd"/>
                            <w:r w:rsidRPr="0041797D">
                              <w:rPr>
                                <w:b w:val="0"/>
                                <w:lang w:val="en-US"/>
                              </w:rPr>
                              <w:t>; L4: Upper disease; B1: Inflammatory (</w:t>
                            </w:r>
                            <w:proofErr w:type="spellStart"/>
                            <w:r w:rsidRPr="0041797D">
                              <w:rPr>
                                <w:b w:val="0"/>
                                <w:lang w:val="en-US"/>
                              </w:rPr>
                              <w:t>nonstricturing</w:t>
                            </w:r>
                            <w:proofErr w:type="spellEnd"/>
                            <w:r w:rsidRPr="0041797D">
                              <w:rPr>
                                <w:b w:val="0"/>
                                <w:lang w:val="en-US"/>
                              </w:rPr>
                              <w:t>/</w:t>
                            </w:r>
                            <w:proofErr w:type="spellStart"/>
                            <w:r w:rsidRPr="0041797D">
                              <w:rPr>
                                <w:b w:val="0"/>
                                <w:lang w:val="en-US"/>
                              </w:rPr>
                              <w:t>nonpenetrating</w:t>
                            </w:r>
                            <w:proofErr w:type="spellEnd"/>
                            <w:r w:rsidRPr="0041797D">
                              <w:rPr>
                                <w:b w:val="0"/>
                                <w:lang w:val="en-US"/>
                              </w:rPr>
                              <w:t xml:space="preserve">); B2: </w:t>
                            </w:r>
                            <w:proofErr w:type="spellStart"/>
                            <w:r w:rsidRPr="0041797D">
                              <w:rPr>
                                <w:b w:val="0"/>
                                <w:lang w:val="en-US"/>
                              </w:rPr>
                              <w:t>Stenotic</w:t>
                            </w:r>
                            <w:proofErr w:type="spellEnd"/>
                            <w:r w:rsidRPr="0041797D">
                              <w:rPr>
                                <w:b w:val="0"/>
                                <w:lang w:val="en-US"/>
                              </w:rPr>
                              <w:t>/</w:t>
                            </w:r>
                            <w:proofErr w:type="spellStart"/>
                            <w:r w:rsidRPr="0041797D">
                              <w:rPr>
                                <w:b w:val="0"/>
                                <w:lang w:val="en-US"/>
                              </w:rPr>
                              <w:t>stricturing</w:t>
                            </w:r>
                            <w:proofErr w:type="spellEnd"/>
                            <w:r w:rsidRPr="0041797D">
                              <w:rPr>
                                <w:b w:val="0"/>
                                <w:lang w:val="en-US"/>
                              </w:rPr>
                              <w:t xml:space="preserve"> and B3: Penetrating/</w:t>
                            </w:r>
                            <w:proofErr w:type="spellStart"/>
                            <w:r w:rsidRPr="0041797D">
                              <w:rPr>
                                <w:b w:val="0"/>
                                <w:lang w:val="en-US"/>
                              </w:rPr>
                              <w:t>fistulizing</w:t>
                            </w:r>
                            <w:proofErr w:type="spellEnd"/>
                            <w:r w:rsidRPr="0041797D">
                              <w:rPr>
                                <w:b w:val="0"/>
                                <w:lang w:val="en-US"/>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16.05pt;height:350.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">
                <v:textbox style="mso-fit-shape-to-text:t">
                  <w:txbxContent>
                    <w:p w:rsidR="00B77E3C" w:rsidRPr="0041797D" w:rsidRDefault="00B77E3C" w:rsidP="00B77E3C">
                      <w:pPr>
                        <w:rPr>
                          <w:b/>
                          <w:bCs/>
                        </w:rPr>
                      </w:pPr>
                      <w:r w:rsidRPr="0041797D">
                        <w:rPr>
                          <w:b/>
                          <w:bCs/>
                        </w:rPr>
                        <w:t xml:space="preserve">Table </w:t>
                      </w:r>
                      <w:proofErr w:type="gramStart"/>
                      <w:r w:rsidRPr="0041797D">
                        <w:rPr>
                          <w:b/>
                          <w:bCs/>
                        </w:rPr>
                        <w:t xml:space="preserve">1  </w:t>
                      </w:r>
                      <w:proofErr w:type="spellStart"/>
                      <w:r w:rsidRPr="0041797D">
                        <w:rPr>
                          <w:b/>
                          <w:bCs/>
                        </w:rPr>
                        <w:t>Phenotypical</w:t>
                      </w:r>
                      <w:proofErr w:type="spellEnd"/>
                      <w:proofErr w:type="gramEnd"/>
                      <w:r w:rsidRPr="0041797D">
                        <w:rPr>
                          <w:b/>
                          <w:bCs/>
                        </w:rPr>
                        <w:t xml:space="preserve"> characteristics of infl</w:t>
                      </w:r>
                      <w:r>
                        <w:rPr>
                          <w:b/>
                          <w:bCs/>
                        </w:rPr>
                        <w:t>ammatory bowel disease patients</w:t>
                      </w:r>
                      <w:r w:rsidRPr="0041797D">
                        <w:rPr>
                          <w:b/>
                          <w:bCs/>
                        </w:rPr>
                        <w:t xml:space="preserve"> </w:t>
                      </w:r>
                      <w:r w:rsidRPr="0041797D">
                        <w:rPr>
                          <w:b/>
                          <w:bCs/>
                          <w:i/>
                          <w:iCs/>
                        </w:rPr>
                        <w:t>n</w:t>
                      </w:r>
                      <w:r w:rsidRPr="0041797D">
                        <w:rPr>
                          <w:b/>
                          <w:bCs/>
                        </w:rPr>
                        <w:t xml:space="preserve"> (%)</w:t>
                      </w:r>
                    </w:p>
                    <w:tbl>
                      <w:tblPr>
                        <w:tblW w:w="952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091"/>
                        <w:gridCol w:w="1347"/>
                        <w:gridCol w:w="3545"/>
                        <w:gridCol w:w="2545"/>
                      </w:tblGrid>
                      <w:tr w:rsidR="00B77E3C" w:rsidRPr="0041797D">
                        <w:tblPrEx>
                          <w:tblCellMar>
                            <w:top w:w="0" w:type="dxa"/>
                            <w:left w:w="0" w:type="dxa"/>
                            <w:bottom w:w="0" w:type="dxa"/>
                            <w:right w:w="0" w:type="dxa"/>
                          </w:tblCellMar>
                        </w:tblPrEx>
                        <w:trPr>
                          <w:trHeight w:val="224"/>
                        </w:trPr>
                        <w:tc>
                          <w:tcPr>
                            <w:tcW w:w="2091" w:type="dxa"/>
                            <w:tcBorders>
                              <w:top w:val="single" w:sz="6" w:space="0" w:color="000000"/>
                              <w:bottom w:val="single" w:sz="6" w:space="0" w:color="000000"/>
                            </w:tcBorders>
                            <w:tcMar>
                              <w:top w:w="28" w:type="dxa"/>
                              <w:left w:w="28" w:type="dxa"/>
                              <w:bottom w:w="28" w:type="dxa"/>
                              <w:right w:w="28" w:type="dxa"/>
                            </w:tcMar>
                          </w:tcPr>
                          <w:p w:rsidR="00B77E3C" w:rsidRPr="0041797D" w:rsidRDefault="00B77E3C">
                            <w:pPr>
                              <w:pStyle w:val="Noparagraphstyle"/>
                              <w:spacing w:line="240" w:lineRule="auto"/>
                              <w:jc w:val="left"/>
                              <w:textAlignment w:val="auto"/>
                              <w:rPr>
                                <w:b/>
                                <w:color w:val="auto"/>
                                <w:lang w:val="en-US"/>
                              </w:rPr>
                            </w:pPr>
                          </w:p>
                        </w:tc>
                        <w:tc>
                          <w:tcPr>
                            <w:tcW w:w="1347" w:type="dxa"/>
                            <w:tcBorders>
                              <w:top w:val="single" w:sz="6" w:space="0" w:color="000000"/>
                              <w:bottom w:val="single" w:sz="6" w:space="0" w:color="000000"/>
                            </w:tcBorders>
                            <w:tcMar>
                              <w:top w:w="28" w:type="dxa"/>
                              <w:left w:w="28" w:type="dxa"/>
                              <w:bottom w:w="28" w:type="dxa"/>
                              <w:right w:w="28" w:type="dxa"/>
                            </w:tcMar>
                          </w:tcPr>
                          <w:p w:rsidR="00B77E3C" w:rsidRPr="0041797D" w:rsidRDefault="00B77E3C">
                            <w:pPr>
                              <w:pStyle w:val="af6"/>
                              <w:jc w:val="center"/>
                            </w:pPr>
                            <w:r w:rsidRPr="0041797D">
                              <w:t>All IBD patients</w:t>
                            </w:r>
                          </w:p>
                          <w:p w:rsidR="00B77E3C" w:rsidRPr="0041797D" w:rsidRDefault="00B77E3C">
                            <w:pPr>
                              <w:pStyle w:val="af6"/>
                              <w:jc w:val="center"/>
                            </w:pPr>
                          </w:p>
                        </w:tc>
                        <w:tc>
                          <w:tcPr>
                            <w:tcW w:w="3545" w:type="dxa"/>
                            <w:tcBorders>
                              <w:top w:val="single" w:sz="6" w:space="0" w:color="000000"/>
                              <w:bottom w:val="single" w:sz="6" w:space="0" w:color="000000"/>
                            </w:tcBorders>
                            <w:tcMar>
                              <w:top w:w="28" w:type="dxa"/>
                              <w:left w:w="28" w:type="dxa"/>
                              <w:bottom w:w="28" w:type="dxa"/>
                              <w:right w:w="28" w:type="dxa"/>
                            </w:tcMar>
                          </w:tcPr>
                          <w:p w:rsidR="00B77E3C" w:rsidRPr="0041797D" w:rsidRDefault="00B77E3C">
                            <w:pPr>
                              <w:pStyle w:val="af6"/>
                              <w:jc w:val="center"/>
                            </w:pPr>
                            <w:r w:rsidRPr="0041797D">
                              <w:t>Crohn</w:t>
                            </w:r>
                            <w:proofErr w:type="gramStart"/>
                            <w:r w:rsidRPr="0041797D">
                              <w:t>’</w:t>
                            </w:r>
                            <w:proofErr w:type="gramEnd"/>
                            <w:r w:rsidRPr="0041797D">
                              <w:t>s disease patients</w:t>
                            </w:r>
                          </w:p>
                          <w:p w:rsidR="00B77E3C" w:rsidRPr="0041797D" w:rsidRDefault="00B77E3C">
                            <w:pPr>
                              <w:pStyle w:val="af6"/>
                              <w:jc w:val="center"/>
                            </w:pPr>
                          </w:p>
                        </w:tc>
                        <w:tc>
                          <w:tcPr>
                            <w:tcW w:w="2545" w:type="dxa"/>
                            <w:tcBorders>
                              <w:top w:val="single" w:sz="6" w:space="0" w:color="000000"/>
                              <w:bottom w:val="single" w:sz="6" w:space="0" w:color="000000"/>
                            </w:tcBorders>
                            <w:tcMar>
                              <w:top w:w="28" w:type="dxa"/>
                              <w:left w:w="28" w:type="dxa"/>
                              <w:bottom w:w="28" w:type="dxa"/>
                              <w:right w:w="28" w:type="dxa"/>
                            </w:tcMar>
                          </w:tcPr>
                          <w:p w:rsidR="00B77E3C" w:rsidRPr="0041797D" w:rsidRDefault="00B77E3C">
                            <w:pPr>
                              <w:pStyle w:val="af6"/>
                              <w:jc w:val="center"/>
                            </w:pPr>
                            <w:r w:rsidRPr="0041797D">
                              <w:t>UC patients</w:t>
                            </w:r>
                          </w:p>
                          <w:p w:rsidR="00B77E3C" w:rsidRPr="0041797D" w:rsidRDefault="00B77E3C">
                            <w:pPr>
                              <w:pStyle w:val="af6"/>
                              <w:jc w:val="center"/>
                            </w:pPr>
                          </w:p>
                        </w:tc>
                      </w:tr>
                      <w:tr w:rsidR="00B77E3C" w:rsidRPr="0041797D">
                        <w:tblPrEx>
                          <w:tblCellMar>
                            <w:top w:w="0" w:type="dxa"/>
                            <w:left w:w="0" w:type="dxa"/>
                            <w:bottom w:w="0" w:type="dxa"/>
                            <w:right w:w="0" w:type="dxa"/>
                          </w:tblCellMar>
                        </w:tblPrEx>
                        <w:trPr>
                          <w:trHeight w:val="60"/>
                        </w:trPr>
                        <w:tc>
                          <w:tcPr>
                            <w:tcW w:w="2091" w:type="dxa"/>
                            <w:tcBorders>
                              <w:top w:val="single" w:sz="6" w:space="0" w:color="000000"/>
                            </w:tcBorders>
                            <w:tcMar>
                              <w:top w:w="28" w:type="dxa"/>
                              <w:left w:w="28" w:type="dxa"/>
                              <w:bottom w:w="28" w:type="dxa"/>
                              <w:right w:w="28" w:type="dxa"/>
                            </w:tcMar>
                          </w:tcPr>
                          <w:p w:rsidR="00B77E3C" w:rsidRPr="0041797D" w:rsidRDefault="00B77E3C">
                            <w:pPr>
                              <w:pStyle w:val="af7"/>
                              <w:jc w:val="left"/>
                              <w:rPr>
                                <w:b w:val="0"/>
                                <w:lang w:val="en-US"/>
                              </w:rPr>
                            </w:pPr>
                            <w:r w:rsidRPr="0041797D">
                              <w:rPr>
                                <w:b w:val="0"/>
                                <w:lang w:val="en-US"/>
                              </w:rPr>
                              <w:t>Number of patients</w:t>
                            </w:r>
                          </w:p>
                          <w:p w:rsidR="00B77E3C" w:rsidRPr="0041797D" w:rsidRDefault="00B77E3C">
                            <w:pPr>
                              <w:pStyle w:val="af7"/>
                              <w:jc w:val="left"/>
                              <w:rPr>
                                <w:b w:val="0"/>
                              </w:rPr>
                            </w:pPr>
                          </w:p>
                        </w:tc>
                        <w:tc>
                          <w:tcPr>
                            <w:tcW w:w="1347" w:type="dxa"/>
                            <w:tcBorders>
                              <w:top w:val="single" w:sz="6" w:space="0" w:color="000000"/>
                            </w:tcBorders>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 xml:space="preserve">  457 (100)</w:t>
                            </w:r>
                          </w:p>
                          <w:p w:rsidR="00B77E3C" w:rsidRPr="0041797D" w:rsidRDefault="00B77E3C">
                            <w:pPr>
                              <w:pStyle w:val="af7"/>
                              <w:jc w:val="center"/>
                              <w:rPr>
                                <w:b w:val="0"/>
                              </w:rPr>
                            </w:pPr>
                          </w:p>
                        </w:tc>
                        <w:tc>
                          <w:tcPr>
                            <w:tcW w:w="3545" w:type="dxa"/>
                            <w:tcBorders>
                              <w:top w:val="single" w:sz="6" w:space="0" w:color="000000"/>
                            </w:tcBorders>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250 (55)</w:t>
                            </w:r>
                          </w:p>
                          <w:p w:rsidR="00B77E3C" w:rsidRPr="0041797D" w:rsidRDefault="00B77E3C">
                            <w:pPr>
                              <w:pStyle w:val="af7"/>
                              <w:jc w:val="center"/>
                              <w:rPr>
                                <w:b w:val="0"/>
                              </w:rPr>
                            </w:pPr>
                          </w:p>
                        </w:tc>
                        <w:tc>
                          <w:tcPr>
                            <w:tcW w:w="2545" w:type="dxa"/>
                            <w:tcBorders>
                              <w:top w:val="single" w:sz="6" w:space="0" w:color="000000"/>
                            </w:tcBorders>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207 (45)</w:t>
                            </w:r>
                          </w:p>
                          <w:p w:rsidR="00B77E3C" w:rsidRPr="0041797D" w:rsidRDefault="00B77E3C">
                            <w:pPr>
                              <w:pStyle w:val="af7"/>
                              <w:jc w:val="center"/>
                              <w:rPr>
                                <w:b w:val="0"/>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lang w:val="en-US"/>
                              </w:rPr>
                            </w:pPr>
                            <w:r w:rsidRPr="0041797D">
                              <w:rPr>
                                <w:b w:val="0"/>
                                <w:lang w:val="en-US"/>
                              </w:rPr>
                              <w:t>Gender (female)</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202 (44)</w:t>
                            </w:r>
                          </w:p>
                          <w:p w:rsidR="00B77E3C" w:rsidRPr="0041797D" w:rsidRDefault="00B77E3C">
                            <w:pPr>
                              <w:pStyle w:val="af7"/>
                              <w:jc w:val="center"/>
                              <w:rPr>
                                <w:b w:val="0"/>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122 (49)</w:t>
                            </w:r>
                          </w:p>
                          <w:p w:rsidR="00B77E3C" w:rsidRPr="0041797D" w:rsidRDefault="00B77E3C">
                            <w:pPr>
                              <w:pStyle w:val="af7"/>
                              <w:jc w:val="center"/>
                              <w:rPr>
                                <w:b w:val="0"/>
                              </w:rPr>
                            </w:pPr>
                          </w:p>
                        </w:tc>
                        <w:tc>
                          <w:tcPr>
                            <w:tcW w:w="2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80 (39)</w:t>
                            </w:r>
                          </w:p>
                          <w:p w:rsidR="00B77E3C" w:rsidRPr="0041797D" w:rsidRDefault="00B77E3C">
                            <w:pPr>
                              <w:pStyle w:val="af7"/>
                              <w:jc w:val="center"/>
                              <w:rPr>
                                <w:b w:val="0"/>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lang w:val="en-US"/>
                              </w:rPr>
                            </w:pPr>
                            <w:r w:rsidRPr="0041797D">
                              <w:rPr>
                                <w:b w:val="0"/>
                                <w:lang w:val="en-US"/>
                              </w:rPr>
                              <w:t>Disease location</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Noparagraphstyle"/>
                              <w:spacing w:line="240" w:lineRule="auto"/>
                              <w:jc w:val="left"/>
                              <w:textAlignment w:val="auto"/>
                              <w:rPr>
                                <w:color w:val="auto"/>
                                <w:lang w:val="en-US"/>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L1: 60 (24.0), L2: 30 (12.0), L3: 128 (51.2), L1 + L4: 11 (4.4), L2 + L4: 1 (0.4), L3 + L4: 20 (8.0), perianal: 93 (37.2)</w:t>
                            </w:r>
                          </w:p>
                          <w:p w:rsidR="00B77E3C" w:rsidRPr="0041797D" w:rsidRDefault="00B77E3C">
                            <w:pPr>
                              <w:pStyle w:val="af7"/>
                              <w:jc w:val="center"/>
                              <w:rPr>
                                <w:b w:val="0"/>
                                <w:lang w:val="en-US"/>
                              </w:rPr>
                            </w:pPr>
                          </w:p>
                        </w:tc>
                        <w:tc>
                          <w:tcPr>
                            <w:tcW w:w="2545" w:type="dxa"/>
                            <w:tcMar>
                              <w:top w:w="28" w:type="dxa"/>
                              <w:left w:w="28" w:type="dxa"/>
                              <w:bottom w:w="28" w:type="dxa"/>
                              <w:right w:w="28" w:type="dxa"/>
                            </w:tcMar>
                          </w:tcPr>
                          <w:p w:rsidR="00B77E3C" w:rsidRPr="0041797D" w:rsidRDefault="00B77E3C">
                            <w:pPr>
                              <w:pStyle w:val="af7"/>
                              <w:jc w:val="center"/>
                              <w:rPr>
                                <w:b w:val="0"/>
                                <w:lang w:val="en-US"/>
                              </w:rPr>
                            </w:pPr>
                            <w:proofErr w:type="spellStart"/>
                            <w:r w:rsidRPr="0041797D">
                              <w:rPr>
                                <w:b w:val="0"/>
                                <w:lang w:val="en-US"/>
                              </w:rPr>
                              <w:t>Proctitis</w:t>
                            </w:r>
                            <w:proofErr w:type="spellEnd"/>
                            <w:r w:rsidRPr="0041797D">
                              <w:rPr>
                                <w:b w:val="0"/>
                                <w:lang w:val="en-US"/>
                              </w:rPr>
                              <w:t>: 19 (9.2), left colitis: 60 (29.0), extensive colitis: 128 (61.8)</w:t>
                            </w:r>
                          </w:p>
                          <w:p w:rsidR="00B77E3C" w:rsidRPr="0041797D" w:rsidRDefault="00B77E3C">
                            <w:pPr>
                              <w:pStyle w:val="af7"/>
                              <w:jc w:val="center"/>
                              <w:rPr>
                                <w:b w:val="0"/>
                                <w:lang w:val="en-US"/>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lang w:val="en-US"/>
                              </w:rPr>
                            </w:pPr>
                            <w:r w:rsidRPr="0041797D">
                              <w:rPr>
                                <w:b w:val="0"/>
                                <w:lang w:val="en-US"/>
                              </w:rPr>
                              <w:t>Disease behavior</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Noparagraphstyle"/>
                              <w:spacing w:line="240" w:lineRule="auto"/>
                              <w:jc w:val="left"/>
                              <w:textAlignment w:val="auto"/>
                              <w:rPr>
                                <w:color w:val="auto"/>
                                <w:lang w:val="en-US"/>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B1: 88 (35.2), B2: 102 (40.8), B3: 60 (24.0)</w:t>
                            </w:r>
                          </w:p>
                          <w:p w:rsidR="00B77E3C" w:rsidRPr="0041797D" w:rsidRDefault="00B77E3C">
                            <w:pPr>
                              <w:pStyle w:val="af7"/>
                              <w:jc w:val="center"/>
                              <w:rPr>
                                <w:b w:val="0"/>
                              </w:rPr>
                            </w:pPr>
                          </w:p>
                        </w:tc>
                        <w:tc>
                          <w:tcPr>
                            <w:tcW w:w="2545" w:type="dxa"/>
                            <w:tcMar>
                              <w:top w:w="28" w:type="dxa"/>
                              <w:left w:w="28" w:type="dxa"/>
                              <w:bottom w:w="28" w:type="dxa"/>
                              <w:right w:w="28" w:type="dxa"/>
                            </w:tcMar>
                          </w:tcPr>
                          <w:p w:rsidR="00B77E3C" w:rsidRPr="0041797D" w:rsidRDefault="00B77E3C">
                            <w:pPr>
                              <w:pStyle w:val="Noparagraphstyle"/>
                              <w:spacing w:line="240" w:lineRule="auto"/>
                              <w:jc w:val="left"/>
                              <w:textAlignment w:val="auto"/>
                              <w:rPr>
                                <w:color w:val="auto"/>
                                <w:lang w:val="en-US"/>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lang w:val="en-US"/>
                              </w:rPr>
                            </w:pPr>
                            <w:r w:rsidRPr="0041797D">
                              <w:rPr>
                                <w:b w:val="0"/>
                                <w:lang w:val="en-US"/>
                              </w:rPr>
                              <w:t>Complications</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54 (12)</w:t>
                            </w:r>
                          </w:p>
                          <w:p w:rsidR="00B77E3C" w:rsidRPr="0041797D" w:rsidRDefault="00B77E3C">
                            <w:pPr>
                              <w:pStyle w:val="af7"/>
                              <w:jc w:val="center"/>
                              <w:rPr>
                                <w:b w:val="0"/>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 xml:space="preserve">  46 (19.7)</w:t>
                            </w:r>
                          </w:p>
                          <w:p w:rsidR="00B77E3C" w:rsidRPr="0041797D" w:rsidRDefault="00B77E3C">
                            <w:pPr>
                              <w:pStyle w:val="af7"/>
                              <w:jc w:val="center"/>
                              <w:rPr>
                                <w:b w:val="0"/>
                              </w:rPr>
                            </w:pPr>
                          </w:p>
                        </w:tc>
                        <w:tc>
                          <w:tcPr>
                            <w:tcW w:w="2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8 (4.1)</w:t>
                            </w:r>
                          </w:p>
                          <w:p w:rsidR="00B77E3C" w:rsidRPr="0041797D" w:rsidRDefault="00B77E3C">
                            <w:pPr>
                              <w:pStyle w:val="af7"/>
                              <w:jc w:val="center"/>
                              <w:rPr>
                                <w:b w:val="0"/>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lang w:val="en-US"/>
                              </w:rPr>
                            </w:pPr>
                            <w:proofErr w:type="spellStart"/>
                            <w:r w:rsidRPr="0041797D">
                              <w:rPr>
                                <w:b w:val="0"/>
                                <w:lang w:val="en-US"/>
                              </w:rPr>
                              <w:t>Extraintestinal</w:t>
                            </w:r>
                            <w:proofErr w:type="spellEnd"/>
                            <w:r w:rsidRPr="0041797D">
                              <w:rPr>
                                <w:b w:val="0"/>
                                <w:lang w:val="en-US"/>
                              </w:rPr>
                              <w:t xml:space="preserve"> manifestations</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 xml:space="preserve"> 163 (35.7)</w:t>
                            </w:r>
                          </w:p>
                          <w:p w:rsidR="00B77E3C" w:rsidRPr="0041797D" w:rsidRDefault="00B77E3C">
                            <w:pPr>
                              <w:pStyle w:val="af7"/>
                              <w:jc w:val="center"/>
                              <w:rPr>
                                <w:b w:val="0"/>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100 (41.8)</w:t>
                            </w:r>
                          </w:p>
                          <w:p w:rsidR="00B77E3C" w:rsidRPr="0041797D" w:rsidRDefault="00B77E3C">
                            <w:pPr>
                              <w:pStyle w:val="af7"/>
                              <w:jc w:val="center"/>
                              <w:rPr>
                                <w:b w:val="0"/>
                              </w:rPr>
                            </w:pPr>
                          </w:p>
                        </w:tc>
                        <w:tc>
                          <w:tcPr>
                            <w:tcW w:w="2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63 (31.7)</w:t>
                            </w:r>
                          </w:p>
                          <w:p w:rsidR="00B77E3C" w:rsidRPr="0041797D" w:rsidRDefault="00B77E3C">
                            <w:pPr>
                              <w:pStyle w:val="af7"/>
                              <w:jc w:val="center"/>
                              <w:rPr>
                                <w:b w:val="0"/>
                              </w:rPr>
                            </w:pPr>
                          </w:p>
                        </w:tc>
                      </w:tr>
                      <w:tr w:rsidR="00B77E3C" w:rsidRPr="0041797D">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77E3C" w:rsidRPr="0041797D" w:rsidRDefault="00B77E3C">
                            <w:pPr>
                              <w:pStyle w:val="af7"/>
                              <w:jc w:val="left"/>
                              <w:rPr>
                                <w:b w:val="0"/>
                                <w:vertAlign w:val="superscript"/>
                                <w:lang w:val="en-US"/>
                              </w:rPr>
                            </w:pPr>
                            <w:r w:rsidRPr="0041797D">
                              <w:rPr>
                                <w:b w:val="0"/>
                                <w:lang w:val="en-US"/>
                              </w:rPr>
                              <w:t>Surgery</w:t>
                            </w:r>
                            <w:r w:rsidRPr="0041797D">
                              <w:rPr>
                                <w:b w:val="0"/>
                                <w:vertAlign w:val="superscript"/>
                                <w:lang w:val="en-US"/>
                              </w:rPr>
                              <w:t>1</w:t>
                            </w:r>
                          </w:p>
                          <w:p w:rsidR="00B77E3C" w:rsidRPr="0041797D" w:rsidRDefault="00B77E3C">
                            <w:pPr>
                              <w:pStyle w:val="af7"/>
                              <w:jc w:val="left"/>
                              <w:rPr>
                                <w:b w:val="0"/>
                              </w:rPr>
                            </w:pPr>
                          </w:p>
                        </w:tc>
                        <w:tc>
                          <w:tcPr>
                            <w:tcW w:w="1347"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 xml:space="preserve"> 166 (37.5)</w:t>
                            </w:r>
                          </w:p>
                          <w:p w:rsidR="00B77E3C" w:rsidRPr="0041797D" w:rsidRDefault="00B77E3C">
                            <w:pPr>
                              <w:pStyle w:val="af7"/>
                              <w:jc w:val="center"/>
                              <w:rPr>
                                <w:b w:val="0"/>
                              </w:rPr>
                            </w:pPr>
                          </w:p>
                        </w:tc>
                        <w:tc>
                          <w:tcPr>
                            <w:tcW w:w="3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146 (59.3)</w:t>
                            </w:r>
                          </w:p>
                          <w:p w:rsidR="00B77E3C" w:rsidRPr="0041797D" w:rsidRDefault="00B77E3C">
                            <w:pPr>
                              <w:pStyle w:val="af7"/>
                              <w:jc w:val="center"/>
                              <w:rPr>
                                <w:b w:val="0"/>
                              </w:rPr>
                            </w:pPr>
                          </w:p>
                        </w:tc>
                        <w:tc>
                          <w:tcPr>
                            <w:tcW w:w="2545" w:type="dxa"/>
                            <w:tcMar>
                              <w:top w:w="28" w:type="dxa"/>
                              <w:left w:w="28" w:type="dxa"/>
                              <w:bottom w:w="28" w:type="dxa"/>
                              <w:right w:w="28" w:type="dxa"/>
                            </w:tcMar>
                          </w:tcPr>
                          <w:p w:rsidR="00B77E3C" w:rsidRPr="0041797D" w:rsidRDefault="00B77E3C">
                            <w:pPr>
                              <w:pStyle w:val="af7"/>
                              <w:jc w:val="center"/>
                              <w:rPr>
                                <w:b w:val="0"/>
                                <w:lang w:val="en-US"/>
                              </w:rPr>
                            </w:pPr>
                            <w:r w:rsidRPr="0041797D">
                              <w:rPr>
                                <w:b w:val="0"/>
                                <w:lang w:val="en-US"/>
                              </w:rPr>
                              <w:t>20 (10.2)</w:t>
                            </w:r>
                          </w:p>
                          <w:p w:rsidR="00B77E3C" w:rsidRPr="0041797D" w:rsidRDefault="00B77E3C">
                            <w:pPr>
                              <w:pStyle w:val="af7"/>
                              <w:jc w:val="center"/>
                              <w:rPr>
                                <w:b w:val="0"/>
                              </w:rPr>
                            </w:pPr>
                          </w:p>
                        </w:tc>
                      </w:tr>
                    </w:tbl>
                    <w:p w:rsidR="00B77E3C" w:rsidRPr="00B77E3C" w:rsidRDefault="00B77E3C" w:rsidP="00B77E3C">
                      <w:pPr>
                        <w:pStyle w:val="af7"/>
                        <w:rPr>
                          <w:vertAlign w:val="superscript"/>
                          <w:lang w:val="en-US"/>
                        </w:rPr>
                      </w:pPr>
                      <w:r w:rsidRPr="0041797D">
                        <w:rPr>
                          <w:b w:val="0"/>
                          <w:vertAlign w:val="superscript"/>
                          <w:lang w:val="en-US"/>
                        </w:rPr>
                        <w:t>1</w:t>
                      </w:r>
                      <w:r w:rsidRPr="0041797D">
                        <w:rPr>
                          <w:b w:val="0"/>
                          <w:lang w:val="en-US"/>
                        </w:rPr>
                        <w:t xml:space="preserve">IBD related surgery: Intestinal or perianal; L1: Distal ileum; L2: Colonic; L3: </w:t>
                      </w:r>
                      <w:proofErr w:type="spellStart"/>
                      <w:r w:rsidRPr="0041797D">
                        <w:rPr>
                          <w:b w:val="0"/>
                          <w:lang w:val="en-US"/>
                        </w:rPr>
                        <w:t>Ileocolonic</w:t>
                      </w:r>
                      <w:proofErr w:type="spellEnd"/>
                      <w:r w:rsidRPr="0041797D">
                        <w:rPr>
                          <w:b w:val="0"/>
                          <w:lang w:val="en-US"/>
                        </w:rPr>
                        <w:t>; L4: Upper disease; B1: Inflammatory (</w:t>
                      </w:r>
                      <w:proofErr w:type="spellStart"/>
                      <w:r w:rsidRPr="0041797D">
                        <w:rPr>
                          <w:b w:val="0"/>
                          <w:lang w:val="en-US"/>
                        </w:rPr>
                        <w:t>nonstricturing</w:t>
                      </w:r>
                      <w:proofErr w:type="spellEnd"/>
                      <w:r w:rsidRPr="0041797D">
                        <w:rPr>
                          <w:b w:val="0"/>
                          <w:lang w:val="en-US"/>
                        </w:rPr>
                        <w:t>/</w:t>
                      </w:r>
                      <w:proofErr w:type="spellStart"/>
                      <w:r w:rsidRPr="0041797D">
                        <w:rPr>
                          <w:b w:val="0"/>
                          <w:lang w:val="en-US"/>
                        </w:rPr>
                        <w:t>nonpenetrating</w:t>
                      </w:r>
                      <w:proofErr w:type="spellEnd"/>
                      <w:r w:rsidRPr="0041797D">
                        <w:rPr>
                          <w:b w:val="0"/>
                          <w:lang w:val="en-US"/>
                        </w:rPr>
                        <w:t xml:space="preserve">); B2: </w:t>
                      </w:r>
                      <w:proofErr w:type="spellStart"/>
                      <w:r w:rsidRPr="0041797D">
                        <w:rPr>
                          <w:b w:val="0"/>
                          <w:lang w:val="en-US"/>
                        </w:rPr>
                        <w:t>Stenotic</w:t>
                      </w:r>
                      <w:proofErr w:type="spellEnd"/>
                      <w:r w:rsidRPr="0041797D">
                        <w:rPr>
                          <w:b w:val="0"/>
                          <w:lang w:val="en-US"/>
                        </w:rPr>
                        <w:t>/</w:t>
                      </w:r>
                      <w:proofErr w:type="spellStart"/>
                      <w:r w:rsidRPr="0041797D">
                        <w:rPr>
                          <w:b w:val="0"/>
                          <w:lang w:val="en-US"/>
                        </w:rPr>
                        <w:t>stricturing</w:t>
                      </w:r>
                      <w:proofErr w:type="spellEnd"/>
                      <w:r w:rsidRPr="0041797D">
                        <w:rPr>
                          <w:b w:val="0"/>
                          <w:lang w:val="en-US"/>
                        </w:rPr>
                        <w:t xml:space="preserve"> and B3: Penetrating/</w:t>
                      </w:r>
                      <w:proofErr w:type="spellStart"/>
                      <w:r w:rsidRPr="0041797D">
                        <w:rPr>
                          <w:b w:val="0"/>
                          <w:lang w:val="en-US"/>
                        </w:rPr>
                        <w:t>fistulizing</w:t>
                      </w:r>
                      <w:proofErr w:type="spellEnd"/>
                      <w:r w:rsidRPr="0041797D">
                        <w:rPr>
                          <w:b w:val="0"/>
                          <w:lang w:val="en-US"/>
                        </w:rPr>
                        <w:t>.</w:t>
                      </w:r>
                    </w:p>
                  </w:txbxContent>
                </v:textbox>
                <w10:wrap type="square"/>
              </v:shape>
            </w:pict>
          </mc:Fallback>
        </mc:AlternateContent>
      </w: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Default="00B77E3C" w:rsidP="00B77E3C">
      <w:pPr>
        <w:rPr>
          <w:rFonts w:hint="eastAsia"/>
        </w:rPr>
      </w:pPr>
    </w:p>
    <w:p w:rsidR="00B77E3C" w:rsidRPr="0041797D" w:rsidRDefault="00B77E3C" w:rsidP="00B77E3C">
      <w:pPr>
        <w:rPr>
          <w:rFonts w:hint="eastAsia"/>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3754755"/>
                <wp:effectExtent l="9525" t="9525" r="12065" b="762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754755"/>
                        </a:xfrm>
                        <a:prstGeom prst="rect">
                          <a:avLst/>
                        </a:prstGeom>
                        <a:solidFill>
                          <a:srgbClr val="FFFFFF"/>
                        </a:solidFill>
                        <a:ln w="9525">
                          <a:solidFill>
                            <a:srgbClr val="000000"/>
                          </a:solidFill>
                          <a:miter lim="800000"/>
                          <a:headEnd/>
                          <a:tailEnd/>
                        </a:ln>
                      </wps:spPr>
                      <wps:txbx>
                        <w:txbxContent>
                          <w:p w:rsidR="00B77E3C" w:rsidRPr="0041797D" w:rsidRDefault="00B77E3C" w:rsidP="00B77E3C">
                            <w:pPr>
                              <w:rPr>
                                <w:b/>
                                <w:bCs/>
                              </w:rPr>
                            </w:pPr>
                            <w:r w:rsidRPr="0041797D">
                              <w:rPr>
                                <w:b/>
                                <w:bCs/>
                              </w:rPr>
                              <w:t xml:space="preserve">Table </w:t>
                            </w:r>
                            <w:proofErr w:type="gramStart"/>
                            <w:r w:rsidRPr="0041797D">
                              <w:rPr>
                                <w:b/>
                                <w:bCs/>
                              </w:rPr>
                              <w:t>2  HLA</w:t>
                            </w:r>
                            <w:proofErr w:type="gramEnd"/>
                            <w:r w:rsidRPr="0041797D">
                              <w:rPr>
                                <w:b/>
                                <w:bCs/>
                              </w:rPr>
                              <w:t>-</w:t>
                            </w:r>
                            <w:proofErr w:type="spellStart"/>
                            <w:r w:rsidRPr="0041797D">
                              <w:rPr>
                                <w:b/>
                                <w:bCs/>
                              </w:rPr>
                              <w:t>CeD</w:t>
                            </w:r>
                            <w:proofErr w:type="spellEnd"/>
                            <w:r w:rsidRPr="0041797D">
                              <w:rPr>
                                <w:b/>
                                <w:bCs/>
                              </w:rPr>
                              <w:t xml:space="preserve">, -DQ2.5 and -DQ8 for all inflammatory bowel disease patients, ulcerative colitis patients, and </w:t>
                            </w:r>
                            <w:proofErr w:type="spellStart"/>
                            <w:r w:rsidRPr="0041797D">
                              <w:rPr>
                                <w:b/>
                                <w:bCs/>
                              </w:rPr>
                              <w:t>Crohn’s</w:t>
                            </w:r>
                            <w:proofErr w:type="spellEnd"/>
                            <w:r w:rsidRPr="0041797D">
                              <w:rPr>
                                <w:b/>
                                <w:bCs/>
                              </w:rPr>
                              <w:t xml:space="preserve"> disease patients, compared with controls</w:t>
                            </w:r>
                          </w:p>
                          <w:tbl>
                            <w:tblPr>
                              <w:tblW w:w="93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960"/>
                              <w:gridCol w:w="1595"/>
                              <w:gridCol w:w="2335"/>
                              <w:gridCol w:w="2321"/>
                              <w:gridCol w:w="2146"/>
                            </w:tblGrid>
                            <w:tr w:rsidR="00B77E3C" w:rsidRPr="0041797D">
                              <w:tblPrEx>
                                <w:tblCellMar>
                                  <w:top w:w="0" w:type="dxa"/>
                                  <w:left w:w="0" w:type="dxa"/>
                                  <w:bottom w:w="0" w:type="dxa"/>
                                  <w:right w:w="0" w:type="dxa"/>
                                </w:tblCellMar>
                              </w:tblPrEx>
                              <w:trPr>
                                <w:trHeight w:val="237"/>
                              </w:trPr>
                              <w:tc>
                                <w:tcPr>
                                  <w:tcW w:w="960" w:type="dxa"/>
                                  <w:tcBorders>
                                    <w:top w:val="single" w:sz="6" w:space="0" w:color="000000"/>
                                    <w:bottom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41797D">
                                    <w:rPr>
                                      <w:rFonts w:ascii="Albertus" w:hAnsi="Albertus" w:cs="Albertus"/>
                                      <w:b/>
                                      <w:bCs/>
                                      <w:color w:val="000000"/>
                                      <w:kern w:val="0"/>
                                      <w:sz w:val="14"/>
                                      <w:szCs w:val="14"/>
                                      <w:lang w:val="zh-CN"/>
                                    </w:rPr>
                                    <w:t>HLA</w:t>
                                  </w:r>
                                </w:p>
                                <w:p w:rsidR="00B77E3C" w:rsidRPr="0041797D" w:rsidRDefault="00B77E3C" w:rsidP="0041797D">
                                  <w:pPr>
                                    <w:suppressAutoHyphens/>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1595" w:type="dxa"/>
                                  <w:tcBorders>
                                    <w:top w:val="single" w:sz="6" w:space="0" w:color="000000"/>
                                    <w:bottom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41797D">
                                    <w:rPr>
                                      <w:rFonts w:ascii="Albertus" w:hAnsi="Albertus" w:cs="Albertus"/>
                                      <w:b/>
                                      <w:bCs/>
                                      <w:color w:val="000000"/>
                                      <w:kern w:val="0"/>
                                      <w:sz w:val="14"/>
                                      <w:szCs w:val="14"/>
                                      <w:lang w:val="zh-CN"/>
                                    </w:rPr>
                                    <w:t>Controls (</w:t>
                                  </w:r>
                                  <w:r w:rsidRPr="0041797D">
                                    <w:rPr>
                                      <w:rFonts w:ascii="Albertus Bold Italic" w:hAnsi="Albertus Bold Italic" w:cs="Albertus Bold Italic"/>
                                      <w:b/>
                                      <w:bCs/>
                                      <w:i/>
                                      <w:iCs/>
                                      <w:color w:val="000000"/>
                                      <w:kern w:val="0"/>
                                      <w:sz w:val="14"/>
                                      <w:szCs w:val="14"/>
                                      <w:lang w:val="zh-CN"/>
                                    </w:rPr>
                                    <w:t>n</w:t>
                                  </w:r>
                                  <w:r w:rsidRPr="0041797D">
                                    <w:rPr>
                                      <w:rFonts w:ascii="Albertus" w:hAnsi="Albertus" w:cs="Albertus"/>
                                      <w:b/>
                                      <w:bCs/>
                                      <w:color w:val="000000"/>
                                      <w:kern w:val="0"/>
                                      <w:sz w:val="14"/>
                                      <w:szCs w:val="14"/>
                                      <w:lang w:val="zh-CN"/>
                                    </w:rPr>
                                    <w:t xml:space="preserve"> = 577)</w:t>
                                  </w:r>
                                </w:p>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35" w:type="dxa"/>
                                  <w:tcBorders>
                                    <w:top w:val="single" w:sz="6" w:space="0" w:color="000000"/>
                                    <w:bottom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41797D">
                                    <w:rPr>
                                      <w:rFonts w:ascii="Albertus" w:hAnsi="Albertus" w:cs="Albertus"/>
                                      <w:b/>
                                      <w:bCs/>
                                      <w:color w:val="000000"/>
                                      <w:kern w:val="0"/>
                                      <w:sz w:val="14"/>
                                      <w:szCs w:val="14"/>
                                      <w:lang w:val="zh-CN"/>
                                    </w:rPr>
                                    <w:t>IBD (</w:t>
                                  </w:r>
                                  <w:r w:rsidRPr="0041797D">
                                    <w:rPr>
                                      <w:rFonts w:ascii="Albertus Bold Italic" w:hAnsi="Albertus Bold Italic" w:cs="Albertus Bold Italic"/>
                                      <w:b/>
                                      <w:bCs/>
                                      <w:i/>
                                      <w:iCs/>
                                      <w:color w:val="000000"/>
                                      <w:kern w:val="0"/>
                                      <w:sz w:val="14"/>
                                      <w:szCs w:val="14"/>
                                      <w:lang w:val="zh-CN"/>
                                    </w:rPr>
                                    <w:t>n</w:t>
                                  </w:r>
                                  <w:r w:rsidRPr="0041797D">
                                    <w:rPr>
                                      <w:rFonts w:ascii="Albertus" w:hAnsi="Albertus" w:cs="Albertus"/>
                                      <w:b/>
                                      <w:bCs/>
                                      <w:color w:val="000000"/>
                                      <w:kern w:val="0"/>
                                      <w:sz w:val="14"/>
                                      <w:szCs w:val="14"/>
                                      <w:lang w:val="zh-CN"/>
                                    </w:rPr>
                                    <w:t xml:space="preserve"> = 457)</w:t>
                                  </w:r>
                                </w:p>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21" w:type="dxa"/>
                                  <w:tcBorders>
                                    <w:top w:val="single" w:sz="6" w:space="0" w:color="000000"/>
                                    <w:bottom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roofErr w:type="spellStart"/>
                                  <w:r w:rsidRPr="0041797D">
                                    <w:rPr>
                                      <w:rFonts w:ascii="Albertus" w:hAnsi="Albertus" w:cs="Albertus"/>
                                      <w:b/>
                                      <w:bCs/>
                                      <w:color w:val="000000"/>
                                      <w:kern w:val="0"/>
                                      <w:sz w:val="14"/>
                                      <w:szCs w:val="14"/>
                                    </w:rPr>
                                    <w:t>Crohn’s</w:t>
                                  </w:r>
                                  <w:proofErr w:type="spellEnd"/>
                                  <w:r w:rsidRPr="0041797D">
                                    <w:rPr>
                                      <w:rFonts w:ascii="Albertus" w:hAnsi="Albertus" w:cs="Albertus"/>
                                      <w:b/>
                                      <w:bCs/>
                                      <w:color w:val="000000"/>
                                      <w:kern w:val="0"/>
                                      <w:sz w:val="14"/>
                                      <w:szCs w:val="14"/>
                                    </w:rPr>
                                    <w:t xml:space="preserve"> disease (</w:t>
                                  </w:r>
                                  <w:r w:rsidRPr="0041797D">
                                    <w:rPr>
                                      <w:rFonts w:ascii="Albertus Bold Italic" w:hAnsi="Albertus Bold Italic" w:cs="Albertus Bold Italic"/>
                                      <w:b/>
                                      <w:bCs/>
                                      <w:i/>
                                      <w:iCs/>
                                      <w:color w:val="000000"/>
                                      <w:kern w:val="0"/>
                                      <w:sz w:val="14"/>
                                      <w:szCs w:val="14"/>
                                    </w:rPr>
                                    <w:t>n</w:t>
                                  </w:r>
                                  <w:r w:rsidRPr="0041797D">
                                    <w:rPr>
                                      <w:rFonts w:ascii="Albertus" w:hAnsi="Albertus" w:cs="Albertus"/>
                                      <w:b/>
                                      <w:bCs/>
                                      <w:color w:val="000000"/>
                                      <w:kern w:val="0"/>
                                      <w:sz w:val="14"/>
                                      <w:szCs w:val="14"/>
                                    </w:rPr>
                                    <w:t xml:space="preserve"> = 250)</w:t>
                                  </w:r>
                                </w:p>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
                              </w:tc>
                              <w:tc>
                                <w:tcPr>
                                  <w:tcW w:w="2146" w:type="dxa"/>
                                  <w:tcBorders>
                                    <w:top w:val="single" w:sz="6" w:space="0" w:color="000000"/>
                                    <w:bottom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41797D">
                                    <w:rPr>
                                      <w:rFonts w:ascii="Albertus" w:hAnsi="Albertus" w:cs="Albertus"/>
                                      <w:b/>
                                      <w:bCs/>
                                      <w:color w:val="000000"/>
                                      <w:kern w:val="0"/>
                                      <w:sz w:val="14"/>
                                      <w:szCs w:val="14"/>
                                      <w:lang w:val="zh-CN"/>
                                    </w:rPr>
                                    <w:t>Ulcerative colitis (</w:t>
                                  </w:r>
                                  <w:r w:rsidRPr="0041797D">
                                    <w:rPr>
                                      <w:rFonts w:ascii="Albertus Bold Italic" w:hAnsi="Albertus Bold Italic" w:cs="Albertus Bold Italic"/>
                                      <w:b/>
                                      <w:bCs/>
                                      <w:i/>
                                      <w:iCs/>
                                      <w:color w:val="000000"/>
                                      <w:kern w:val="0"/>
                                      <w:sz w:val="14"/>
                                      <w:szCs w:val="14"/>
                                      <w:lang w:val="zh-CN"/>
                                    </w:rPr>
                                    <w:t>n</w:t>
                                  </w:r>
                                  <w:r w:rsidRPr="0041797D">
                                    <w:rPr>
                                      <w:rFonts w:ascii="Albertus" w:hAnsi="Albertus" w:cs="Albertus"/>
                                      <w:b/>
                                      <w:bCs/>
                                      <w:color w:val="000000"/>
                                      <w:kern w:val="0"/>
                                      <w:sz w:val="14"/>
                                      <w:szCs w:val="14"/>
                                      <w:lang w:val="zh-CN"/>
                                    </w:rPr>
                                    <w:t xml:space="preserve"> = 207)</w:t>
                                  </w:r>
                                </w:p>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77E3C" w:rsidRPr="0041797D">
                              <w:tblPrEx>
                                <w:tblCellMar>
                                  <w:top w:w="0" w:type="dxa"/>
                                  <w:left w:w="0" w:type="dxa"/>
                                  <w:bottom w:w="0" w:type="dxa"/>
                                  <w:right w:w="0" w:type="dxa"/>
                                </w:tblCellMar>
                              </w:tblPrEx>
                              <w:trPr>
                                <w:trHeight w:val="60"/>
                              </w:trPr>
                              <w:tc>
                                <w:tcPr>
                                  <w:tcW w:w="960" w:type="dxa"/>
                                  <w:tcBorders>
                                    <w:top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HLA-CeD</w:t>
                                  </w:r>
                                </w:p>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595" w:type="dxa"/>
                                  <w:tcBorders>
                                    <w:top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227, 39.34%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(95%CI: 35.36%-43.33%)</w:t>
                                  </w:r>
                                </w:p>
                              </w:tc>
                              <w:tc>
                                <w:tcPr>
                                  <w:tcW w:w="2335" w:type="dxa"/>
                                  <w:tcBorders>
                                    <w:top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156, 34.14% (95%CI: 29.78%-38.48%),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0.0852</w:t>
                                  </w:r>
                                </w:p>
                              </w:tc>
                              <w:tc>
                                <w:tcPr>
                                  <w:tcW w:w="2321" w:type="dxa"/>
                                  <w:tcBorders>
                                    <w:top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90, 36% (95%CI: 30.05%-41.95%),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0.364</w:t>
                                  </w:r>
                                </w:p>
                              </w:tc>
                              <w:tc>
                                <w:tcPr>
                                  <w:tcW w:w="2146" w:type="dxa"/>
                                  <w:tcBorders>
                                    <w:top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spacing w:val="-3"/>
                                      <w:kern w:val="0"/>
                                      <w:sz w:val="14"/>
                                      <w:szCs w:val="14"/>
                                      <w:lang w:val="zh-CN"/>
                                    </w:rPr>
                                    <w:t>66, 31.88% (95%CI: 25.54%-38.23%),</w:t>
                                  </w:r>
                                  <w:r w:rsidRPr="0041797D">
                                    <w:rPr>
                                      <w:rFonts w:ascii="Book Antiqua" w:hAnsi="Book Antiqua" w:cs="Book Antiqua"/>
                                      <w:bCs/>
                                      <w:color w:val="000000"/>
                                      <w:kern w:val="0"/>
                                      <w:sz w:val="14"/>
                                      <w:szCs w:val="14"/>
                                      <w:lang w:val="zh-CN"/>
                                    </w:rPr>
                                    <w:t xml:space="preserve"> </w:t>
                                  </w: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0.0571, PF = 11%</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77E3C" w:rsidRPr="0041797D">
                              <w:tblPrEx>
                                <w:tblCellMar>
                                  <w:top w:w="0" w:type="dxa"/>
                                  <w:left w:w="0" w:type="dxa"/>
                                  <w:bottom w:w="0" w:type="dxa"/>
                                  <w:right w:w="0" w:type="dxa"/>
                                </w:tblCellMar>
                              </w:tblPrEx>
                              <w:trPr>
                                <w:trHeight w:val="60"/>
                              </w:trPr>
                              <w:tc>
                                <w:tcPr>
                                  <w:tcW w:w="960"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HLA-DQ2.5</w:t>
                                  </w:r>
                                </w:p>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59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137, 23.74%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(95%CI: 20.27%-27.22%)</w:t>
                                  </w:r>
                                </w:p>
                              </w:tc>
                              <w:tc>
                                <w:tcPr>
                                  <w:tcW w:w="233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99, 21.66% (95%CI: 17.89%-25.44%),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0.381</w:t>
                                  </w:r>
                                </w:p>
                              </w:tc>
                              <w:tc>
                                <w:tcPr>
                                  <w:tcW w:w="2321"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65, 26.0% (95%CI: 20.6%-31.4%),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0.4879</w:t>
                                  </w:r>
                                </w:p>
                              </w:tc>
                              <w:tc>
                                <w:tcPr>
                                  <w:tcW w:w="2146"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spacing w:val="-3"/>
                                      <w:kern w:val="0"/>
                                      <w:sz w:val="14"/>
                                      <w:szCs w:val="14"/>
                                      <w:lang w:val="zh-CN"/>
                                    </w:rPr>
                                    <w:t xml:space="preserve">34, 16.43% (95%CI: 11.38%-21.47%), </w:t>
                                  </w: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0.0287, PF = 8%</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77E3C" w:rsidRPr="0041797D">
                              <w:tblPrEx>
                                <w:tblCellMar>
                                  <w:top w:w="0" w:type="dxa"/>
                                  <w:left w:w="0" w:type="dxa"/>
                                  <w:bottom w:w="0" w:type="dxa"/>
                                  <w:right w:w="0" w:type="dxa"/>
                                </w:tblCellMar>
                              </w:tblPrEx>
                              <w:trPr>
                                <w:trHeight w:val="60"/>
                              </w:trPr>
                              <w:tc>
                                <w:tcPr>
                                  <w:tcW w:w="960"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HLA-DQ8</w:t>
                                  </w:r>
                                </w:p>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59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101, 17.50%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(95%CI: 14.40%-20.60%)</w:t>
                                  </w:r>
                                </w:p>
                              </w:tc>
                              <w:tc>
                                <w:tcPr>
                                  <w:tcW w:w="233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60, 13.13% (95%CI: 10.03%-16.23%),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0.054, PF = 5%</w:t>
                                  </w:r>
                                </w:p>
                              </w:tc>
                              <w:tc>
                                <w:tcPr>
                                  <w:tcW w:w="2321"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28,  11.20% (95%CI: 7.29%-15.11%),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0.0217, PF = 7%</w:t>
                                  </w:r>
                                </w:p>
                              </w:tc>
                              <w:tc>
                                <w:tcPr>
                                  <w:tcW w:w="2146"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spacing w:val="-3"/>
                                      <w:kern w:val="0"/>
                                      <w:sz w:val="14"/>
                                      <w:szCs w:val="14"/>
                                      <w:lang w:val="zh-CN"/>
                                    </w:rPr>
                                    <w:t>32, 15.46% (95%CI: 10.53%-20.38%),</w:t>
                                  </w:r>
                                  <w:r w:rsidRPr="0041797D">
                                    <w:rPr>
                                      <w:rFonts w:ascii="Book Antiqua" w:hAnsi="Book Antiqua" w:cs="Book Antiqua"/>
                                      <w:bCs/>
                                      <w:color w:val="000000"/>
                                      <w:kern w:val="0"/>
                                      <w:sz w:val="14"/>
                                      <w:szCs w:val="14"/>
                                      <w:lang w:val="zh-CN"/>
                                    </w:rPr>
                                    <w:t xml:space="preserve"> </w:t>
                                  </w: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0.501</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77E3C" w:rsidRPr="0041797D">
                              <w:tblPrEx>
                                <w:tblCellMar>
                                  <w:top w:w="0" w:type="dxa"/>
                                  <w:left w:w="0" w:type="dxa"/>
                                  <w:bottom w:w="0" w:type="dxa"/>
                                  <w:right w:w="0" w:type="dxa"/>
                                </w:tblCellMar>
                              </w:tblPrEx>
                              <w:trPr>
                                <w:trHeight w:val="60"/>
                              </w:trPr>
                              <w:tc>
                                <w:tcPr>
                                  <w:tcW w:w="960"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HLA-DQ2.2</w:t>
                                  </w:r>
                                </w:p>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59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131, 22.70%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(95%CI: 19.29%-26.12%)</w:t>
                                  </w:r>
                                </w:p>
                              </w:tc>
                              <w:tc>
                                <w:tcPr>
                                  <w:tcW w:w="233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134, 29.32% (95%CI: 25.15%-33.50%),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0.022, EF = 9%</w:t>
                                  </w:r>
                                </w:p>
                              </w:tc>
                              <w:tc>
                                <w:tcPr>
                                  <w:tcW w:w="2321"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 85, 34% (95%CI: 28.13%-39.88%),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0.001, EF = 15%</w:t>
                                  </w:r>
                                </w:p>
                              </w:tc>
                              <w:tc>
                                <w:tcPr>
                                  <w:tcW w:w="2146"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spacing w:val="-3"/>
                                      <w:kern w:val="0"/>
                                      <w:sz w:val="14"/>
                                      <w:szCs w:val="14"/>
                                      <w:lang w:val="zh-CN"/>
                                    </w:rPr>
                                    <w:t>49, 23.67% (95%CI: 17.88%-29.46%),</w:t>
                                  </w:r>
                                  <w:r w:rsidRPr="0041797D">
                                    <w:rPr>
                                      <w:rFonts w:ascii="Book Antiqua" w:hAnsi="Book Antiqua" w:cs="Book Antiqua"/>
                                      <w:bCs/>
                                      <w:color w:val="000000"/>
                                      <w:kern w:val="0"/>
                                      <w:sz w:val="14"/>
                                      <w:szCs w:val="14"/>
                                      <w:lang w:val="zh-CN"/>
                                    </w:rPr>
                                    <w:t xml:space="preserve"> </w:t>
                                  </w: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0.856</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77E3C" w:rsidRPr="00EE2D76" w:rsidRDefault="00B77E3C" w:rsidP="00B77E3C">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41797D">
                              <w:rPr>
                                <w:rFonts w:ascii="Book Antiqua" w:hAnsi="Book Antiqua" w:cs="Book Antiqua"/>
                                <w:bCs/>
                                <w:color w:val="000000"/>
                                <w:kern w:val="0"/>
                                <w:sz w:val="14"/>
                                <w:szCs w:val="14"/>
                              </w:rPr>
                              <w:t>HLA: Human leucocyte antigen; PF: Preventive fraction.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416.05pt;height:29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">
                <v:textbox style="mso-fit-shape-to-text:t">
                  <w:txbxContent>
                    <w:p w:rsidR="00B77E3C" w:rsidRPr="0041797D" w:rsidRDefault="00B77E3C" w:rsidP="00B77E3C">
                      <w:pPr>
                        <w:rPr>
                          <w:b/>
                          <w:bCs/>
                        </w:rPr>
                      </w:pPr>
                      <w:r w:rsidRPr="0041797D">
                        <w:rPr>
                          <w:b/>
                          <w:bCs/>
                        </w:rPr>
                        <w:t xml:space="preserve">Table </w:t>
                      </w:r>
                      <w:proofErr w:type="gramStart"/>
                      <w:r w:rsidRPr="0041797D">
                        <w:rPr>
                          <w:b/>
                          <w:bCs/>
                        </w:rPr>
                        <w:t>2  HLA</w:t>
                      </w:r>
                      <w:proofErr w:type="gramEnd"/>
                      <w:r w:rsidRPr="0041797D">
                        <w:rPr>
                          <w:b/>
                          <w:bCs/>
                        </w:rPr>
                        <w:t>-</w:t>
                      </w:r>
                      <w:proofErr w:type="spellStart"/>
                      <w:r w:rsidRPr="0041797D">
                        <w:rPr>
                          <w:b/>
                          <w:bCs/>
                        </w:rPr>
                        <w:t>CeD</w:t>
                      </w:r>
                      <w:proofErr w:type="spellEnd"/>
                      <w:r w:rsidRPr="0041797D">
                        <w:rPr>
                          <w:b/>
                          <w:bCs/>
                        </w:rPr>
                        <w:t xml:space="preserve">, -DQ2.5 and -DQ8 for all inflammatory bowel disease patients, ulcerative colitis patients, and </w:t>
                      </w:r>
                      <w:proofErr w:type="spellStart"/>
                      <w:r w:rsidRPr="0041797D">
                        <w:rPr>
                          <w:b/>
                          <w:bCs/>
                        </w:rPr>
                        <w:t>Crohn’s</w:t>
                      </w:r>
                      <w:proofErr w:type="spellEnd"/>
                      <w:r w:rsidRPr="0041797D">
                        <w:rPr>
                          <w:b/>
                          <w:bCs/>
                        </w:rPr>
                        <w:t xml:space="preserve"> disease patients, compared with controls</w:t>
                      </w:r>
                    </w:p>
                    <w:tbl>
                      <w:tblPr>
                        <w:tblW w:w="93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960"/>
                        <w:gridCol w:w="1595"/>
                        <w:gridCol w:w="2335"/>
                        <w:gridCol w:w="2321"/>
                        <w:gridCol w:w="2146"/>
                      </w:tblGrid>
                      <w:tr w:rsidR="00B77E3C" w:rsidRPr="0041797D">
                        <w:tblPrEx>
                          <w:tblCellMar>
                            <w:top w:w="0" w:type="dxa"/>
                            <w:left w:w="0" w:type="dxa"/>
                            <w:bottom w:w="0" w:type="dxa"/>
                            <w:right w:w="0" w:type="dxa"/>
                          </w:tblCellMar>
                        </w:tblPrEx>
                        <w:trPr>
                          <w:trHeight w:val="237"/>
                        </w:trPr>
                        <w:tc>
                          <w:tcPr>
                            <w:tcW w:w="960" w:type="dxa"/>
                            <w:tcBorders>
                              <w:top w:val="single" w:sz="6" w:space="0" w:color="000000"/>
                              <w:bottom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41797D">
                              <w:rPr>
                                <w:rFonts w:ascii="Albertus" w:hAnsi="Albertus" w:cs="Albertus"/>
                                <w:b/>
                                <w:bCs/>
                                <w:color w:val="000000"/>
                                <w:kern w:val="0"/>
                                <w:sz w:val="14"/>
                                <w:szCs w:val="14"/>
                                <w:lang w:val="zh-CN"/>
                              </w:rPr>
                              <w:t>HLA</w:t>
                            </w:r>
                          </w:p>
                          <w:p w:rsidR="00B77E3C" w:rsidRPr="0041797D" w:rsidRDefault="00B77E3C" w:rsidP="0041797D">
                            <w:pPr>
                              <w:suppressAutoHyphens/>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1595" w:type="dxa"/>
                            <w:tcBorders>
                              <w:top w:val="single" w:sz="6" w:space="0" w:color="000000"/>
                              <w:bottom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41797D">
                              <w:rPr>
                                <w:rFonts w:ascii="Albertus" w:hAnsi="Albertus" w:cs="Albertus"/>
                                <w:b/>
                                <w:bCs/>
                                <w:color w:val="000000"/>
                                <w:kern w:val="0"/>
                                <w:sz w:val="14"/>
                                <w:szCs w:val="14"/>
                                <w:lang w:val="zh-CN"/>
                              </w:rPr>
                              <w:t>Controls (</w:t>
                            </w:r>
                            <w:r w:rsidRPr="0041797D">
                              <w:rPr>
                                <w:rFonts w:ascii="Albertus Bold Italic" w:hAnsi="Albertus Bold Italic" w:cs="Albertus Bold Italic"/>
                                <w:b/>
                                <w:bCs/>
                                <w:i/>
                                <w:iCs/>
                                <w:color w:val="000000"/>
                                <w:kern w:val="0"/>
                                <w:sz w:val="14"/>
                                <w:szCs w:val="14"/>
                                <w:lang w:val="zh-CN"/>
                              </w:rPr>
                              <w:t>n</w:t>
                            </w:r>
                            <w:r w:rsidRPr="0041797D">
                              <w:rPr>
                                <w:rFonts w:ascii="Albertus" w:hAnsi="Albertus" w:cs="Albertus"/>
                                <w:b/>
                                <w:bCs/>
                                <w:color w:val="000000"/>
                                <w:kern w:val="0"/>
                                <w:sz w:val="14"/>
                                <w:szCs w:val="14"/>
                                <w:lang w:val="zh-CN"/>
                              </w:rPr>
                              <w:t xml:space="preserve"> = 577)</w:t>
                            </w:r>
                          </w:p>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35" w:type="dxa"/>
                            <w:tcBorders>
                              <w:top w:val="single" w:sz="6" w:space="0" w:color="000000"/>
                              <w:bottom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41797D">
                              <w:rPr>
                                <w:rFonts w:ascii="Albertus" w:hAnsi="Albertus" w:cs="Albertus"/>
                                <w:b/>
                                <w:bCs/>
                                <w:color w:val="000000"/>
                                <w:kern w:val="0"/>
                                <w:sz w:val="14"/>
                                <w:szCs w:val="14"/>
                                <w:lang w:val="zh-CN"/>
                              </w:rPr>
                              <w:t>IBD (</w:t>
                            </w:r>
                            <w:r w:rsidRPr="0041797D">
                              <w:rPr>
                                <w:rFonts w:ascii="Albertus Bold Italic" w:hAnsi="Albertus Bold Italic" w:cs="Albertus Bold Italic"/>
                                <w:b/>
                                <w:bCs/>
                                <w:i/>
                                <w:iCs/>
                                <w:color w:val="000000"/>
                                <w:kern w:val="0"/>
                                <w:sz w:val="14"/>
                                <w:szCs w:val="14"/>
                                <w:lang w:val="zh-CN"/>
                              </w:rPr>
                              <w:t>n</w:t>
                            </w:r>
                            <w:r w:rsidRPr="0041797D">
                              <w:rPr>
                                <w:rFonts w:ascii="Albertus" w:hAnsi="Albertus" w:cs="Albertus"/>
                                <w:b/>
                                <w:bCs/>
                                <w:color w:val="000000"/>
                                <w:kern w:val="0"/>
                                <w:sz w:val="14"/>
                                <w:szCs w:val="14"/>
                                <w:lang w:val="zh-CN"/>
                              </w:rPr>
                              <w:t xml:space="preserve"> = 457)</w:t>
                            </w:r>
                          </w:p>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21" w:type="dxa"/>
                            <w:tcBorders>
                              <w:top w:val="single" w:sz="6" w:space="0" w:color="000000"/>
                              <w:bottom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roofErr w:type="spellStart"/>
                            <w:r w:rsidRPr="0041797D">
                              <w:rPr>
                                <w:rFonts w:ascii="Albertus" w:hAnsi="Albertus" w:cs="Albertus"/>
                                <w:b/>
                                <w:bCs/>
                                <w:color w:val="000000"/>
                                <w:kern w:val="0"/>
                                <w:sz w:val="14"/>
                                <w:szCs w:val="14"/>
                              </w:rPr>
                              <w:t>Crohn’s</w:t>
                            </w:r>
                            <w:proofErr w:type="spellEnd"/>
                            <w:r w:rsidRPr="0041797D">
                              <w:rPr>
                                <w:rFonts w:ascii="Albertus" w:hAnsi="Albertus" w:cs="Albertus"/>
                                <w:b/>
                                <w:bCs/>
                                <w:color w:val="000000"/>
                                <w:kern w:val="0"/>
                                <w:sz w:val="14"/>
                                <w:szCs w:val="14"/>
                              </w:rPr>
                              <w:t xml:space="preserve"> disease (</w:t>
                            </w:r>
                            <w:r w:rsidRPr="0041797D">
                              <w:rPr>
                                <w:rFonts w:ascii="Albertus Bold Italic" w:hAnsi="Albertus Bold Italic" w:cs="Albertus Bold Italic"/>
                                <w:b/>
                                <w:bCs/>
                                <w:i/>
                                <w:iCs/>
                                <w:color w:val="000000"/>
                                <w:kern w:val="0"/>
                                <w:sz w:val="14"/>
                                <w:szCs w:val="14"/>
                              </w:rPr>
                              <w:t>n</w:t>
                            </w:r>
                            <w:r w:rsidRPr="0041797D">
                              <w:rPr>
                                <w:rFonts w:ascii="Albertus" w:hAnsi="Albertus" w:cs="Albertus"/>
                                <w:b/>
                                <w:bCs/>
                                <w:color w:val="000000"/>
                                <w:kern w:val="0"/>
                                <w:sz w:val="14"/>
                                <w:szCs w:val="14"/>
                              </w:rPr>
                              <w:t xml:space="preserve"> = 250)</w:t>
                            </w:r>
                          </w:p>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
                        </w:tc>
                        <w:tc>
                          <w:tcPr>
                            <w:tcW w:w="2146" w:type="dxa"/>
                            <w:tcBorders>
                              <w:top w:val="single" w:sz="6" w:space="0" w:color="000000"/>
                              <w:bottom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41797D">
                              <w:rPr>
                                <w:rFonts w:ascii="Albertus" w:hAnsi="Albertus" w:cs="Albertus"/>
                                <w:b/>
                                <w:bCs/>
                                <w:color w:val="000000"/>
                                <w:kern w:val="0"/>
                                <w:sz w:val="14"/>
                                <w:szCs w:val="14"/>
                                <w:lang w:val="zh-CN"/>
                              </w:rPr>
                              <w:t>Ulcerative colitis (</w:t>
                            </w:r>
                            <w:r w:rsidRPr="0041797D">
                              <w:rPr>
                                <w:rFonts w:ascii="Albertus Bold Italic" w:hAnsi="Albertus Bold Italic" w:cs="Albertus Bold Italic"/>
                                <w:b/>
                                <w:bCs/>
                                <w:i/>
                                <w:iCs/>
                                <w:color w:val="000000"/>
                                <w:kern w:val="0"/>
                                <w:sz w:val="14"/>
                                <w:szCs w:val="14"/>
                                <w:lang w:val="zh-CN"/>
                              </w:rPr>
                              <w:t>n</w:t>
                            </w:r>
                            <w:r w:rsidRPr="0041797D">
                              <w:rPr>
                                <w:rFonts w:ascii="Albertus" w:hAnsi="Albertus" w:cs="Albertus"/>
                                <w:b/>
                                <w:bCs/>
                                <w:color w:val="000000"/>
                                <w:kern w:val="0"/>
                                <w:sz w:val="14"/>
                                <w:szCs w:val="14"/>
                                <w:lang w:val="zh-CN"/>
                              </w:rPr>
                              <w:t xml:space="preserve"> = 207)</w:t>
                            </w:r>
                          </w:p>
                          <w:p w:rsidR="00B77E3C" w:rsidRPr="0041797D" w:rsidRDefault="00B77E3C" w:rsidP="0041797D">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77E3C" w:rsidRPr="0041797D">
                        <w:tblPrEx>
                          <w:tblCellMar>
                            <w:top w:w="0" w:type="dxa"/>
                            <w:left w:w="0" w:type="dxa"/>
                            <w:bottom w:w="0" w:type="dxa"/>
                            <w:right w:w="0" w:type="dxa"/>
                          </w:tblCellMar>
                        </w:tblPrEx>
                        <w:trPr>
                          <w:trHeight w:val="60"/>
                        </w:trPr>
                        <w:tc>
                          <w:tcPr>
                            <w:tcW w:w="960" w:type="dxa"/>
                            <w:tcBorders>
                              <w:top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HLA-CeD</w:t>
                            </w:r>
                          </w:p>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595" w:type="dxa"/>
                            <w:tcBorders>
                              <w:top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227, 39.34%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(95%CI: 35.36%-43.33%)</w:t>
                            </w:r>
                          </w:p>
                        </w:tc>
                        <w:tc>
                          <w:tcPr>
                            <w:tcW w:w="2335" w:type="dxa"/>
                            <w:tcBorders>
                              <w:top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156, 34.14% (95%CI: 29.78%-38.48%),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0.0852</w:t>
                            </w:r>
                          </w:p>
                        </w:tc>
                        <w:tc>
                          <w:tcPr>
                            <w:tcW w:w="2321" w:type="dxa"/>
                            <w:tcBorders>
                              <w:top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90, 36% (95%CI: 30.05%-41.95%),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0.364</w:t>
                            </w:r>
                          </w:p>
                        </w:tc>
                        <w:tc>
                          <w:tcPr>
                            <w:tcW w:w="2146" w:type="dxa"/>
                            <w:tcBorders>
                              <w:top w:val="single" w:sz="6" w:space="0" w:color="000000"/>
                            </w:tcBorders>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spacing w:val="-3"/>
                                <w:kern w:val="0"/>
                                <w:sz w:val="14"/>
                                <w:szCs w:val="14"/>
                                <w:lang w:val="zh-CN"/>
                              </w:rPr>
                              <w:t>66, 31.88% (95%CI: 25.54%-38.23%),</w:t>
                            </w:r>
                            <w:r w:rsidRPr="0041797D">
                              <w:rPr>
                                <w:rFonts w:ascii="Book Antiqua" w:hAnsi="Book Antiqua" w:cs="Book Antiqua"/>
                                <w:bCs/>
                                <w:color w:val="000000"/>
                                <w:kern w:val="0"/>
                                <w:sz w:val="14"/>
                                <w:szCs w:val="14"/>
                                <w:lang w:val="zh-CN"/>
                              </w:rPr>
                              <w:t xml:space="preserve"> </w:t>
                            </w: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0.0571, PF = 11%</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77E3C" w:rsidRPr="0041797D">
                        <w:tblPrEx>
                          <w:tblCellMar>
                            <w:top w:w="0" w:type="dxa"/>
                            <w:left w:w="0" w:type="dxa"/>
                            <w:bottom w:w="0" w:type="dxa"/>
                            <w:right w:w="0" w:type="dxa"/>
                          </w:tblCellMar>
                        </w:tblPrEx>
                        <w:trPr>
                          <w:trHeight w:val="60"/>
                        </w:trPr>
                        <w:tc>
                          <w:tcPr>
                            <w:tcW w:w="960"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HLA-DQ2.5</w:t>
                            </w:r>
                          </w:p>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59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137, 23.74%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(95%CI: 20.27%-27.22%)</w:t>
                            </w:r>
                          </w:p>
                        </w:tc>
                        <w:tc>
                          <w:tcPr>
                            <w:tcW w:w="233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99, 21.66% (95%CI: 17.89%-25.44%),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0.381</w:t>
                            </w:r>
                          </w:p>
                        </w:tc>
                        <w:tc>
                          <w:tcPr>
                            <w:tcW w:w="2321"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65, 26.0% (95%CI: 20.6%-31.4%),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0.4879</w:t>
                            </w:r>
                          </w:p>
                        </w:tc>
                        <w:tc>
                          <w:tcPr>
                            <w:tcW w:w="2146"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spacing w:val="-3"/>
                                <w:kern w:val="0"/>
                                <w:sz w:val="14"/>
                                <w:szCs w:val="14"/>
                                <w:lang w:val="zh-CN"/>
                              </w:rPr>
                              <w:t xml:space="preserve">34, 16.43% (95%CI: 11.38%-21.47%), </w:t>
                            </w: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0.0287, PF = 8%</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77E3C" w:rsidRPr="0041797D">
                        <w:tblPrEx>
                          <w:tblCellMar>
                            <w:top w:w="0" w:type="dxa"/>
                            <w:left w:w="0" w:type="dxa"/>
                            <w:bottom w:w="0" w:type="dxa"/>
                            <w:right w:w="0" w:type="dxa"/>
                          </w:tblCellMar>
                        </w:tblPrEx>
                        <w:trPr>
                          <w:trHeight w:val="60"/>
                        </w:trPr>
                        <w:tc>
                          <w:tcPr>
                            <w:tcW w:w="960"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HLA-DQ8</w:t>
                            </w:r>
                          </w:p>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59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101, 17.50%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(95%CI: 14.40%-20.60%)</w:t>
                            </w:r>
                          </w:p>
                        </w:tc>
                        <w:tc>
                          <w:tcPr>
                            <w:tcW w:w="233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60, 13.13% (95%CI: 10.03%-16.23%),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0.054, PF = 5%</w:t>
                            </w:r>
                          </w:p>
                        </w:tc>
                        <w:tc>
                          <w:tcPr>
                            <w:tcW w:w="2321"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28,  11.20% (95%CI: 7.29%-15.11%),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0.0217, PF = 7%</w:t>
                            </w:r>
                          </w:p>
                        </w:tc>
                        <w:tc>
                          <w:tcPr>
                            <w:tcW w:w="2146"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spacing w:val="-3"/>
                                <w:kern w:val="0"/>
                                <w:sz w:val="14"/>
                                <w:szCs w:val="14"/>
                                <w:lang w:val="zh-CN"/>
                              </w:rPr>
                              <w:t>32, 15.46% (95%CI: 10.53%-20.38%),</w:t>
                            </w:r>
                            <w:r w:rsidRPr="0041797D">
                              <w:rPr>
                                <w:rFonts w:ascii="Book Antiqua" w:hAnsi="Book Antiqua" w:cs="Book Antiqua"/>
                                <w:bCs/>
                                <w:color w:val="000000"/>
                                <w:kern w:val="0"/>
                                <w:sz w:val="14"/>
                                <w:szCs w:val="14"/>
                                <w:lang w:val="zh-CN"/>
                              </w:rPr>
                              <w:t xml:space="preserve"> </w:t>
                            </w: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0.501</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77E3C" w:rsidRPr="0041797D">
                        <w:tblPrEx>
                          <w:tblCellMar>
                            <w:top w:w="0" w:type="dxa"/>
                            <w:left w:w="0" w:type="dxa"/>
                            <w:bottom w:w="0" w:type="dxa"/>
                            <w:right w:w="0" w:type="dxa"/>
                          </w:tblCellMar>
                        </w:tblPrEx>
                        <w:trPr>
                          <w:trHeight w:val="60"/>
                        </w:trPr>
                        <w:tc>
                          <w:tcPr>
                            <w:tcW w:w="960"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HLA-DQ2.2</w:t>
                            </w:r>
                          </w:p>
                          <w:p w:rsidR="00B77E3C" w:rsidRPr="0041797D" w:rsidRDefault="00B77E3C" w:rsidP="0041797D">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59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131, 22.70%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(95%CI: 19.29%-26.12%)</w:t>
                            </w:r>
                          </w:p>
                        </w:tc>
                        <w:tc>
                          <w:tcPr>
                            <w:tcW w:w="2335"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134, 29.32% (95%CI: 25.15%-33.50%),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0.022, EF = 9%</w:t>
                            </w:r>
                          </w:p>
                        </w:tc>
                        <w:tc>
                          <w:tcPr>
                            <w:tcW w:w="2321"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kern w:val="0"/>
                                <w:sz w:val="14"/>
                                <w:szCs w:val="14"/>
                                <w:lang w:val="zh-CN"/>
                              </w:rPr>
                              <w:t xml:space="preserve"> 85, 34% (95%CI: 28.13%-39.88%), </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0.001, EF = 15%</w:t>
                            </w:r>
                          </w:p>
                        </w:tc>
                        <w:tc>
                          <w:tcPr>
                            <w:tcW w:w="2146" w:type="dxa"/>
                            <w:tcMar>
                              <w:top w:w="28" w:type="dxa"/>
                              <w:left w:w="28" w:type="dxa"/>
                              <w:bottom w:w="28" w:type="dxa"/>
                              <w:right w:w="28" w:type="dxa"/>
                            </w:tcMar>
                          </w:tcPr>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1797D">
                              <w:rPr>
                                <w:rFonts w:ascii="Book Antiqua" w:hAnsi="Book Antiqua" w:cs="Book Antiqua"/>
                                <w:bCs/>
                                <w:color w:val="000000"/>
                                <w:spacing w:val="-3"/>
                                <w:kern w:val="0"/>
                                <w:sz w:val="14"/>
                                <w:szCs w:val="14"/>
                                <w:lang w:val="zh-CN"/>
                              </w:rPr>
                              <w:t>49, 23.67% (95%CI: 17.88%-29.46%),</w:t>
                            </w:r>
                            <w:r w:rsidRPr="0041797D">
                              <w:rPr>
                                <w:rFonts w:ascii="Book Antiqua" w:hAnsi="Book Antiqua" w:cs="Book Antiqua"/>
                                <w:bCs/>
                                <w:color w:val="000000"/>
                                <w:kern w:val="0"/>
                                <w:sz w:val="14"/>
                                <w:szCs w:val="14"/>
                                <w:lang w:val="zh-CN"/>
                              </w:rPr>
                              <w:t xml:space="preserve"> </w:t>
                            </w:r>
                            <w:r w:rsidRPr="0041797D">
                              <w:rPr>
                                <w:rFonts w:ascii="Book Antiqua" w:hAnsi="Book Antiqua" w:cs="Book Antiqua"/>
                                <w:i/>
                                <w:iCs/>
                                <w:color w:val="000000"/>
                                <w:kern w:val="0"/>
                                <w:sz w:val="14"/>
                                <w:szCs w:val="14"/>
                                <w:lang w:val="zh-CN"/>
                              </w:rPr>
                              <w:t>P</w:t>
                            </w:r>
                            <w:r w:rsidRPr="0041797D">
                              <w:rPr>
                                <w:rFonts w:ascii="Book Antiqua" w:hAnsi="Book Antiqua" w:cs="Book Antiqua"/>
                                <w:bCs/>
                                <w:color w:val="000000"/>
                                <w:kern w:val="0"/>
                                <w:sz w:val="14"/>
                                <w:szCs w:val="14"/>
                                <w:lang w:val="zh-CN"/>
                              </w:rPr>
                              <w:t xml:space="preserve"> = 0.856</w:t>
                            </w:r>
                          </w:p>
                          <w:p w:rsidR="00B77E3C" w:rsidRPr="0041797D" w:rsidRDefault="00B77E3C" w:rsidP="0041797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77E3C" w:rsidRPr="00EE2D76" w:rsidRDefault="00B77E3C" w:rsidP="00B77E3C">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41797D">
                        <w:rPr>
                          <w:rFonts w:ascii="Book Antiqua" w:hAnsi="Book Antiqua" w:cs="Book Antiqua"/>
                          <w:bCs/>
                          <w:color w:val="000000"/>
                          <w:kern w:val="0"/>
                          <w:sz w:val="14"/>
                          <w:szCs w:val="14"/>
                        </w:rPr>
                        <w:t>HLA: Human leucocyte antigen; PF: Preventive fraction.</w:t>
                      </w:r>
                    </w:p>
                  </w:txbxContent>
                </v:textbox>
                <w10:wrap type="square"/>
              </v:shape>
            </w:pict>
          </mc:Fallback>
        </mc:AlternateContent>
      </w:r>
    </w:p>
    <w:p w:rsidR="00B77E3C" w:rsidRPr="00B657F9" w:rsidRDefault="00B77E3C" w:rsidP="00B657F9"/>
    <w:sectPr w:rsidR="00B77E3C" w:rsidRPr="00B657F9"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43" w:rsidRDefault="00931943">
      <w:r>
        <w:separator/>
      </w:r>
    </w:p>
  </w:endnote>
  <w:endnote w:type="continuationSeparator" w:id="0">
    <w:p w:rsidR="00931943" w:rsidRDefault="0093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KozMinPro-Regular">
    <w:altName w:val="MS Mincho"/>
    <w:panose1 w:val="00000000000000000000"/>
    <w:charset w:val="80"/>
    <w:family w:val="auto"/>
    <w:notTrueType/>
    <w:pitch w:val="default"/>
    <w:sig w:usb0="00000001"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B77E3C">
          <w:rPr>
            <w:noProof/>
          </w:rPr>
          <w:t>14</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43" w:rsidRDefault="00931943">
      <w:r>
        <w:separator/>
      </w:r>
    </w:p>
  </w:footnote>
  <w:footnote w:type="continuationSeparator" w:id="0">
    <w:p w:rsidR="00931943" w:rsidRDefault="0093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1943"/>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77E3C"/>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26971"/>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rsid w:val="00B77E3C"/>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rsid w:val="00B77E3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B77E3C"/>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6">
    <w:name w:val="表头"/>
    <w:basedOn w:val="NormalParagraphStyle"/>
    <w:rsid w:val="00B77E3C"/>
    <w:pPr>
      <w:suppressAutoHyphens/>
      <w:textAlignment w:val="center"/>
    </w:pPr>
    <w:rPr>
      <w:rFonts w:ascii="Albertus" w:hAnsi="Albertus" w:cs="Albertus"/>
      <w:b/>
      <w:bCs/>
      <w:sz w:val="14"/>
      <w:szCs w:val="14"/>
    </w:rPr>
  </w:style>
  <w:style w:type="paragraph" w:customStyle="1" w:styleId="af7">
    <w:name w:val="表格中文字"/>
    <w:basedOn w:val="a"/>
    <w:rsid w:val="00B77E3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rsid w:val="00B77E3C"/>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rsid w:val="00B77E3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B77E3C"/>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6">
    <w:name w:val="表头"/>
    <w:basedOn w:val="NormalParagraphStyle"/>
    <w:rsid w:val="00B77E3C"/>
    <w:pPr>
      <w:suppressAutoHyphens/>
      <w:textAlignment w:val="center"/>
    </w:pPr>
    <w:rPr>
      <w:rFonts w:ascii="Albertus" w:hAnsi="Albertus" w:cs="Albertus"/>
      <w:b/>
      <w:bCs/>
      <w:sz w:val="14"/>
      <w:szCs w:val="14"/>
    </w:rPr>
  </w:style>
  <w:style w:type="paragraph" w:customStyle="1" w:styleId="af7">
    <w:name w:val="表格中文字"/>
    <w:basedOn w:val="a"/>
    <w:rsid w:val="00B77E3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12CA-40FC-4442-A9D6-9614BB86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6545</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111</cp:revision>
  <cp:lastPrinted>2017-07-31T17:15:00Z</cp:lastPrinted>
  <dcterms:created xsi:type="dcterms:W3CDTF">2017-06-13T15:12:00Z</dcterms:created>
  <dcterms:modified xsi:type="dcterms:W3CDTF">2018-01-06T12:33:00Z</dcterms:modified>
</cp:coreProperties>
</file>