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37C50" w:rsidRDefault="00153CFC">
            <w:pPr>
              <w:spacing w:line="360" w:lineRule="auto"/>
              <w:rPr>
                <w:rFonts w:ascii="Book Antiqua" w:hAnsi="Book Antiqua"/>
                <w:color w:val="000000"/>
                <w:sz w:val="24"/>
                <w:szCs w:val="24"/>
              </w:rPr>
            </w:pPr>
            <w:r>
              <w:rPr>
                <w:rFonts w:ascii="Book Antiqua" w:hAnsi="Book Antiqua"/>
                <w:color w:val="000000"/>
                <w:sz w:val="24"/>
                <w:szCs w:val="24"/>
              </w:rPr>
              <w:t xml:space="preserve">Maintenance for healed erosive esophagitis: Phase Ⅲ comparison of </w:t>
            </w:r>
            <w:proofErr w:type="spellStart"/>
            <w:r>
              <w:rPr>
                <w:rFonts w:ascii="Book Antiqua" w:hAnsi="Book Antiqua"/>
                <w:color w:val="000000"/>
                <w:sz w:val="24"/>
                <w:szCs w:val="24"/>
              </w:rPr>
              <w:t>vono</w:t>
            </w:r>
            <w:bookmarkStart w:id="0" w:name="_GoBack"/>
            <w:bookmarkEnd w:id="0"/>
            <w:r>
              <w:rPr>
                <w:rFonts w:ascii="Book Antiqua" w:hAnsi="Book Antiqua"/>
                <w:color w:val="000000"/>
                <w:sz w:val="24"/>
                <w:szCs w:val="24"/>
              </w:rPr>
              <w:t>prazan</w:t>
            </w:r>
            <w:proofErr w:type="spellEnd"/>
            <w:r>
              <w:rPr>
                <w:rFonts w:ascii="Book Antiqua" w:hAnsi="Book Antiqua"/>
                <w:color w:val="000000"/>
                <w:sz w:val="24"/>
                <w:szCs w:val="24"/>
              </w:rPr>
              <w:t xml:space="preserve"> with </w:t>
            </w:r>
            <w:proofErr w:type="spellStart"/>
            <w:r>
              <w:rPr>
                <w:rFonts w:ascii="Book Antiqua" w:hAnsi="Book Antiqua"/>
                <w:color w:val="000000"/>
                <w:sz w:val="24"/>
                <w:szCs w:val="24"/>
              </w:rPr>
              <w:t>lansoprazole</w:t>
            </w:r>
            <w:proofErr w:type="spellEnd"/>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37C50" w:rsidRDefault="00153CFC">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Kiyoshi </w:t>
            </w:r>
            <w:proofErr w:type="spellStart"/>
            <w:r>
              <w:rPr>
                <w:rFonts w:ascii="Book Antiqua" w:hAnsi="Book Antiqua" w:cs="Book Antiqua"/>
                <w:color w:val="000000"/>
                <w:sz w:val="24"/>
                <w:szCs w:val="24"/>
              </w:rPr>
              <w:t>Ashida</w:t>
            </w:r>
            <w:proofErr w:type="spellEnd"/>
            <w:r>
              <w:rPr>
                <w:rFonts w:ascii="Book Antiqua" w:hAnsi="Book Antiqua" w:cs="Book Antiqua"/>
                <w:color w:val="000000"/>
                <w:sz w:val="24"/>
                <w:szCs w:val="24"/>
              </w:rPr>
              <w:t xml:space="preserve">, </w:t>
            </w:r>
            <w:r>
              <w:rPr>
                <w:rFonts w:ascii="Book Antiqua" w:hAnsi="Book Antiqua" w:cs="Book Antiqua"/>
                <w:color w:val="000000"/>
                <w:sz w:val="24"/>
                <w:szCs w:val="24"/>
              </w:rPr>
              <w:t xml:space="preserve">Katsuhiko </w:t>
            </w:r>
            <w:proofErr w:type="spellStart"/>
            <w:r>
              <w:rPr>
                <w:rFonts w:ascii="Book Antiqua" w:hAnsi="Book Antiqua" w:cs="Book Antiqua"/>
                <w:color w:val="000000"/>
                <w:sz w:val="24"/>
                <w:szCs w:val="24"/>
              </w:rPr>
              <w:t>Iwakiri</w:t>
            </w:r>
            <w:proofErr w:type="spellEnd"/>
            <w:r>
              <w:rPr>
                <w:rFonts w:ascii="Book Antiqua" w:hAnsi="Book Antiqua" w:cs="Book Antiqua"/>
                <w:color w:val="000000"/>
                <w:sz w:val="24"/>
                <w:szCs w:val="24"/>
              </w:rPr>
              <w:t xml:space="preserve">, Naoki </w:t>
            </w:r>
            <w:proofErr w:type="spellStart"/>
            <w:r>
              <w:rPr>
                <w:rFonts w:ascii="Book Antiqua" w:hAnsi="Book Antiqua" w:cs="Book Antiqua"/>
                <w:color w:val="000000"/>
                <w:sz w:val="24"/>
                <w:szCs w:val="24"/>
              </w:rPr>
              <w:t>Hiramatsu</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Yuuichi</w:t>
            </w:r>
            <w:proofErr w:type="spellEnd"/>
            <w:r>
              <w:rPr>
                <w:rFonts w:ascii="Book Antiqua" w:hAnsi="Book Antiqua" w:cs="Book Antiqua"/>
                <w:color w:val="000000"/>
                <w:sz w:val="24"/>
                <w:szCs w:val="24"/>
              </w:rPr>
              <w:t xml:space="preserve"> Sakurai, </w:t>
            </w:r>
            <w:proofErr w:type="spellStart"/>
            <w:r>
              <w:rPr>
                <w:rFonts w:ascii="Book Antiqua" w:hAnsi="Book Antiqua" w:cs="Book Antiqua"/>
                <w:color w:val="000000"/>
                <w:sz w:val="24"/>
                <w:szCs w:val="24"/>
              </w:rPr>
              <w:t>Tetsuharu</w:t>
            </w:r>
            <w:proofErr w:type="spellEnd"/>
            <w:r>
              <w:rPr>
                <w:rFonts w:ascii="Book Antiqua" w:hAnsi="Book Antiqua" w:cs="Book Antiqua"/>
                <w:color w:val="000000"/>
                <w:sz w:val="24"/>
                <w:szCs w:val="24"/>
              </w:rPr>
              <w:t xml:space="preserve"> Hori, </w:t>
            </w:r>
            <w:proofErr w:type="spellStart"/>
            <w:r>
              <w:rPr>
                <w:rFonts w:ascii="Book Antiqua" w:hAnsi="Book Antiqua" w:cs="Book Antiqua"/>
                <w:color w:val="000000"/>
                <w:sz w:val="24"/>
                <w:szCs w:val="24"/>
              </w:rPr>
              <w:t>Kentarou</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Kudou</w:t>
            </w:r>
            <w:proofErr w:type="spellEnd"/>
            <w:r>
              <w:rPr>
                <w:rFonts w:ascii="Book Antiqua" w:hAnsi="Book Antiqua" w:cs="Book Antiqua"/>
                <w:color w:val="000000"/>
                <w:sz w:val="24"/>
                <w:szCs w:val="24"/>
              </w:rPr>
              <w:t xml:space="preserve">, Akira Nishimura and </w:t>
            </w:r>
            <w:proofErr w:type="spellStart"/>
            <w:r>
              <w:rPr>
                <w:rFonts w:ascii="Book Antiqua" w:hAnsi="Book Antiqua" w:cs="Book Antiqua"/>
                <w:color w:val="000000"/>
                <w:sz w:val="24"/>
                <w:szCs w:val="24"/>
              </w:rPr>
              <w:t>Eiji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Umegaki</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737C50" w:rsidRDefault="00153CFC">
            <w:pPr>
              <w:pStyle w:val="af4"/>
              <w:spacing w:line="360" w:lineRule="auto"/>
              <w:rPr>
                <w:rFonts w:ascii="Book Antiqua" w:hAnsi="Book Antiqua"/>
                <w:sz w:val="24"/>
                <w:szCs w:val="24"/>
                <w:lang w:val="zh-CN"/>
              </w:rPr>
            </w:pPr>
            <w:proofErr w:type="spellStart"/>
            <w:r w:rsidRPr="008F3BB2">
              <w:rPr>
                <w:rFonts w:ascii="Book Antiqua" w:hAnsi="Book Antiqua"/>
                <w:sz w:val="24"/>
                <w:szCs w:val="24"/>
              </w:rPr>
              <w:t>Ashida</w:t>
            </w:r>
            <w:proofErr w:type="spellEnd"/>
            <w:r w:rsidRPr="008F3BB2">
              <w:rPr>
                <w:rFonts w:ascii="Book Antiqua" w:hAnsi="Book Antiqua"/>
                <w:sz w:val="24"/>
                <w:szCs w:val="24"/>
              </w:rPr>
              <w:t xml:space="preserve"> K, </w:t>
            </w:r>
            <w:proofErr w:type="spellStart"/>
            <w:r w:rsidRPr="008F3BB2">
              <w:rPr>
                <w:rFonts w:ascii="Book Antiqua" w:hAnsi="Book Antiqua"/>
                <w:sz w:val="24"/>
                <w:szCs w:val="24"/>
              </w:rPr>
              <w:t>Iwakiri</w:t>
            </w:r>
            <w:proofErr w:type="spellEnd"/>
            <w:r w:rsidRPr="008F3BB2">
              <w:rPr>
                <w:rFonts w:ascii="Book Antiqua" w:hAnsi="Book Antiqua"/>
                <w:sz w:val="24"/>
                <w:szCs w:val="24"/>
              </w:rPr>
              <w:t xml:space="preserve"> K, </w:t>
            </w:r>
            <w:proofErr w:type="spellStart"/>
            <w:r w:rsidRPr="008F3BB2">
              <w:rPr>
                <w:rFonts w:ascii="Book Antiqua" w:hAnsi="Book Antiqua"/>
                <w:sz w:val="24"/>
                <w:szCs w:val="24"/>
              </w:rPr>
              <w:t>Hiramatsu</w:t>
            </w:r>
            <w:proofErr w:type="spellEnd"/>
            <w:r w:rsidRPr="008F3BB2">
              <w:rPr>
                <w:rFonts w:ascii="Book Antiqua" w:hAnsi="Book Antiqua"/>
                <w:sz w:val="24"/>
                <w:szCs w:val="24"/>
              </w:rPr>
              <w:t xml:space="preserve"> N, Sakurai Y, Hori T, </w:t>
            </w:r>
            <w:proofErr w:type="spellStart"/>
            <w:r w:rsidRPr="008F3BB2">
              <w:rPr>
                <w:rFonts w:ascii="Book Antiqua" w:hAnsi="Book Antiqua"/>
                <w:sz w:val="24"/>
                <w:szCs w:val="24"/>
              </w:rPr>
              <w:t>Kudou</w:t>
            </w:r>
            <w:proofErr w:type="spellEnd"/>
            <w:r w:rsidRPr="008F3BB2">
              <w:rPr>
                <w:rFonts w:ascii="Book Antiqua" w:hAnsi="Book Antiqua"/>
                <w:sz w:val="24"/>
                <w:szCs w:val="24"/>
              </w:rPr>
              <w:t xml:space="preserve"> K, Nishimura A, </w:t>
            </w:r>
            <w:proofErr w:type="spellStart"/>
            <w:proofErr w:type="gramStart"/>
            <w:r w:rsidRPr="008F3BB2">
              <w:rPr>
                <w:rFonts w:ascii="Book Antiqua" w:hAnsi="Book Antiqua"/>
                <w:sz w:val="24"/>
                <w:szCs w:val="24"/>
              </w:rPr>
              <w:t>Umegaki</w:t>
            </w:r>
            <w:proofErr w:type="spellEnd"/>
            <w:proofErr w:type="gramEnd"/>
            <w:r w:rsidRPr="008F3BB2">
              <w:rPr>
                <w:rFonts w:ascii="Book Antiqua" w:hAnsi="Book Antiqua"/>
                <w:sz w:val="24"/>
                <w:szCs w:val="24"/>
              </w:rPr>
              <w:t xml:space="preserve"> E. Maintenance for healed erosive </w:t>
            </w:r>
            <w:r w:rsidRPr="008F3BB2">
              <w:rPr>
                <w:rFonts w:ascii="Book Antiqua" w:hAnsi="Book Antiqua"/>
                <w:sz w:val="24"/>
                <w:szCs w:val="24"/>
              </w:rPr>
              <w:t xml:space="preserve">esophagitis: Phase Ⅲ comparison of </w:t>
            </w:r>
            <w:proofErr w:type="spellStart"/>
            <w:r w:rsidRPr="008F3BB2">
              <w:rPr>
                <w:rFonts w:ascii="Book Antiqua" w:hAnsi="Book Antiqua"/>
                <w:sz w:val="24"/>
                <w:szCs w:val="24"/>
              </w:rPr>
              <w:t>vonoprazan</w:t>
            </w:r>
            <w:proofErr w:type="spellEnd"/>
            <w:r w:rsidRPr="008F3BB2">
              <w:rPr>
                <w:rFonts w:ascii="Book Antiqua" w:hAnsi="Book Antiqua"/>
                <w:sz w:val="24"/>
                <w:szCs w:val="24"/>
              </w:rPr>
              <w:t xml:space="preserve"> with </w:t>
            </w:r>
            <w:proofErr w:type="spellStart"/>
            <w:r w:rsidRPr="008F3BB2">
              <w:rPr>
                <w:rFonts w:ascii="Book Antiqua" w:hAnsi="Book Antiqua"/>
                <w:sz w:val="24"/>
                <w:szCs w:val="24"/>
              </w:rPr>
              <w:t>lansoprazole</w:t>
            </w:r>
            <w:proofErr w:type="spellEnd"/>
            <w:r w:rsidRPr="008F3BB2">
              <w:rPr>
                <w:rFonts w:ascii="Book Antiqua" w:hAnsi="Book Antiqua"/>
                <w:sz w:val="24"/>
                <w:szCs w:val="24"/>
              </w:rPr>
              <w:t xml:space="preserve">. </w:t>
            </w:r>
            <w:r>
              <w:rPr>
                <w:rFonts w:ascii="Book Antiqua" w:hAnsi="Book Antiqua"/>
                <w:sz w:val="24"/>
                <w:szCs w:val="24"/>
                <w:lang w:val="zh-CN"/>
              </w:rPr>
              <w:t>World J Gastroenterol 2018; 24(14): 1550-1561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737C50" w:rsidRDefault="00153CFC">
            <w:pPr>
              <w:pStyle w:val="af3"/>
              <w:spacing w:line="360" w:lineRule="auto"/>
              <w:rPr>
                <w:rFonts w:ascii="Book Antiqua" w:hAnsi="Book Antiqua"/>
                <w:b w:val="0"/>
                <w:bCs w:val="0"/>
                <w:sz w:val="24"/>
                <w:szCs w:val="24"/>
                <w:lang w:val="en-US"/>
              </w:rPr>
            </w:pPr>
            <w:r w:rsidRPr="008F3BB2">
              <w:rPr>
                <w:rFonts w:ascii="Book Antiqua" w:hAnsi="Book Antiqua"/>
                <w:b w:val="0"/>
                <w:sz w:val="24"/>
                <w:szCs w:val="24"/>
                <w:lang w:val="en-US"/>
              </w:rPr>
              <w:t>http://www.wjgnet.com/1007-9327/full/v24/i14/1550.htm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737C50" w:rsidRDefault="00153CFC">
            <w:pPr>
              <w:pStyle w:val="af3"/>
              <w:spacing w:line="360" w:lineRule="auto"/>
              <w:rPr>
                <w:rFonts w:ascii="Book Antiqua" w:hAnsi="Book Antiqua"/>
                <w:b w:val="0"/>
                <w:bCs w:val="0"/>
                <w:sz w:val="24"/>
                <w:szCs w:val="24"/>
                <w:lang w:val="en-US"/>
              </w:rPr>
            </w:pPr>
            <w:r w:rsidRPr="008F3BB2">
              <w:rPr>
                <w:rFonts w:ascii="Book Antiqua" w:hAnsi="Book Antiqua"/>
                <w:b w:val="0"/>
                <w:sz w:val="24"/>
                <w:szCs w:val="24"/>
                <w:lang w:val="en-US"/>
              </w:rPr>
              <w:t>http://dx.doi.org/10.3748/wjg.v24.i14.1550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737C50" w:rsidRDefault="00153CFC">
            <w:pPr>
              <w:pStyle w:val="ad"/>
              <w:spacing w:line="360" w:lineRule="auto"/>
              <w:rPr>
                <w:rFonts w:ascii="Book Antiqua" w:hAnsi="Book Antiqua"/>
                <w:color w:val="000000"/>
                <w:sz w:val="24"/>
                <w:szCs w:val="24"/>
                <w:lang w:val="zh-CN"/>
              </w:rPr>
            </w:pPr>
            <w:r w:rsidRPr="008F3BB2">
              <w:rPr>
                <w:rFonts w:ascii="Book Antiqua" w:hAnsi="Book Antiqua"/>
                <w:color w:val="000000"/>
                <w:sz w:val="24"/>
                <w:szCs w:val="24"/>
              </w:rPr>
              <w:t xml:space="preserve">This article is an </w:t>
            </w:r>
            <w:r w:rsidRPr="008F3BB2">
              <w:rPr>
                <w:rFonts w:ascii="Book Antiqua" w:hAnsi="Book Antiqua"/>
                <w:color w:val="000000"/>
                <w:sz w:val="24"/>
                <w:szCs w:val="24"/>
              </w:rPr>
              <w:t>open-access article which was selected by an in-house editor and fully peer-reviewed by external reviewers. It is distributed in accordance with the Creative Commons Attribution Non Commercial (CC BY-NC 4.0) license, which permits others to distribute, rem</w:t>
            </w:r>
            <w:r w:rsidRPr="008F3BB2">
              <w:rPr>
                <w:rFonts w:ascii="Book Antiqua" w:hAnsi="Book Antiqua"/>
                <w:color w:val="000000"/>
                <w:sz w:val="24"/>
                <w:szCs w:val="24"/>
              </w:rPr>
              <w:t xml:space="preserve">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737C50" w:rsidRDefault="00153CFC">
            <w:pPr>
              <w:pStyle w:val="E-1"/>
              <w:spacing w:line="360" w:lineRule="auto"/>
              <w:rPr>
                <w:rFonts w:ascii="Book Antiqua" w:hAnsi="Book Antiqua"/>
                <w:bCs/>
                <w:sz w:val="24"/>
                <w:szCs w:val="24"/>
              </w:rPr>
            </w:pPr>
            <w:r>
              <w:rPr>
                <w:rFonts w:ascii="Book Antiqua" w:hAnsi="Book Antiqua"/>
                <w:sz w:val="24"/>
                <w:szCs w:val="24"/>
              </w:rPr>
              <w:t xml:space="preserve">Proton pump </w:t>
            </w:r>
            <w:r>
              <w:rPr>
                <w:rFonts w:ascii="Book Antiqua" w:hAnsi="Book Antiqua"/>
                <w:sz w:val="24"/>
                <w:szCs w:val="24"/>
              </w:rPr>
              <w:t>inhibitors (</w:t>
            </w:r>
            <w:proofErr w:type="spellStart"/>
            <w:r>
              <w:rPr>
                <w:rFonts w:ascii="Book Antiqua" w:hAnsi="Book Antiqua"/>
                <w:sz w:val="24"/>
                <w:szCs w:val="24"/>
              </w:rPr>
              <w:t>PPIs</w:t>
            </w:r>
            <w:proofErr w:type="spellEnd"/>
            <w:r>
              <w:rPr>
                <w:rFonts w:ascii="Book Antiqua" w:hAnsi="Book Antiqua"/>
                <w:sz w:val="24"/>
                <w:szCs w:val="24"/>
              </w:rPr>
              <w:t xml:space="preserve">), including </w:t>
            </w:r>
            <w:proofErr w:type="spellStart"/>
            <w:r>
              <w:rPr>
                <w:rFonts w:ascii="Book Antiqua" w:hAnsi="Book Antiqua"/>
                <w:sz w:val="24"/>
                <w:szCs w:val="24"/>
              </w:rPr>
              <w:t>lanso­prazole</w:t>
            </w:r>
            <w:proofErr w:type="spellEnd"/>
            <w:r>
              <w:rPr>
                <w:rFonts w:ascii="Book Antiqua" w:hAnsi="Book Antiqua"/>
                <w:sz w:val="24"/>
                <w:szCs w:val="24"/>
              </w:rPr>
              <w:t xml:space="preserve">, are </w:t>
            </w:r>
            <w:r>
              <w:rPr>
                <w:rFonts w:ascii="Book Antiqua" w:hAnsi="Book Antiqua"/>
                <w:sz w:val="24"/>
                <w:szCs w:val="24"/>
              </w:rPr>
              <w:lastRenderedPageBreak/>
              <w:t xml:space="preserve">widely used to maintain healing of erosive esophagitis (EE) in patients with </w:t>
            </w:r>
            <w:proofErr w:type="spellStart"/>
            <w:r>
              <w:rPr>
                <w:rFonts w:ascii="Book Antiqua" w:hAnsi="Book Antiqua"/>
                <w:sz w:val="24"/>
                <w:szCs w:val="24"/>
              </w:rPr>
              <w:t>gastroesophageal</w:t>
            </w:r>
            <w:proofErr w:type="spellEnd"/>
            <w:r>
              <w:rPr>
                <w:rFonts w:ascii="Book Antiqua" w:hAnsi="Book Antiqua"/>
                <w:sz w:val="24"/>
                <w:szCs w:val="24"/>
              </w:rPr>
              <w:t xml:space="preserve"> reflux disease; however, symptoms of reflux persist in significant numbers of patients treated with </w:t>
            </w:r>
            <w:proofErr w:type="spellStart"/>
            <w:r>
              <w:rPr>
                <w:rFonts w:ascii="Book Antiqua" w:hAnsi="Book Antiqua"/>
                <w:sz w:val="24"/>
                <w:szCs w:val="24"/>
              </w:rPr>
              <w:t>PPIs</w:t>
            </w:r>
            <w:proofErr w:type="spellEnd"/>
            <w:r>
              <w:rPr>
                <w:rFonts w:ascii="Book Antiqua" w:hAnsi="Book Antiqua"/>
                <w:sz w:val="24"/>
                <w:szCs w:val="24"/>
              </w:rPr>
              <w:t>. We compa</w:t>
            </w:r>
            <w:r>
              <w:rPr>
                <w:rFonts w:ascii="Book Antiqua" w:hAnsi="Book Antiqua"/>
                <w:sz w:val="24"/>
                <w:szCs w:val="24"/>
              </w:rPr>
              <w:t xml:space="preserve">red two doses of the novel potassium-competitive acid blocker </w:t>
            </w:r>
            <w:proofErr w:type="spellStart"/>
            <w:r>
              <w:rPr>
                <w:rFonts w:ascii="Book Antiqua" w:hAnsi="Book Antiqua"/>
                <w:sz w:val="24"/>
                <w:szCs w:val="24"/>
              </w:rPr>
              <w:t>vonoprazan</w:t>
            </w:r>
            <w:proofErr w:type="spellEnd"/>
            <w:r>
              <w:rPr>
                <w:rFonts w:ascii="Book Antiqua" w:hAnsi="Book Antiqua"/>
                <w:sz w:val="24"/>
                <w:szCs w:val="24"/>
              </w:rPr>
              <w:t xml:space="preserve"> (10 and 20 mg once daily) with </w:t>
            </w:r>
            <w:proofErr w:type="spellStart"/>
            <w:r>
              <w:rPr>
                <w:rFonts w:ascii="Book Antiqua" w:hAnsi="Book Antiqua"/>
                <w:sz w:val="24"/>
                <w:szCs w:val="24"/>
              </w:rPr>
              <w:t>lansoprazole</w:t>
            </w:r>
            <w:proofErr w:type="spellEnd"/>
            <w:r>
              <w:rPr>
                <w:rFonts w:ascii="Book Antiqua" w:hAnsi="Book Antiqua"/>
                <w:sz w:val="24"/>
                <w:szCs w:val="24"/>
              </w:rPr>
              <w:t xml:space="preserve"> at its approved dose of 15 mg once daily as maintenance therapy for healed EE in 607 Japanese patients. </w:t>
            </w:r>
            <w:proofErr w:type="spellStart"/>
            <w:r>
              <w:rPr>
                <w:rFonts w:ascii="Book Antiqua" w:hAnsi="Book Antiqua"/>
                <w:sz w:val="24"/>
                <w:szCs w:val="24"/>
              </w:rPr>
              <w:t>Vonoprazan</w:t>
            </w:r>
            <w:proofErr w:type="spellEnd"/>
            <w:r>
              <w:rPr>
                <w:rFonts w:ascii="Book Antiqua" w:hAnsi="Book Antiqua"/>
                <w:sz w:val="24"/>
                <w:szCs w:val="24"/>
              </w:rPr>
              <w:t xml:space="preserve"> was shown to be non-infe</w:t>
            </w:r>
            <w:r>
              <w:rPr>
                <w:rFonts w:ascii="Book Antiqua" w:hAnsi="Book Antiqua"/>
                <w:sz w:val="24"/>
                <w:szCs w:val="24"/>
              </w:rPr>
              <w:t xml:space="preserve">rior to </w:t>
            </w:r>
            <w:proofErr w:type="spellStart"/>
            <w:r>
              <w:rPr>
                <w:rFonts w:ascii="Book Antiqua" w:hAnsi="Book Antiqua"/>
                <w:sz w:val="24"/>
                <w:szCs w:val="24"/>
              </w:rPr>
              <w:t>lansoprazole</w:t>
            </w:r>
            <w:proofErr w:type="spellEnd"/>
            <w:r>
              <w:rPr>
                <w:rFonts w:ascii="Book Antiqua" w:hAnsi="Book Antiqua"/>
                <w:sz w:val="24"/>
                <w:szCs w:val="24"/>
              </w:rPr>
              <w:t xml:space="preserve"> 15 mg at both investigated doses, while demonstrating a similar safety profile.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737C50" w:rsidRDefault="00153CFC">
            <w:pPr>
              <w:pStyle w:val="E-1"/>
              <w:spacing w:line="360" w:lineRule="auto"/>
              <w:rPr>
                <w:rFonts w:ascii="Book Antiqua" w:hAnsi="Book Antiqua"/>
                <w:spacing w:val="-4"/>
                <w:sz w:val="24"/>
                <w:szCs w:val="24"/>
              </w:rPr>
            </w:pPr>
            <w:proofErr w:type="spellStart"/>
            <w:r>
              <w:rPr>
                <w:rFonts w:ascii="Book Antiqua" w:hAnsi="Book Antiqua"/>
                <w:sz w:val="24"/>
                <w:szCs w:val="24"/>
              </w:rPr>
              <w:t>Gastroesophageal</w:t>
            </w:r>
            <w:proofErr w:type="spellEnd"/>
            <w:r>
              <w:rPr>
                <w:rFonts w:ascii="Book Antiqua" w:hAnsi="Book Antiqua"/>
                <w:sz w:val="24"/>
                <w:szCs w:val="24"/>
              </w:rPr>
              <w:t xml:space="preserve"> reflux disease, Erosive esophagitis, </w:t>
            </w:r>
            <w:proofErr w:type="spellStart"/>
            <w:r>
              <w:rPr>
                <w:rFonts w:ascii="Book Antiqua" w:hAnsi="Book Antiqua"/>
                <w:sz w:val="24"/>
                <w:szCs w:val="24"/>
              </w:rPr>
              <w:t>Lansoprazole</w:t>
            </w:r>
            <w:proofErr w:type="spellEnd"/>
            <w:r>
              <w:rPr>
                <w:rFonts w:ascii="Book Antiqua" w:hAnsi="Book Antiqua"/>
                <w:sz w:val="24"/>
                <w:szCs w:val="24"/>
              </w:rPr>
              <w:t xml:space="preserve">, Potassium-competitive acid blockers, </w:t>
            </w:r>
            <w:proofErr w:type="spellStart"/>
            <w:r>
              <w:rPr>
                <w:rFonts w:ascii="Book Antiqua" w:hAnsi="Book Antiqua"/>
                <w:sz w:val="24"/>
                <w:szCs w:val="24"/>
              </w:rPr>
              <w:t>Vonoprazan</w:t>
            </w:r>
            <w:proofErr w:type="spellEnd"/>
            <w:r>
              <w:rPr>
                <w:rFonts w:ascii="Book Antiqua" w:hAnsi="Book Antiqua"/>
                <w:sz w:val="24"/>
                <w:szCs w:val="24"/>
              </w:rPr>
              <w:t>,  and Maintenance therapy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737C50" w:rsidRDefault="00153CFC">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37C50" w:rsidRDefault="00153CFC">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37C50" w:rsidRDefault="00153CFC">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37C50" w:rsidRDefault="00153CFC">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w:t>
            </w:r>
            <w:r>
              <w:rPr>
                <w:rFonts w:ascii="Book Antiqua" w:hAnsi="Book Antiqua"/>
                <w:color w:val="000000"/>
                <w:sz w:val="24"/>
                <w:szCs w:val="24"/>
              </w:rPr>
              <w:t xml:space="preserve">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37C50" w:rsidRDefault="00153CFC">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8F3BB2" w:rsidRDefault="008F3BB2" w:rsidP="00B657F9">
      <w:pPr>
        <w:rPr>
          <w:rFonts w:hint="eastAsia"/>
        </w:rPr>
      </w:pPr>
    </w:p>
    <w:p w:rsidR="008F3BB2" w:rsidRDefault="008F3BB2" w:rsidP="00B657F9">
      <w:pPr>
        <w:rPr>
          <w:rFonts w:hint="eastAsia"/>
        </w:rPr>
      </w:pPr>
    </w:p>
    <w:p w:rsidR="008F3BB2" w:rsidRDefault="008F3BB2" w:rsidP="00B657F9">
      <w:pPr>
        <w:rPr>
          <w:rFonts w:hint="eastAsia"/>
        </w:rPr>
      </w:pPr>
    </w:p>
    <w:p w:rsidR="008F3BB2" w:rsidRDefault="008F3BB2" w:rsidP="00B657F9">
      <w:pPr>
        <w:rPr>
          <w:rFonts w:hint="eastAsia"/>
        </w:rPr>
      </w:pPr>
    </w:p>
    <w:p w:rsidR="008F3BB2" w:rsidRPr="000F3ABF" w:rsidRDefault="008F3BB2" w:rsidP="008F3BB2">
      <w:pPr>
        <w:rPr>
          <w:b/>
          <w:bCs/>
        </w:rPr>
      </w:pPr>
      <w:r>
        <w:lastRenderedPageBreak/>
        <w:t xml:space="preserve">Ms. </w:t>
      </w:r>
      <w:proofErr w:type="spellStart"/>
      <w:r>
        <w:t>wjg</w:t>
      </w:r>
      <w:proofErr w:type="spellEnd"/>
      <w:r>
        <w:t xml:space="preserve">/20XX                                         </w:t>
      </w:r>
      <w:r w:rsidRPr="000F3ABF">
        <w:rPr>
          <w:b/>
          <w:bCs/>
        </w:rPr>
        <w:t>Randomized Controlled Trial</w:t>
      </w:r>
    </w:p>
    <w:p w:rsidR="008F3BB2" w:rsidRPr="000F3ABF" w:rsidRDefault="008F3BB2" w:rsidP="008F3BB2"/>
    <w:p w:rsidR="008F3BB2" w:rsidRPr="000F3ABF" w:rsidRDefault="008F3BB2" w:rsidP="008F3BB2">
      <w:pPr>
        <w:pStyle w:val="af3"/>
        <w:rPr>
          <w:lang w:val="en-US"/>
        </w:rPr>
      </w:pPr>
      <w:r w:rsidRPr="000F3ABF">
        <w:rPr>
          <w:lang w:val="en-US"/>
        </w:rPr>
        <w:t xml:space="preserve">Maintenance for healed erosive esophagitis: Phase </w:t>
      </w:r>
      <w:r>
        <w:rPr>
          <w:rFonts w:ascii="KozMinPro-Regular" w:eastAsia="KozMinPro-Regular" w:cs="KozMinPro-Regular" w:hint="eastAsia"/>
          <w:b w:val="0"/>
          <w:bCs w:val="0"/>
          <w:sz w:val="31"/>
          <w:szCs w:val="31"/>
          <w:lang w:val="en-US"/>
        </w:rPr>
        <w:t>Ⅲ</w:t>
      </w:r>
      <w:r w:rsidRPr="000F3ABF">
        <w:rPr>
          <w:lang w:val="en-US"/>
        </w:rPr>
        <w:t xml:space="preserve"> comparison of </w:t>
      </w:r>
      <w:proofErr w:type="spellStart"/>
      <w:r w:rsidRPr="000F3ABF">
        <w:rPr>
          <w:lang w:val="en-US"/>
        </w:rPr>
        <w:t>vonoprazan</w:t>
      </w:r>
      <w:proofErr w:type="spellEnd"/>
      <w:r w:rsidRPr="000F3ABF">
        <w:rPr>
          <w:lang w:val="en-US"/>
        </w:rPr>
        <w:t xml:space="preserve"> with </w:t>
      </w:r>
      <w:proofErr w:type="spellStart"/>
      <w:r w:rsidRPr="000F3ABF">
        <w:rPr>
          <w:lang w:val="en-US"/>
        </w:rPr>
        <w:t>lansoprazole</w:t>
      </w:r>
      <w:proofErr w:type="spellEnd"/>
    </w:p>
    <w:p w:rsidR="008F3BB2" w:rsidRDefault="008F3BB2" w:rsidP="008F3BB2">
      <w:pPr>
        <w:rPr>
          <w:rFonts w:hint="eastAsia"/>
        </w:rPr>
      </w:pPr>
    </w:p>
    <w:p w:rsidR="008F3BB2" w:rsidRPr="000F3ABF" w:rsidRDefault="008F3BB2" w:rsidP="008F3BB2">
      <w:pPr>
        <w:pStyle w:val="af5"/>
        <w:rPr>
          <w:lang w:val="en-US"/>
        </w:rPr>
      </w:pPr>
      <w:r w:rsidRPr="000F3ABF">
        <w:rPr>
          <w:lang w:val="en-US"/>
        </w:rPr>
        <w:t xml:space="preserve">Kiyoshi </w:t>
      </w:r>
      <w:proofErr w:type="spellStart"/>
      <w:r w:rsidRPr="000F3ABF">
        <w:rPr>
          <w:lang w:val="en-US"/>
        </w:rPr>
        <w:t>Ashida</w:t>
      </w:r>
      <w:proofErr w:type="spellEnd"/>
      <w:r w:rsidRPr="000F3ABF">
        <w:rPr>
          <w:lang w:val="en-US"/>
        </w:rPr>
        <w:t xml:space="preserve">, Katsuhiko </w:t>
      </w:r>
      <w:proofErr w:type="spellStart"/>
      <w:r w:rsidRPr="000F3ABF">
        <w:rPr>
          <w:lang w:val="en-US"/>
        </w:rPr>
        <w:t>Iwakiri</w:t>
      </w:r>
      <w:proofErr w:type="spellEnd"/>
      <w:r w:rsidRPr="000F3ABF">
        <w:rPr>
          <w:lang w:val="en-US"/>
        </w:rPr>
        <w:t xml:space="preserve">, Naoki </w:t>
      </w:r>
      <w:proofErr w:type="spellStart"/>
      <w:r w:rsidRPr="000F3ABF">
        <w:rPr>
          <w:lang w:val="en-US"/>
        </w:rPr>
        <w:t>Hiramatsu</w:t>
      </w:r>
      <w:proofErr w:type="spellEnd"/>
      <w:r w:rsidRPr="000F3ABF">
        <w:rPr>
          <w:lang w:val="en-US"/>
        </w:rPr>
        <w:t xml:space="preserve">, </w:t>
      </w:r>
      <w:proofErr w:type="spellStart"/>
      <w:r w:rsidRPr="000F3ABF">
        <w:rPr>
          <w:lang w:val="en-US"/>
        </w:rPr>
        <w:t>Yuuichi</w:t>
      </w:r>
      <w:proofErr w:type="spellEnd"/>
      <w:r w:rsidRPr="000F3ABF">
        <w:rPr>
          <w:lang w:val="en-US"/>
        </w:rPr>
        <w:t xml:space="preserve"> Sakurai, </w:t>
      </w:r>
      <w:proofErr w:type="spellStart"/>
      <w:r w:rsidRPr="000F3ABF">
        <w:rPr>
          <w:lang w:val="en-US"/>
        </w:rPr>
        <w:t>Tetsuharu</w:t>
      </w:r>
      <w:proofErr w:type="spellEnd"/>
      <w:r w:rsidRPr="000F3ABF">
        <w:rPr>
          <w:lang w:val="en-US"/>
        </w:rPr>
        <w:t xml:space="preserve"> Hori, </w:t>
      </w:r>
      <w:proofErr w:type="spellStart"/>
      <w:r w:rsidRPr="000F3ABF">
        <w:rPr>
          <w:lang w:val="en-US"/>
        </w:rPr>
        <w:t>Kentarou</w:t>
      </w:r>
      <w:proofErr w:type="spellEnd"/>
      <w:r w:rsidRPr="000F3ABF">
        <w:rPr>
          <w:lang w:val="en-US"/>
        </w:rPr>
        <w:t xml:space="preserve"> </w:t>
      </w:r>
      <w:proofErr w:type="spellStart"/>
      <w:r w:rsidRPr="000F3ABF">
        <w:rPr>
          <w:lang w:val="en-US"/>
        </w:rPr>
        <w:t>Kudou</w:t>
      </w:r>
      <w:proofErr w:type="spellEnd"/>
      <w:r w:rsidRPr="000F3ABF">
        <w:rPr>
          <w:lang w:val="en-US"/>
        </w:rPr>
        <w:t xml:space="preserve">, Akira Nishimura, </w:t>
      </w:r>
      <w:proofErr w:type="spellStart"/>
      <w:r w:rsidRPr="000F3ABF">
        <w:rPr>
          <w:lang w:val="en-US"/>
        </w:rPr>
        <w:t>Eiji</w:t>
      </w:r>
      <w:proofErr w:type="spellEnd"/>
      <w:r w:rsidRPr="000F3ABF">
        <w:rPr>
          <w:lang w:val="en-US"/>
        </w:rPr>
        <w:t xml:space="preserve"> </w:t>
      </w:r>
      <w:proofErr w:type="spellStart"/>
      <w:r w:rsidRPr="000F3ABF">
        <w:rPr>
          <w:lang w:val="en-US"/>
        </w:rPr>
        <w:t>Umegaki</w:t>
      </w:r>
      <w:proofErr w:type="spellEnd"/>
    </w:p>
    <w:p w:rsidR="008F3BB2" w:rsidRDefault="008F3BB2" w:rsidP="008F3BB2">
      <w:pPr>
        <w:rPr>
          <w:rFonts w:hint="eastAsia"/>
        </w:rPr>
      </w:pPr>
    </w:p>
    <w:p w:rsidR="008F3BB2" w:rsidRDefault="008F3BB2" w:rsidP="008F3BB2">
      <w:pPr>
        <w:pStyle w:val="af6"/>
      </w:pPr>
      <w:r>
        <w:rPr>
          <w:rFonts w:ascii="Tahoma" w:hAnsi="Tahoma" w:cs="Tahoma"/>
        </w:rPr>
        <w:t xml:space="preserve">Kiyoshi </w:t>
      </w:r>
      <w:proofErr w:type="spellStart"/>
      <w:r>
        <w:rPr>
          <w:rFonts w:ascii="Tahoma" w:hAnsi="Tahoma" w:cs="Tahoma"/>
        </w:rPr>
        <w:t>Ashida</w:t>
      </w:r>
      <w:proofErr w:type="spellEnd"/>
      <w:r>
        <w:rPr>
          <w:rFonts w:ascii="Tahoma" w:hAnsi="Tahoma" w:cs="Tahoma"/>
        </w:rPr>
        <w:t>,</w:t>
      </w:r>
      <w:r>
        <w:t xml:space="preserve"> Department of Gastroenterology, </w:t>
      </w:r>
      <w:proofErr w:type="spellStart"/>
      <w:r>
        <w:t>Rakuwakai</w:t>
      </w:r>
      <w:proofErr w:type="spellEnd"/>
      <w:r>
        <w:t xml:space="preserve"> </w:t>
      </w:r>
      <w:proofErr w:type="spellStart"/>
      <w:r>
        <w:t>Otowa</w:t>
      </w:r>
      <w:proofErr w:type="spellEnd"/>
      <w:r>
        <w:t xml:space="preserve"> Hospital, Kyoto 607-8062, Japan</w:t>
      </w:r>
    </w:p>
    <w:p w:rsidR="008F3BB2" w:rsidRDefault="008F3BB2" w:rsidP="008F3BB2">
      <w:pPr>
        <w:pStyle w:val="af6"/>
      </w:pPr>
      <w:r>
        <w:rPr>
          <w:rFonts w:ascii="Tahoma" w:hAnsi="Tahoma" w:cs="Tahoma"/>
        </w:rPr>
        <w:t xml:space="preserve">Katsuhiko </w:t>
      </w:r>
      <w:proofErr w:type="spellStart"/>
      <w:r>
        <w:rPr>
          <w:rFonts w:ascii="Tahoma" w:hAnsi="Tahoma" w:cs="Tahoma"/>
        </w:rPr>
        <w:t>Iwakiri</w:t>
      </w:r>
      <w:proofErr w:type="spellEnd"/>
      <w:r>
        <w:rPr>
          <w:rFonts w:ascii="Tahoma" w:hAnsi="Tahoma" w:cs="Tahoma"/>
        </w:rPr>
        <w:t>,</w:t>
      </w:r>
      <w:r>
        <w:t xml:space="preserve"> Department of Gastroenterology, Nippon Medical School Graduate School of Medicine, Tokyo 113-8603, Japan</w:t>
      </w:r>
    </w:p>
    <w:p w:rsidR="008F3BB2" w:rsidRDefault="008F3BB2" w:rsidP="008F3BB2">
      <w:pPr>
        <w:pStyle w:val="af6"/>
      </w:pPr>
      <w:r>
        <w:rPr>
          <w:rFonts w:ascii="Tahoma" w:hAnsi="Tahoma" w:cs="Tahoma"/>
        </w:rPr>
        <w:t xml:space="preserve">Naoki </w:t>
      </w:r>
      <w:proofErr w:type="spellStart"/>
      <w:r>
        <w:rPr>
          <w:rFonts w:ascii="Tahoma" w:hAnsi="Tahoma" w:cs="Tahoma"/>
        </w:rPr>
        <w:t>Hiramatsu</w:t>
      </w:r>
      <w:proofErr w:type="spellEnd"/>
      <w:r>
        <w:rPr>
          <w:rFonts w:ascii="Tahoma" w:hAnsi="Tahoma" w:cs="Tahoma"/>
        </w:rPr>
        <w:t>,</w:t>
      </w:r>
      <w:r>
        <w:t xml:space="preserve"> Department of Gastroenterology and </w:t>
      </w:r>
      <w:proofErr w:type="spellStart"/>
      <w:r>
        <w:t>Hepatology</w:t>
      </w:r>
      <w:proofErr w:type="spellEnd"/>
      <w:r>
        <w:t xml:space="preserve">, Osaka </w:t>
      </w:r>
      <w:proofErr w:type="spellStart"/>
      <w:r>
        <w:t>Rosai</w:t>
      </w:r>
      <w:proofErr w:type="spellEnd"/>
      <w:r>
        <w:t xml:space="preserve"> Hospital, Sakai, Osaka 591-8025, Japan</w:t>
      </w:r>
    </w:p>
    <w:p w:rsidR="008F3BB2" w:rsidRDefault="008F3BB2" w:rsidP="008F3BB2">
      <w:pPr>
        <w:pStyle w:val="af6"/>
      </w:pPr>
      <w:proofErr w:type="spellStart"/>
      <w:r>
        <w:rPr>
          <w:rFonts w:ascii="Tahoma" w:hAnsi="Tahoma" w:cs="Tahoma"/>
        </w:rPr>
        <w:t>Yuuichi</w:t>
      </w:r>
      <w:proofErr w:type="spellEnd"/>
      <w:r>
        <w:rPr>
          <w:rFonts w:ascii="Tahoma" w:hAnsi="Tahoma" w:cs="Tahoma"/>
        </w:rPr>
        <w:t xml:space="preserve"> Sakurai, </w:t>
      </w:r>
      <w:proofErr w:type="spellStart"/>
      <w:r>
        <w:rPr>
          <w:rFonts w:ascii="Tahoma" w:hAnsi="Tahoma" w:cs="Tahoma"/>
        </w:rPr>
        <w:t>Tetsuharu</w:t>
      </w:r>
      <w:proofErr w:type="spellEnd"/>
      <w:r>
        <w:rPr>
          <w:rFonts w:ascii="Tahoma" w:hAnsi="Tahoma" w:cs="Tahoma"/>
        </w:rPr>
        <w:t xml:space="preserve"> Hori, </w:t>
      </w:r>
      <w:proofErr w:type="spellStart"/>
      <w:r>
        <w:rPr>
          <w:rFonts w:ascii="Tahoma" w:hAnsi="Tahoma" w:cs="Tahoma"/>
        </w:rPr>
        <w:t>Kentarou</w:t>
      </w:r>
      <w:proofErr w:type="spellEnd"/>
      <w:r>
        <w:rPr>
          <w:rFonts w:ascii="Tahoma" w:hAnsi="Tahoma" w:cs="Tahoma"/>
        </w:rPr>
        <w:t xml:space="preserve"> </w:t>
      </w:r>
      <w:proofErr w:type="spellStart"/>
      <w:r>
        <w:rPr>
          <w:rFonts w:ascii="Tahoma" w:hAnsi="Tahoma" w:cs="Tahoma"/>
        </w:rPr>
        <w:t>Kudou</w:t>
      </w:r>
      <w:proofErr w:type="spellEnd"/>
      <w:r>
        <w:rPr>
          <w:rFonts w:ascii="Tahoma" w:hAnsi="Tahoma" w:cs="Tahoma"/>
        </w:rPr>
        <w:t>, Akira Nishimura,</w:t>
      </w:r>
      <w:r>
        <w:t xml:space="preserve"> Takeda Pharmaceutical Company Limited, Osaka 540-8645, Japan</w:t>
      </w:r>
    </w:p>
    <w:p w:rsidR="008F3BB2" w:rsidRDefault="008F3BB2" w:rsidP="008F3BB2">
      <w:pPr>
        <w:pStyle w:val="af6"/>
      </w:pPr>
      <w:proofErr w:type="spellStart"/>
      <w:r>
        <w:rPr>
          <w:rFonts w:ascii="Tahoma" w:hAnsi="Tahoma" w:cs="Tahoma"/>
        </w:rPr>
        <w:t>Eiji</w:t>
      </w:r>
      <w:proofErr w:type="spellEnd"/>
      <w:r>
        <w:rPr>
          <w:rFonts w:ascii="Tahoma" w:hAnsi="Tahoma" w:cs="Tahoma"/>
        </w:rPr>
        <w:t xml:space="preserve"> </w:t>
      </w:r>
      <w:proofErr w:type="spellStart"/>
      <w:r>
        <w:rPr>
          <w:rFonts w:ascii="Tahoma" w:hAnsi="Tahoma" w:cs="Tahoma"/>
        </w:rPr>
        <w:t>Umegaki</w:t>
      </w:r>
      <w:proofErr w:type="spellEnd"/>
      <w:r>
        <w:rPr>
          <w:rFonts w:ascii="Tahoma" w:hAnsi="Tahoma" w:cs="Tahoma"/>
        </w:rPr>
        <w:t xml:space="preserve">, </w:t>
      </w:r>
      <w:r>
        <w:t>Department of Gastroenterology, Kobe University Graduate School of Medicine, Kobe, Hyogo 650-0017, Japan</w:t>
      </w:r>
    </w:p>
    <w:p w:rsidR="008F3BB2" w:rsidRDefault="008F3BB2" w:rsidP="008F3BB2">
      <w:pPr>
        <w:pStyle w:val="af6"/>
      </w:pPr>
      <w:r>
        <w:rPr>
          <w:rFonts w:ascii="Tahoma" w:hAnsi="Tahoma" w:cs="Tahoma"/>
        </w:rPr>
        <w:t>Author contributions:</w:t>
      </w:r>
      <w:r>
        <w:t xml:space="preserve"> </w:t>
      </w:r>
      <w:proofErr w:type="spellStart"/>
      <w:r>
        <w:t>Ashida</w:t>
      </w:r>
      <w:proofErr w:type="spellEnd"/>
      <w:r>
        <w:t xml:space="preserve"> K, Sakurai Y, Hori T and Nishimura A were involved in study conception and design; </w:t>
      </w:r>
      <w:proofErr w:type="spellStart"/>
      <w:r>
        <w:t>Hiramatsu</w:t>
      </w:r>
      <w:proofErr w:type="spellEnd"/>
      <w:r>
        <w:t xml:space="preserve"> N served as Medical Expert; </w:t>
      </w:r>
      <w:proofErr w:type="spellStart"/>
      <w:r>
        <w:t>Umegaki</w:t>
      </w:r>
      <w:proofErr w:type="spellEnd"/>
      <w:r>
        <w:t xml:space="preserve"> E, </w:t>
      </w:r>
      <w:proofErr w:type="spellStart"/>
      <w:r>
        <w:t>Iwakiri</w:t>
      </w:r>
      <w:proofErr w:type="spellEnd"/>
      <w:r>
        <w:t xml:space="preserve"> K and </w:t>
      </w:r>
      <w:proofErr w:type="spellStart"/>
      <w:r>
        <w:t>Ashida</w:t>
      </w:r>
      <w:proofErr w:type="spellEnd"/>
      <w:r>
        <w:t xml:space="preserve"> K served as the Central Adjudication Committee; </w:t>
      </w:r>
      <w:proofErr w:type="spellStart"/>
      <w:r>
        <w:t>Kudou</w:t>
      </w:r>
      <w:proofErr w:type="spellEnd"/>
      <w:r>
        <w:t xml:space="preserve"> K conducted statistical analyses; all authors were involved in the drafting and critical revision of the manuscript, and approved the final version, including the authorship list.</w:t>
      </w:r>
    </w:p>
    <w:p w:rsidR="008F3BB2" w:rsidRDefault="008F3BB2" w:rsidP="008F3BB2">
      <w:pPr>
        <w:pStyle w:val="af6"/>
      </w:pPr>
      <w:r>
        <w:rPr>
          <w:rFonts w:ascii="Tahoma" w:hAnsi="Tahoma" w:cs="Tahoma"/>
        </w:rPr>
        <w:t xml:space="preserve">Correspondence to: Kiyoshi </w:t>
      </w:r>
      <w:proofErr w:type="spellStart"/>
      <w:r>
        <w:rPr>
          <w:rFonts w:ascii="Tahoma" w:hAnsi="Tahoma" w:cs="Tahoma"/>
        </w:rPr>
        <w:t>Ashida</w:t>
      </w:r>
      <w:proofErr w:type="spellEnd"/>
      <w:r>
        <w:rPr>
          <w:rFonts w:ascii="Tahoma" w:hAnsi="Tahoma" w:cs="Tahoma"/>
        </w:rPr>
        <w:t>, MD, PhD,</w:t>
      </w:r>
      <w:r>
        <w:t xml:space="preserve"> Department of Gastroenterology, </w:t>
      </w:r>
      <w:proofErr w:type="spellStart"/>
      <w:r>
        <w:t>Rakuwakai</w:t>
      </w:r>
      <w:proofErr w:type="spellEnd"/>
      <w:r>
        <w:t xml:space="preserve"> </w:t>
      </w:r>
      <w:proofErr w:type="spellStart"/>
      <w:r>
        <w:t>Otowa</w:t>
      </w:r>
      <w:proofErr w:type="spellEnd"/>
      <w:r>
        <w:t xml:space="preserve"> Hospital, 2 </w:t>
      </w:r>
      <w:proofErr w:type="spellStart"/>
      <w:r>
        <w:t>Otowachinji-cho</w:t>
      </w:r>
      <w:proofErr w:type="spellEnd"/>
      <w:r>
        <w:t>, Yamashina-</w:t>
      </w:r>
      <w:proofErr w:type="spellStart"/>
      <w:r>
        <w:t>ku</w:t>
      </w:r>
      <w:proofErr w:type="spellEnd"/>
      <w:r>
        <w:t xml:space="preserve">, Kyoto 607-8062, Japan. rakuwadr1185@rakuwadr.com </w:t>
      </w:r>
    </w:p>
    <w:p w:rsidR="008F3BB2" w:rsidRDefault="008F3BB2" w:rsidP="008F3BB2">
      <w:pPr>
        <w:pStyle w:val="af6"/>
      </w:pPr>
      <w:r>
        <w:rPr>
          <w:rFonts w:ascii="Tahoma" w:hAnsi="Tahoma" w:cs="Tahoma"/>
        </w:rPr>
        <w:t xml:space="preserve">Telephone: </w:t>
      </w:r>
      <w:r>
        <w:t>+81-75-5934111</w:t>
      </w:r>
      <w:r>
        <w:rPr>
          <w:rFonts w:hint="eastAsia"/>
        </w:rPr>
        <w:t xml:space="preserve">    </w:t>
      </w:r>
      <w:r>
        <w:rPr>
          <w:rFonts w:ascii="Tahoma" w:hAnsi="Tahoma" w:cs="Tahoma"/>
        </w:rPr>
        <w:t>Fax:</w:t>
      </w:r>
      <w:r>
        <w:t xml:space="preserve"> +81-75-5934160</w:t>
      </w:r>
    </w:p>
    <w:p w:rsidR="008F3BB2" w:rsidRDefault="008F3BB2" w:rsidP="008F3BB2">
      <w:pPr>
        <w:pStyle w:val="af6"/>
      </w:pPr>
      <w:r>
        <w:rPr>
          <w:rFonts w:ascii="Tahoma" w:hAnsi="Tahoma" w:cs="Tahoma"/>
        </w:rPr>
        <w:t>Received:</w:t>
      </w:r>
      <w:r>
        <w:t xml:space="preserve"> November 30, 2017</w:t>
      </w:r>
      <w:r>
        <w:rPr>
          <w:rFonts w:hint="eastAsia"/>
        </w:rPr>
        <w:t xml:space="preserve">   </w:t>
      </w:r>
      <w:r>
        <w:rPr>
          <w:rFonts w:ascii="Tahoma" w:hAnsi="Tahoma" w:cs="Tahoma"/>
        </w:rPr>
        <w:t>Revised:</w:t>
      </w:r>
      <w:r>
        <w:t xml:space="preserve"> February 6, 2018</w:t>
      </w:r>
      <w:r>
        <w:rPr>
          <w:rFonts w:hint="eastAsia"/>
        </w:rPr>
        <w:t xml:space="preserve">   </w:t>
      </w:r>
      <w:r>
        <w:rPr>
          <w:rFonts w:ascii="Tahoma" w:hAnsi="Tahoma" w:cs="Tahoma"/>
        </w:rPr>
        <w:t>Accepted:</w:t>
      </w:r>
      <w:r>
        <w:t xml:space="preserve"> March 7, 2018</w:t>
      </w:r>
    </w:p>
    <w:p w:rsidR="008F3BB2" w:rsidRDefault="008F3BB2" w:rsidP="008F3BB2">
      <w:pPr>
        <w:pStyle w:val="af6"/>
      </w:pPr>
      <w:r>
        <w:rPr>
          <w:rFonts w:ascii="Tahoma" w:hAnsi="Tahoma" w:cs="Tahoma"/>
        </w:rPr>
        <w:t xml:space="preserve">Published online: </w:t>
      </w:r>
      <w:r>
        <w:t>April 14, 2018</w:t>
      </w:r>
    </w:p>
    <w:p w:rsidR="008F3BB2" w:rsidRDefault="008F3BB2" w:rsidP="008F3BB2">
      <w:pPr>
        <w:pStyle w:val="NormalParagraphStyle"/>
        <w:rPr>
          <w:rFonts w:ascii="Century Gothic" w:hAnsi="Century Gothic" w:cs="Century Gothic" w:hint="eastAsia"/>
          <w:b/>
          <w:bCs/>
          <w:spacing w:val="12"/>
          <w:lang w:val="en-US"/>
        </w:rPr>
      </w:pPr>
    </w:p>
    <w:p w:rsidR="008F3BB2" w:rsidRPr="000F3ABF" w:rsidRDefault="008F3BB2" w:rsidP="008F3BB2">
      <w:pPr>
        <w:pStyle w:val="NormalParagraphStyle"/>
        <w:rPr>
          <w:rFonts w:ascii="Century Gothic" w:hAnsi="Century Gothic" w:cs="Century Gothic" w:hint="eastAsia"/>
          <w:b/>
          <w:bCs/>
          <w:spacing w:val="12"/>
          <w:lang w:val="en-US"/>
        </w:rPr>
      </w:pPr>
    </w:p>
    <w:p w:rsidR="008F3BB2" w:rsidRPr="000F3ABF" w:rsidRDefault="008F3BB2" w:rsidP="008F3BB2">
      <w:pPr>
        <w:pStyle w:val="NormalParagraphStyle"/>
        <w:rPr>
          <w:rFonts w:ascii="Century Gothic" w:hAnsi="Century Gothic" w:cs="Century Gothic"/>
          <w:b/>
          <w:bCs/>
          <w:spacing w:val="12"/>
          <w:lang w:val="en-US"/>
        </w:rPr>
      </w:pPr>
      <w:r w:rsidRPr="000F3ABF">
        <w:rPr>
          <w:rFonts w:ascii="Century Gothic" w:hAnsi="Century Gothic" w:cs="Century Gothic"/>
          <w:b/>
          <w:bCs/>
          <w:spacing w:val="12"/>
          <w:lang w:val="en-US"/>
        </w:rPr>
        <w:t>Abstract</w:t>
      </w:r>
    </w:p>
    <w:p w:rsidR="008F3BB2" w:rsidRPr="000F3ABF" w:rsidRDefault="008F3BB2" w:rsidP="008F3BB2">
      <w:pPr>
        <w:pStyle w:val="E-1"/>
        <w:rPr>
          <w:rFonts w:ascii="Times New Roman" w:hAnsi="Times New Roman" w:cs="Times New Roman"/>
          <w:b/>
          <w:bCs/>
          <w:iCs/>
        </w:rPr>
      </w:pPr>
      <w:r w:rsidRPr="000F3ABF">
        <w:rPr>
          <w:rFonts w:ascii="Times New Roman" w:hAnsi="Times New Roman" w:cs="Times New Roman"/>
          <w:b/>
          <w:bCs/>
          <w:iCs/>
        </w:rPr>
        <w:t>AIM</w:t>
      </w:r>
    </w:p>
    <w:p w:rsidR="008F3BB2" w:rsidRDefault="008F3BB2" w:rsidP="008F3BB2">
      <w:pPr>
        <w:pStyle w:val="E-1"/>
      </w:pPr>
      <w:r>
        <w:t xml:space="preserve">To compare </w:t>
      </w:r>
      <w:proofErr w:type="spellStart"/>
      <w:r>
        <w:t>vonoprazan</w:t>
      </w:r>
      <w:proofErr w:type="spellEnd"/>
      <w:r>
        <w:t xml:space="preserve"> 10 and 20 mg </w:t>
      </w:r>
      <w:proofErr w:type="spellStart"/>
      <w:r>
        <w:rPr>
          <w:rFonts w:ascii="Tahoma Italic" w:hAnsi="Tahoma Italic" w:cs="Tahoma Italic"/>
          <w:i/>
          <w:iCs/>
        </w:rPr>
        <w:t>vs</w:t>
      </w:r>
      <w:proofErr w:type="spellEnd"/>
      <w:r>
        <w:t xml:space="preserve"> </w:t>
      </w:r>
      <w:proofErr w:type="spellStart"/>
      <w:r>
        <w:t>lansoprazole</w:t>
      </w:r>
      <w:proofErr w:type="spellEnd"/>
      <w:r>
        <w:t xml:space="preserve"> 15 mg as maintenance therapy in healed erosive esophagitis (EE).</w:t>
      </w:r>
    </w:p>
    <w:p w:rsidR="008F3BB2" w:rsidRPr="000F3ABF" w:rsidRDefault="008F3BB2" w:rsidP="008F3BB2">
      <w:pPr>
        <w:pStyle w:val="E-1"/>
        <w:rPr>
          <w:rFonts w:ascii="Times New Roman" w:hAnsi="Times New Roman" w:cs="Times New Roman"/>
          <w:b/>
          <w:bCs/>
          <w:iCs/>
        </w:rPr>
      </w:pPr>
      <w:r w:rsidRPr="000F3ABF">
        <w:rPr>
          <w:rFonts w:ascii="Times New Roman" w:hAnsi="Times New Roman" w:cs="Times New Roman"/>
          <w:b/>
          <w:bCs/>
          <w:iCs/>
        </w:rPr>
        <w:t>METHODS</w:t>
      </w:r>
    </w:p>
    <w:p w:rsidR="008F3BB2" w:rsidRDefault="008F3BB2" w:rsidP="008F3BB2">
      <w:pPr>
        <w:pStyle w:val="E-1"/>
      </w:pPr>
      <w:r>
        <w:rPr>
          <w:spacing w:val="4"/>
        </w:rPr>
        <w:t xml:space="preserve">A total of 607 patients aged </w:t>
      </w:r>
      <w:r>
        <w:rPr>
          <w:rFonts w:ascii="宋体" w:cs="宋体" w:hint="eastAsia"/>
          <w:spacing w:val="4"/>
          <w:sz w:val="18"/>
          <w:szCs w:val="18"/>
        </w:rPr>
        <w:t>≥</w:t>
      </w:r>
      <w:r>
        <w:rPr>
          <w:spacing w:val="4"/>
        </w:rPr>
        <w:t xml:space="preserve"> 20 years, with </w:t>
      </w:r>
      <w:proofErr w:type="spellStart"/>
      <w:r>
        <w:rPr>
          <w:spacing w:val="4"/>
        </w:rPr>
        <w:t>endo</w:t>
      </w:r>
      <w:r>
        <w:rPr>
          <w:spacing w:val="4"/>
        </w:rPr>
        <w:softHyphen/>
        <w:t>scopically-confirmed</w:t>
      </w:r>
      <w:proofErr w:type="spellEnd"/>
      <w:r>
        <w:rPr>
          <w:spacing w:val="4"/>
        </w:rPr>
        <w:t xml:space="preserve"> healed EE following 8 </w:t>
      </w:r>
      <w:proofErr w:type="spellStart"/>
      <w:r>
        <w:rPr>
          <w:spacing w:val="4"/>
        </w:rPr>
        <w:t>wk</w:t>
      </w:r>
      <w:proofErr w:type="spellEnd"/>
      <w:r>
        <w:rPr>
          <w:spacing w:val="4"/>
        </w:rPr>
        <w:t xml:space="preserve"> of treatment with </w:t>
      </w:r>
      <w:proofErr w:type="spellStart"/>
      <w:r>
        <w:rPr>
          <w:spacing w:val="4"/>
        </w:rPr>
        <w:t>vonoprazan</w:t>
      </w:r>
      <w:proofErr w:type="spellEnd"/>
      <w:r>
        <w:rPr>
          <w:spacing w:val="4"/>
        </w:rPr>
        <w:t xml:space="preserve"> 20 mg once daily, were randomized 1:1:1 to receive </w:t>
      </w:r>
      <w:proofErr w:type="spellStart"/>
      <w:r>
        <w:rPr>
          <w:spacing w:val="4"/>
        </w:rPr>
        <w:t>lansoprazole</w:t>
      </w:r>
      <w:proofErr w:type="spellEnd"/>
      <w:r>
        <w:rPr>
          <w:spacing w:val="4"/>
        </w:rPr>
        <w:t xml:space="preserve"> 15 mg (</w:t>
      </w:r>
      <w:r>
        <w:rPr>
          <w:rFonts w:ascii="Tahoma Italic" w:hAnsi="Tahoma Italic" w:cs="Tahoma Italic"/>
          <w:i/>
          <w:iCs/>
          <w:spacing w:val="4"/>
        </w:rPr>
        <w:t>n</w:t>
      </w:r>
      <w:r>
        <w:t xml:space="preserve"> = 201), </w:t>
      </w:r>
      <w:proofErr w:type="spellStart"/>
      <w:r>
        <w:t>vonoprazan</w:t>
      </w:r>
      <w:proofErr w:type="spellEnd"/>
      <w:r>
        <w:t xml:space="preserve"> 10 mg (</w:t>
      </w:r>
      <w:r>
        <w:rPr>
          <w:rFonts w:ascii="Tahoma Italic" w:hAnsi="Tahoma Italic" w:cs="Tahoma Italic"/>
          <w:i/>
          <w:iCs/>
        </w:rPr>
        <w:t>n</w:t>
      </w:r>
      <w:r>
        <w:t xml:space="preserve"> = 202), or </w:t>
      </w:r>
      <w:proofErr w:type="spellStart"/>
      <w:r>
        <w:t>vonoprazan</w:t>
      </w:r>
      <w:proofErr w:type="spellEnd"/>
      <w:r>
        <w:t xml:space="preserve"> 20 mg (</w:t>
      </w:r>
      <w:r>
        <w:rPr>
          <w:rFonts w:ascii="Tahoma Italic" w:hAnsi="Tahoma Italic" w:cs="Tahoma Italic"/>
          <w:i/>
          <w:iCs/>
        </w:rPr>
        <w:t>n</w:t>
      </w:r>
      <w:r>
        <w:t xml:space="preserve"> = 204), once daily. The primary endpoint of the study was the rate of </w:t>
      </w:r>
      <w:proofErr w:type="spellStart"/>
      <w:r>
        <w:t>endoscopically</w:t>
      </w:r>
      <w:proofErr w:type="spellEnd"/>
      <w:r>
        <w:t xml:space="preserve">-confirmed EE recurrence during a 24-wk maintenance period. The secondary endpoint was the EE recurrence rate at Week 12 during maintenance treatment. Additional efficacy endpoints included the </w:t>
      </w:r>
      <w:r>
        <w:lastRenderedPageBreak/>
        <w:t xml:space="preserve">incidence of heartburn and acid reflux, and the EE healing rate 4 </w:t>
      </w:r>
      <w:proofErr w:type="spellStart"/>
      <w:r>
        <w:t>wk</w:t>
      </w:r>
      <w:proofErr w:type="spellEnd"/>
      <w:r>
        <w:t xml:space="preserve"> after the initiation of maintenance treatment. Safety endpoints comprised adverse events (</w:t>
      </w:r>
      <w:proofErr w:type="spellStart"/>
      <w:r>
        <w:t>AEs</w:t>
      </w:r>
      <w:proofErr w:type="spellEnd"/>
      <w:r>
        <w:t>), vital signs, electro</w:t>
      </w:r>
      <w:r>
        <w:softHyphen/>
        <w:t>cardiogram findings, clinical laboratory results, serum gastrin and pepsinogen</w:t>
      </w:r>
      <w:r>
        <w:rPr>
          <w:rFonts w:ascii="MS UI Gothic" w:eastAsia="MS UI Gothic" w:hAnsi="MS UI Gothic" w:cs="MS UI Gothic" w:hint="eastAsia"/>
        </w:rPr>
        <w:t> </w:t>
      </w:r>
      <w:r>
        <w:rPr>
          <w:rFonts w:ascii="KozMinPro-Regular" w:eastAsia="KozMinPro-Regular" w:cs="KozMinPro-Regular" w:hint="eastAsia"/>
          <w:spacing w:val="0"/>
          <w:sz w:val="18"/>
          <w:szCs w:val="18"/>
        </w:rPr>
        <w:t>Ⅰ</w:t>
      </w:r>
      <w:r>
        <w:t>/</w:t>
      </w:r>
      <w:r>
        <w:rPr>
          <w:rFonts w:ascii="KozMinPro-Regular" w:eastAsia="KozMinPro-Regular" w:cs="KozMinPro-Regular" w:hint="eastAsia"/>
          <w:spacing w:val="0"/>
          <w:sz w:val="18"/>
          <w:szCs w:val="18"/>
        </w:rPr>
        <w:t>Ⅱ</w:t>
      </w:r>
      <w:r>
        <w:t xml:space="preserve"> levels, and gastric mucosa histopathology results.</w:t>
      </w:r>
    </w:p>
    <w:p w:rsidR="008F3BB2" w:rsidRPr="000F3ABF" w:rsidRDefault="008F3BB2" w:rsidP="008F3BB2">
      <w:pPr>
        <w:pStyle w:val="E-1"/>
        <w:rPr>
          <w:rFonts w:ascii="Book Antiqua" w:hAnsi="Book Antiqua" w:cs="Book Antiqua"/>
          <w:b/>
          <w:bCs/>
          <w:iCs/>
        </w:rPr>
      </w:pPr>
      <w:r w:rsidRPr="000F3ABF">
        <w:rPr>
          <w:rFonts w:ascii="Times New Roman" w:hAnsi="Times New Roman" w:cs="Times New Roman"/>
          <w:b/>
          <w:bCs/>
          <w:iCs/>
        </w:rPr>
        <w:t>RESULTS</w:t>
      </w:r>
    </w:p>
    <w:p w:rsidR="008F3BB2" w:rsidRDefault="008F3BB2" w:rsidP="008F3BB2">
      <w:pPr>
        <w:pStyle w:val="E-1"/>
        <w:rPr>
          <w:spacing w:val="-2"/>
        </w:rPr>
      </w:pPr>
      <w:r>
        <w:rPr>
          <w:spacing w:val="-2"/>
        </w:rPr>
        <w:t xml:space="preserve">Rates of EE recurrence during the 24-wk maintenance period were 16.8%, 5.1%, and 2.0% with </w:t>
      </w:r>
      <w:proofErr w:type="spellStart"/>
      <w:r>
        <w:rPr>
          <w:spacing w:val="-2"/>
        </w:rPr>
        <w:t>lansoprazole</w:t>
      </w:r>
      <w:proofErr w:type="spellEnd"/>
      <w:r>
        <w:rPr>
          <w:spacing w:val="-2"/>
        </w:rPr>
        <w:t xml:space="preserve"> 15 mg, </w:t>
      </w:r>
      <w:proofErr w:type="spellStart"/>
      <w:r>
        <w:rPr>
          <w:spacing w:val="-2"/>
        </w:rPr>
        <w:t>vonoprazan</w:t>
      </w:r>
      <w:proofErr w:type="spellEnd"/>
      <w:r>
        <w:rPr>
          <w:spacing w:val="-2"/>
        </w:rPr>
        <w:t xml:space="preserve"> 10 mg, and </w:t>
      </w:r>
      <w:proofErr w:type="spellStart"/>
      <w:r>
        <w:rPr>
          <w:spacing w:val="-2"/>
        </w:rPr>
        <w:t>vonoprazan</w:t>
      </w:r>
      <w:proofErr w:type="spellEnd"/>
      <w:r>
        <w:rPr>
          <w:spacing w:val="-2"/>
        </w:rPr>
        <w:t xml:space="preserve"> 20 mg, respectively. </w:t>
      </w:r>
      <w:proofErr w:type="spellStart"/>
      <w:r>
        <w:rPr>
          <w:spacing w:val="-2"/>
        </w:rPr>
        <w:t>Vonoprazan</w:t>
      </w:r>
      <w:proofErr w:type="spellEnd"/>
      <w:r>
        <w:rPr>
          <w:spacing w:val="-2"/>
        </w:rPr>
        <w:t xml:space="preserve"> was shown to be non-inferior to </w:t>
      </w:r>
      <w:proofErr w:type="spellStart"/>
      <w:r>
        <w:rPr>
          <w:spacing w:val="-2"/>
        </w:rPr>
        <w:t>lansoprazole</w:t>
      </w:r>
      <w:proofErr w:type="spellEnd"/>
      <w:r>
        <w:rPr>
          <w:spacing w:val="-2"/>
        </w:rPr>
        <w:t xml:space="preserve"> 15 mg (</w:t>
      </w:r>
      <w:r>
        <w:rPr>
          <w:rFonts w:ascii="Tahoma Italic" w:hAnsi="Tahoma Italic" w:cs="Tahoma Italic"/>
          <w:i/>
          <w:iCs/>
          <w:spacing w:val="-2"/>
        </w:rPr>
        <w:t>P</w:t>
      </w:r>
      <w:r>
        <w:rPr>
          <w:spacing w:val="-2"/>
        </w:rPr>
        <w:t xml:space="preserve"> &lt; 0.0001 for both doses). In a </w:t>
      </w:r>
      <w:r>
        <w:rPr>
          <w:rFonts w:ascii="Tahoma Italic" w:hAnsi="Tahoma Italic" w:cs="Tahoma Italic"/>
          <w:i/>
          <w:iCs/>
          <w:spacing w:val="-2"/>
        </w:rPr>
        <w:t>post-hoc</w:t>
      </w:r>
      <w:r>
        <w:rPr>
          <w:spacing w:val="-2"/>
        </w:rPr>
        <w:t xml:space="preserve"> analysis, EE recurrence at Week 24 was significantly reduced with </w:t>
      </w:r>
      <w:proofErr w:type="spellStart"/>
      <w:r>
        <w:rPr>
          <w:spacing w:val="-2"/>
        </w:rPr>
        <w:t>vonoprazan</w:t>
      </w:r>
      <w:proofErr w:type="spellEnd"/>
      <w:r>
        <w:rPr>
          <w:spacing w:val="-2"/>
        </w:rPr>
        <w:t xml:space="preserve"> at both the 10 mg and the 20 mg dose </w:t>
      </w:r>
      <w:proofErr w:type="spellStart"/>
      <w:r>
        <w:rPr>
          <w:rFonts w:ascii="Tahoma Italic" w:hAnsi="Tahoma Italic" w:cs="Tahoma Italic"/>
          <w:i/>
          <w:iCs/>
          <w:spacing w:val="-2"/>
        </w:rPr>
        <w:t>vs</w:t>
      </w:r>
      <w:proofErr w:type="spellEnd"/>
      <w:r>
        <w:rPr>
          <w:spacing w:val="-2"/>
        </w:rPr>
        <w:t xml:space="preserve"> </w:t>
      </w:r>
      <w:proofErr w:type="spellStart"/>
      <w:r>
        <w:rPr>
          <w:spacing w:val="-2"/>
        </w:rPr>
        <w:t>lansoprazole</w:t>
      </w:r>
      <w:proofErr w:type="spellEnd"/>
      <w:r>
        <w:rPr>
          <w:spacing w:val="-2"/>
        </w:rPr>
        <w:t xml:space="preserve"> 15 mg (5.1% </w:t>
      </w:r>
      <w:proofErr w:type="spellStart"/>
      <w:r>
        <w:rPr>
          <w:rFonts w:ascii="Tahoma Italic" w:hAnsi="Tahoma Italic" w:cs="Tahoma Italic"/>
          <w:i/>
          <w:iCs/>
          <w:spacing w:val="-2"/>
        </w:rPr>
        <w:t>vs</w:t>
      </w:r>
      <w:proofErr w:type="spellEnd"/>
      <w:r>
        <w:rPr>
          <w:spacing w:val="-2"/>
        </w:rPr>
        <w:t xml:space="preserve"> 16.8%, </w:t>
      </w:r>
      <w:r>
        <w:rPr>
          <w:rFonts w:ascii="Tahoma Italic" w:hAnsi="Tahoma Italic" w:cs="Tahoma Italic"/>
          <w:i/>
          <w:iCs/>
          <w:spacing w:val="-2"/>
        </w:rPr>
        <w:t>P</w:t>
      </w:r>
      <w:r>
        <w:rPr>
          <w:spacing w:val="-2"/>
        </w:rPr>
        <w:t xml:space="preserve"> = 0.0002, and 2.0% </w:t>
      </w:r>
      <w:proofErr w:type="spellStart"/>
      <w:r>
        <w:rPr>
          <w:rFonts w:ascii="Tahoma Italic" w:hAnsi="Tahoma Italic" w:cs="Tahoma Italic"/>
          <w:i/>
          <w:iCs/>
          <w:spacing w:val="-2"/>
        </w:rPr>
        <w:t>vs</w:t>
      </w:r>
      <w:proofErr w:type="spellEnd"/>
      <w:r>
        <w:rPr>
          <w:spacing w:val="-2"/>
        </w:rPr>
        <w:t xml:space="preserve"> 16.8%, </w:t>
      </w:r>
      <w:r>
        <w:rPr>
          <w:rFonts w:ascii="Tahoma Italic" w:hAnsi="Tahoma Italic" w:cs="Tahoma Italic"/>
          <w:i/>
          <w:iCs/>
          <w:spacing w:val="-2"/>
        </w:rPr>
        <w:t>P</w:t>
      </w:r>
      <w:r>
        <w:rPr>
          <w:spacing w:val="-2"/>
        </w:rPr>
        <w:t xml:space="preserve"> &lt; 0.0001, respectively); by contrast, the EE recurrence rate did not differ significantly between the two doses of </w:t>
      </w:r>
      <w:proofErr w:type="spellStart"/>
      <w:r>
        <w:rPr>
          <w:spacing w:val="-2"/>
        </w:rPr>
        <w:t>vonoprazan</w:t>
      </w:r>
      <w:proofErr w:type="spellEnd"/>
      <w:r>
        <w:rPr>
          <w:spacing w:val="-2"/>
        </w:rPr>
        <w:t xml:space="preserve"> (</w:t>
      </w:r>
      <w:r>
        <w:rPr>
          <w:rFonts w:ascii="Tahoma Italic" w:hAnsi="Tahoma Italic" w:cs="Tahoma Italic"/>
          <w:i/>
          <w:iCs/>
          <w:spacing w:val="-2"/>
        </w:rPr>
        <w:t>P</w:t>
      </w:r>
      <w:r>
        <w:rPr>
          <w:spacing w:val="-2"/>
        </w:rPr>
        <w:t xml:space="preserve"> = 0.1090). The safety profiles of </w:t>
      </w:r>
      <w:proofErr w:type="spellStart"/>
      <w:r>
        <w:rPr>
          <w:spacing w:val="-2"/>
        </w:rPr>
        <w:t>vonoprazan</w:t>
      </w:r>
      <w:proofErr w:type="spellEnd"/>
      <w:r>
        <w:rPr>
          <w:spacing w:val="-2"/>
        </w:rPr>
        <w:t xml:space="preserve"> 10 and 20 mg were similar to that of </w:t>
      </w:r>
      <w:proofErr w:type="spellStart"/>
      <w:r>
        <w:rPr>
          <w:spacing w:val="-2"/>
        </w:rPr>
        <w:t>lansoprazole</w:t>
      </w:r>
      <w:proofErr w:type="spellEnd"/>
      <w:r>
        <w:rPr>
          <w:spacing w:val="-2"/>
        </w:rPr>
        <w:t xml:space="preserve"> 15 mg in patients with healed EE. Treatment-related </w:t>
      </w:r>
      <w:proofErr w:type="spellStart"/>
      <w:r>
        <w:rPr>
          <w:spacing w:val="-2"/>
        </w:rPr>
        <w:t>AEs</w:t>
      </w:r>
      <w:proofErr w:type="spellEnd"/>
      <w:r>
        <w:rPr>
          <w:spacing w:val="-2"/>
        </w:rPr>
        <w:t xml:space="preserve"> were reported in 11.4%, 10.4%, and 10.3% of patients in the </w:t>
      </w:r>
      <w:proofErr w:type="spellStart"/>
      <w:r>
        <w:rPr>
          <w:spacing w:val="-2"/>
        </w:rPr>
        <w:t>lansoprazole</w:t>
      </w:r>
      <w:proofErr w:type="spellEnd"/>
      <w:r>
        <w:rPr>
          <w:spacing w:val="-2"/>
        </w:rPr>
        <w:t xml:space="preserve"> 15 mg, </w:t>
      </w:r>
      <w:proofErr w:type="spellStart"/>
      <w:r>
        <w:rPr>
          <w:spacing w:val="-2"/>
        </w:rPr>
        <w:t>vonoprazan</w:t>
      </w:r>
      <w:proofErr w:type="spellEnd"/>
      <w:r>
        <w:rPr>
          <w:spacing w:val="-2"/>
        </w:rPr>
        <w:t xml:space="preserve"> 10 mg, and </w:t>
      </w:r>
      <w:proofErr w:type="spellStart"/>
      <w:r>
        <w:rPr>
          <w:spacing w:val="-2"/>
        </w:rPr>
        <w:t>vonoprazan</w:t>
      </w:r>
      <w:proofErr w:type="spellEnd"/>
      <w:r>
        <w:rPr>
          <w:spacing w:val="-2"/>
        </w:rPr>
        <w:t xml:space="preserve"> 20 mg arms, respectively.</w:t>
      </w:r>
    </w:p>
    <w:p w:rsidR="008F3BB2" w:rsidRPr="000F3ABF" w:rsidRDefault="008F3BB2" w:rsidP="008F3BB2">
      <w:pPr>
        <w:pStyle w:val="E-1"/>
        <w:rPr>
          <w:rFonts w:ascii="Book Antiqua" w:hAnsi="Book Antiqua" w:cs="Book Antiqua"/>
          <w:b/>
          <w:bCs/>
          <w:iCs/>
        </w:rPr>
      </w:pPr>
      <w:r w:rsidRPr="000F3ABF">
        <w:rPr>
          <w:rFonts w:ascii="Times New Roman" w:hAnsi="Times New Roman" w:cs="Times New Roman"/>
          <w:b/>
          <w:bCs/>
          <w:iCs/>
        </w:rPr>
        <w:t>CONCLUSION</w:t>
      </w:r>
    </w:p>
    <w:p w:rsidR="008F3BB2" w:rsidRDefault="008F3BB2" w:rsidP="008F3BB2">
      <w:pPr>
        <w:pStyle w:val="E-1"/>
      </w:pPr>
      <w:r>
        <w:t xml:space="preserve">Our findings confirm the non-inferiority of </w:t>
      </w:r>
      <w:proofErr w:type="spellStart"/>
      <w:r>
        <w:t>vonoprazan</w:t>
      </w:r>
      <w:proofErr w:type="spellEnd"/>
      <w:r>
        <w:t xml:space="preserve"> 10 and 20 mg to </w:t>
      </w:r>
      <w:proofErr w:type="spellStart"/>
      <w:r>
        <w:t>lansoprazole</w:t>
      </w:r>
      <w:proofErr w:type="spellEnd"/>
      <w:r>
        <w:t xml:space="preserve"> 15 mg as maintenance therapy for patients with healed EE. </w:t>
      </w:r>
    </w:p>
    <w:p w:rsidR="008F3BB2" w:rsidRDefault="008F3BB2" w:rsidP="008F3BB2">
      <w:pPr>
        <w:pStyle w:val="E-1"/>
        <w:rPr>
          <w:rFonts w:ascii="Times New Roman" w:hAnsi="Times New Roman" w:cs="Times New Roman"/>
          <w:b/>
          <w:bCs/>
        </w:rPr>
      </w:pPr>
    </w:p>
    <w:p w:rsidR="008F3BB2" w:rsidRDefault="008F3BB2" w:rsidP="008F3BB2">
      <w:pPr>
        <w:pStyle w:val="E-1"/>
      </w:pPr>
      <w:r>
        <w:rPr>
          <w:rFonts w:ascii="Times New Roman" w:hAnsi="Times New Roman" w:cs="Times New Roman"/>
          <w:b/>
          <w:bCs/>
        </w:rPr>
        <w:t xml:space="preserve">Key words: </w:t>
      </w:r>
      <w:proofErr w:type="spellStart"/>
      <w:r>
        <w:t>Gastroesophageal</w:t>
      </w:r>
      <w:proofErr w:type="spellEnd"/>
      <w:r>
        <w:t xml:space="preserve"> reflux disease; Erosive esophagitis; </w:t>
      </w:r>
      <w:proofErr w:type="spellStart"/>
      <w:r>
        <w:t>Lansoprazole</w:t>
      </w:r>
      <w:proofErr w:type="spellEnd"/>
      <w:r>
        <w:t xml:space="preserve">; Potassium-competitive acid blockers; </w:t>
      </w:r>
      <w:proofErr w:type="spellStart"/>
      <w:r>
        <w:t>Vonoprazan</w:t>
      </w:r>
      <w:proofErr w:type="spellEnd"/>
      <w:r>
        <w:t>; Maintenance therapy</w:t>
      </w:r>
    </w:p>
    <w:p w:rsidR="008F3BB2" w:rsidRDefault="008F3BB2" w:rsidP="008F3BB2">
      <w:pPr>
        <w:pStyle w:val="E-1"/>
        <w:rPr>
          <w:b/>
          <w:bCs/>
          <w:sz w:val="17"/>
          <w:szCs w:val="17"/>
        </w:rPr>
      </w:pPr>
    </w:p>
    <w:p w:rsidR="008F3BB2" w:rsidRDefault="008F3BB2" w:rsidP="008F3BB2">
      <w:pPr>
        <w:pStyle w:val="af6"/>
      </w:pPr>
      <w:proofErr w:type="spellStart"/>
      <w:r>
        <w:t>Ashida</w:t>
      </w:r>
      <w:proofErr w:type="spellEnd"/>
      <w:r>
        <w:t xml:space="preserve"> K, </w:t>
      </w:r>
      <w:proofErr w:type="spellStart"/>
      <w:r>
        <w:t>Iwakiri</w:t>
      </w:r>
      <w:proofErr w:type="spellEnd"/>
      <w:r>
        <w:t xml:space="preserve"> K, </w:t>
      </w:r>
      <w:proofErr w:type="spellStart"/>
      <w:r>
        <w:t>Hiramatsu</w:t>
      </w:r>
      <w:proofErr w:type="spellEnd"/>
      <w:r>
        <w:t xml:space="preserve"> N, Sakurai Y, Hori T, </w:t>
      </w:r>
      <w:proofErr w:type="spellStart"/>
      <w:r>
        <w:t>Kudou</w:t>
      </w:r>
      <w:proofErr w:type="spellEnd"/>
      <w:r>
        <w:t xml:space="preserve"> K, Nishimura A, </w:t>
      </w:r>
      <w:proofErr w:type="spellStart"/>
      <w:proofErr w:type="gramStart"/>
      <w:r>
        <w:t>Umegaki</w:t>
      </w:r>
      <w:proofErr w:type="spellEnd"/>
      <w:proofErr w:type="gramEnd"/>
      <w:r>
        <w:t xml:space="preserve"> E. Maintenance for healed erosive esophagitis: Phase </w:t>
      </w:r>
      <w:r>
        <w:rPr>
          <w:rFonts w:ascii="KozMinPro-Regular" w:eastAsia="KozMinPro-Regular" w:cs="KozMinPro-Regular" w:hint="eastAsia"/>
          <w:spacing w:val="0"/>
          <w:sz w:val="17"/>
          <w:szCs w:val="17"/>
        </w:rPr>
        <w:t>Ⅲ</w:t>
      </w:r>
      <w:r>
        <w:t xml:space="preserve"> comparison of </w:t>
      </w:r>
      <w:proofErr w:type="spellStart"/>
      <w:r>
        <w:t>vonoprazan</w:t>
      </w:r>
      <w:proofErr w:type="spellEnd"/>
      <w:r>
        <w:t xml:space="preserve"> with </w:t>
      </w:r>
      <w:proofErr w:type="spellStart"/>
      <w:r>
        <w:t>lansoprazole</w:t>
      </w:r>
      <w:proofErr w:type="spellEnd"/>
      <w:r>
        <w:t xml:space="preserve">. </w:t>
      </w:r>
      <w:r>
        <w:rPr>
          <w:i/>
          <w:iCs/>
        </w:rPr>
        <w:t xml:space="preserve">World J </w:t>
      </w:r>
      <w:proofErr w:type="spellStart"/>
      <w:r>
        <w:rPr>
          <w:i/>
          <w:iCs/>
        </w:rPr>
        <w:t>Gastroenterol</w:t>
      </w:r>
      <w:proofErr w:type="spellEnd"/>
      <w:r>
        <w:t xml:space="preserve"> 2018; 24(14): 1550-</w:t>
      </w:r>
      <w:proofErr w:type="gramStart"/>
      <w:r>
        <w:t>1561  Available</w:t>
      </w:r>
      <w:proofErr w:type="gramEnd"/>
      <w:r>
        <w:t xml:space="preserve"> from: URL: http://www.wjgnet.com/1007-9327/full/v24/i14/1550.htm  </w:t>
      </w:r>
      <w:proofErr w:type="spellStart"/>
      <w:r>
        <w:t>DOI</w:t>
      </w:r>
      <w:proofErr w:type="spellEnd"/>
      <w:r>
        <w:t>: http://dx.doi.org/10.3748/wjg.v24.i14.1550</w:t>
      </w:r>
    </w:p>
    <w:p w:rsidR="008F3BB2" w:rsidRPr="000F3ABF" w:rsidRDefault="008F3BB2" w:rsidP="008F3BB2">
      <w:pPr>
        <w:pStyle w:val="af7"/>
        <w:spacing w:before="0" w:after="0"/>
        <w:jc w:val="both"/>
        <w:rPr>
          <w:b/>
          <w:bCs/>
          <w:spacing w:val="-3"/>
          <w:sz w:val="19"/>
          <w:szCs w:val="19"/>
          <w:lang w:val="en-US"/>
        </w:rPr>
      </w:pPr>
    </w:p>
    <w:p w:rsidR="008F3BB2" w:rsidRDefault="008F3BB2" w:rsidP="008F3BB2">
      <w:pPr>
        <w:pStyle w:val="E-1"/>
        <w:rPr>
          <w:spacing w:val="-2"/>
        </w:rPr>
      </w:pPr>
      <w:r>
        <w:rPr>
          <w:rFonts w:ascii="Times New Roman" w:hAnsi="Times New Roman" w:cs="Times New Roman"/>
          <w:b/>
          <w:bCs/>
          <w:spacing w:val="-2"/>
        </w:rPr>
        <w:t>Core tip:</w:t>
      </w:r>
      <w:r>
        <w:rPr>
          <w:b/>
          <w:bCs/>
          <w:spacing w:val="-2"/>
        </w:rPr>
        <w:t xml:space="preserve"> </w:t>
      </w:r>
      <w:r>
        <w:rPr>
          <w:spacing w:val="-2"/>
        </w:rPr>
        <w:t>Proton pump inhibitors (</w:t>
      </w:r>
      <w:proofErr w:type="spellStart"/>
      <w:r>
        <w:rPr>
          <w:spacing w:val="-2"/>
        </w:rPr>
        <w:t>PPIs</w:t>
      </w:r>
      <w:proofErr w:type="spellEnd"/>
      <w:r>
        <w:rPr>
          <w:spacing w:val="-2"/>
        </w:rPr>
        <w:t xml:space="preserve">), including </w:t>
      </w:r>
      <w:proofErr w:type="spellStart"/>
      <w:r>
        <w:rPr>
          <w:spacing w:val="-2"/>
        </w:rPr>
        <w:t>lanso</w:t>
      </w:r>
      <w:r>
        <w:rPr>
          <w:spacing w:val="-2"/>
        </w:rPr>
        <w:softHyphen/>
        <w:t>prazole</w:t>
      </w:r>
      <w:proofErr w:type="spellEnd"/>
      <w:r>
        <w:rPr>
          <w:spacing w:val="-2"/>
        </w:rPr>
        <w:t xml:space="preserve">, are widely used to maintain healing of erosive esophagitis (EE) in patients with </w:t>
      </w:r>
      <w:proofErr w:type="spellStart"/>
      <w:r>
        <w:rPr>
          <w:spacing w:val="-2"/>
        </w:rPr>
        <w:t>gastroesophageal</w:t>
      </w:r>
      <w:proofErr w:type="spellEnd"/>
      <w:r>
        <w:rPr>
          <w:spacing w:val="-2"/>
        </w:rPr>
        <w:t xml:space="preserve"> reflux disease; however, symptoms of reflux persist in significant numbers of patients treated with </w:t>
      </w:r>
      <w:proofErr w:type="spellStart"/>
      <w:r>
        <w:rPr>
          <w:spacing w:val="-2"/>
        </w:rPr>
        <w:t>PPIs</w:t>
      </w:r>
      <w:proofErr w:type="spellEnd"/>
      <w:r>
        <w:rPr>
          <w:spacing w:val="-2"/>
        </w:rPr>
        <w:t xml:space="preserve">. We compared two doses of the novel potassium-competitive acid blocker </w:t>
      </w:r>
      <w:proofErr w:type="spellStart"/>
      <w:r>
        <w:rPr>
          <w:spacing w:val="-2"/>
        </w:rPr>
        <w:t>vonoprazan</w:t>
      </w:r>
      <w:proofErr w:type="spellEnd"/>
      <w:r>
        <w:rPr>
          <w:spacing w:val="-2"/>
        </w:rPr>
        <w:t xml:space="preserve"> (10 and 20 mg once daily) with </w:t>
      </w:r>
      <w:proofErr w:type="spellStart"/>
      <w:r>
        <w:rPr>
          <w:spacing w:val="-2"/>
        </w:rPr>
        <w:t>lansoprazole</w:t>
      </w:r>
      <w:proofErr w:type="spellEnd"/>
      <w:r>
        <w:rPr>
          <w:spacing w:val="-2"/>
        </w:rPr>
        <w:t xml:space="preserve"> at its approved dose of 15 mg once daily as maintenance therapy for healed EE in 607 Japanese patients. </w:t>
      </w:r>
      <w:proofErr w:type="spellStart"/>
      <w:r>
        <w:rPr>
          <w:spacing w:val="-2"/>
        </w:rPr>
        <w:t>Vonoprazan</w:t>
      </w:r>
      <w:proofErr w:type="spellEnd"/>
      <w:r>
        <w:rPr>
          <w:spacing w:val="-2"/>
        </w:rPr>
        <w:t xml:space="preserve"> was shown to be non-inferior to </w:t>
      </w:r>
      <w:proofErr w:type="spellStart"/>
      <w:r>
        <w:rPr>
          <w:spacing w:val="-2"/>
        </w:rPr>
        <w:t>lansoprazole</w:t>
      </w:r>
      <w:proofErr w:type="spellEnd"/>
      <w:r>
        <w:rPr>
          <w:spacing w:val="-2"/>
        </w:rPr>
        <w:t xml:space="preserve"> 15 mg at both investigated doses, while demonstrating a similar safety profile.</w:t>
      </w:r>
    </w:p>
    <w:p w:rsidR="008F3BB2" w:rsidRDefault="008F3BB2" w:rsidP="008F3BB2">
      <w:pPr>
        <w:pStyle w:val="af6"/>
      </w:pPr>
    </w:p>
    <w:p w:rsidR="008F3BB2" w:rsidRDefault="008F3BB2" w:rsidP="008F3BB2">
      <w:pPr>
        <w:pStyle w:val="af6"/>
      </w:pPr>
    </w:p>
    <w:p w:rsidR="008F3BB2" w:rsidRPr="000F3ABF" w:rsidRDefault="008F3BB2" w:rsidP="008F3BB2">
      <w:pPr>
        <w:pStyle w:val="af8"/>
        <w:ind w:left="5250"/>
        <w:rPr>
          <w:lang w:val="en-US"/>
        </w:rPr>
      </w:pPr>
    </w:p>
    <w:p w:rsidR="008F3BB2" w:rsidRPr="000F3ABF" w:rsidRDefault="008F3BB2" w:rsidP="008F3BB2">
      <w:pPr>
        <w:pStyle w:val="af8"/>
        <w:ind w:left="5250"/>
        <w:rPr>
          <w:lang w:val="en-US"/>
        </w:rPr>
      </w:pPr>
    </w:p>
    <w:p w:rsidR="008F3BB2" w:rsidRPr="000F3ABF" w:rsidRDefault="008F3BB2" w:rsidP="008F3BB2">
      <w:pPr>
        <w:pStyle w:val="af8"/>
        <w:ind w:left="5250"/>
        <w:rPr>
          <w:u w:val="single"/>
          <w:lang w:val="en-US"/>
        </w:rPr>
      </w:pPr>
      <w:r w:rsidRPr="000F3ABF">
        <w:rPr>
          <w:u w:val="single"/>
          <w:lang w:val="en-US"/>
        </w:rPr>
        <w:t>INTRODUCTION</w:t>
      </w:r>
    </w:p>
    <w:p w:rsidR="008F3BB2" w:rsidRDefault="008F3BB2" w:rsidP="008F3BB2">
      <w:pPr>
        <w:pStyle w:val="af9"/>
      </w:pPr>
      <w:proofErr w:type="spellStart"/>
      <w:r>
        <w:t>Gastroesophageal</w:t>
      </w:r>
      <w:proofErr w:type="spellEnd"/>
      <w:r>
        <w:t xml:space="preserve"> reflux disease (</w:t>
      </w:r>
      <w:proofErr w:type="spellStart"/>
      <w:r>
        <w:t>GERD</w:t>
      </w:r>
      <w:proofErr w:type="spellEnd"/>
      <w:r>
        <w:t xml:space="preserve">) is a common gastric acid-related disorder that is characterized by heartburn and/or acid regurgitation caused by the reflux of gastric </w:t>
      </w:r>
      <w:proofErr w:type="gramStart"/>
      <w:r>
        <w:t>contents</w:t>
      </w:r>
      <w:r>
        <w:rPr>
          <w:vertAlign w:val="superscript"/>
        </w:rPr>
        <w:t>[</w:t>
      </w:r>
      <w:proofErr w:type="gramEnd"/>
      <w:r>
        <w:rPr>
          <w:vertAlign w:val="superscript"/>
        </w:rPr>
        <w:t>1]</w:t>
      </w:r>
      <w:r>
        <w:t xml:space="preserve">. The spectrum of </w:t>
      </w:r>
      <w:proofErr w:type="spellStart"/>
      <w:r>
        <w:t>GERD</w:t>
      </w:r>
      <w:proofErr w:type="spellEnd"/>
      <w:r>
        <w:t xml:space="preserve"> ranges from non-erosive to erosive or complicated disease (ulcer, columnar metaplasia, and stricture), each of which is thought </w:t>
      </w:r>
      <w:r>
        <w:lastRenderedPageBreak/>
        <w:t>likely to progress if either left untreated or not treated adequately</w:t>
      </w:r>
      <w:r>
        <w:rPr>
          <w:vertAlign w:val="superscript"/>
        </w:rPr>
        <w:t>[2]</w:t>
      </w:r>
      <w:r>
        <w:t xml:space="preserve">. The main goals for the clinical management of </w:t>
      </w:r>
      <w:proofErr w:type="spellStart"/>
      <w:r>
        <w:t>GERD</w:t>
      </w:r>
      <w:proofErr w:type="spellEnd"/>
      <w:r>
        <w:t xml:space="preserve"> consist of symptom relief, healing of erosive esophagitis (EE), prevention of recurrences and complications, and overall improvement of patients’ quality of </w:t>
      </w:r>
      <w:proofErr w:type="gramStart"/>
      <w:r>
        <w:t>life</w:t>
      </w:r>
      <w:r>
        <w:rPr>
          <w:vertAlign w:val="superscript"/>
        </w:rPr>
        <w:t>[</w:t>
      </w:r>
      <w:proofErr w:type="gramEnd"/>
      <w:r>
        <w:rPr>
          <w:vertAlign w:val="superscript"/>
        </w:rPr>
        <w:t>1,3]</w:t>
      </w:r>
      <w:r>
        <w:t xml:space="preserve">. </w:t>
      </w:r>
    </w:p>
    <w:p w:rsidR="008F3BB2" w:rsidRDefault="008F3BB2" w:rsidP="008F3BB2">
      <w:pPr>
        <w:pStyle w:val="10"/>
        <w:rPr>
          <w:spacing w:val="-9"/>
        </w:rPr>
      </w:pPr>
      <w:r>
        <w:rPr>
          <w:spacing w:val="-9"/>
        </w:rPr>
        <w:t>Owing to their superior ability to inhibit gastric acid secretion compared with H</w:t>
      </w:r>
      <w:r>
        <w:rPr>
          <w:spacing w:val="-9"/>
          <w:vertAlign w:val="subscript"/>
        </w:rPr>
        <w:t>2</w:t>
      </w:r>
      <w:r>
        <w:rPr>
          <w:spacing w:val="-9"/>
        </w:rPr>
        <w:t xml:space="preserve"> receptor antagonists (H</w:t>
      </w:r>
      <w:r>
        <w:rPr>
          <w:spacing w:val="-9"/>
          <w:vertAlign w:val="subscript"/>
        </w:rPr>
        <w:t>2</w:t>
      </w:r>
      <w:r>
        <w:rPr>
          <w:spacing w:val="-9"/>
        </w:rPr>
        <w:t>RAs), proton pump inhibitors (</w:t>
      </w:r>
      <w:proofErr w:type="spellStart"/>
      <w:r>
        <w:rPr>
          <w:spacing w:val="-9"/>
        </w:rPr>
        <w:t>PPIs</w:t>
      </w:r>
      <w:proofErr w:type="spellEnd"/>
      <w:r>
        <w:rPr>
          <w:spacing w:val="-9"/>
        </w:rPr>
        <w:t xml:space="preserve">) remain the mainstay of long-term therapy for </w:t>
      </w:r>
      <w:proofErr w:type="spellStart"/>
      <w:proofErr w:type="gramStart"/>
      <w:r>
        <w:rPr>
          <w:spacing w:val="-9"/>
        </w:rPr>
        <w:t>GERD</w:t>
      </w:r>
      <w:proofErr w:type="spellEnd"/>
      <w:r>
        <w:rPr>
          <w:spacing w:val="-9"/>
          <w:vertAlign w:val="superscript"/>
        </w:rPr>
        <w:t>[</w:t>
      </w:r>
      <w:proofErr w:type="gramEnd"/>
      <w:r>
        <w:rPr>
          <w:spacing w:val="-9"/>
          <w:vertAlign w:val="superscript"/>
        </w:rPr>
        <w:t>1,3-5]</w:t>
      </w:r>
      <w:r>
        <w:rPr>
          <w:spacing w:val="-9"/>
        </w:rPr>
        <w:t xml:space="preserve">. However, resolution of </w:t>
      </w:r>
      <w:proofErr w:type="spellStart"/>
      <w:r>
        <w:rPr>
          <w:spacing w:val="-9"/>
        </w:rPr>
        <w:t>GERD</w:t>
      </w:r>
      <w:proofErr w:type="spellEnd"/>
      <w:r>
        <w:rPr>
          <w:spacing w:val="-9"/>
        </w:rPr>
        <w:t xml:space="preserve"> symptoms with </w:t>
      </w:r>
      <w:proofErr w:type="spellStart"/>
      <w:r>
        <w:rPr>
          <w:spacing w:val="-9"/>
        </w:rPr>
        <w:t>PPIs</w:t>
      </w:r>
      <w:proofErr w:type="spellEnd"/>
      <w:r>
        <w:rPr>
          <w:spacing w:val="-9"/>
        </w:rPr>
        <w:t xml:space="preserve"> appears to have a less predictable outcome than esophageal mucosal </w:t>
      </w:r>
      <w:proofErr w:type="gramStart"/>
      <w:r>
        <w:rPr>
          <w:spacing w:val="-9"/>
        </w:rPr>
        <w:t>inflammation</w:t>
      </w:r>
      <w:r>
        <w:rPr>
          <w:spacing w:val="-9"/>
          <w:vertAlign w:val="superscript"/>
        </w:rPr>
        <w:t>[</w:t>
      </w:r>
      <w:proofErr w:type="gramEnd"/>
      <w:r>
        <w:rPr>
          <w:spacing w:val="-9"/>
          <w:vertAlign w:val="superscript"/>
        </w:rPr>
        <w:t>4-6]</w:t>
      </w:r>
      <w:r>
        <w:rPr>
          <w:spacing w:val="-9"/>
        </w:rPr>
        <w:t xml:space="preserve">, with reflux symptoms persisting in up to 60% of patients treated with </w:t>
      </w:r>
      <w:proofErr w:type="spellStart"/>
      <w:r>
        <w:rPr>
          <w:spacing w:val="-9"/>
        </w:rPr>
        <w:t>PPIs</w:t>
      </w:r>
      <w:proofErr w:type="spellEnd"/>
      <w:r>
        <w:rPr>
          <w:spacing w:val="-9"/>
        </w:rPr>
        <w:t xml:space="preserve"> in randomized controlled clinical trials</w:t>
      </w:r>
      <w:r>
        <w:rPr>
          <w:spacing w:val="-9"/>
          <w:vertAlign w:val="superscript"/>
        </w:rPr>
        <w:t>[7]</w:t>
      </w:r>
      <w:r>
        <w:rPr>
          <w:spacing w:val="-9"/>
        </w:rPr>
        <w:t xml:space="preserve"> and observational studies</w:t>
      </w:r>
      <w:r>
        <w:rPr>
          <w:spacing w:val="-9"/>
          <w:vertAlign w:val="superscript"/>
        </w:rPr>
        <w:t>[5]</w:t>
      </w:r>
      <w:r>
        <w:rPr>
          <w:spacing w:val="-9"/>
        </w:rPr>
        <w:t>. Proposed underlying mechanisms for PPI failure include drug- and patient-related factors, such as low bioavailability, nocturnal acid breakthrough, rapid metabolism (CYP2C19 extensive metabolizer genotype), and poor compliance with the prescribed regimen</w:t>
      </w:r>
      <w:r>
        <w:rPr>
          <w:spacing w:val="-9"/>
          <w:vertAlign w:val="superscript"/>
        </w:rPr>
        <w:t>[6]</w:t>
      </w:r>
      <w:r>
        <w:rPr>
          <w:spacing w:val="-9"/>
        </w:rPr>
        <w:t xml:space="preserve">. The slow cumulative onset of PPI action at therapeutic doses may also be a contributing </w:t>
      </w:r>
      <w:proofErr w:type="gramStart"/>
      <w:r>
        <w:rPr>
          <w:spacing w:val="-9"/>
        </w:rPr>
        <w:t>factor</w:t>
      </w:r>
      <w:r>
        <w:rPr>
          <w:spacing w:val="-9"/>
          <w:vertAlign w:val="superscript"/>
        </w:rPr>
        <w:t>[</w:t>
      </w:r>
      <w:proofErr w:type="gramEnd"/>
      <w:r>
        <w:rPr>
          <w:spacing w:val="-9"/>
          <w:vertAlign w:val="superscript"/>
        </w:rPr>
        <w:t>8-10]</w:t>
      </w:r>
      <w:r>
        <w:rPr>
          <w:spacing w:val="-9"/>
        </w:rPr>
        <w:t xml:space="preserve">. These limitations have led to a renewed interest in alternative treatment modalities for the management of patients with </w:t>
      </w:r>
      <w:proofErr w:type="spellStart"/>
      <w:proofErr w:type="gramStart"/>
      <w:r>
        <w:rPr>
          <w:spacing w:val="-9"/>
        </w:rPr>
        <w:t>GERD</w:t>
      </w:r>
      <w:proofErr w:type="spellEnd"/>
      <w:r>
        <w:rPr>
          <w:spacing w:val="-9"/>
          <w:vertAlign w:val="superscript"/>
        </w:rPr>
        <w:t>[</w:t>
      </w:r>
      <w:proofErr w:type="gramEnd"/>
      <w:r>
        <w:rPr>
          <w:spacing w:val="-9"/>
          <w:vertAlign w:val="superscript"/>
        </w:rPr>
        <w:t>1,4]</w:t>
      </w:r>
      <w:r>
        <w:rPr>
          <w:spacing w:val="-9"/>
        </w:rPr>
        <w:t xml:space="preserve">. </w:t>
      </w:r>
    </w:p>
    <w:p w:rsidR="008F3BB2" w:rsidRDefault="008F3BB2" w:rsidP="008F3BB2">
      <w:pPr>
        <w:pStyle w:val="10"/>
        <w:rPr>
          <w:spacing w:val="-9"/>
        </w:rPr>
      </w:pPr>
      <w:r>
        <w:rPr>
          <w:spacing w:val="-9"/>
        </w:rPr>
        <w:t>Discovered and developed by Takeda Pharmaceu</w:t>
      </w:r>
      <w:r>
        <w:rPr>
          <w:spacing w:val="-9"/>
        </w:rPr>
        <w:softHyphen/>
        <w:t xml:space="preserve">tical Company Limited, Japan, </w:t>
      </w:r>
      <w:proofErr w:type="spellStart"/>
      <w:r>
        <w:rPr>
          <w:spacing w:val="-9"/>
        </w:rPr>
        <w:t>vonoprazan</w:t>
      </w:r>
      <w:proofErr w:type="spellEnd"/>
      <w:r>
        <w:rPr>
          <w:spacing w:val="-9"/>
        </w:rPr>
        <w:t xml:space="preserve"> </w:t>
      </w:r>
      <w:proofErr w:type="spellStart"/>
      <w:r>
        <w:rPr>
          <w:spacing w:val="-9"/>
        </w:rPr>
        <w:t>fumarate</w:t>
      </w:r>
      <w:proofErr w:type="spellEnd"/>
      <w:r>
        <w:rPr>
          <w:spacing w:val="-9"/>
        </w:rPr>
        <w:t xml:space="preserve"> (TAK-438) belongs to a novel class of acid suppressants </w:t>
      </w:r>
      <w:r>
        <w:rPr>
          <w:spacing w:val="-13"/>
        </w:rPr>
        <w:t>known as potassium-competitive acid blockers (P-CABs</w:t>
      </w:r>
      <w:proofErr w:type="gramStart"/>
      <w:r>
        <w:rPr>
          <w:spacing w:val="-13"/>
        </w:rPr>
        <w:t>)</w:t>
      </w:r>
      <w:r>
        <w:rPr>
          <w:spacing w:val="-13"/>
          <w:vertAlign w:val="superscript"/>
        </w:rPr>
        <w:t>[</w:t>
      </w:r>
      <w:proofErr w:type="gramEnd"/>
      <w:r>
        <w:rPr>
          <w:spacing w:val="-13"/>
          <w:vertAlign w:val="superscript"/>
        </w:rPr>
        <w:t>11]</w:t>
      </w:r>
      <w:r>
        <w:rPr>
          <w:spacing w:val="-13"/>
        </w:rPr>
        <w:t xml:space="preserve">. </w:t>
      </w:r>
      <w:r>
        <w:rPr>
          <w:spacing w:val="-9"/>
        </w:rPr>
        <w:t xml:space="preserve">Like </w:t>
      </w:r>
      <w:proofErr w:type="spellStart"/>
      <w:r>
        <w:rPr>
          <w:spacing w:val="-9"/>
        </w:rPr>
        <w:t>PPIs</w:t>
      </w:r>
      <w:proofErr w:type="spellEnd"/>
      <w:r>
        <w:rPr>
          <w:spacing w:val="-9"/>
        </w:rPr>
        <w:t xml:space="preserve">, </w:t>
      </w:r>
      <w:proofErr w:type="spellStart"/>
      <w:r>
        <w:rPr>
          <w:spacing w:val="-9"/>
        </w:rPr>
        <w:t>vonoprazan</w:t>
      </w:r>
      <w:proofErr w:type="spellEnd"/>
      <w:r>
        <w:rPr>
          <w:spacing w:val="-9"/>
        </w:rPr>
        <w:t xml:space="preserve"> inhibits gastric H</w:t>
      </w:r>
      <w:r>
        <w:rPr>
          <w:spacing w:val="-9"/>
          <w:vertAlign w:val="superscript"/>
        </w:rPr>
        <w:t>+</w:t>
      </w:r>
      <w:r>
        <w:rPr>
          <w:spacing w:val="-9"/>
        </w:rPr>
        <w:t>, K</w:t>
      </w:r>
      <w:r>
        <w:rPr>
          <w:spacing w:val="-9"/>
          <w:vertAlign w:val="superscript"/>
        </w:rPr>
        <w:t>+</w:t>
      </w:r>
      <w:r>
        <w:rPr>
          <w:spacing w:val="-9"/>
        </w:rPr>
        <w:t xml:space="preserve">-ATPase, an enzyme that catalyzes the final step in the acid secretion pathway. However, unlike </w:t>
      </w:r>
      <w:proofErr w:type="spellStart"/>
      <w:r>
        <w:rPr>
          <w:spacing w:val="-9"/>
        </w:rPr>
        <w:t>PPIs</w:t>
      </w:r>
      <w:proofErr w:type="spellEnd"/>
      <w:r>
        <w:rPr>
          <w:spacing w:val="-9"/>
        </w:rPr>
        <w:t xml:space="preserve">, </w:t>
      </w:r>
      <w:proofErr w:type="spellStart"/>
      <w:r>
        <w:rPr>
          <w:spacing w:val="-9"/>
        </w:rPr>
        <w:t>vonoprazan</w:t>
      </w:r>
      <w:proofErr w:type="spellEnd"/>
      <w:r>
        <w:rPr>
          <w:spacing w:val="-9"/>
        </w:rPr>
        <w:t xml:space="preserve"> inhibits the enzyme in a K</w:t>
      </w:r>
      <w:r>
        <w:rPr>
          <w:spacing w:val="-9"/>
          <w:vertAlign w:val="superscript"/>
        </w:rPr>
        <w:t>+</w:t>
      </w:r>
      <w:r>
        <w:rPr>
          <w:spacing w:val="-9"/>
        </w:rPr>
        <w:t xml:space="preserve">-competitive and reversible </w:t>
      </w:r>
      <w:proofErr w:type="gramStart"/>
      <w:r>
        <w:rPr>
          <w:spacing w:val="-9"/>
        </w:rPr>
        <w:t>manner</w:t>
      </w:r>
      <w:r>
        <w:rPr>
          <w:spacing w:val="-9"/>
          <w:vertAlign w:val="superscript"/>
        </w:rPr>
        <w:t>[</w:t>
      </w:r>
      <w:proofErr w:type="gramEnd"/>
      <w:r>
        <w:rPr>
          <w:spacing w:val="-9"/>
          <w:vertAlign w:val="superscript"/>
        </w:rPr>
        <w:t>12]</w:t>
      </w:r>
      <w:r>
        <w:rPr>
          <w:spacing w:val="-9"/>
        </w:rPr>
        <w:t>, with its inhibitory effects (</w:t>
      </w:r>
      <w:proofErr w:type="spellStart"/>
      <w:r>
        <w:rPr>
          <w:spacing w:val="-9"/>
        </w:rPr>
        <w:t>pKa</w:t>
      </w:r>
      <w:proofErr w:type="spellEnd"/>
      <w:r>
        <w:rPr>
          <w:spacing w:val="-9"/>
        </w:rPr>
        <w:t xml:space="preserve"> 9.4) on gastric acid secretion largely unaffected by ambient pH, as it accumulates in parietal cells under both acidic and resting conditions</w:t>
      </w:r>
      <w:r>
        <w:rPr>
          <w:spacing w:val="-9"/>
          <w:vertAlign w:val="superscript"/>
        </w:rPr>
        <w:t>[12,13]</w:t>
      </w:r>
      <w:r>
        <w:rPr>
          <w:spacing w:val="-9"/>
        </w:rPr>
        <w:t xml:space="preserve">. In animal studies, </w:t>
      </w:r>
      <w:proofErr w:type="spellStart"/>
      <w:r>
        <w:rPr>
          <w:spacing w:val="-9"/>
        </w:rPr>
        <w:t>vonoprazan</w:t>
      </w:r>
      <w:proofErr w:type="spellEnd"/>
      <w:r>
        <w:rPr>
          <w:spacing w:val="-9"/>
        </w:rPr>
        <w:t xml:space="preserve"> produced more potent and sustained suppression of gastric acid secretion than </w:t>
      </w:r>
      <w:proofErr w:type="spellStart"/>
      <w:proofErr w:type="gramStart"/>
      <w:r>
        <w:rPr>
          <w:spacing w:val="-9"/>
        </w:rPr>
        <w:t>lansoprazole</w:t>
      </w:r>
      <w:proofErr w:type="spellEnd"/>
      <w:r>
        <w:rPr>
          <w:spacing w:val="-9"/>
          <w:vertAlign w:val="superscript"/>
        </w:rPr>
        <w:t>[</w:t>
      </w:r>
      <w:proofErr w:type="gramEnd"/>
      <w:r>
        <w:rPr>
          <w:spacing w:val="-9"/>
          <w:vertAlign w:val="superscript"/>
        </w:rPr>
        <w:t>11-14]</w:t>
      </w:r>
      <w:r>
        <w:rPr>
          <w:spacing w:val="-9"/>
        </w:rPr>
        <w:t xml:space="preserve">. In healthy volunteers, single doses of </w:t>
      </w:r>
      <w:proofErr w:type="spellStart"/>
      <w:r>
        <w:rPr>
          <w:spacing w:val="-9"/>
        </w:rPr>
        <w:t>vonoprazan</w:t>
      </w:r>
      <w:proofErr w:type="spellEnd"/>
      <w:r>
        <w:rPr>
          <w:spacing w:val="-9"/>
        </w:rPr>
        <w:t xml:space="preserve"> 1-120 mg were well tolerated, and produced rapid, prolonged, and dose-related suppression of 24-h gastric acid </w:t>
      </w:r>
      <w:proofErr w:type="gramStart"/>
      <w:r>
        <w:rPr>
          <w:spacing w:val="-9"/>
        </w:rPr>
        <w:t>secretion</w:t>
      </w:r>
      <w:r>
        <w:rPr>
          <w:spacing w:val="-9"/>
          <w:vertAlign w:val="superscript"/>
        </w:rPr>
        <w:t>[</w:t>
      </w:r>
      <w:proofErr w:type="gramEnd"/>
      <w:r>
        <w:rPr>
          <w:spacing w:val="-9"/>
          <w:vertAlign w:val="superscript"/>
        </w:rPr>
        <w:t>15]</w:t>
      </w:r>
      <w:r>
        <w:rPr>
          <w:spacing w:val="-9"/>
        </w:rPr>
        <w:t>. In another study in healthy volunteers, these effects were maintained with multiple dosing (10-40 mg once daily) over 7 d, and were also dose-</w:t>
      </w:r>
      <w:proofErr w:type="gramStart"/>
      <w:r>
        <w:rPr>
          <w:spacing w:val="-9"/>
        </w:rPr>
        <w:t>related</w:t>
      </w:r>
      <w:r>
        <w:rPr>
          <w:spacing w:val="-9"/>
          <w:vertAlign w:val="superscript"/>
        </w:rPr>
        <w:t>[</w:t>
      </w:r>
      <w:proofErr w:type="gramEnd"/>
      <w:r>
        <w:rPr>
          <w:spacing w:val="-9"/>
          <w:vertAlign w:val="superscript"/>
        </w:rPr>
        <w:t>16]</w:t>
      </w:r>
      <w:r>
        <w:rPr>
          <w:spacing w:val="-9"/>
        </w:rPr>
        <w:t>.</w:t>
      </w:r>
    </w:p>
    <w:p w:rsidR="008F3BB2" w:rsidRDefault="008F3BB2" w:rsidP="008F3BB2">
      <w:pPr>
        <w:pStyle w:val="10"/>
      </w:pPr>
      <w:proofErr w:type="spellStart"/>
      <w:r>
        <w:t>Lansoprazole</w:t>
      </w:r>
      <w:proofErr w:type="spellEnd"/>
      <w:r>
        <w:t xml:space="preserve"> 30 mg once daily is the recommended </w:t>
      </w:r>
      <w:r>
        <w:rPr>
          <w:spacing w:val="-4"/>
        </w:rPr>
        <w:t xml:space="preserve">dosage for healing EE, while its step-down dose of 15 </w:t>
      </w:r>
      <w:r>
        <w:t xml:space="preserve">mg once daily is recommended for the maintenance treatment of healed EE, providing well-balanced efficacy and safety over the long </w:t>
      </w:r>
      <w:proofErr w:type="gramStart"/>
      <w:r>
        <w:t>term</w:t>
      </w:r>
      <w:r>
        <w:rPr>
          <w:vertAlign w:val="superscript"/>
        </w:rPr>
        <w:t>[</w:t>
      </w:r>
      <w:proofErr w:type="gramEnd"/>
      <w:r>
        <w:rPr>
          <w:vertAlign w:val="superscript"/>
        </w:rPr>
        <w:t>17]</w:t>
      </w:r>
      <w:r>
        <w:t xml:space="preserve">. The current study aimed to demonstrate that </w:t>
      </w:r>
      <w:proofErr w:type="spellStart"/>
      <w:r>
        <w:t>vonoprazan</w:t>
      </w:r>
      <w:proofErr w:type="spellEnd"/>
      <w:r>
        <w:t xml:space="preserve"> 20 mg and its step-down dose of 10 mg once daily were non-inferior to </w:t>
      </w:r>
      <w:proofErr w:type="spellStart"/>
      <w:r>
        <w:t>lansoprazole</w:t>
      </w:r>
      <w:proofErr w:type="spellEnd"/>
      <w:r>
        <w:t xml:space="preserve"> 15 mg once daily in preventing EE recurrence during a 24-wk maintenance period in Japanese patients who achieve EE healing after 2, 4, or 8 </w:t>
      </w:r>
      <w:proofErr w:type="spellStart"/>
      <w:r>
        <w:t>wk</w:t>
      </w:r>
      <w:proofErr w:type="spellEnd"/>
      <w:r>
        <w:t xml:space="preserve"> treatment with </w:t>
      </w:r>
      <w:proofErr w:type="spellStart"/>
      <w:r>
        <w:t>vonoprazan</w:t>
      </w:r>
      <w:proofErr w:type="spellEnd"/>
      <w:r>
        <w:t xml:space="preserve"> 20 mg.</w:t>
      </w:r>
    </w:p>
    <w:p w:rsidR="008F3BB2" w:rsidRPr="000F3ABF" w:rsidRDefault="008F3BB2" w:rsidP="008F3BB2">
      <w:pPr>
        <w:pStyle w:val="af8"/>
        <w:ind w:left="5250"/>
        <w:rPr>
          <w:lang w:val="en-US"/>
        </w:rPr>
      </w:pPr>
    </w:p>
    <w:p w:rsidR="008F3BB2" w:rsidRPr="000F3ABF" w:rsidRDefault="008F3BB2" w:rsidP="008F3BB2">
      <w:pPr>
        <w:pStyle w:val="af8"/>
        <w:ind w:left="5250"/>
        <w:rPr>
          <w:w w:val="90"/>
          <w:u w:val="single"/>
          <w:lang w:val="en-US"/>
        </w:rPr>
      </w:pPr>
      <w:r w:rsidRPr="000F3ABF">
        <w:rPr>
          <w:u w:val="single"/>
          <w:lang w:val="en-US"/>
        </w:rPr>
        <w:t>MATERIALS AND METHODS</w:t>
      </w:r>
    </w:p>
    <w:p w:rsidR="008F3BB2" w:rsidRPr="000F3ABF" w:rsidRDefault="008F3BB2" w:rsidP="008F3BB2">
      <w:pPr>
        <w:pStyle w:val="afa"/>
        <w:rPr>
          <w:lang w:val="en-US"/>
        </w:rPr>
      </w:pPr>
      <w:r w:rsidRPr="000F3ABF">
        <w:rPr>
          <w:lang w:val="en-US"/>
        </w:rPr>
        <w:t>Study design</w:t>
      </w:r>
    </w:p>
    <w:p w:rsidR="008F3BB2" w:rsidRDefault="008F3BB2" w:rsidP="008F3BB2">
      <w:pPr>
        <w:pStyle w:val="af9"/>
        <w:rPr>
          <w:spacing w:val="-9"/>
        </w:rPr>
      </w:pPr>
      <w:r>
        <w:rPr>
          <w:spacing w:val="-9"/>
        </w:rPr>
        <w:t xml:space="preserve">This was a multicenter, randomized, double-blind, parallel-group, phase </w:t>
      </w:r>
      <w:r>
        <w:rPr>
          <w:rFonts w:ascii="KozMinPro-Regular" w:eastAsia="KozMinPro-Regular" w:cs="KozMinPro-Regular" w:hint="eastAsia"/>
          <w:spacing w:val="-8"/>
          <w:sz w:val="17"/>
          <w:szCs w:val="17"/>
        </w:rPr>
        <w:t>Ⅲ</w:t>
      </w:r>
      <w:r>
        <w:rPr>
          <w:spacing w:val="-9"/>
        </w:rPr>
        <w:t xml:space="preserve"> clinical study, which was designed and </w:t>
      </w:r>
      <w:r>
        <w:rPr>
          <w:spacing w:val="-9"/>
        </w:rPr>
        <w:lastRenderedPageBreak/>
        <w:t xml:space="preserve">conducted to demonstrate the non-inferiority of </w:t>
      </w:r>
      <w:proofErr w:type="spellStart"/>
      <w:r>
        <w:rPr>
          <w:spacing w:val="-9"/>
        </w:rPr>
        <w:t>vonoprazan</w:t>
      </w:r>
      <w:proofErr w:type="spellEnd"/>
      <w:r>
        <w:rPr>
          <w:spacing w:val="-9"/>
        </w:rPr>
        <w:t xml:space="preserve"> 20 and 10 mg to </w:t>
      </w:r>
      <w:proofErr w:type="spellStart"/>
      <w:r>
        <w:rPr>
          <w:spacing w:val="-9"/>
        </w:rPr>
        <w:t>lansoprazole</w:t>
      </w:r>
      <w:proofErr w:type="spellEnd"/>
      <w:r>
        <w:rPr>
          <w:spacing w:val="-9"/>
        </w:rPr>
        <w:t xml:space="preserve"> 15 mg as maintenance therapy in Japanese patients with healed EE. During the initial treatment period, patients with EE Los Angeles (LA) Classification grades A to D received </w:t>
      </w:r>
      <w:proofErr w:type="spellStart"/>
      <w:r>
        <w:rPr>
          <w:spacing w:val="-9"/>
        </w:rPr>
        <w:t>vonoprazan</w:t>
      </w:r>
      <w:proofErr w:type="spellEnd"/>
      <w:r>
        <w:rPr>
          <w:spacing w:val="-9"/>
        </w:rPr>
        <w:t xml:space="preserve"> 20 mg once daily for up to 8 wk. All patients in whom endoscopic healing of EE was confirmed 2, 4, or 8 </w:t>
      </w:r>
      <w:proofErr w:type="spellStart"/>
      <w:r>
        <w:rPr>
          <w:spacing w:val="-9"/>
        </w:rPr>
        <w:t>wk</w:t>
      </w:r>
      <w:proofErr w:type="spellEnd"/>
      <w:r>
        <w:rPr>
          <w:spacing w:val="-9"/>
        </w:rPr>
        <w:t xml:space="preserve"> after the start of the study medication were immediately stratified by baseline endoscopic LA Classification grade (A/B or C/D), and subsequently randomized in a 1:1:1 ratio to receive maintenance therapy with </w:t>
      </w:r>
      <w:proofErr w:type="spellStart"/>
      <w:r>
        <w:rPr>
          <w:spacing w:val="-9"/>
        </w:rPr>
        <w:t>vonoprazan</w:t>
      </w:r>
      <w:proofErr w:type="spellEnd"/>
      <w:r>
        <w:rPr>
          <w:spacing w:val="-9"/>
        </w:rPr>
        <w:t xml:space="preserve"> 10 </w:t>
      </w:r>
      <w:r>
        <w:rPr>
          <w:spacing w:val="-13"/>
        </w:rPr>
        <w:t xml:space="preserve">mg, </w:t>
      </w:r>
      <w:proofErr w:type="spellStart"/>
      <w:r>
        <w:rPr>
          <w:spacing w:val="-13"/>
        </w:rPr>
        <w:t>vonoprazan</w:t>
      </w:r>
      <w:proofErr w:type="spellEnd"/>
      <w:r>
        <w:rPr>
          <w:spacing w:val="-13"/>
        </w:rPr>
        <w:t xml:space="preserve"> 20 mg, or </w:t>
      </w:r>
      <w:proofErr w:type="spellStart"/>
      <w:r>
        <w:rPr>
          <w:spacing w:val="-13"/>
        </w:rPr>
        <w:t>lansoprazole</w:t>
      </w:r>
      <w:proofErr w:type="spellEnd"/>
      <w:r>
        <w:rPr>
          <w:spacing w:val="-13"/>
        </w:rPr>
        <w:t xml:space="preserve"> 15 mg given once daily after breakfast for 24 wk. All patients in whom endoscopic healing of EE was not confirmed</w:t>
      </w:r>
      <w:r>
        <w:rPr>
          <w:spacing w:val="-9"/>
        </w:rPr>
        <w:t xml:space="preserve"> at Week 8 completed the study without entering the maintenance phase. All patients in whom EE recurrence was </w:t>
      </w:r>
      <w:proofErr w:type="spellStart"/>
      <w:r>
        <w:rPr>
          <w:spacing w:val="-9"/>
        </w:rPr>
        <w:t>endoscopically</w:t>
      </w:r>
      <w:proofErr w:type="spellEnd"/>
      <w:r>
        <w:rPr>
          <w:spacing w:val="-9"/>
        </w:rPr>
        <w:t xml:space="preserve"> confirmed during maintenance treatment were withdrawn from the study and handled as ‘completed cases’. </w:t>
      </w:r>
    </w:p>
    <w:p w:rsidR="008F3BB2" w:rsidRDefault="008F3BB2" w:rsidP="008F3BB2">
      <w:pPr>
        <w:pStyle w:val="10"/>
      </w:pPr>
      <w:r>
        <w:t>Registered at ClinicalTrials.gov with the identifier NCT01459367, the study was conducted at 55 sites in Japan between November 2011 and March 2013. The study protocol was reviewed and approved by the Institutional Review Board at each study site, and was conducted in accordance with the Declaration of Helsinki, the International Council for Harmonization of Technical Requirements for Pharmaceuticals for Human Use (</w:t>
      </w:r>
      <w:proofErr w:type="spellStart"/>
      <w:r>
        <w:t>ICH</w:t>
      </w:r>
      <w:proofErr w:type="spellEnd"/>
      <w:r>
        <w:t xml:space="preserve">) Harmonized Tripartite Guideline for Good Clinical Practice, and Japanese regulatory requirements. All patients provided written informed consent prior to undergoing any study procedures. </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Patients</w:t>
      </w:r>
    </w:p>
    <w:p w:rsidR="008F3BB2" w:rsidRDefault="008F3BB2" w:rsidP="008F3BB2">
      <w:pPr>
        <w:pStyle w:val="af9"/>
        <w:rPr>
          <w:spacing w:val="-9"/>
        </w:rPr>
      </w:pPr>
      <w:r>
        <w:rPr>
          <w:spacing w:val="-9"/>
        </w:rPr>
        <w:t xml:space="preserve">Male or female outpatients aged </w:t>
      </w:r>
      <w:r>
        <w:rPr>
          <w:rFonts w:ascii="宋体" w:cs="宋体" w:hint="eastAsia"/>
          <w:spacing w:val="-8"/>
          <w:sz w:val="17"/>
          <w:szCs w:val="17"/>
        </w:rPr>
        <w:t>≥</w:t>
      </w:r>
      <w:r>
        <w:rPr>
          <w:spacing w:val="-9"/>
        </w:rPr>
        <w:t xml:space="preserve"> 20 years, who presented with </w:t>
      </w:r>
      <w:proofErr w:type="spellStart"/>
      <w:r>
        <w:rPr>
          <w:spacing w:val="-9"/>
        </w:rPr>
        <w:t>endoscopically</w:t>
      </w:r>
      <w:proofErr w:type="spellEnd"/>
      <w:r>
        <w:rPr>
          <w:spacing w:val="-9"/>
        </w:rPr>
        <w:t xml:space="preserve">-confirmed healed EE (no mucosal breaks) after up to 8 </w:t>
      </w:r>
      <w:proofErr w:type="spellStart"/>
      <w:r>
        <w:rPr>
          <w:spacing w:val="-9"/>
        </w:rPr>
        <w:t>wk</w:t>
      </w:r>
      <w:proofErr w:type="spellEnd"/>
      <w:r>
        <w:rPr>
          <w:spacing w:val="-9"/>
        </w:rPr>
        <w:t xml:space="preserve"> of treatment with </w:t>
      </w:r>
      <w:proofErr w:type="spellStart"/>
      <w:r>
        <w:rPr>
          <w:spacing w:val="-9"/>
        </w:rPr>
        <w:t>vonoprazan</w:t>
      </w:r>
      <w:proofErr w:type="spellEnd"/>
      <w:r>
        <w:rPr>
          <w:spacing w:val="-9"/>
        </w:rPr>
        <w:t xml:space="preserve"> 20 mg once daily, entered the maintenance phase of the study. Main exclusion criteria included: esophageal complications (</w:t>
      </w:r>
      <w:r>
        <w:rPr>
          <w:i/>
          <w:iCs/>
          <w:spacing w:val="-9"/>
        </w:rPr>
        <w:t>e.g.,</w:t>
      </w:r>
      <w:r>
        <w:rPr>
          <w:spacing w:val="-9"/>
        </w:rPr>
        <w:t xml:space="preserve"> </w:t>
      </w:r>
      <w:proofErr w:type="spellStart"/>
      <w:r>
        <w:rPr>
          <w:spacing w:val="-9"/>
        </w:rPr>
        <w:t>eosinophilic</w:t>
      </w:r>
      <w:proofErr w:type="spellEnd"/>
      <w:r>
        <w:rPr>
          <w:spacing w:val="-9"/>
        </w:rPr>
        <w:t xml:space="preserve"> esophagitis, esophageal </w:t>
      </w:r>
      <w:proofErr w:type="spellStart"/>
      <w:r>
        <w:rPr>
          <w:spacing w:val="-9"/>
        </w:rPr>
        <w:t>varices</w:t>
      </w:r>
      <w:proofErr w:type="spellEnd"/>
      <w:r>
        <w:rPr>
          <w:spacing w:val="-9"/>
        </w:rPr>
        <w:t xml:space="preserve">, scleroderma, infection, esophageal stenosis); acute upper gastrointestinal bleeding; gastric or duodenal ulcer characterized by mucosal defects; </w:t>
      </w:r>
      <w:proofErr w:type="spellStart"/>
      <w:r>
        <w:rPr>
          <w:spacing w:val="-9"/>
        </w:rPr>
        <w:t>hypersecretion</w:t>
      </w:r>
      <w:proofErr w:type="spellEnd"/>
      <w:r>
        <w:rPr>
          <w:spacing w:val="-9"/>
        </w:rPr>
        <w:t xml:space="preserve"> disorders, such as </w:t>
      </w:r>
      <w:proofErr w:type="spellStart"/>
      <w:r>
        <w:rPr>
          <w:spacing w:val="-9"/>
        </w:rPr>
        <w:t>Zollinger</w:t>
      </w:r>
      <w:proofErr w:type="spellEnd"/>
      <w:r>
        <w:rPr>
          <w:spacing w:val="-9"/>
        </w:rPr>
        <w:t xml:space="preserve">-Ellison syndrome; serious neurologic, cardiovascular, pulmonary, hepatic [alanine aminotransferase (ALT) or aspartate aminotransferase (AST) &gt; 2.5 × the upper </w:t>
      </w:r>
      <w:r>
        <w:rPr>
          <w:spacing w:val="-14"/>
        </w:rPr>
        <w:t>limit of normal (</w:t>
      </w:r>
      <w:proofErr w:type="spellStart"/>
      <w:r>
        <w:rPr>
          <w:spacing w:val="-14"/>
        </w:rPr>
        <w:t>ULN</w:t>
      </w:r>
      <w:proofErr w:type="spellEnd"/>
      <w:r>
        <w:rPr>
          <w:spacing w:val="-14"/>
        </w:rPr>
        <w:t xml:space="preserve">)], renal (serum </w:t>
      </w:r>
      <w:proofErr w:type="spellStart"/>
      <w:r>
        <w:rPr>
          <w:spacing w:val="-14"/>
        </w:rPr>
        <w:t>creatinine</w:t>
      </w:r>
      <w:proofErr w:type="spellEnd"/>
      <w:r>
        <w:rPr>
          <w:spacing w:val="-14"/>
        </w:rPr>
        <w:t xml:space="preserve"> &gt; 2 mg/</w:t>
      </w:r>
      <w:proofErr w:type="spellStart"/>
      <w:r>
        <w:rPr>
          <w:spacing w:val="-9"/>
        </w:rPr>
        <w:t>dL</w:t>
      </w:r>
      <w:proofErr w:type="spellEnd"/>
      <w:r>
        <w:rPr>
          <w:spacing w:val="-9"/>
        </w:rPr>
        <w:t xml:space="preserve">), metabolic, gastrointestinal, urologic, </w:t>
      </w:r>
      <w:proofErr w:type="spellStart"/>
      <w:r>
        <w:rPr>
          <w:spacing w:val="-9"/>
        </w:rPr>
        <w:t>endocrinologic</w:t>
      </w:r>
      <w:proofErr w:type="spellEnd"/>
      <w:r>
        <w:rPr>
          <w:spacing w:val="-9"/>
        </w:rPr>
        <w:t xml:space="preserve">, or hematologic disorders; need for surgery; history of drug (including alcohol) abuse; HIV or hepatitis; history of malignancy; and pregnancy or lactation in females. Any sexually active female of childbearing potential was required to use adequate contraceptive measures. Excluded concomitant medications included </w:t>
      </w:r>
      <w:proofErr w:type="spellStart"/>
      <w:r>
        <w:rPr>
          <w:spacing w:val="-9"/>
        </w:rPr>
        <w:t>PPIs</w:t>
      </w:r>
      <w:proofErr w:type="spellEnd"/>
      <w:r>
        <w:rPr>
          <w:spacing w:val="-9"/>
        </w:rPr>
        <w:t>, H</w:t>
      </w:r>
      <w:r>
        <w:rPr>
          <w:spacing w:val="-9"/>
          <w:vertAlign w:val="subscript"/>
        </w:rPr>
        <w:t>2</w:t>
      </w:r>
      <w:r>
        <w:rPr>
          <w:spacing w:val="-9"/>
        </w:rPr>
        <w:t>RAs, muscarinic M</w:t>
      </w:r>
      <w:r>
        <w:rPr>
          <w:spacing w:val="-9"/>
          <w:vertAlign w:val="subscript"/>
        </w:rPr>
        <w:t>3</w:t>
      </w:r>
      <w:r>
        <w:rPr>
          <w:spacing w:val="-9"/>
        </w:rPr>
        <w:t xml:space="preserve"> receptor antagonists, gastrointestinal motility stimulants, anticholinergic drugs, prostaglandins, acid suppressants, anti-gastrin drugs, mucosal protective agents, </w:t>
      </w:r>
      <w:r>
        <w:rPr>
          <w:i/>
          <w:iCs/>
          <w:spacing w:val="-9"/>
        </w:rPr>
        <w:t xml:space="preserve">H. pylori </w:t>
      </w:r>
      <w:r>
        <w:rPr>
          <w:spacing w:val="-9"/>
        </w:rPr>
        <w:t>eradi</w:t>
      </w:r>
      <w:r>
        <w:rPr>
          <w:spacing w:val="-9"/>
        </w:rPr>
        <w:softHyphen/>
        <w:t xml:space="preserve">cation therapies, </w:t>
      </w:r>
      <w:proofErr w:type="spellStart"/>
      <w:r>
        <w:rPr>
          <w:spacing w:val="-9"/>
        </w:rPr>
        <w:t>atazanavir</w:t>
      </w:r>
      <w:proofErr w:type="spellEnd"/>
      <w:r>
        <w:rPr>
          <w:spacing w:val="-9"/>
        </w:rPr>
        <w:t xml:space="preserve"> sulfate, and any other investigational drug. As the exclusion of non-steroidal anti-inflammatory drugs (</w:t>
      </w:r>
      <w:proofErr w:type="spellStart"/>
      <w:r>
        <w:rPr>
          <w:spacing w:val="-9"/>
        </w:rPr>
        <w:t>NSAIDs</w:t>
      </w:r>
      <w:proofErr w:type="spellEnd"/>
      <w:r>
        <w:rPr>
          <w:spacing w:val="-9"/>
        </w:rPr>
        <w:t xml:space="preserve">) would have been difficult for </w:t>
      </w:r>
      <w:proofErr w:type="gramStart"/>
      <w:r>
        <w:rPr>
          <w:spacing w:val="-9"/>
        </w:rPr>
        <w:t>patients</w:t>
      </w:r>
      <w:proofErr w:type="gramEnd"/>
      <w:r>
        <w:rPr>
          <w:spacing w:val="-9"/>
        </w:rPr>
        <w:t xml:space="preserve"> eligible for inclusion in this study, their use was permitted; however, changes to </w:t>
      </w:r>
      <w:proofErr w:type="spellStart"/>
      <w:r>
        <w:rPr>
          <w:spacing w:val="-9"/>
        </w:rPr>
        <w:t>NSAID</w:t>
      </w:r>
      <w:proofErr w:type="spellEnd"/>
      <w:r>
        <w:rPr>
          <w:spacing w:val="-9"/>
        </w:rPr>
        <w:t xml:space="preserve"> regimens during the study were prohibited.</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lastRenderedPageBreak/>
        <w:t>Treatment, randomization, and blinding</w:t>
      </w:r>
    </w:p>
    <w:p w:rsidR="008F3BB2" w:rsidRDefault="008F3BB2" w:rsidP="008F3BB2">
      <w:pPr>
        <w:pStyle w:val="af9"/>
        <w:rPr>
          <w:spacing w:val="-9"/>
        </w:rPr>
      </w:pPr>
      <w:r>
        <w:rPr>
          <w:spacing w:val="-9"/>
        </w:rPr>
        <w:t>Patients were randomized to treatment groups in a 1:1:1 ratio according to a computer-generated randomization schedule prepared by independent randomization personnel. The independent rando</w:t>
      </w:r>
      <w:r>
        <w:rPr>
          <w:spacing w:val="-9"/>
        </w:rPr>
        <w:softHyphen/>
        <w:t>mization personnel managed the randomization process, and stored the randomization schedule in a secure area. The randomi</w:t>
      </w:r>
      <w:r>
        <w:rPr>
          <w:spacing w:val="-9"/>
        </w:rPr>
        <w:softHyphen/>
        <w:t>zation schedule incorporated LA Classification grades as a stratification factor (A/B or C/D)</w:t>
      </w:r>
      <w:proofErr w:type="gramStart"/>
      <w:r>
        <w:rPr>
          <w:spacing w:val="-9"/>
        </w:rPr>
        <w:t>,</w:t>
      </w:r>
      <w:proofErr w:type="gramEnd"/>
      <w:r>
        <w:rPr>
          <w:spacing w:val="-9"/>
        </w:rPr>
        <w:t xml:space="preserve"> to ensure that treatment groups were balanced with respect to disease severity. A double-dummy method, using matched </w:t>
      </w:r>
      <w:proofErr w:type="spellStart"/>
      <w:r>
        <w:rPr>
          <w:spacing w:val="-9"/>
        </w:rPr>
        <w:t>vonoprazan</w:t>
      </w:r>
      <w:proofErr w:type="spellEnd"/>
      <w:r>
        <w:rPr>
          <w:spacing w:val="-9"/>
        </w:rPr>
        <w:t xml:space="preserve"> placebo tablets and </w:t>
      </w:r>
      <w:proofErr w:type="spellStart"/>
      <w:r>
        <w:rPr>
          <w:spacing w:val="-9"/>
        </w:rPr>
        <w:t>lansoprazole</w:t>
      </w:r>
      <w:proofErr w:type="spellEnd"/>
      <w:r>
        <w:rPr>
          <w:spacing w:val="-9"/>
        </w:rPr>
        <w:t xml:space="preserve"> placebo capsules, was employed to ensure that the double-blind conditions were maintained throughout the study. </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Procedures</w:t>
      </w:r>
    </w:p>
    <w:p w:rsidR="008F3BB2" w:rsidRDefault="008F3BB2" w:rsidP="008F3BB2">
      <w:pPr>
        <w:pStyle w:val="af9"/>
        <w:rPr>
          <w:spacing w:val="-10"/>
        </w:rPr>
      </w:pPr>
      <w:r>
        <w:rPr>
          <w:spacing w:val="-10"/>
        </w:rPr>
        <w:t>Maintenance treatment was initiated on the day of randomization. Clinic visits were scheduled at Weeks 4, 12, and 24, or upon early withdrawal from the study (discontinuation/recurrence). Endoscopic examinations were performed at Weeks 12 and 24. A central adjudication committee (</w:t>
      </w:r>
      <w:proofErr w:type="spellStart"/>
      <w:r>
        <w:rPr>
          <w:spacing w:val="-10"/>
        </w:rPr>
        <w:t>CAC</w:t>
      </w:r>
      <w:proofErr w:type="spellEnd"/>
      <w:r>
        <w:rPr>
          <w:spacing w:val="-10"/>
        </w:rPr>
        <w:t xml:space="preserve">), composed of independent experts, was established to perform standardized and consistent reviews of endoscopic EE grading by investigators, while all decisions about patient eligibility and withdrawal owing to EE recurrence were made by the investigators, irrespective of the </w:t>
      </w:r>
      <w:proofErr w:type="spellStart"/>
      <w:r>
        <w:rPr>
          <w:spacing w:val="-10"/>
        </w:rPr>
        <w:t>CAC’s</w:t>
      </w:r>
      <w:proofErr w:type="spellEnd"/>
      <w:r>
        <w:rPr>
          <w:spacing w:val="-10"/>
        </w:rPr>
        <w:t xml:space="preserve"> assessment. Safety assessments were conducted at Weeks 4, 12, and 24. </w:t>
      </w:r>
      <w:proofErr w:type="spellStart"/>
      <w:r>
        <w:rPr>
          <w:spacing w:val="-10"/>
        </w:rPr>
        <w:t>Histopathologic</w:t>
      </w:r>
      <w:proofErr w:type="spellEnd"/>
      <w:r>
        <w:rPr>
          <w:spacing w:val="-10"/>
        </w:rPr>
        <w:t xml:space="preserve"> examinations of the gastric mucosa were performed at the start of treatment (baseline) and at Week 24 for subjects enrolled at designated study sites only. All biopsy specimens were full mucosal layer samples taken from the greater curvature of the upper gastric corpus during endoscopic procedures. Samples were fixed in 20% neutral buffered formalin and embedded in paraffin. Five slices were taken from each paraffin block, and were stained with </w:t>
      </w:r>
      <w:proofErr w:type="spellStart"/>
      <w:r>
        <w:rPr>
          <w:spacing w:val="-10"/>
        </w:rPr>
        <w:t>hematoxylin</w:t>
      </w:r>
      <w:proofErr w:type="spellEnd"/>
      <w:r>
        <w:rPr>
          <w:spacing w:val="-10"/>
        </w:rPr>
        <w:t xml:space="preserve"> and eosin, </w:t>
      </w:r>
      <w:proofErr w:type="spellStart"/>
      <w:r>
        <w:rPr>
          <w:spacing w:val="-10"/>
        </w:rPr>
        <w:t>Grimelius</w:t>
      </w:r>
      <w:proofErr w:type="spellEnd"/>
      <w:r>
        <w:rPr>
          <w:spacing w:val="-10"/>
        </w:rPr>
        <w:t xml:space="preserve">, </w:t>
      </w:r>
      <w:proofErr w:type="spellStart"/>
      <w:r>
        <w:rPr>
          <w:spacing w:val="-10"/>
        </w:rPr>
        <w:t>chromogranin</w:t>
      </w:r>
      <w:proofErr w:type="spellEnd"/>
      <w:r>
        <w:rPr>
          <w:spacing w:val="-10"/>
        </w:rPr>
        <w:t xml:space="preserve">, </w:t>
      </w:r>
      <w:proofErr w:type="spellStart"/>
      <w:r>
        <w:rPr>
          <w:spacing w:val="-10"/>
        </w:rPr>
        <w:t>synaptophysin</w:t>
      </w:r>
      <w:proofErr w:type="spellEnd"/>
      <w:r>
        <w:rPr>
          <w:spacing w:val="-10"/>
        </w:rPr>
        <w:t xml:space="preserve">, and Ki-67 (MIB-1). For the CYP2C19 genotyping, a single 2 mL blood sample was collected at Week 4, and was analyzed to obtain information on genotypes that affect the pharmacokinetics of </w:t>
      </w:r>
      <w:proofErr w:type="spellStart"/>
      <w:r>
        <w:rPr>
          <w:spacing w:val="-10"/>
        </w:rPr>
        <w:t>lansoprazole</w:t>
      </w:r>
      <w:proofErr w:type="spellEnd"/>
      <w:r>
        <w:rPr>
          <w:spacing w:val="-10"/>
        </w:rPr>
        <w:t xml:space="preserve">. G681A (*2) and </w:t>
      </w:r>
      <w:r>
        <w:rPr>
          <w:spacing w:val="-9"/>
        </w:rPr>
        <w:t>G636A (*3) of CYP2C19 were detected using an Invader</w:t>
      </w:r>
      <w:r>
        <w:rPr>
          <w:rFonts w:ascii="Garamond" w:hAnsi="Garamond" w:cs="Garamond"/>
          <w:spacing w:val="-5"/>
          <w:position w:val="-4"/>
          <w:sz w:val="17"/>
          <w:szCs w:val="17"/>
          <w:vertAlign w:val="superscript"/>
        </w:rPr>
        <w:t>®</w:t>
      </w:r>
      <w:r>
        <w:rPr>
          <w:spacing w:val="-5"/>
        </w:rPr>
        <w:t xml:space="preserve"> assay. Both the </w:t>
      </w:r>
      <w:proofErr w:type="spellStart"/>
      <w:r>
        <w:rPr>
          <w:spacing w:val="-5"/>
        </w:rPr>
        <w:t>histopathologic</w:t>
      </w:r>
      <w:proofErr w:type="spellEnd"/>
      <w:r>
        <w:rPr>
          <w:spacing w:val="-5"/>
        </w:rPr>
        <w:t xml:space="preserve"> testing and CYP2C19 </w:t>
      </w:r>
      <w:r>
        <w:rPr>
          <w:spacing w:val="-10"/>
        </w:rPr>
        <w:t xml:space="preserve">genotyping were carried out by Mitsubishi Chemical </w:t>
      </w:r>
      <w:proofErr w:type="spellStart"/>
      <w:r>
        <w:rPr>
          <w:spacing w:val="-10"/>
        </w:rPr>
        <w:t>Medience</w:t>
      </w:r>
      <w:proofErr w:type="spellEnd"/>
      <w:r>
        <w:rPr>
          <w:spacing w:val="-10"/>
        </w:rPr>
        <w:t xml:space="preserve"> Corporation, Tokyo, Japan. The gastric mucosa histopathology findings reported by the company were reviewed by an independent assessment committee, which assessed specimens for distribution patterns of </w:t>
      </w:r>
      <w:proofErr w:type="spellStart"/>
      <w:r>
        <w:rPr>
          <w:spacing w:val="-10"/>
        </w:rPr>
        <w:t>Grimelius</w:t>
      </w:r>
      <w:proofErr w:type="spellEnd"/>
      <w:r>
        <w:rPr>
          <w:spacing w:val="-10"/>
        </w:rPr>
        <w:t xml:space="preserve">-positive cells, </w:t>
      </w:r>
      <w:proofErr w:type="spellStart"/>
      <w:r>
        <w:rPr>
          <w:spacing w:val="-10"/>
        </w:rPr>
        <w:t>chromogranin</w:t>
      </w:r>
      <w:proofErr w:type="spellEnd"/>
      <w:r>
        <w:rPr>
          <w:spacing w:val="-10"/>
        </w:rPr>
        <w:t xml:space="preserve"> A-positive cells, </w:t>
      </w:r>
      <w:proofErr w:type="spellStart"/>
      <w:r>
        <w:rPr>
          <w:spacing w:val="-10"/>
        </w:rPr>
        <w:t>synaptophysin</w:t>
      </w:r>
      <w:proofErr w:type="spellEnd"/>
      <w:r>
        <w:rPr>
          <w:spacing w:val="-10"/>
        </w:rPr>
        <w:t xml:space="preserve">-positive cells, and Ki-67-positive cells. Treatment compliance was assessed in all patients on the basis of returned tablet/capsule counts at each study site visit. </w:t>
      </w:r>
    </w:p>
    <w:p w:rsidR="008F3BB2" w:rsidRDefault="008F3BB2" w:rsidP="008F3BB2">
      <w:pPr>
        <w:pStyle w:val="10"/>
        <w:rPr>
          <w:spacing w:val="-9"/>
        </w:rPr>
      </w:pPr>
      <w:r>
        <w:rPr>
          <w:spacing w:val="-9"/>
        </w:rPr>
        <w:t xml:space="preserve">Although no evidence has been reported of </w:t>
      </w:r>
      <w:proofErr w:type="spellStart"/>
      <w:r>
        <w:rPr>
          <w:spacing w:val="-9"/>
        </w:rPr>
        <w:t>vonoprazan</w:t>
      </w:r>
      <w:proofErr w:type="spellEnd"/>
      <w:r>
        <w:rPr>
          <w:spacing w:val="-9"/>
        </w:rPr>
        <w:t xml:space="preserve">-associated liver function test </w:t>
      </w:r>
      <w:proofErr w:type="gramStart"/>
      <w:r>
        <w:rPr>
          <w:spacing w:val="-9"/>
        </w:rPr>
        <w:t>abnorma</w:t>
      </w:r>
      <w:r>
        <w:rPr>
          <w:spacing w:val="-9"/>
        </w:rPr>
        <w:softHyphen/>
        <w:t>lities</w:t>
      </w:r>
      <w:r>
        <w:rPr>
          <w:spacing w:val="-9"/>
          <w:vertAlign w:val="superscript"/>
        </w:rPr>
        <w:t>[</w:t>
      </w:r>
      <w:proofErr w:type="gramEnd"/>
      <w:r>
        <w:rPr>
          <w:spacing w:val="-9"/>
          <w:vertAlign w:val="superscript"/>
        </w:rPr>
        <w:t>18]</w:t>
      </w:r>
      <w:r>
        <w:rPr>
          <w:spacing w:val="-9"/>
        </w:rPr>
        <w:t>, drug-related hepatic changes have previously been reported with another member of the P-CAB drug class</w:t>
      </w:r>
      <w:r>
        <w:rPr>
          <w:spacing w:val="-9"/>
          <w:vertAlign w:val="superscript"/>
        </w:rPr>
        <w:t>[19]</w:t>
      </w:r>
      <w:r>
        <w:rPr>
          <w:spacing w:val="-9"/>
        </w:rPr>
        <w:t xml:space="preserve">. Liver function abnormalities (ALT or AST &gt; 3 × </w:t>
      </w:r>
      <w:proofErr w:type="spellStart"/>
      <w:r>
        <w:rPr>
          <w:spacing w:val="-9"/>
        </w:rPr>
        <w:t>ULN</w:t>
      </w:r>
      <w:proofErr w:type="spellEnd"/>
      <w:r>
        <w:rPr>
          <w:spacing w:val="-9"/>
        </w:rPr>
        <w:t xml:space="preserve">, or total bilirubin &gt; 2 × </w:t>
      </w:r>
      <w:proofErr w:type="spellStart"/>
      <w:r>
        <w:rPr>
          <w:spacing w:val="-9"/>
        </w:rPr>
        <w:t>ULN</w:t>
      </w:r>
      <w:proofErr w:type="spellEnd"/>
      <w:r>
        <w:rPr>
          <w:spacing w:val="-9"/>
        </w:rPr>
        <w:t xml:space="preserve"> in two consecutive measurements) were therefore classified as special-interest adverse events (</w:t>
      </w:r>
      <w:proofErr w:type="spellStart"/>
      <w:r>
        <w:rPr>
          <w:spacing w:val="-9"/>
        </w:rPr>
        <w:t>SIAEs</w:t>
      </w:r>
      <w:proofErr w:type="spellEnd"/>
      <w:r>
        <w:rPr>
          <w:spacing w:val="-9"/>
        </w:rPr>
        <w:t>) in the present study, and were monitored throughout.</w:t>
      </w:r>
    </w:p>
    <w:p w:rsidR="008F3BB2" w:rsidRDefault="008F3BB2" w:rsidP="008F3BB2">
      <w:pPr>
        <w:pStyle w:val="10"/>
        <w:rPr>
          <w:spacing w:val="-9"/>
        </w:rPr>
      </w:pPr>
      <w:r>
        <w:rPr>
          <w:spacing w:val="-11"/>
        </w:rPr>
        <w:t xml:space="preserve">The primary study endpoint was the rate of </w:t>
      </w:r>
      <w:r>
        <w:t>recur</w:t>
      </w:r>
      <w:r>
        <w:softHyphen/>
        <w:t xml:space="preserve">rence of </w:t>
      </w:r>
      <w:proofErr w:type="spellStart"/>
      <w:r>
        <w:t>endoscopically</w:t>
      </w:r>
      <w:proofErr w:type="spellEnd"/>
      <w:r>
        <w:t xml:space="preserve">-confirmed EE at Week 24 of the </w:t>
      </w:r>
      <w:r>
        <w:lastRenderedPageBreak/>
        <w:t>maintenance period. The secondary endpoint was the rate of EE recurrence at Week 12 of the maintenance period. Safety endpoints included adverse events (</w:t>
      </w:r>
      <w:proofErr w:type="spellStart"/>
      <w:r>
        <w:t>AEs</w:t>
      </w:r>
      <w:proofErr w:type="spellEnd"/>
      <w:r>
        <w:t>), vital signs, electrocardiogram (</w:t>
      </w:r>
      <w:proofErr w:type="spellStart"/>
      <w:r>
        <w:t>ECG</w:t>
      </w:r>
      <w:proofErr w:type="spellEnd"/>
      <w:r>
        <w:t xml:space="preserve">) findings, clinical laboratory test values (hematology, </w:t>
      </w:r>
      <w:r>
        <w:rPr>
          <w:spacing w:val="-9"/>
        </w:rPr>
        <w:t>serum chemistry, and urinalysis), serum gastrin and pepsinogen</w:t>
      </w:r>
      <w:r>
        <w:rPr>
          <w:rFonts w:ascii="MS Gothic" w:eastAsia="MS Gothic" w:hAnsi="MS Gothic" w:cs="MS Gothic" w:hint="eastAsia"/>
          <w:spacing w:val="-9"/>
        </w:rPr>
        <w:t> </w:t>
      </w:r>
      <w:r>
        <w:rPr>
          <w:rFonts w:ascii="KozMinPro-Regular" w:eastAsia="KozMinPro-Regular" w:cs="KozMinPro-Regular" w:hint="eastAsia"/>
          <w:spacing w:val="-8"/>
          <w:sz w:val="17"/>
          <w:szCs w:val="17"/>
        </w:rPr>
        <w:t>Ⅰ</w:t>
      </w:r>
      <w:r>
        <w:rPr>
          <w:spacing w:val="-9"/>
        </w:rPr>
        <w:t>/</w:t>
      </w:r>
      <w:r>
        <w:rPr>
          <w:rFonts w:ascii="KozMinPro-Regular" w:eastAsia="KozMinPro-Regular" w:cs="KozMinPro-Regular" w:hint="eastAsia"/>
          <w:spacing w:val="-8"/>
          <w:sz w:val="17"/>
          <w:szCs w:val="17"/>
        </w:rPr>
        <w:t>Ⅱ</w:t>
      </w:r>
      <w:r>
        <w:rPr>
          <w:spacing w:val="-9"/>
        </w:rPr>
        <w:t xml:space="preserve"> levels, and gastric mucosa </w:t>
      </w:r>
      <w:proofErr w:type="spellStart"/>
      <w:r>
        <w:rPr>
          <w:spacing w:val="-9"/>
        </w:rPr>
        <w:t>histopathologic</w:t>
      </w:r>
      <w:proofErr w:type="spellEnd"/>
      <w:r>
        <w:rPr>
          <w:spacing w:val="-9"/>
        </w:rPr>
        <w:t xml:space="preserve"> findings.</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Statistical analyses</w:t>
      </w:r>
    </w:p>
    <w:p w:rsidR="008F3BB2" w:rsidRDefault="008F3BB2" w:rsidP="008F3BB2">
      <w:pPr>
        <w:pStyle w:val="af9"/>
        <w:rPr>
          <w:spacing w:val="-9"/>
        </w:rPr>
      </w:pPr>
      <w:r>
        <w:rPr>
          <w:spacing w:val="-9"/>
        </w:rPr>
        <w:t xml:space="preserve">A double-blind, controlled study of </w:t>
      </w:r>
      <w:proofErr w:type="spellStart"/>
      <w:r>
        <w:rPr>
          <w:spacing w:val="-9"/>
        </w:rPr>
        <w:t>lansoprazole</w:t>
      </w:r>
      <w:proofErr w:type="spellEnd"/>
      <w:r>
        <w:rPr>
          <w:spacing w:val="-9"/>
        </w:rPr>
        <w:t xml:space="preserve"> as maintenance therapy for patients with healed EE reported EE recurrence rates of 30% and 14% with </w:t>
      </w:r>
      <w:proofErr w:type="spellStart"/>
      <w:r>
        <w:rPr>
          <w:spacing w:val="-9"/>
        </w:rPr>
        <w:t>lansoprazole</w:t>
      </w:r>
      <w:proofErr w:type="spellEnd"/>
      <w:r>
        <w:rPr>
          <w:spacing w:val="-9"/>
        </w:rPr>
        <w:t xml:space="preserve"> 15 mg and 30 mg, respectively, over 24 </w:t>
      </w:r>
      <w:proofErr w:type="spellStart"/>
      <w:r>
        <w:rPr>
          <w:spacing w:val="-9"/>
        </w:rPr>
        <w:t>wk</w:t>
      </w:r>
      <w:proofErr w:type="spellEnd"/>
      <w:r>
        <w:rPr>
          <w:spacing w:val="-9"/>
          <w:vertAlign w:val="superscript"/>
        </w:rPr>
        <w:t>[20]</w:t>
      </w:r>
      <w:r>
        <w:rPr>
          <w:spacing w:val="-9"/>
        </w:rPr>
        <w:t xml:space="preserve">. It was therefore assumed that the endoscopic EE recurrence rate with </w:t>
      </w:r>
      <w:proofErr w:type="spellStart"/>
      <w:r>
        <w:rPr>
          <w:spacing w:val="-9"/>
        </w:rPr>
        <w:t>vonoprazan</w:t>
      </w:r>
      <w:proofErr w:type="spellEnd"/>
      <w:r>
        <w:rPr>
          <w:spacing w:val="-9"/>
        </w:rPr>
        <w:t xml:space="preserve"> 20 mg in the present study would be 14%, while the EE recurrence rate with </w:t>
      </w:r>
      <w:proofErr w:type="spellStart"/>
      <w:r>
        <w:rPr>
          <w:spacing w:val="-9"/>
        </w:rPr>
        <w:t>vonoprazan</w:t>
      </w:r>
      <w:proofErr w:type="spellEnd"/>
      <w:r>
        <w:rPr>
          <w:spacing w:val="-9"/>
        </w:rPr>
        <w:t xml:space="preserve"> 10 mg would be 22% - that is, halfway between the rates observed with </w:t>
      </w:r>
      <w:proofErr w:type="spellStart"/>
      <w:r>
        <w:rPr>
          <w:spacing w:val="-9"/>
        </w:rPr>
        <w:t>lansoprazole</w:t>
      </w:r>
      <w:proofErr w:type="spellEnd"/>
      <w:r>
        <w:rPr>
          <w:spacing w:val="-9"/>
        </w:rPr>
        <w:t xml:space="preserve"> 15 mg and 30 mg in the study mentioned above. It was assumed that the EE recurrence rate with </w:t>
      </w:r>
      <w:proofErr w:type="spellStart"/>
      <w:r>
        <w:rPr>
          <w:spacing w:val="-9"/>
        </w:rPr>
        <w:t>lansoprazole</w:t>
      </w:r>
      <w:proofErr w:type="spellEnd"/>
      <w:r>
        <w:rPr>
          <w:spacing w:val="-9"/>
        </w:rPr>
        <w:t xml:space="preserve"> 15 mg would again be 30%. Based on these assumptions, a sample size of 148 patients per treatment group would provide &gt; 90% power to confirm the non-inferiority of the two </w:t>
      </w:r>
      <w:proofErr w:type="spellStart"/>
      <w:r>
        <w:rPr>
          <w:spacing w:val="-9"/>
        </w:rPr>
        <w:t>vonoprazan</w:t>
      </w:r>
      <w:proofErr w:type="spellEnd"/>
      <w:r>
        <w:rPr>
          <w:spacing w:val="-9"/>
        </w:rPr>
        <w:t xml:space="preserve"> doses to </w:t>
      </w:r>
      <w:proofErr w:type="spellStart"/>
      <w:r>
        <w:rPr>
          <w:spacing w:val="-9"/>
        </w:rPr>
        <w:t>lansoprazole</w:t>
      </w:r>
      <w:proofErr w:type="spellEnd"/>
      <w:r>
        <w:rPr>
          <w:spacing w:val="-9"/>
        </w:rPr>
        <w:t xml:space="preserve">, with respect to the EE recurrence rate at Week 24, with a non-inferiority margin of 10% utilizing a two-sided 95% confidence interval (CI). Assuming a dropout rate of 15% during maintenance therapy, 174 randomized patients would be required for each treatment group. We therefore set the randomization target at 200 patients per treatment group, to enable evaluation of the long-term safety of </w:t>
      </w:r>
      <w:proofErr w:type="spellStart"/>
      <w:r>
        <w:rPr>
          <w:spacing w:val="-9"/>
        </w:rPr>
        <w:t>vonoprazan</w:t>
      </w:r>
      <w:proofErr w:type="spellEnd"/>
      <w:r>
        <w:rPr>
          <w:spacing w:val="-9"/>
        </w:rPr>
        <w:t xml:space="preserve"> in a sufficient number of patients. </w:t>
      </w:r>
    </w:p>
    <w:p w:rsidR="008F3BB2" w:rsidRDefault="008F3BB2" w:rsidP="008F3BB2">
      <w:pPr>
        <w:pStyle w:val="10"/>
      </w:pPr>
      <w:r>
        <w:t xml:space="preserve">For the primary endpoint of EE recurrence rate at Week 24 of maintenance treatment, frequency, point estimates, and corresponding 95%CIs were calculated by treatment group for the full analysis set (FAS), defined as all randomized patients who received at least one dose of study drug during the maintenance period. </w:t>
      </w:r>
      <w:proofErr w:type="spellStart"/>
      <w:r>
        <w:t>Vonoprazan</w:t>
      </w:r>
      <w:proofErr w:type="spellEnd"/>
      <w:r>
        <w:t xml:space="preserve"> 10 mg and 20 mg were evaluated for non-inferiority to </w:t>
      </w:r>
      <w:proofErr w:type="spellStart"/>
      <w:r>
        <w:t>lansoprazole</w:t>
      </w:r>
      <w:proofErr w:type="spellEnd"/>
      <w:r>
        <w:t xml:space="preserve"> 15 mg using the Farrington and Manning </w:t>
      </w:r>
      <w:proofErr w:type="gramStart"/>
      <w:r>
        <w:t>test</w:t>
      </w:r>
      <w:r>
        <w:rPr>
          <w:vertAlign w:val="superscript"/>
        </w:rPr>
        <w:t>[</w:t>
      </w:r>
      <w:proofErr w:type="gramEnd"/>
      <w:r>
        <w:rPr>
          <w:vertAlign w:val="superscript"/>
        </w:rPr>
        <w:t>21]</w:t>
      </w:r>
      <w:r>
        <w:t xml:space="preserve"> with a non-inferiority margin of 10%. The same analyses were performed for the secondary endpoint. </w:t>
      </w:r>
    </w:p>
    <w:p w:rsidR="008F3BB2" w:rsidRDefault="008F3BB2" w:rsidP="008F3BB2">
      <w:pPr>
        <w:pStyle w:val="10"/>
      </w:pPr>
      <w:proofErr w:type="spellStart"/>
      <w:r>
        <w:rPr>
          <w:spacing w:val="-9"/>
        </w:rPr>
        <w:t>AEs</w:t>
      </w:r>
      <w:proofErr w:type="spellEnd"/>
      <w:r>
        <w:rPr>
          <w:spacing w:val="-9"/>
        </w:rPr>
        <w:t xml:space="preserve"> (including their frequency, severity, </w:t>
      </w:r>
      <w:r>
        <w:t>investigator-assessed causality, and seriousness) and concomitant medications were monitored throughout the study. Treatment-emergent adverse events (</w:t>
      </w:r>
      <w:proofErr w:type="spellStart"/>
      <w:r>
        <w:t>TEAEs</w:t>
      </w:r>
      <w:proofErr w:type="spellEnd"/>
      <w:r>
        <w:t>) were coded using the Medical Dictionary for Regulatory Activities (</w:t>
      </w:r>
      <w:proofErr w:type="spellStart"/>
      <w:r>
        <w:t>MedDRA</w:t>
      </w:r>
      <w:proofErr w:type="spellEnd"/>
      <w:r>
        <w:t xml:space="preserve">) version 16.0. All </w:t>
      </w:r>
      <w:proofErr w:type="spellStart"/>
      <w:r>
        <w:t>TEAEs</w:t>
      </w:r>
      <w:proofErr w:type="spellEnd"/>
      <w:r>
        <w:t xml:space="preserve"> were summarized descriptively by treatment group, time of onset, and severity, and were categorized by System Organ Class and Preferred Term. All drug-related </w:t>
      </w:r>
      <w:proofErr w:type="spellStart"/>
      <w:r>
        <w:t>TEAEs</w:t>
      </w:r>
      <w:proofErr w:type="spellEnd"/>
      <w:r>
        <w:t xml:space="preserve"> were summarized by severity, while </w:t>
      </w:r>
      <w:proofErr w:type="spellStart"/>
      <w:r>
        <w:t>TEAEs</w:t>
      </w:r>
      <w:proofErr w:type="spellEnd"/>
      <w:r>
        <w:t xml:space="preserve"> leading to study discontinuation and serious </w:t>
      </w:r>
      <w:proofErr w:type="spellStart"/>
      <w:r>
        <w:t>TEAEs</w:t>
      </w:r>
      <w:proofErr w:type="spellEnd"/>
      <w:r>
        <w:t xml:space="preserve"> were summarized by treatment group.</w:t>
      </w:r>
    </w:p>
    <w:p w:rsidR="008F3BB2" w:rsidRDefault="008F3BB2" w:rsidP="008F3BB2">
      <w:pPr>
        <w:pStyle w:val="10"/>
      </w:pPr>
      <w:r>
        <w:rPr>
          <w:spacing w:val="-9"/>
        </w:rPr>
        <w:t xml:space="preserve">The statistical methods of this study were </w:t>
      </w:r>
      <w:r>
        <w:t xml:space="preserve">prepared and conducted by </w:t>
      </w:r>
      <w:proofErr w:type="spellStart"/>
      <w:r>
        <w:t>Kentarou</w:t>
      </w:r>
      <w:proofErr w:type="spellEnd"/>
      <w:r>
        <w:t xml:space="preserve"> </w:t>
      </w:r>
      <w:proofErr w:type="spellStart"/>
      <w:r>
        <w:t>Kudou</w:t>
      </w:r>
      <w:proofErr w:type="spellEnd"/>
      <w:r>
        <w:rPr>
          <w:b/>
          <w:bCs/>
        </w:rPr>
        <w:t xml:space="preserve"> </w:t>
      </w:r>
      <w:r>
        <w:t>of</w:t>
      </w:r>
      <w:r>
        <w:rPr>
          <w:b/>
          <w:bCs/>
        </w:rPr>
        <w:t xml:space="preserve"> </w:t>
      </w:r>
      <w:r>
        <w:t xml:space="preserve">Takeda Pharmaceutical Company Limited, and were reviewed and approved by </w:t>
      </w:r>
      <w:proofErr w:type="spellStart"/>
      <w:r>
        <w:t>Takamasa</w:t>
      </w:r>
      <w:proofErr w:type="spellEnd"/>
      <w:r>
        <w:t xml:space="preserve"> Hashimoto of Takeda Pharmaceutical Company Limited, Osaka, Japan.</w:t>
      </w:r>
    </w:p>
    <w:p w:rsidR="008F3BB2" w:rsidRPr="000F3ABF" w:rsidRDefault="008F3BB2" w:rsidP="008F3BB2">
      <w:pPr>
        <w:pStyle w:val="af8"/>
        <w:ind w:left="5250"/>
        <w:rPr>
          <w:lang w:val="en-US"/>
        </w:rPr>
      </w:pPr>
    </w:p>
    <w:p w:rsidR="008F3BB2" w:rsidRPr="000F3ABF" w:rsidRDefault="008F3BB2" w:rsidP="008F3BB2">
      <w:pPr>
        <w:pStyle w:val="af8"/>
        <w:ind w:left="5250"/>
        <w:rPr>
          <w:u w:val="single"/>
          <w:lang w:val="en-US"/>
        </w:rPr>
      </w:pPr>
      <w:r w:rsidRPr="000F3ABF">
        <w:rPr>
          <w:u w:val="single"/>
          <w:lang w:val="en-US"/>
        </w:rPr>
        <w:t>RESULTS</w:t>
      </w:r>
    </w:p>
    <w:p w:rsidR="008F3BB2" w:rsidRPr="000F3ABF" w:rsidRDefault="008F3BB2" w:rsidP="008F3BB2">
      <w:pPr>
        <w:pStyle w:val="afa"/>
        <w:rPr>
          <w:lang w:val="en-US"/>
        </w:rPr>
      </w:pPr>
      <w:r w:rsidRPr="000F3ABF">
        <w:rPr>
          <w:lang w:val="en-US"/>
        </w:rPr>
        <w:t>Patients</w:t>
      </w:r>
    </w:p>
    <w:p w:rsidR="008F3BB2" w:rsidRDefault="008F3BB2" w:rsidP="008F3BB2">
      <w:pPr>
        <w:pStyle w:val="af9"/>
        <w:rPr>
          <w:spacing w:val="-9"/>
        </w:rPr>
      </w:pPr>
      <w:r>
        <w:rPr>
          <w:spacing w:val="-9"/>
        </w:rPr>
        <w:t xml:space="preserve">In total, 737 patients signed the informed consent form. Of these 737 patients, 627 were enrolled into the treatment phase, with 611 patients completing up to 8 </w:t>
      </w:r>
      <w:proofErr w:type="spellStart"/>
      <w:r>
        <w:rPr>
          <w:spacing w:val="-9"/>
        </w:rPr>
        <w:t>wk</w:t>
      </w:r>
      <w:proofErr w:type="spellEnd"/>
      <w:r>
        <w:rPr>
          <w:spacing w:val="-9"/>
        </w:rPr>
        <w:t xml:space="preserve"> treatment for EE with </w:t>
      </w:r>
      <w:proofErr w:type="spellStart"/>
      <w:r>
        <w:rPr>
          <w:spacing w:val="-9"/>
        </w:rPr>
        <w:t>vonoprazan</w:t>
      </w:r>
      <w:proofErr w:type="spellEnd"/>
      <w:r>
        <w:rPr>
          <w:spacing w:val="-9"/>
        </w:rPr>
        <w:t xml:space="preserve"> 20 mg. Of the 611 who completed treatment, 607, who represented both the FAS and the safety analysis set (SAS), were randomized to maintenance therapy with </w:t>
      </w:r>
      <w:proofErr w:type="spellStart"/>
      <w:r>
        <w:rPr>
          <w:spacing w:val="-9"/>
        </w:rPr>
        <w:t>lansoprazole</w:t>
      </w:r>
      <w:proofErr w:type="spellEnd"/>
      <w:r>
        <w:rPr>
          <w:spacing w:val="-9"/>
        </w:rPr>
        <w:t xml:space="preserve"> 15 mg (</w:t>
      </w:r>
      <w:r>
        <w:rPr>
          <w:i/>
          <w:iCs/>
          <w:spacing w:val="-9"/>
        </w:rPr>
        <w:t>n</w:t>
      </w:r>
      <w:r>
        <w:rPr>
          <w:spacing w:val="-9"/>
        </w:rPr>
        <w:t xml:space="preserve"> = 201), </w:t>
      </w:r>
      <w:proofErr w:type="spellStart"/>
      <w:r>
        <w:rPr>
          <w:spacing w:val="-9"/>
        </w:rPr>
        <w:t>vonoprazan</w:t>
      </w:r>
      <w:proofErr w:type="spellEnd"/>
      <w:r>
        <w:rPr>
          <w:spacing w:val="-9"/>
        </w:rPr>
        <w:t xml:space="preserve"> 10 mg (</w:t>
      </w:r>
      <w:r>
        <w:rPr>
          <w:i/>
          <w:iCs/>
          <w:spacing w:val="-9"/>
        </w:rPr>
        <w:t>n</w:t>
      </w:r>
      <w:r>
        <w:rPr>
          <w:spacing w:val="-9"/>
        </w:rPr>
        <w:t xml:space="preserve"> = 202), or </w:t>
      </w:r>
      <w:proofErr w:type="spellStart"/>
      <w:r>
        <w:rPr>
          <w:spacing w:val="-9"/>
        </w:rPr>
        <w:t>vonoprazan</w:t>
      </w:r>
      <w:proofErr w:type="spellEnd"/>
      <w:r>
        <w:rPr>
          <w:spacing w:val="-9"/>
        </w:rPr>
        <w:t xml:space="preserve"> 20 mg (</w:t>
      </w:r>
      <w:r>
        <w:rPr>
          <w:i/>
          <w:iCs/>
          <w:spacing w:val="-9"/>
        </w:rPr>
        <w:t>n</w:t>
      </w:r>
      <w:r>
        <w:rPr>
          <w:spacing w:val="-9"/>
        </w:rPr>
        <w:t xml:space="preserve"> = 204) (Figure 1). Five hundred sixty-three patients (92.8%) completed maintenance treatment. The main reasons for premature study discontinuation were pretreatment events/</w:t>
      </w:r>
      <w:proofErr w:type="spellStart"/>
      <w:r>
        <w:rPr>
          <w:spacing w:val="-9"/>
        </w:rPr>
        <w:t>AEs</w:t>
      </w:r>
      <w:proofErr w:type="spellEnd"/>
      <w:r>
        <w:rPr>
          <w:spacing w:val="-9"/>
        </w:rPr>
        <w:t xml:space="preserve"> (</w:t>
      </w:r>
      <w:r>
        <w:rPr>
          <w:i/>
          <w:iCs/>
          <w:spacing w:val="-9"/>
        </w:rPr>
        <w:t>n</w:t>
      </w:r>
      <w:r>
        <w:rPr>
          <w:spacing w:val="-9"/>
        </w:rPr>
        <w:t xml:space="preserve"> = 22) and voluntary withdrawals (</w:t>
      </w:r>
      <w:r>
        <w:rPr>
          <w:i/>
          <w:iCs/>
          <w:spacing w:val="-9"/>
        </w:rPr>
        <w:t>n</w:t>
      </w:r>
      <w:r>
        <w:rPr>
          <w:spacing w:val="-9"/>
        </w:rPr>
        <w:t xml:space="preserve"> = 19). The first informed consent form was signed on 21 November 2011, and the last follow-up visit took place on 7 March 2013. </w:t>
      </w:r>
    </w:p>
    <w:p w:rsidR="008F3BB2" w:rsidRDefault="008F3BB2" w:rsidP="008F3BB2">
      <w:pPr>
        <w:pStyle w:val="10"/>
        <w:rPr>
          <w:spacing w:val="-9"/>
        </w:rPr>
      </w:pPr>
      <w:r>
        <w:rPr>
          <w:spacing w:val="-9"/>
        </w:rPr>
        <w:t>The three maintenance groups were well matched in terms of demographic and other baseline characteristics (Table 1), and had similar baseline EE severities and medical histories. The mean treatment compliance rate was &gt; 97% in each treatment group.</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Efficacy</w:t>
      </w:r>
    </w:p>
    <w:p w:rsidR="008F3BB2" w:rsidRDefault="008F3BB2" w:rsidP="008F3BB2">
      <w:pPr>
        <w:pStyle w:val="af9"/>
      </w:pPr>
      <w:r>
        <w:t xml:space="preserve">The rate of EE recurrence at 24 </w:t>
      </w:r>
      <w:proofErr w:type="spellStart"/>
      <w:r>
        <w:t>wk</w:t>
      </w:r>
      <w:proofErr w:type="spellEnd"/>
      <w:r>
        <w:t xml:space="preserve"> of maintenance therapy (primary endpoint) was 16.8%, 5.1%, and 2.0% with </w:t>
      </w:r>
      <w:proofErr w:type="spellStart"/>
      <w:r>
        <w:t>lansoprazole</w:t>
      </w:r>
      <w:proofErr w:type="spellEnd"/>
      <w:r>
        <w:t xml:space="preserve"> 15 mg, </w:t>
      </w:r>
      <w:proofErr w:type="spellStart"/>
      <w:r>
        <w:t>vonoprazan</w:t>
      </w:r>
      <w:proofErr w:type="spellEnd"/>
      <w:r>
        <w:t xml:space="preserve"> 10 mg, and </w:t>
      </w:r>
      <w:proofErr w:type="spellStart"/>
      <w:r>
        <w:t>vonoprazan</w:t>
      </w:r>
      <w:proofErr w:type="spellEnd"/>
      <w:r>
        <w:t xml:space="preserve"> 20 mg, respectively. Point estimates of differences in EE recurrence between the maintenance treatment groups and 95%CIs are shown in Table 2. </w:t>
      </w:r>
      <w:proofErr w:type="spellStart"/>
      <w:r>
        <w:t>Vonoprazan</w:t>
      </w:r>
      <w:proofErr w:type="spellEnd"/>
      <w:r>
        <w:t xml:space="preserve"> 10 mg and 20 mg were both found to be non-inferior to </w:t>
      </w:r>
      <w:proofErr w:type="spellStart"/>
      <w:r>
        <w:t>lansoprazole</w:t>
      </w:r>
      <w:proofErr w:type="spellEnd"/>
      <w:r>
        <w:t xml:space="preserve"> 15 mg in the FAS (both </w:t>
      </w:r>
      <w:r>
        <w:rPr>
          <w:i/>
          <w:iCs/>
        </w:rPr>
        <w:t>P</w:t>
      </w:r>
      <w:r>
        <w:t xml:space="preserve"> &lt; 0.0001), with the upper limits of 95%CIs for the differences between </w:t>
      </w:r>
      <w:proofErr w:type="spellStart"/>
      <w:r>
        <w:t>vonoprazan</w:t>
      </w:r>
      <w:proofErr w:type="spellEnd"/>
      <w:r>
        <w:t xml:space="preserve"> 10 mg or 20 mg and </w:t>
      </w:r>
      <w:proofErr w:type="spellStart"/>
      <w:r>
        <w:t>lansoprazole</w:t>
      </w:r>
      <w:proofErr w:type="spellEnd"/>
      <w:r>
        <w:t xml:space="preserve"> 15 mg being &lt; 0, thus indicating a statistically significant difference. In a </w:t>
      </w:r>
      <w:r>
        <w:rPr>
          <w:i/>
          <w:iCs/>
        </w:rPr>
        <w:t>post-hoc</w:t>
      </w:r>
      <w:r>
        <w:t xml:space="preserve"> analysis performed using the Fisher exact test, a statistically significant difference in the rate of EE recurrence was demonstrated between </w:t>
      </w:r>
      <w:proofErr w:type="spellStart"/>
      <w:r>
        <w:t>vonoprazan</w:t>
      </w:r>
      <w:proofErr w:type="spellEnd"/>
      <w:r>
        <w:t xml:space="preserve"> 10 mg or 20 mg and </w:t>
      </w:r>
      <w:proofErr w:type="spellStart"/>
      <w:r>
        <w:t>lansoprazole</w:t>
      </w:r>
      <w:proofErr w:type="spellEnd"/>
      <w:r>
        <w:t xml:space="preserve"> 15 mg (</w:t>
      </w:r>
      <w:r>
        <w:rPr>
          <w:i/>
          <w:iCs/>
        </w:rPr>
        <w:t>P</w:t>
      </w:r>
      <w:r>
        <w:t xml:space="preserve"> = 0.0002 and </w:t>
      </w:r>
      <w:r>
        <w:rPr>
          <w:i/>
          <w:iCs/>
        </w:rPr>
        <w:t>P</w:t>
      </w:r>
      <w:r>
        <w:t xml:space="preserve"> &lt; 0.0001, respectively, </w:t>
      </w:r>
      <w:proofErr w:type="spellStart"/>
      <w:r>
        <w:rPr>
          <w:i/>
          <w:iCs/>
        </w:rPr>
        <w:t>vs</w:t>
      </w:r>
      <w:proofErr w:type="spellEnd"/>
      <w:r>
        <w:t xml:space="preserve"> </w:t>
      </w:r>
      <w:proofErr w:type="spellStart"/>
      <w:r>
        <w:t>lansoprazole</w:t>
      </w:r>
      <w:proofErr w:type="spellEnd"/>
      <w:r>
        <w:t xml:space="preserve"> 15 mg), but not between the two </w:t>
      </w:r>
      <w:proofErr w:type="spellStart"/>
      <w:r>
        <w:t>vonoprazan</w:t>
      </w:r>
      <w:proofErr w:type="spellEnd"/>
      <w:r>
        <w:t xml:space="preserve"> doses (</w:t>
      </w:r>
      <w:r>
        <w:rPr>
          <w:i/>
          <w:iCs/>
        </w:rPr>
        <w:t>P</w:t>
      </w:r>
      <w:r>
        <w:t xml:space="preserve"> = 0.1090).</w:t>
      </w:r>
    </w:p>
    <w:p w:rsidR="008F3BB2" w:rsidRDefault="008F3BB2" w:rsidP="008F3BB2">
      <w:pPr>
        <w:pStyle w:val="10"/>
      </w:pPr>
      <w:r>
        <w:t xml:space="preserve">The intergroup differences in EE recurrence rate at Week 12 of the maintenance period (secondary endpoint) are shown in Table 2. </w:t>
      </w:r>
      <w:proofErr w:type="spellStart"/>
      <w:r>
        <w:t>Vonoprazan</w:t>
      </w:r>
      <w:proofErr w:type="spellEnd"/>
      <w:r>
        <w:t xml:space="preserve"> 10 mg and 20 mg were both shown to be non-inferior to </w:t>
      </w:r>
      <w:proofErr w:type="spellStart"/>
      <w:r>
        <w:t>lansoprazole</w:t>
      </w:r>
      <w:proofErr w:type="spellEnd"/>
      <w:r>
        <w:t xml:space="preserve"> 15 mg in the FAS; the upper limits of </w:t>
      </w:r>
      <w:r>
        <w:rPr>
          <w:spacing w:val="-13"/>
        </w:rPr>
        <w:t xml:space="preserve">95%CIs for the differences between </w:t>
      </w:r>
      <w:proofErr w:type="spellStart"/>
      <w:r>
        <w:rPr>
          <w:spacing w:val="-13"/>
        </w:rPr>
        <w:t>vonoprazan</w:t>
      </w:r>
      <w:proofErr w:type="spellEnd"/>
      <w:r>
        <w:rPr>
          <w:spacing w:val="-13"/>
        </w:rPr>
        <w:t xml:space="preserve"> 10 </w:t>
      </w:r>
      <w:r>
        <w:rPr>
          <w:spacing w:val="-9"/>
        </w:rPr>
        <w:t xml:space="preserve">mg or 20 mg and </w:t>
      </w:r>
      <w:proofErr w:type="spellStart"/>
      <w:r>
        <w:rPr>
          <w:spacing w:val="-9"/>
        </w:rPr>
        <w:t>lansoprazole</w:t>
      </w:r>
      <w:proofErr w:type="spellEnd"/>
      <w:r>
        <w:rPr>
          <w:spacing w:val="-9"/>
        </w:rPr>
        <w:t xml:space="preserve"> 15 mg were &lt; 0, thus </w:t>
      </w:r>
      <w:r>
        <w:t>con</w:t>
      </w:r>
      <w:r>
        <w:softHyphen/>
        <w:t>sistently indicating a statistical difference.</w:t>
      </w:r>
    </w:p>
    <w:p w:rsidR="008F3BB2" w:rsidRDefault="008F3BB2" w:rsidP="008F3BB2">
      <w:pPr>
        <w:pStyle w:val="10"/>
      </w:pPr>
      <w:r>
        <w:t xml:space="preserve">Subgroup analyses were conducted on the EE recurrence rates during the 24-wk maintenance period according to age, sex, smoking classification, disease severity, extent of CYP2C19 metabolism, and </w:t>
      </w:r>
      <w:r>
        <w:rPr>
          <w:i/>
          <w:iCs/>
        </w:rPr>
        <w:t>H. pylori</w:t>
      </w:r>
      <w:r>
        <w:t xml:space="preserve"> infection status. Post-hoc analyses confirmed that the differences in recurrence rates following treatment with </w:t>
      </w:r>
      <w:proofErr w:type="spellStart"/>
      <w:r>
        <w:rPr>
          <w:spacing w:val="-9"/>
        </w:rPr>
        <w:t>vonoprazan</w:t>
      </w:r>
      <w:proofErr w:type="spellEnd"/>
      <w:r>
        <w:rPr>
          <w:spacing w:val="-9"/>
        </w:rPr>
        <w:t xml:space="preserve"> 10 mg or 20 mg versus </w:t>
      </w:r>
      <w:proofErr w:type="spellStart"/>
      <w:r>
        <w:rPr>
          <w:spacing w:val="-9"/>
        </w:rPr>
        <w:t>lansoprazole</w:t>
      </w:r>
      <w:proofErr w:type="spellEnd"/>
      <w:r>
        <w:rPr>
          <w:spacing w:val="-9"/>
        </w:rPr>
        <w:t xml:space="preserve"> 15 </w:t>
      </w:r>
      <w:r>
        <w:rPr>
          <w:spacing w:val="-5"/>
        </w:rPr>
        <w:t xml:space="preserve">mg </w:t>
      </w:r>
      <w:r>
        <w:rPr>
          <w:spacing w:val="-2"/>
        </w:rPr>
        <w:t xml:space="preserve">were significant among: patients who were: aged &lt; </w:t>
      </w:r>
      <w:r>
        <w:t xml:space="preserve">65 years; of either sex; never smokers; had any LA classification grade; CYP2C19 extensive metabolizers; or </w:t>
      </w:r>
      <w:r>
        <w:rPr>
          <w:i/>
          <w:iCs/>
        </w:rPr>
        <w:t xml:space="preserve">H. </w:t>
      </w:r>
      <w:r>
        <w:rPr>
          <w:i/>
          <w:iCs/>
        </w:rPr>
        <w:lastRenderedPageBreak/>
        <w:t>pylori</w:t>
      </w:r>
      <w:r>
        <w:t>-negative (Table 3).</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Safety</w:t>
      </w:r>
    </w:p>
    <w:p w:rsidR="008F3BB2" w:rsidRDefault="008F3BB2" w:rsidP="008F3BB2">
      <w:pPr>
        <w:pStyle w:val="af9"/>
        <w:rPr>
          <w:spacing w:val="-11"/>
        </w:rPr>
      </w:pPr>
      <w:r>
        <w:rPr>
          <w:spacing w:val="-11"/>
        </w:rPr>
        <w:t xml:space="preserve">The incidence of </w:t>
      </w:r>
      <w:proofErr w:type="spellStart"/>
      <w:r>
        <w:rPr>
          <w:spacing w:val="-11"/>
        </w:rPr>
        <w:t>TEAEs</w:t>
      </w:r>
      <w:proofErr w:type="spellEnd"/>
      <w:r>
        <w:rPr>
          <w:spacing w:val="-11"/>
        </w:rPr>
        <w:t xml:space="preserve"> during the 24-wk maintenance period was comparable between the maintenance treatment groups (Table 4). All-cause </w:t>
      </w:r>
      <w:proofErr w:type="spellStart"/>
      <w:r>
        <w:rPr>
          <w:spacing w:val="-11"/>
        </w:rPr>
        <w:t>TEAEs</w:t>
      </w:r>
      <w:proofErr w:type="spellEnd"/>
      <w:r>
        <w:rPr>
          <w:spacing w:val="-11"/>
        </w:rPr>
        <w:t xml:space="preserve"> during maintenance therapy were reported in 51.2%, 54.0%, and 58.8% of patients treated with </w:t>
      </w:r>
      <w:proofErr w:type="spellStart"/>
      <w:r>
        <w:rPr>
          <w:spacing w:val="-11"/>
        </w:rPr>
        <w:t>lansoprazole</w:t>
      </w:r>
      <w:proofErr w:type="spellEnd"/>
      <w:r>
        <w:rPr>
          <w:spacing w:val="-11"/>
        </w:rPr>
        <w:t xml:space="preserve"> 15 mg, </w:t>
      </w:r>
      <w:proofErr w:type="spellStart"/>
      <w:r>
        <w:rPr>
          <w:spacing w:val="-11"/>
        </w:rPr>
        <w:t>vonoprazan</w:t>
      </w:r>
      <w:proofErr w:type="spellEnd"/>
      <w:r>
        <w:rPr>
          <w:spacing w:val="-11"/>
        </w:rPr>
        <w:t xml:space="preserve"> 10 mg, and </w:t>
      </w:r>
      <w:proofErr w:type="spellStart"/>
      <w:r>
        <w:rPr>
          <w:spacing w:val="-11"/>
        </w:rPr>
        <w:t>vonoprazan</w:t>
      </w:r>
      <w:proofErr w:type="spellEnd"/>
      <w:r>
        <w:rPr>
          <w:spacing w:val="-11"/>
        </w:rPr>
        <w:t xml:space="preserve"> 20 mg,</w:t>
      </w:r>
      <w:r>
        <w:t xml:space="preserve"> respectively. </w:t>
      </w:r>
      <w:proofErr w:type="spellStart"/>
      <w:r>
        <w:t>Nasopharyngitis</w:t>
      </w:r>
      <w:proofErr w:type="spellEnd"/>
      <w:r>
        <w:t xml:space="preserve"> was the most commonly reported </w:t>
      </w:r>
      <w:proofErr w:type="spellStart"/>
      <w:r>
        <w:t>TEAE</w:t>
      </w:r>
      <w:proofErr w:type="spellEnd"/>
      <w:r>
        <w:t xml:space="preserve"> in each treatment group (13.9%, 16.8%, and 13.2%, respectively; 14.7% of patients overall). The only other </w:t>
      </w:r>
      <w:proofErr w:type="spellStart"/>
      <w:r>
        <w:t>TEAE</w:t>
      </w:r>
      <w:proofErr w:type="spellEnd"/>
      <w:r>
        <w:t xml:space="preserve"> occurring in &gt; 5% of patients in any treatment group was diarrhea, which was reported in 5.5% of those treated with </w:t>
      </w:r>
      <w:proofErr w:type="spellStart"/>
      <w:r>
        <w:t>lansoprazole</w:t>
      </w:r>
      <w:proofErr w:type="spellEnd"/>
      <w:r>
        <w:t xml:space="preserve"> 15 mg. </w:t>
      </w:r>
      <w:proofErr w:type="spellStart"/>
      <w:r>
        <w:t>TEAEs</w:t>
      </w:r>
      <w:proofErr w:type="spellEnd"/>
      <w:r>
        <w:t xml:space="preserve"> were mostly mild in severity. The incidence of drug-related </w:t>
      </w:r>
      <w:proofErr w:type="spellStart"/>
      <w:r>
        <w:t>TEAEs</w:t>
      </w:r>
      <w:proofErr w:type="spellEnd"/>
      <w:r>
        <w:t xml:space="preserve"> was 11.4%, 10.4%, and 10.3% with </w:t>
      </w:r>
      <w:proofErr w:type="spellStart"/>
      <w:r>
        <w:t>lansoprazole</w:t>
      </w:r>
      <w:proofErr w:type="spellEnd"/>
      <w:r>
        <w:t xml:space="preserve"> 15 mg, </w:t>
      </w:r>
      <w:proofErr w:type="spellStart"/>
      <w:r>
        <w:t>vonoprazan</w:t>
      </w:r>
      <w:proofErr w:type="spellEnd"/>
      <w:r>
        <w:t xml:space="preserve"> 10 mg and </w:t>
      </w:r>
      <w:proofErr w:type="spellStart"/>
      <w:r>
        <w:t>vonoprazan</w:t>
      </w:r>
      <w:proofErr w:type="spellEnd"/>
      <w:r>
        <w:t xml:space="preserve"> 20 mg, respectively. Very few serious </w:t>
      </w:r>
      <w:proofErr w:type="spellStart"/>
      <w:r>
        <w:t>TEAEs</w:t>
      </w:r>
      <w:proofErr w:type="spellEnd"/>
      <w:r>
        <w:t xml:space="preserve"> were reported with </w:t>
      </w:r>
      <w:proofErr w:type="spellStart"/>
      <w:r>
        <w:t>lansoprazole</w:t>
      </w:r>
      <w:proofErr w:type="spellEnd"/>
      <w:r>
        <w:t xml:space="preserve"> 15 mg, </w:t>
      </w:r>
      <w:proofErr w:type="spellStart"/>
      <w:r>
        <w:t>vonoprazan</w:t>
      </w:r>
      <w:proofErr w:type="spellEnd"/>
      <w:r>
        <w:t xml:space="preserve"> 10 mg, or </w:t>
      </w:r>
      <w:proofErr w:type="spellStart"/>
      <w:r>
        <w:t>vonoprazan</w:t>
      </w:r>
      <w:proofErr w:type="spellEnd"/>
      <w:r>
        <w:t xml:space="preserve"> 20 mg (4, 5, and </w:t>
      </w:r>
      <w:r>
        <w:rPr>
          <w:spacing w:val="-11"/>
        </w:rPr>
        <w:t xml:space="preserve">4 </w:t>
      </w:r>
      <w:proofErr w:type="spellStart"/>
      <w:r>
        <w:rPr>
          <w:spacing w:val="-11"/>
        </w:rPr>
        <w:t>TEAEs</w:t>
      </w:r>
      <w:proofErr w:type="spellEnd"/>
      <w:r>
        <w:rPr>
          <w:spacing w:val="-11"/>
        </w:rPr>
        <w:t xml:space="preserve">, respectively); of the </w:t>
      </w:r>
      <w:proofErr w:type="spellStart"/>
      <w:r>
        <w:rPr>
          <w:spacing w:val="-11"/>
        </w:rPr>
        <w:t>TEAEs</w:t>
      </w:r>
      <w:proofErr w:type="spellEnd"/>
      <w:r>
        <w:rPr>
          <w:spacing w:val="-11"/>
        </w:rPr>
        <w:t xml:space="preserve"> reported, one case of atrial fibrillation and abnormal liver function test [elevated ALT and AST (303 U/L and 228 U/L, respectively)] in the </w:t>
      </w:r>
      <w:proofErr w:type="spellStart"/>
      <w:r>
        <w:rPr>
          <w:spacing w:val="-11"/>
        </w:rPr>
        <w:t>vonoprazan</w:t>
      </w:r>
      <w:proofErr w:type="spellEnd"/>
      <w:r>
        <w:rPr>
          <w:spacing w:val="-11"/>
        </w:rPr>
        <w:t xml:space="preserve"> 20 mg group were </w:t>
      </w:r>
      <w:r>
        <w:rPr>
          <w:spacing w:val="-9"/>
        </w:rPr>
        <w:t xml:space="preserve">considered to be possibly related to the study drug. </w:t>
      </w:r>
      <w:r>
        <w:t xml:space="preserve">The abnormal liver function </w:t>
      </w:r>
      <w:r>
        <w:rPr>
          <w:spacing w:val="-11"/>
        </w:rPr>
        <w:t xml:space="preserve">test was reported in a patient with a prior history of alcoholic hepatic </w:t>
      </w:r>
      <w:proofErr w:type="spellStart"/>
      <w:r>
        <w:rPr>
          <w:spacing w:val="-11"/>
        </w:rPr>
        <w:t>steatosis</w:t>
      </w:r>
      <w:proofErr w:type="spellEnd"/>
      <w:r>
        <w:rPr>
          <w:spacing w:val="-11"/>
        </w:rPr>
        <w:t>, and led to his premature withdrawal from the study. As no specific cause was identified, a possible causal relationship with the study drug could not be ruled out.</w:t>
      </w:r>
    </w:p>
    <w:p w:rsidR="008F3BB2" w:rsidRDefault="008F3BB2" w:rsidP="008F3BB2">
      <w:pPr>
        <w:pStyle w:val="10"/>
        <w:rPr>
          <w:b/>
          <w:bCs/>
          <w:spacing w:val="-8"/>
        </w:rPr>
      </w:pPr>
      <w:r>
        <w:rPr>
          <w:spacing w:val="-8"/>
        </w:rPr>
        <w:t xml:space="preserve">With regard to </w:t>
      </w:r>
      <w:proofErr w:type="spellStart"/>
      <w:r>
        <w:rPr>
          <w:spacing w:val="-8"/>
        </w:rPr>
        <w:t>SIAEs</w:t>
      </w:r>
      <w:proofErr w:type="spellEnd"/>
      <w:r>
        <w:rPr>
          <w:spacing w:val="-8"/>
        </w:rPr>
        <w:t xml:space="preserve">, one case each of abnormal liver function test [elevated ALT (179 </w:t>
      </w:r>
      <w:proofErr w:type="spellStart"/>
      <w:r>
        <w:rPr>
          <w:spacing w:val="-8"/>
        </w:rPr>
        <w:t>IU</w:t>
      </w:r>
      <w:proofErr w:type="spellEnd"/>
      <w:r>
        <w:rPr>
          <w:spacing w:val="-8"/>
        </w:rPr>
        <w:t xml:space="preserve">/L) and AST (209 </w:t>
      </w:r>
      <w:proofErr w:type="spellStart"/>
      <w:r>
        <w:rPr>
          <w:spacing w:val="-8"/>
        </w:rPr>
        <w:t>IU</w:t>
      </w:r>
      <w:proofErr w:type="spellEnd"/>
      <w:r>
        <w:rPr>
          <w:spacing w:val="-8"/>
        </w:rPr>
        <w:t xml:space="preserve">/L) owing to </w:t>
      </w:r>
      <w:proofErr w:type="spellStart"/>
      <w:r>
        <w:rPr>
          <w:spacing w:val="-8"/>
        </w:rPr>
        <w:t>fenofibrate</w:t>
      </w:r>
      <w:proofErr w:type="spellEnd"/>
      <w:r>
        <w:rPr>
          <w:spacing w:val="-8"/>
        </w:rPr>
        <w:t xml:space="preserve"> treatment for dyslipidemia and elevated ALT (137 </w:t>
      </w:r>
      <w:proofErr w:type="spellStart"/>
      <w:r>
        <w:rPr>
          <w:spacing w:val="-8"/>
        </w:rPr>
        <w:t>IU</w:t>
      </w:r>
      <w:proofErr w:type="spellEnd"/>
      <w:r>
        <w:rPr>
          <w:spacing w:val="-8"/>
        </w:rPr>
        <w:t xml:space="preserve">/L), which was not associated with any symptoms and was considered possibly related to the study medication] were reported in the </w:t>
      </w:r>
      <w:proofErr w:type="spellStart"/>
      <w:r>
        <w:rPr>
          <w:spacing w:val="-8"/>
        </w:rPr>
        <w:t>lansoprazole</w:t>
      </w:r>
      <w:proofErr w:type="spellEnd"/>
      <w:r>
        <w:rPr>
          <w:spacing w:val="-8"/>
        </w:rPr>
        <w:t xml:space="preserve"> 15 mg group, while two cases of abnormal liver function test were reported </w:t>
      </w:r>
      <w:r>
        <w:rPr>
          <w:spacing w:val="-14"/>
        </w:rPr>
        <w:t xml:space="preserve">in the </w:t>
      </w:r>
      <w:proofErr w:type="spellStart"/>
      <w:r>
        <w:rPr>
          <w:spacing w:val="-14"/>
        </w:rPr>
        <w:t>vonoprazan</w:t>
      </w:r>
      <w:proofErr w:type="spellEnd"/>
      <w:r>
        <w:rPr>
          <w:spacing w:val="-14"/>
        </w:rPr>
        <w:t xml:space="preserve"> 10 mg group [elevated ALT (467 </w:t>
      </w:r>
      <w:proofErr w:type="spellStart"/>
      <w:r>
        <w:rPr>
          <w:spacing w:val="-8"/>
        </w:rPr>
        <w:t>IU</w:t>
      </w:r>
      <w:proofErr w:type="spellEnd"/>
      <w:r>
        <w:rPr>
          <w:spacing w:val="-8"/>
        </w:rPr>
        <w:t xml:space="preserve">/L) and AST (571 </w:t>
      </w:r>
      <w:proofErr w:type="spellStart"/>
      <w:r>
        <w:rPr>
          <w:spacing w:val="-8"/>
        </w:rPr>
        <w:t>IU</w:t>
      </w:r>
      <w:proofErr w:type="spellEnd"/>
      <w:r>
        <w:rPr>
          <w:spacing w:val="-8"/>
        </w:rPr>
        <w:t xml:space="preserve">/L) in one patient, which were considered possibly related to the study medication; and elevated ALT (326 </w:t>
      </w:r>
      <w:proofErr w:type="spellStart"/>
      <w:r>
        <w:rPr>
          <w:spacing w:val="-8"/>
        </w:rPr>
        <w:t>IU</w:t>
      </w:r>
      <w:proofErr w:type="spellEnd"/>
      <w:r>
        <w:rPr>
          <w:spacing w:val="-8"/>
        </w:rPr>
        <w:t xml:space="preserve">/L) and AST (127 </w:t>
      </w:r>
      <w:proofErr w:type="spellStart"/>
      <w:r>
        <w:rPr>
          <w:spacing w:val="-8"/>
        </w:rPr>
        <w:t>IU</w:t>
      </w:r>
      <w:proofErr w:type="spellEnd"/>
      <w:r>
        <w:rPr>
          <w:spacing w:val="-8"/>
        </w:rPr>
        <w:t xml:space="preserve">/L) that occurred in a patient with concurrent hepatic </w:t>
      </w:r>
      <w:proofErr w:type="spellStart"/>
      <w:r>
        <w:rPr>
          <w:spacing w:val="-8"/>
        </w:rPr>
        <w:t>steatosis</w:t>
      </w:r>
      <w:proofErr w:type="spellEnd"/>
      <w:r>
        <w:rPr>
          <w:spacing w:val="-8"/>
        </w:rPr>
        <w:t xml:space="preserve"> and were considered unrelated to the study drug]. In the </w:t>
      </w:r>
      <w:proofErr w:type="spellStart"/>
      <w:r>
        <w:rPr>
          <w:spacing w:val="-8"/>
        </w:rPr>
        <w:t>vonoprazan</w:t>
      </w:r>
      <w:proofErr w:type="spellEnd"/>
      <w:r>
        <w:rPr>
          <w:spacing w:val="-8"/>
        </w:rPr>
        <w:t xml:space="preserve"> 20 mg group, elevated ALT (86 </w:t>
      </w:r>
      <w:proofErr w:type="spellStart"/>
      <w:r>
        <w:rPr>
          <w:spacing w:val="-8"/>
        </w:rPr>
        <w:t>IU</w:t>
      </w:r>
      <w:proofErr w:type="spellEnd"/>
      <w:r>
        <w:rPr>
          <w:spacing w:val="-8"/>
        </w:rPr>
        <w:t xml:space="preserve">/L) and AST (47 </w:t>
      </w:r>
      <w:proofErr w:type="spellStart"/>
      <w:r>
        <w:rPr>
          <w:spacing w:val="-8"/>
        </w:rPr>
        <w:t>IU</w:t>
      </w:r>
      <w:proofErr w:type="spellEnd"/>
      <w:r>
        <w:rPr>
          <w:spacing w:val="-8"/>
        </w:rPr>
        <w:t xml:space="preserve">/L) were reported at the final study visit in a patient with concurrent hyperlipidemia and hepatic </w:t>
      </w:r>
      <w:proofErr w:type="spellStart"/>
      <w:r>
        <w:rPr>
          <w:spacing w:val="-8"/>
        </w:rPr>
        <w:t>steatosis</w:t>
      </w:r>
      <w:proofErr w:type="spellEnd"/>
      <w:r>
        <w:rPr>
          <w:spacing w:val="-8"/>
        </w:rPr>
        <w:t xml:space="preserve">. Having completed the study, the patient began to receive </w:t>
      </w:r>
      <w:proofErr w:type="spellStart"/>
      <w:r>
        <w:rPr>
          <w:spacing w:val="-8"/>
        </w:rPr>
        <w:t>lansoprazole</w:t>
      </w:r>
      <w:proofErr w:type="spellEnd"/>
      <w:r>
        <w:rPr>
          <w:spacing w:val="-8"/>
        </w:rPr>
        <w:t xml:space="preserve"> as maintenance treatment for EE. Four weeks after the patient had completed the study, a further ALT elevation (139 </w:t>
      </w:r>
      <w:proofErr w:type="spellStart"/>
      <w:r>
        <w:rPr>
          <w:spacing w:val="-8"/>
        </w:rPr>
        <w:t>IU</w:t>
      </w:r>
      <w:proofErr w:type="spellEnd"/>
      <w:r>
        <w:rPr>
          <w:spacing w:val="-8"/>
        </w:rPr>
        <w:t xml:space="preserve">/L) was reported, which qualified as a </w:t>
      </w:r>
      <w:proofErr w:type="spellStart"/>
      <w:r>
        <w:rPr>
          <w:spacing w:val="-8"/>
        </w:rPr>
        <w:t>SIAE</w:t>
      </w:r>
      <w:proofErr w:type="spellEnd"/>
      <w:r>
        <w:rPr>
          <w:spacing w:val="-8"/>
        </w:rPr>
        <w:t xml:space="preserve">. Two days later, dark urine and itching were reported. The patient’s condition remained unresolved 2 </w:t>
      </w:r>
      <w:proofErr w:type="spellStart"/>
      <w:proofErr w:type="gramStart"/>
      <w:r>
        <w:rPr>
          <w:spacing w:val="-8"/>
        </w:rPr>
        <w:t>mo</w:t>
      </w:r>
      <w:proofErr w:type="spellEnd"/>
      <w:proofErr w:type="gramEnd"/>
      <w:r>
        <w:rPr>
          <w:spacing w:val="-8"/>
        </w:rPr>
        <w:t xml:space="preserve"> later but, owing to the invasive nature of blood sampling, the investigator decided that further follow-up was unnecessary, and that the patient should receive routine medical care and further treatment as required. As the initial ALT and AST elevations had occurred during the maintenance period of the study, the possibility of a causal relationship with the study medication could not be ruled out. Also in the </w:t>
      </w:r>
      <w:proofErr w:type="spellStart"/>
      <w:r>
        <w:rPr>
          <w:spacing w:val="-8"/>
        </w:rPr>
        <w:t>vonoprazan</w:t>
      </w:r>
      <w:proofErr w:type="spellEnd"/>
      <w:r>
        <w:rPr>
          <w:spacing w:val="-8"/>
        </w:rPr>
        <w:t xml:space="preserve"> 20 mg group, elevated ALT (138 </w:t>
      </w:r>
      <w:proofErr w:type="spellStart"/>
      <w:r>
        <w:rPr>
          <w:spacing w:val="-8"/>
        </w:rPr>
        <w:t>IU</w:t>
      </w:r>
      <w:proofErr w:type="spellEnd"/>
      <w:r>
        <w:rPr>
          <w:spacing w:val="-8"/>
        </w:rPr>
        <w:t xml:space="preserve">/L, which was considered to have been caused by pre-existing hepatic </w:t>
      </w:r>
      <w:proofErr w:type="spellStart"/>
      <w:r>
        <w:rPr>
          <w:spacing w:val="-8"/>
        </w:rPr>
        <w:t>steatosis</w:t>
      </w:r>
      <w:proofErr w:type="spellEnd"/>
      <w:r>
        <w:rPr>
          <w:spacing w:val="-8"/>
        </w:rPr>
        <w:t xml:space="preserve">) was reported in one patient, and two cases </w:t>
      </w:r>
      <w:r>
        <w:rPr>
          <w:spacing w:val="-8"/>
        </w:rPr>
        <w:lastRenderedPageBreak/>
        <w:t xml:space="preserve">of abnormal liver function test were noted; the first in a patient with ALT elevated to 161 </w:t>
      </w:r>
      <w:proofErr w:type="spellStart"/>
      <w:r>
        <w:rPr>
          <w:spacing w:val="-8"/>
        </w:rPr>
        <w:t>IU</w:t>
      </w:r>
      <w:proofErr w:type="spellEnd"/>
      <w:r>
        <w:rPr>
          <w:spacing w:val="-8"/>
        </w:rPr>
        <w:t xml:space="preserve">/L following the consumption of a large quantity of alcohol, and the second being the case that is described above as a serious </w:t>
      </w:r>
      <w:proofErr w:type="spellStart"/>
      <w:r>
        <w:rPr>
          <w:spacing w:val="-8"/>
        </w:rPr>
        <w:t>TEAE</w:t>
      </w:r>
      <w:proofErr w:type="spellEnd"/>
      <w:r>
        <w:rPr>
          <w:spacing w:val="-8"/>
        </w:rPr>
        <w:t xml:space="preserve">. All the </w:t>
      </w:r>
      <w:proofErr w:type="spellStart"/>
      <w:r>
        <w:rPr>
          <w:spacing w:val="-8"/>
        </w:rPr>
        <w:t>SIAEs</w:t>
      </w:r>
      <w:proofErr w:type="spellEnd"/>
      <w:r>
        <w:rPr>
          <w:spacing w:val="-8"/>
        </w:rPr>
        <w:t xml:space="preserve"> were considered resolved or resolving, with the exception of the case of abnormal hepatic function in the </w:t>
      </w:r>
      <w:proofErr w:type="spellStart"/>
      <w:r>
        <w:rPr>
          <w:spacing w:val="-8"/>
        </w:rPr>
        <w:t>vonoprazan</w:t>
      </w:r>
      <w:proofErr w:type="spellEnd"/>
      <w:r>
        <w:rPr>
          <w:spacing w:val="-8"/>
        </w:rPr>
        <w:t xml:space="preserve"> 20 mg group. This patient was followed up with routine medical care and treated as required. </w:t>
      </w:r>
    </w:p>
    <w:p w:rsidR="008F3BB2" w:rsidRDefault="008F3BB2" w:rsidP="008F3BB2">
      <w:pPr>
        <w:pStyle w:val="10"/>
        <w:rPr>
          <w:spacing w:val="-9"/>
        </w:rPr>
      </w:pPr>
      <w:r>
        <w:rPr>
          <w:spacing w:val="-9"/>
        </w:rPr>
        <w:t>Mean levels of serum gastrin, pepsinogen</w:t>
      </w:r>
      <w:r>
        <w:rPr>
          <w:rFonts w:ascii="MS Gothic" w:eastAsia="MS Gothic" w:hAnsi="MS Gothic" w:cs="MS Gothic" w:hint="eastAsia"/>
          <w:spacing w:val="-9"/>
        </w:rPr>
        <w:t> </w:t>
      </w:r>
      <w:r>
        <w:rPr>
          <w:rFonts w:ascii="KozMinPro-Regular" w:eastAsia="KozMinPro-Regular" w:cs="KozMinPro-Regular" w:hint="eastAsia"/>
          <w:spacing w:val="-8"/>
          <w:sz w:val="17"/>
          <w:szCs w:val="17"/>
        </w:rPr>
        <w:t>Ⅰ</w:t>
      </w:r>
      <w:r>
        <w:rPr>
          <w:spacing w:val="-9"/>
        </w:rPr>
        <w:t xml:space="preserve">, and pepsinogen </w:t>
      </w:r>
      <w:r>
        <w:rPr>
          <w:rFonts w:ascii="KozMinPro-Regular" w:eastAsia="KozMinPro-Regular" w:cs="KozMinPro-Regular" w:hint="eastAsia"/>
          <w:spacing w:val="-8"/>
          <w:sz w:val="17"/>
          <w:szCs w:val="17"/>
        </w:rPr>
        <w:t>Ⅱ</w:t>
      </w:r>
      <w:r>
        <w:rPr>
          <w:spacing w:val="-9"/>
        </w:rPr>
        <w:t xml:space="preserve"> increased in all three groups after the start of maintenance therapy; </w:t>
      </w:r>
      <w:proofErr w:type="gramStart"/>
      <w:r>
        <w:rPr>
          <w:spacing w:val="-9"/>
        </w:rPr>
        <w:t>as</w:t>
      </w:r>
      <w:proofErr w:type="gramEnd"/>
      <w:r>
        <w:rPr>
          <w:spacing w:val="-9"/>
        </w:rPr>
        <w:t xml:space="preserve"> shown in Figure 2, the increases were greatest with </w:t>
      </w:r>
      <w:proofErr w:type="spellStart"/>
      <w:r>
        <w:rPr>
          <w:spacing w:val="-9"/>
        </w:rPr>
        <w:t>vonoprazan</w:t>
      </w:r>
      <w:proofErr w:type="spellEnd"/>
      <w:r>
        <w:rPr>
          <w:spacing w:val="-9"/>
        </w:rPr>
        <w:t xml:space="preserve"> 20 mg and least with </w:t>
      </w:r>
      <w:proofErr w:type="spellStart"/>
      <w:r>
        <w:rPr>
          <w:spacing w:val="-9"/>
        </w:rPr>
        <w:t>lansoprazole</w:t>
      </w:r>
      <w:proofErr w:type="spellEnd"/>
      <w:r>
        <w:rPr>
          <w:spacing w:val="-9"/>
        </w:rPr>
        <w:t xml:space="preserve"> 15 mg. </w:t>
      </w:r>
      <w:proofErr w:type="spellStart"/>
      <w:r>
        <w:rPr>
          <w:spacing w:val="-9"/>
        </w:rPr>
        <w:t>Histopathologic</w:t>
      </w:r>
      <w:proofErr w:type="spellEnd"/>
      <w:r>
        <w:rPr>
          <w:spacing w:val="-9"/>
        </w:rPr>
        <w:t xml:space="preserve"> examinations showed that the observed increases in serum gastrin were not associated with clinically significant effects on the gastric mucosa. Similar slight increases in the number and density of </w:t>
      </w:r>
      <w:proofErr w:type="spellStart"/>
      <w:r>
        <w:rPr>
          <w:spacing w:val="-9"/>
        </w:rPr>
        <w:t>Grimelius</w:t>
      </w:r>
      <w:proofErr w:type="spellEnd"/>
      <w:r>
        <w:rPr>
          <w:spacing w:val="-9"/>
        </w:rPr>
        <w:t xml:space="preserve">-positive cells were observed from baseline to Week 24 in all treatment groups (Table 5), leading to increased ratios of </w:t>
      </w:r>
      <w:proofErr w:type="spellStart"/>
      <w:r>
        <w:rPr>
          <w:spacing w:val="-9"/>
        </w:rPr>
        <w:t>Grimelius</w:t>
      </w:r>
      <w:proofErr w:type="spellEnd"/>
      <w:r>
        <w:rPr>
          <w:spacing w:val="-9"/>
        </w:rPr>
        <w:t xml:space="preserve">-positive cells to epithelial cells. No clinically significant treatment-related changes were noted in gastric mucosal cell density, or in the percentage and density of </w:t>
      </w:r>
      <w:proofErr w:type="spellStart"/>
      <w:r>
        <w:rPr>
          <w:spacing w:val="-9"/>
        </w:rPr>
        <w:t>chromogranin</w:t>
      </w:r>
      <w:proofErr w:type="spellEnd"/>
      <w:r>
        <w:rPr>
          <w:spacing w:val="-9"/>
        </w:rPr>
        <w:t xml:space="preserve"> A-, </w:t>
      </w:r>
      <w:proofErr w:type="spellStart"/>
      <w:r>
        <w:rPr>
          <w:spacing w:val="-9"/>
        </w:rPr>
        <w:t>synaptophysin</w:t>
      </w:r>
      <w:proofErr w:type="spellEnd"/>
      <w:r>
        <w:rPr>
          <w:spacing w:val="-9"/>
        </w:rPr>
        <w:t>-, and Ki-67-positive cells (Table 5).</w:t>
      </w:r>
    </w:p>
    <w:p w:rsidR="008F3BB2" w:rsidRDefault="008F3BB2" w:rsidP="008F3BB2">
      <w:pPr>
        <w:pStyle w:val="10"/>
      </w:pPr>
      <w:r>
        <w:t xml:space="preserve">No clinically significant changes were observed in clinical laboratory test values, vital signs, or </w:t>
      </w:r>
      <w:proofErr w:type="spellStart"/>
      <w:r>
        <w:t>ECG</w:t>
      </w:r>
      <w:proofErr w:type="spellEnd"/>
      <w:r>
        <w:t xml:space="preserve"> findings in any group during maintenance treatment. </w:t>
      </w:r>
    </w:p>
    <w:p w:rsidR="008F3BB2" w:rsidRPr="000F3ABF" w:rsidRDefault="008F3BB2" w:rsidP="008F3BB2">
      <w:pPr>
        <w:pStyle w:val="af8"/>
        <w:ind w:left="5250"/>
        <w:rPr>
          <w:lang w:val="en-US"/>
        </w:rPr>
      </w:pPr>
    </w:p>
    <w:p w:rsidR="008F3BB2" w:rsidRPr="000F3ABF" w:rsidRDefault="008F3BB2" w:rsidP="008F3BB2">
      <w:pPr>
        <w:pStyle w:val="af8"/>
        <w:ind w:left="5250"/>
        <w:rPr>
          <w:rFonts w:ascii="Book Antiqua" w:hAnsi="Book Antiqua" w:cs="Book Antiqua"/>
          <w:u w:val="single"/>
          <w:lang w:val="en-US"/>
        </w:rPr>
      </w:pPr>
      <w:r w:rsidRPr="000F3ABF">
        <w:rPr>
          <w:u w:val="single"/>
          <w:lang w:val="en-US"/>
        </w:rPr>
        <w:t>DISCUSSION</w:t>
      </w:r>
    </w:p>
    <w:p w:rsidR="008F3BB2" w:rsidRDefault="008F3BB2" w:rsidP="008F3BB2">
      <w:pPr>
        <w:pStyle w:val="af9"/>
        <w:rPr>
          <w:spacing w:val="-9"/>
        </w:rPr>
      </w:pPr>
      <w:r>
        <w:rPr>
          <w:spacing w:val="-9"/>
        </w:rPr>
        <w:t xml:space="preserve">The findings of this study demonstrate the non-inferiority of once-daily maintenance therapy with </w:t>
      </w:r>
      <w:proofErr w:type="spellStart"/>
      <w:r>
        <w:rPr>
          <w:spacing w:val="-9"/>
        </w:rPr>
        <w:t>vonoprazan</w:t>
      </w:r>
      <w:proofErr w:type="spellEnd"/>
      <w:r>
        <w:rPr>
          <w:spacing w:val="-9"/>
        </w:rPr>
        <w:t xml:space="preserve"> 10 mg or 20 mg to </w:t>
      </w:r>
      <w:proofErr w:type="spellStart"/>
      <w:r>
        <w:rPr>
          <w:spacing w:val="-9"/>
        </w:rPr>
        <w:t>lansoprazole</w:t>
      </w:r>
      <w:proofErr w:type="spellEnd"/>
      <w:r>
        <w:rPr>
          <w:spacing w:val="-9"/>
        </w:rPr>
        <w:t xml:space="preserve"> 15 mg for the prevention of EE recurrence in Japanese patients with healed EE. The upper limits of 95%CI for the differences in EE recurrence rate between </w:t>
      </w:r>
      <w:proofErr w:type="spellStart"/>
      <w:r>
        <w:rPr>
          <w:spacing w:val="-9"/>
        </w:rPr>
        <w:t>vonoprazan</w:t>
      </w:r>
      <w:proofErr w:type="spellEnd"/>
      <w:r>
        <w:rPr>
          <w:spacing w:val="-9"/>
        </w:rPr>
        <w:t xml:space="preserve"> 10 mg or 20 mg and </w:t>
      </w:r>
      <w:proofErr w:type="spellStart"/>
      <w:r>
        <w:rPr>
          <w:spacing w:val="-9"/>
        </w:rPr>
        <w:t>lansoprazole</w:t>
      </w:r>
      <w:proofErr w:type="spellEnd"/>
      <w:r>
        <w:rPr>
          <w:spacing w:val="-9"/>
        </w:rPr>
        <w:t xml:space="preserve"> 15 mg at 24 </w:t>
      </w:r>
      <w:proofErr w:type="spellStart"/>
      <w:r>
        <w:rPr>
          <w:spacing w:val="-9"/>
        </w:rPr>
        <w:t>wk</w:t>
      </w:r>
      <w:proofErr w:type="spellEnd"/>
      <w:r>
        <w:rPr>
          <w:spacing w:val="-9"/>
        </w:rPr>
        <w:t xml:space="preserve"> of maintenance treatment were below 0, indicating a statistically significant difference. </w:t>
      </w:r>
    </w:p>
    <w:p w:rsidR="008F3BB2" w:rsidRDefault="008F3BB2" w:rsidP="008F3BB2">
      <w:pPr>
        <w:pStyle w:val="10"/>
        <w:rPr>
          <w:spacing w:val="-8"/>
        </w:rPr>
      </w:pPr>
      <w:r>
        <w:rPr>
          <w:spacing w:val="-8"/>
        </w:rPr>
        <w:t xml:space="preserve">The prevalence of EE has increased in Japan over the past few decades, owing to factors such as the adoption of a westernized lifestyle, the aging of the population, and the decreasing incidence of </w:t>
      </w:r>
      <w:r>
        <w:rPr>
          <w:i/>
          <w:iCs/>
          <w:spacing w:val="-8"/>
        </w:rPr>
        <w:t>H. pylori</w:t>
      </w:r>
      <w:r>
        <w:rPr>
          <w:spacing w:val="-8"/>
        </w:rPr>
        <w:t xml:space="preserve"> </w:t>
      </w:r>
      <w:proofErr w:type="gramStart"/>
      <w:r>
        <w:rPr>
          <w:spacing w:val="-8"/>
        </w:rPr>
        <w:t>infection</w:t>
      </w:r>
      <w:r>
        <w:rPr>
          <w:spacing w:val="-8"/>
          <w:vertAlign w:val="superscript"/>
        </w:rPr>
        <w:t>[</w:t>
      </w:r>
      <w:proofErr w:type="gramEnd"/>
      <w:r>
        <w:rPr>
          <w:spacing w:val="-8"/>
          <w:vertAlign w:val="superscript"/>
        </w:rPr>
        <w:t>22]</w:t>
      </w:r>
      <w:r>
        <w:rPr>
          <w:spacing w:val="-8"/>
        </w:rPr>
        <w:t xml:space="preserve">. Moreover, endoscopic EE remission rates after healing following PPI treatment have been shown to be markedly lower in patients with more severe (LA grades C/D) </w:t>
      </w:r>
      <w:proofErr w:type="spellStart"/>
      <w:r>
        <w:rPr>
          <w:i/>
          <w:iCs/>
          <w:spacing w:val="-8"/>
        </w:rPr>
        <w:t>vs</w:t>
      </w:r>
      <w:proofErr w:type="spellEnd"/>
      <w:r>
        <w:rPr>
          <w:spacing w:val="-8"/>
        </w:rPr>
        <w:t xml:space="preserve"> milder </w:t>
      </w:r>
      <w:proofErr w:type="gramStart"/>
      <w:r>
        <w:rPr>
          <w:spacing w:val="-8"/>
        </w:rPr>
        <w:t>disease</w:t>
      </w:r>
      <w:r>
        <w:rPr>
          <w:spacing w:val="-8"/>
          <w:vertAlign w:val="superscript"/>
        </w:rPr>
        <w:t>[</w:t>
      </w:r>
      <w:proofErr w:type="gramEnd"/>
      <w:r>
        <w:rPr>
          <w:spacing w:val="-8"/>
          <w:vertAlign w:val="superscript"/>
        </w:rPr>
        <w:t>23]</w:t>
      </w:r>
      <w:r>
        <w:rPr>
          <w:spacing w:val="-8"/>
        </w:rPr>
        <w:t xml:space="preserve">. In the current study, recurrence rates in patients with baseline LA grade </w:t>
      </w:r>
      <w:r>
        <w:t xml:space="preserve">C/D EE were significantly reduced with </w:t>
      </w:r>
      <w:proofErr w:type="spellStart"/>
      <w:r>
        <w:t>vonoprazan</w:t>
      </w:r>
      <w:proofErr w:type="spellEnd"/>
      <w:r>
        <w:t xml:space="preserve"> 10 </w:t>
      </w:r>
      <w:r>
        <w:rPr>
          <w:spacing w:val="-8"/>
        </w:rPr>
        <w:t xml:space="preserve">mg (13.2%) and 20 mg (4.7%) </w:t>
      </w:r>
      <w:proofErr w:type="spellStart"/>
      <w:r>
        <w:rPr>
          <w:i/>
          <w:iCs/>
          <w:spacing w:val="-8"/>
        </w:rPr>
        <w:t>vs</w:t>
      </w:r>
      <w:proofErr w:type="spellEnd"/>
      <w:r>
        <w:rPr>
          <w:spacing w:val="-8"/>
        </w:rPr>
        <w:t xml:space="preserve"> </w:t>
      </w:r>
      <w:proofErr w:type="spellStart"/>
      <w:r>
        <w:rPr>
          <w:spacing w:val="-8"/>
        </w:rPr>
        <w:t>lansoprazole</w:t>
      </w:r>
      <w:proofErr w:type="spellEnd"/>
      <w:r>
        <w:rPr>
          <w:spacing w:val="-8"/>
        </w:rPr>
        <w:t xml:space="preserve"> 15 </w:t>
      </w:r>
      <w:r>
        <w:rPr>
          <w:spacing w:val="-11"/>
        </w:rPr>
        <w:t>mg (39.0%) (</w:t>
      </w:r>
      <w:r>
        <w:rPr>
          <w:i/>
          <w:iCs/>
          <w:spacing w:val="-11"/>
        </w:rPr>
        <w:t>P</w:t>
      </w:r>
      <w:r>
        <w:rPr>
          <w:spacing w:val="-11"/>
        </w:rPr>
        <w:t xml:space="preserve"> = 0.0114 and </w:t>
      </w:r>
      <w:r>
        <w:rPr>
          <w:i/>
          <w:iCs/>
          <w:spacing w:val="-11"/>
        </w:rPr>
        <w:t>P</w:t>
      </w:r>
      <w:r>
        <w:rPr>
          <w:spacing w:val="-11"/>
        </w:rPr>
        <w:t xml:space="preserve"> = 0.0001, respectively). </w:t>
      </w:r>
      <w:r>
        <w:rPr>
          <w:spacing w:val="-9"/>
        </w:rPr>
        <w:t xml:space="preserve">In addition, treatment with both </w:t>
      </w:r>
      <w:proofErr w:type="spellStart"/>
      <w:r>
        <w:rPr>
          <w:spacing w:val="-9"/>
        </w:rPr>
        <w:t>vonoprazan</w:t>
      </w:r>
      <w:proofErr w:type="spellEnd"/>
      <w:r>
        <w:rPr>
          <w:spacing w:val="-9"/>
        </w:rPr>
        <w:t xml:space="preserve"> 10 </w:t>
      </w:r>
      <w:r>
        <w:rPr>
          <w:spacing w:val="-8"/>
        </w:rPr>
        <w:t xml:space="preserve">mg and 20 mg reduced recurrence rates compared with </w:t>
      </w:r>
      <w:proofErr w:type="spellStart"/>
      <w:r>
        <w:rPr>
          <w:spacing w:val="-8"/>
        </w:rPr>
        <w:t>lansoprazole</w:t>
      </w:r>
      <w:proofErr w:type="spellEnd"/>
      <w:r>
        <w:rPr>
          <w:spacing w:val="-8"/>
        </w:rPr>
        <w:t xml:space="preserve"> 15 mg among CYP2C19 extensive metabolizers (5.4% and 1.8%, respectively, </w:t>
      </w:r>
      <w:proofErr w:type="spellStart"/>
      <w:r>
        <w:rPr>
          <w:i/>
          <w:iCs/>
          <w:spacing w:val="-8"/>
        </w:rPr>
        <w:t>vs</w:t>
      </w:r>
      <w:proofErr w:type="spellEnd"/>
      <w:r>
        <w:rPr>
          <w:spacing w:val="-8"/>
        </w:rPr>
        <w:t xml:space="preserve"> 19.6%). These findings support the hypothesis that </w:t>
      </w:r>
      <w:proofErr w:type="spellStart"/>
      <w:r>
        <w:rPr>
          <w:spacing w:val="-8"/>
        </w:rPr>
        <w:t>vonoprazan</w:t>
      </w:r>
      <w:proofErr w:type="spellEnd"/>
      <w:r>
        <w:rPr>
          <w:spacing w:val="-8"/>
        </w:rPr>
        <w:t xml:space="preserve"> provides clinical benefits through potent and sustained gastric suppression in difficult-to-treat EE subgroups with more severe disease, as well as in those with milder disease.</w:t>
      </w:r>
    </w:p>
    <w:p w:rsidR="008F3BB2" w:rsidRDefault="008F3BB2" w:rsidP="008F3BB2">
      <w:pPr>
        <w:pStyle w:val="10"/>
        <w:rPr>
          <w:spacing w:val="-9"/>
        </w:rPr>
      </w:pPr>
      <w:r>
        <w:rPr>
          <w:spacing w:val="-9"/>
        </w:rPr>
        <w:t xml:space="preserve">The doses of </w:t>
      </w:r>
      <w:proofErr w:type="spellStart"/>
      <w:r>
        <w:rPr>
          <w:spacing w:val="-9"/>
        </w:rPr>
        <w:t>vonoprazan</w:t>
      </w:r>
      <w:proofErr w:type="spellEnd"/>
      <w:r>
        <w:rPr>
          <w:spacing w:val="-9"/>
        </w:rPr>
        <w:t xml:space="preserve"> and </w:t>
      </w:r>
      <w:proofErr w:type="spellStart"/>
      <w:r>
        <w:rPr>
          <w:spacing w:val="-9"/>
        </w:rPr>
        <w:t>lansoprazole</w:t>
      </w:r>
      <w:proofErr w:type="spellEnd"/>
      <w:r>
        <w:rPr>
          <w:spacing w:val="-9"/>
        </w:rPr>
        <w:t xml:space="preserve"> selected for evaluation in this study were consistent </w:t>
      </w:r>
      <w:r>
        <w:t xml:space="preserve">with the doses of acid suppressants commonly used for the maintenance of healed EE. </w:t>
      </w:r>
      <w:proofErr w:type="spellStart"/>
      <w:r>
        <w:t>PPIs</w:t>
      </w:r>
      <w:proofErr w:type="spellEnd"/>
      <w:r>
        <w:t xml:space="preserve"> are well-established in this indication, </w:t>
      </w:r>
      <w:r>
        <w:lastRenderedPageBreak/>
        <w:t>typically being approved for admini</w:t>
      </w:r>
      <w:r>
        <w:softHyphen/>
        <w:t xml:space="preserve">stration at either the same or half the dose approved for the healing of </w:t>
      </w:r>
      <w:proofErr w:type="gramStart"/>
      <w:r>
        <w:t>EE</w:t>
      </w:r>
      <w:r>
        <w:rPr>
          <w:vertAlign w:val="superscript"/>
        </w:rPr>
        <w:t>[</w:t>
      </w:r>
      <w:proofErr w:type="gramEnd"/>
      <w:r>
        <w:rPr>
          <w:vertAlign w:val="superscript"/>
        </w:rPr>
        <w:t>24-26]</w:t>
      </w:r>
      <w:r>
        <w:t xml:space="preserve">. As </w:t>
      </w:r>
      <w:proofErr w:type="spellStart"/>
      <w:r>
        <w:t>vonoprazan</w:t>
      </w:r>
      <w:proofErr w:type="spellEnd"/>
      <w:r>
        <w:t xml:space="preserve"> is an acid suppressant, we decided to evaluate both the clinically recommended dose for EE healing and half that dose as maintenance regimens in this study. Our group previously carried out a phase </w:t>
      </w:r>
      <w:r>
        <w:rPr>
          <w:rFonts w:ascii="KozMinPro-Regular" w:eastAsia="KozMinPro-Regular" w:cs="KozMinPro-Regular" w:hint="eastAsia"/>
          <w:spacing w:val="0"/>
          <w:sz w:val="17"/>
          <w:szCs w:val="17"/>
        </w:rPr>
        <w:t>Ⅱ</w:t>
      </w:r>
      <w:r>
        <w:t xml:space="preserve"> dose-ranging study of </w:t>
      </w:r>
      <w:proofErr w:type="spellStart"/>
      <w:r>
        <w:t>vonoprazan</w:t>
      </w:r>
      <w:proofErr w:type="spellEnd"/>
      <w:r>
        <w:t xml:space="preserve"> in 732 Japanese patients with EE</w:t>
      </w:r>
      <w:r>
        <w:rPr>
          <w:vertAlign w:val="superscript"/>
        </w:rPr>
        <w:t>[27]</w:t>
      </w:r>
      <w:r>
        <w:t xml:space="preserve">. </w:t>
      </w:r>
      <w:proofErr w:type="spellStart"/>
      <w:r>
        <w:t>Vonoprazan</w:t>
      </w:r>
      <w:proofErr w:type="spellEnd"/>
      <w:r>
        <w:t xml:space="preserve">, administered at once-daily doses of 5-40 mg, was found to be non-inferior to </w:t>
      </w:r>
      <w:proofErr w:type="spellStart"/>
      <w:r>
        <w:t>lansoprazole</w:t>
      </w:r>
      <w:proofErr w:type="spellEnd"/>
      <w:r>
        <w:t xml:space="preserve"> 30 mg once daily with respect to the rate of </w:t>
      </w:r>
      <w:proofErr w:type="spellStart"/>
      <w:r>
        <w:t>endoscopically</w:t>
      </w:r>
      <w:proofErr w:type="spellEnd"/>
      <w:r>
        <w:t xml:space="preserve">-confirmed EE healing after 4 </w:t>
      </w:r>
      <w:proofErr w:type="spellStart"/>
      <w:r>
        <w:t>wk</w:t>
      </w:r>
      <w:proofErr w:type="spellEnd"/>
      <w:r>
        <w:t xml:space="preserve"> of treatment. Moreover, the rate of EE healing in patients with LA grade C/D EE was &gt; 95% with </w:t>
      </w:r>
      <w:proofErr w:type="spellStart"/>
      <w:r>
        <w:t>vonoprazan</w:t>
      </w:r>
      <w:proofErr w:type="spellEnd"/>
      <w:r>
        <w:t xml:space="preserve"> doses of </w:t>
      </w:r>
      <w:r>
        <w:rPr>
          <w:rFonts w:ascii="宋体" w:cs="宋体" w:hint="eastAsia"/>
          <w:spacing w:val="0"/>
          <w:sz w:val="17"/>
          <w:szCs w:val="17"/>
        </w:rPr>
        <w:t>≥</w:t>
      </w:r>
      <w:r>
        <w:t xml:space="preserve"> 20 mg, </w:t>
      </w:r>
      <w:proofErr w:type="spellStart"/>
      <w:r>
        <w:rPr>
          <w:i/>
          <w:iCs/>
        </w:rPr>
        <w:t>vs</w:t>
      </w:r>
      <w:proofErr w:type="spellEnd"/>
      <w:r>
        <w:t xml:space="preserve"> 87% with </w:t>
      </w:r>
      <w:proofErr w:type="spellStart"/>
      <w:r>
        <w:t>lansoprazole</w:t>
      </w:r>
      <w:proofErr w:type="spellEnd"/>
      <w:r>
        <w:t xml:space="preserve"> 30 mg. The safety profile of </w:t>
      </w:r>
      <w:proofErr w:type="spellStart"/>
      <w:r>
        <w:t>vonoprazan</w:t>
      </w:r>
      <w:proofErr w:type="spellEnd"/>
      <w:r>
        <w:t xml:space="preserve"> at all administered doses was similar to that of </w:t>
      </w:r>
      <w:proofErr w:type="spellStart"/>
      <w:r>
        <w:t>lansoprazole</w:t>
      </w:r>
      <w:proofErr w:type="spellEnd"/>
      <w:r>
        <w:t xml:space="preserve"> 30 mg. On the basis of these findings, 20 mg once daily was established as the clinically recommended dose of </w:t>
      </w:r>
      <w:proofErr w:type="spellStart"/>
      <w:r>
        <w:rPr>
          <w:spacing w:val="-9"/>
        </w:rPr>
        <w:t>vonoprazan</w:t>
      </w:r>
      <w:proofErr w:type="spellEnd"/>
      <w:r>
        <w:rPr>
          <w:spacing w:val="-9"/>
        </w:rPr>
        <w:t xml:space="preserve"> for the treatment of </w:t>
      </w:r>
      <w:proofErr w:type="gramStart"/>
      <w:r>
        <w:rPr>
          <w:spacing w:val="-9"/>
        </w:rPr>
        <w:t>EE</w:t>
      </w:r>
      <w:r>
        <w:rPr>
          <w:spacing w:val="-9"/>
          <w:vertAlign w:val="superscript"/>
        </w:rPr>
        <w:t>[</w:t>
      </w:r>
      <w:proofErr w:type="gramEnd"/>
      <w:r>
        <w:rPr>
          <w:spacing w:val="-9"/>
          <w:vertAlign w:val="superscript"/>
        </w:rPr>
        <w:t>27]</w:t>
      </w:r>
      <w:r>
        <w:rPr>
          <w:spacing w:val="-9"/>
        </w:rPr>
        <w:t xml:space="preserve">. Therefore, the doses of </w:t>
      </w:r>
      <w:proofErr w:type="spellStart"/>
      <w:r>
        <w:rPr>
          <w:spacing w:val="-9"/>
        </w:rPr>
        <w:t>vonoprazan</w:t>
      </w:r>
      <w:proofErr w:type="spellEnd"/>
      <w:r>
        <w:rPr>
          <w:spacing w:val="-9"/>
        </w:rPr>
        <w:t xml:space="preserve"> evaluated as maintenance therapy in the present study were 20 and 10 mg once daily - representing the clinically recommended dose for the treatment of EE and half that dose. </w:t>
      </w:r>
      <w:proofErr w:type="spellStart"/>
      <w:r>
        <w:rPr>
          <w:spacing w:val="-9"/>
        </w:rPr>
        <w:t>Lansoprazole</w:t>
      </w:r>
      <w:proofErr w:type="spellEnd"/>
      <w:r>
        <w:rPr>
          <w:spacing w:val="-9"/>
        </w:rPr>
        <w:t xml:space="preserve"> was evaluated at the 15 mg dose that is </w:t>
      </w:r>
      <w:r>
        <w:t xml:space="preserve">approved for the </w:t>
      </w:r>
      <w:r>
        <w:rPr>
          <w:spacing w:val="-9"/>
        </w:rPr>
        <w:t xml:space="preserve">maintenance of healed </w:t>
      </w:r>
      <w:proofErr w:type="gramStart"/>
      <w:r>
        <w:rPr>
          <w:spacing w:val="-9"/>
        </w:rPr>
        <w:t>EE</w:t>
      </w:r>
      <w:r>
        <w:rPr>
          <w:spacing w:val="-9"/>
          <w:vertAlign w:val="superscript"/>
        </w:rPr>
        <w:t>[</w:t>
      </w:r>
      <w:proofErr w:type="gramEnd"/>
      <w:r>
        <w:rPr>
          <w:spacing w:val="-9"/>
          <w:vertAlign w:val="superscript"/>
        </w:rPr>
        <w:t>26]</w:t>
      </w:r>
      <w:r>
        <w:rPr>
          <w:spacing w:val="-9"/>
        </w:rPr>
        <w:t xml:space="preserve">. </w:t>
      </w:r>
    </w:p>
    <w:p w:rsidR="008F3BB2" w:rsidRDefault="008F3BB2" w:rsidP="008F3BB2">
      <w:pPr>
        <w:pStyle w:val="10"/>
        <w:rPr>
          <w:spacing w:val="-9"/>
        </w:rPr>
      </w:pPr>
      <w:proofErr w:type="spellStart"/>
      <w:r>
        <w:rPr>
          <w:spacing w:val="-9"/>
        </w:rPr>
        <w:t>Vonoprazan</w:t>
      </w:r>
      <w:proofErr w:type="spellEnd"/>
      <w:r>
        <w:rPr>
          <w:spacing w:val="-9"/>
        </w:rPr>
        <w:t xml:space="preserve"> 10 and 20 mg demonstrated similar safety profiles to </w:t>
      </w:r>
      <w:proofErr w:type="spellStart"/>
      <w:r>
        <w:rPr>
          <w:spacing w:val="-9"/>
        </w:rPr>
        <w:t>lansoprazole</w:t>
      </w:r>
      <w:proofErr w:type="spellEnd"/>
      <w:r>
        <w:rPr>
          <w:spacing w:val="-9"/>
        </w:rPr>
        <w:t xml:space="preserve"> 15 mg during the 24-wk maintenance period. All three investigated maintenance regimens were well tolerated overall, with only a small number of </w:t>
      </w:r>
      <w:proofErr w:type="spellStart"/>
      <w:r>
        <w:rPr>
          <w:spacing w:val="-9"/>
        </w:rPr>
        <w:t>TEAE</w:t>
      </w:r>
      <w:proofErr w:type="spellEnd"/>
      <w:r>
        <w:rPr>
          <w:spacing w:val="-9"/>
        </w:rPr>
        <w:t xml:space="preserve">-related withdrawals </w:t>
      </w:r>
      <w:r>
        <w:t>reported i</w:t>
      </w:r>
      <w:r>
        <w:rPr>
          <w:spacing w:val="-9"/>
        </w:rPr>
        <w:t xml:space="preserve">n each group. </w:t>
      </w:r>
      <w:r>
        <w:rPr>
          <w:spacing w:val="-11"/>
        </w:rPr>
        <w:t xml:space="preserve">No new safety signals were identified for </w:t>
      </w:r>
      <w:proofErr w:type="spellStart"/>
      <w:r>
        <w:rPr>
          <w:spacing w:val="-11"/>
        </w:rPr>
        <w:t>vonoprazan</w:t>
      </w:r>
      <w:proofErr w:type="spellEnd"/>
      <w:r>
        <w:rPr>
          <w:spacing w:val="-11"/>
        </w:rPr>
        <w:t xml:space="preserve"> during the study. The increase in serum gastrin that we observed was not associated with clinically significant effects on the gastric mucosa. </w:t>
      </w:r>
      <w:r>
        <w:rPr>
          <w:spacing w:val="-9"/>
        </w:rPr>
        <w:t>This, as well as the observed increases in pepsinogen</w:t>
      </w:r>
      <w:r>
        <w:rPr>
          <w:rFonts w:ascii="MS Gothic" w:eastAsia="MS Gothic" w:hAnsi="MS Gothic" w:cs="MS Gothic" w:hint="eastAsia"/>
          <w:spacing w:val="-9"/>
        </w:rPr>
        <w:t> </w:t>
      </w:r>
      <w:r>
        <w:rPr>
          <w:rFonts w:ascii="KozMinPro-Regular" w:eastAsia="KozMinPro-Regular" w:cs="KozMinPro-Regular" w:hint="eastAsia"/>
          <w:spacing w:val="-8"/>
          <w:sz w:val="17"/>
          <w:szCs w:val="17"/>
        </w:rPr>
        <w:t>Ⅰ</w:t>
      </w:r>
      <w:r>
        <w:rPr>
          <w:spacing w:val="-9"/>
        </w:rPr>
        <w:t xml:space="preserve"> and </w:t>
      </w:r>
      <w:r>
        <w:rPr>
          <w:rFonts w:ascii="KozMinPro-Regular" w:eastAsia="KozMinPro-Regular" w:cs="KozMinPro-Regular" w:hint="eastAsia"/>
          <w:spacing w:val="-8"/>
          <w:sz w:val="17"/>
          <w:szCs w:val="17"/>
        </w:rPr>
        <w:t>Ⅱ</w:t>
      </w:r>
      <w:r>
        <w:rPr>
          <w:spacing w:val="-9"/>
        </w:rPr>
        <w:t xml:space="preserve">, were likely a negative feedback effect caused by the increase in </w:t>
      </w:r>
      <w:proofErr w:type="spellStart"/>
      <w:r>
        <w:rPr>
          <w:spacing w:val="-9"/>
        </w:rPr>
        <w:t>intragastric</w:t>
      </w:r>
      <w:proofErr w:type="spellEnd"/>
      <w:r>
        <w:rPr>
          <w:spacing w:val="-9"/>
        </w:rPr>
        <w:t xml:space="preserve"> pH that resulted from treatment with </w:t>
      </w:r>
      <w:proofErr w:type="spellStart"/>
      <w:r>
        <w:rPr>
          <w:spacing w:val="-9"/>
        </w:rPr>
        <w:t>lansoprazole</w:t>
      </w:r>
      <w:proofErr w:type="spellEnd"/>
      <w:r>
        <w:rPr>
          <w:spacing w:val="-9"/>
        </w:rPr>
        <w:t xml:space="preserve"> or </w:t>
      </w:r>
      <w:proofErr w:type="spellStart"/>
      <w:r>
        <w:rPr>
          <w:spacing w:val="-9"/>
        </w:rPr>
        <w:t>vonoprazan</w:t>
      </w:r>
      <w:proofErr w:type="spellEnd"/>
      <w:r>
        <w:rPr>
          <w:spacing w:val="-9"/>
        </w:rPr>
        <w:t xml:space="preserve">. Histopathology of the gastric mucosa revealed no notable effects of the study drugs on neuroendocrine cells between baseline and Week 24, although the study was too short to rule out the possibility of clinically significant </w:t>
      </w:r>
      <w:proofErr w:type="spellStart"/>
      <w:r>
        <w:rPr>
          <w:spacing w:val="-9"/>
        </w:rPr>
        <w:t>histopathologic</w:t>
      </w:r>
      <w:proofErr w:type="spellEnd"/>
      <w:r>
        <w:rPr>
          <w:spacing w:val="-9"/>
        </w:rPr>
        <w:t xml:space="preserve"> changes occurring in the gastric mucosa over the long term. Thus, longer-term studies (&gt; 1 year) are required to monitor any potential effects of </w:t>
      </w:r>
      <w:proofErr w:type="spellStart"/>
      <w:r>
        <w:rPr>
          <w:spacing w:val="-9"/>
        </w:rPr>
        <w:t>vonoprazan</w:t>
      </w:r>
      <w:proofErr w:type="spellEnd"/>
      <w:r>
        <w:rPr>
          <w:spacing w:val="-9"/>
        </w:rPr>
        <w:t xml:space="preserve"> on gastric mucosa. </w:t>
      </w:r>
    </w:p>
    <w:p w:rsidR="008F3BB2" w:rsidRDefault="008F3BB2" w:rsidP="008F3BB2">
      <w:pPr>
        <w:pStyle w:val="10"/>
        <w:rPr>
          <w:spacing w:val="-8"/>
        </w:rPr>
      </w:pPr>
      <w:r>
        <w:rPr>
          <w:spacing w:val="-8"/>
        </w:rPr>
        <w:t>This study was limited by its relatively short du</w:t>
      </w:r>
      <w:r>
        <w:rPr>
          <w:spacing w:val="-8"/>
        </w:rPr>
        <w:softHyphen/>
        <w:t xml:space="preserve">ration; nevertheless, the findings reported in this paper build on those from prior studies by our group, which investigated the efficacy and safety of </w:t>
      </w:r>
      <w:proofErr w:type="spellStart"/>
      <w:r>
        <w:rPr>
          <w:spacing w:val="-8"/>
        </w:rPr>
        <w:t>vonoprazan</w:t>
      </w:r>
      <w:proofErr w:type="spellEnd"/>
      <w:r>
        <w:rPr>
          <w:spacing w:val="-8"/>
        </w:rPr>
        <w:t xml:space="preserve"> in patients with acid-related disorders. In addition to the aforementioned phase </w:t>
      </w:r>
      <w:r>
        <w:rPr>
          <w:rFonts w:ascii="KozMinPro-Regular" w:eastAsia="KozMinPro-Regular" w:cs="KozMinPro-Regular" w:hint="eastAsia"/>
          <w:spacing w:val="-8"/>
          <w:sz w:val="17"/>
          <w:szCs w:val="17"/>
        </w:rPr>
        <w:t>Ⅱ</w:t>
      </w:r>
      <w:r>
        <w:rPr>
          <w:spacing w:val="-8"/>
        </w:rPr>
        <w:t xml:space="preserve"> dose-ranging study, which demonstrated the non-inferiority of </w:t>
      </w:r>
      <w:proofErr w:type="spellStart"/>
      <w:r>
        <w:rPr>
          <w:spacing w:val="-8"/>
        </w:rPr>
        <w:t>vonoprazan</w:t>
      </w:r>
      <w:proofErr w:type="spellEnd"/>
      <w:r>
        <w:rPr>
          <w:spacing w:val="-8"/>
        </w:rPr>
        <w:t xml:space="preserve"> 5-40 mg once daily to </w:t>
      </w:r>
      <w:proofErr w:type="spellStart"/>
      <w:r>
        <w:rPr>
          <w:spacing w:val="-8"/>
        </w:rPr>
        <w:t>lansoprazole</w:t>
      </w:r>
      <w:proofErr w:type="spellEnd"/>
      <w:r>
        <w:rPr>
          <w:spacing w:val="-8"/>
        </w:rPr>
        <w:t xml:space="preserve"> 30 mg once daily in terms of rates of EE healing over 4 </w:t>
      </w:r>
      <w:proofErr w:type="spellStart"/>
      <w:r>
        <w:rPr>
          <w:spacing w:val="-8"/>
        </w:rPr>
        <w:t>wk</w:t>
      </w:r>
      <w:proofErr w:type="spellEnd"/>
      <w:r>
        <w:rPr>
          <w:spacing w:val="-8"/>
          <w:vertAlign w:val="superscript"/>
        </w:rPr>
        <w:t>[27]</w:t>
      </w:r>
      <w:r>
        <w:rPr>
          <w:spacing w:val="-8"/>
        </w:rPr>
        <w:t xml:space="preserve">, a recent phase </w:t>
      </w:r>
      <w:r>
        <w:rPr>
          <w:rFonts w:ascii="KozMinPro-Regular" w:eastAsia="KozMinPro-Regular" w:cs="KozMinPro-Regular" w:hint="eastAsia"/>
          <w:spacing w:val="-8"/>
          <w:sz w:val="17"/>
          <w:szCs w:val="17"/>
        </w:rPr>
        <w:t>Ⅲ</w:t>
      </w:r>
      <w:r>
        <w:rPr>
          <w:spacing w:val="-8"/>
        </w:rPr>
        <w:t xml:space="preserve"> trial confirmed the non-inferiority of </w:t>
      </w:r>
      <w:proofErr w:type="spellStart"/>
      <w:r>
        <w:rPr>
          <w:spacing w:val="-8"/>
        </w:rPr>
        <w:t>vonoprazan</w:t>
      </w:r>
      <w:proofErr w:type="spellEnd"/>
      <w:r>
        <w:rPr>
          <w:spacing w:val="-8"/>
        </w:rPr>
        <w:t xml:space="preserve"> 20 mg to </w:t>
      </w:r>
      <w:proofErr w:type="spellStart"/>
      <w:r>
        <w:rPr>
          <w:spacing w:val="-8"/>
        </w:rPr>
        <w:t>lansoprazole</w:t>
      </w:r>
      <w:proofErr w:type="spellEnd"/>
      <w:r>
        <w:rPr>
          <w:spacing w:val="-8"/>
        </w:rPr>
        <w:t xml:space="preserve"> 30 mg in the same indication within an 8-wk period</w:t>
      </w:r>
      <w:r>
        <w:rPr>
          <w:spacing w:val="-8"/>
          <w:vertAlign w:val="superscript"/>
        </w:rPr>
        <w:t>[18]</w:t>
      </w:r>
      <w:r>
        <w:rPr>
          <w:spacing w:val="-8"/>
        </w:rPr>
        <w:t xml:space="preserve">. </w:t>
      </w:r>
      <w:proofErr w:type="spellStart"/>
      <w:r>
        <w:rPr>
          <w:spacing w:val="-8"/>
        </w:rPr>
        <w:t>Vonoprazan</w:t>
      </w:r>
      <w:proofErr w:type="spellEnd"/>
      <w:r>
        <w:rPr>
          <w:spacing w:val="-8"/>
        </w:rPr>
        <w:t xml:space="preserve"> was found to be highly effective even among CYP2C19 extensive metabolizers and patients with baseline EE of LA Classification grade C/D. Other studies have also shown promising results with </w:t>
      </w:r>
      <w:proofErr w:type="spellStart"/>
      <w:r>
        <w:rPr>
          <w:spacing w:val="-8"/>
        </w:rPr>
        <w:t>vonoprazan</w:t>
      </w:r>
      <w:proofErr w:type="spellEnd"/>
      <w:r>
        <w:rPr>
          <w:spacing w:val="-8"/>
        </w:rPr>
        <w:t xml:space="preserve"> in the treatment of gastric or duodenal </w:t>
      </w:r>
      <w:proofErr w:type="gramStart"/>
      <w:r>
        <w:rPr>
          <w:spacing w:val="-8"/>
        </w:rPr>
        <w:t>ulcers</w:t>
      </w:r>
      <w:r>
        <w:rPr>
          <w:spacing w:val="-8"/>
          <w:vertAlign w:val="superscript"/>
        </w:rPr>
        <w:t>[</w:t>
      </w:r>
      <w:proofErr w:type="gramEnd"/>
      <w:r>
        <w:rPr>
          <w:spacing w:val="-8"/>
          <w:vertAlign w:val="superscript"/>
        </w:rPr>
        <w:t>28]</w:t>
      </w:r>
      <w:r>
        <w:rPr>
          <w:spacing w:val="-8"/>
        </w:rPr>
        <w:t xml:space="preserve">, and in the prevention of recurrent ulcers of these types in patients receiving low-dose aspirin or </w:t>
      </w:r>
      <w:proofErr w:type="spellStart"/>
      <w:r>
        <w:rPr>
          <w:spacing w:val="-8"/>
        </w:rPr>
        <w:t>NSAIDs</w:t>
      </w:r>
      <w:proofErr w:type="spellEnd"/>
      <w:r>
        <w:rPr>
          <w:spacing w:val="-8"/>
        </w:rPr>
        <w:t xml:space="preserve"> (ClinicalTrials.gov. identifiers NCT01452763, NCT01456247, NCT01452750, and NCT01456260).</w:t>
      </w:r>
    </w:p>
    <w:p w:rsidR="008F3BB2" w:rsidRDefault="008F3BB2" w:rsidP="008F3BB2">
      <w:pPr>
        <w:pStyle w:val="10"/>
        <w:rPr>
          <w:spacing w:val="-9"/>
        </w:rPr>
      </w:pPr>
      <w:r>
        <w:rPr>
          <w:spacing w:val="-9"/>
        </w:rPr>
        <w:lastRenderedPageBreak/>
        <w:t xml:space="preserve">While the primary objective of the present study was to verify the non-inferiority of </w:t>
      </w:r>
      <w:proofErr w:type="spellStart"/>
      <w:r>
        <w:rPr>
          <w:spacing w:val="-9"/>
        </w:rPr>
        <w:t>vonoprazan</w:t>
      </w:r>
      <w:proofErr w:type="spellEnd"/>
      <w:r>
        <w:rPr>
          <w:spacing w:val="-9"/>
        </w:rPr>
        <w:t xml:space="preserve"> to </w:t>
      </w:r>
      <w:proofErr w:type="spellStart"/>
      <w:r>
        <w:rPr>
          <w:spacing w:val="-9"/>
        </w:rPr>
        <w:t>lansoprazole</w:t>
      </w:r>
      <w:proofErr w:type="spellEnd"/>
      <w:r>
        <w:rPr>
          <w:spacing w:val="-9"/>
        </w:rPr>
        <w:t xml:space="preserve">, the two-sided 95%CI for the difference between each </w:t>
      </w:r>
      <w:proofErr w:type="spellStart"/>
      <w:r>
        <w:rPr>
          <w:spacing w:val="-9"/>
        </w:rPr>
        <w:t>vonoprazan</w:t>
      </w:r>
      <w:proofErr w:type="spellEnd"/>
      <w:r>
        <w:rPr>
          <w:spacing w:val="-9"/>
        </w:rPr>
        <w:t xml:space="preserve"> group and the </w:t>
      </w:r>
      <w:proofErr w:type="spellStart"/>
      <w:r>
        <w:rPr>
          <w:spacing w:val="-9"/>
        </w:rPr>
        <w:t>lansoprazole</w:t>
      </w:r>
      <w:proofErr w:type="spellEnd"/>
      <w:r>
        <w:rPr>
          <w:spacing w:val="-9"/>
        </w:rPr>
        <w:t xml:space="preserve"> group were calculated as pre-planned for the primary analysis. A </w:t>
      </w:r>
      <w:r>
        <w:rPr>
          <w:i/>
          <w:iCs/>
          <w:spacing w:val="-9"/>
        </w:rPr>
        <w:t>post-hoc</w:t>
      </w:r>
      <w:r>
        <w:rPr>
          <w:spacing w:val="-9"/>
        </w:rPr>
        <w:t xml:space="preserve"> Fisher’s exact test was also performed as a sensitivity analysis to further support the results of the primary assessment using the </w:t>
      </w:r>
      <w:proofErr w:type="spellStart"/>
      <w:r>
        <w:rPr>
          <w:spacing w:val="-9"/>
        </w:rPr>
        <w:t>CIs</w:t>
      </w:r>
      <w:proofErr w:type="spellEnd"/>
      <w:r>
        <w:rPr>
          <w:spacing w:val="-9"/>
        </w:rPr>
        <w:t xml:space="preserve">. These analyses confirmed that </w:t>
      </w:r>
      <w:proofErr w:type="spellStart"/>
      <w:r>
        <w:rPr>
          <w:spacing w:val="-9"/>
        </w:rPr>
        <w:t>vonoprazan</w:t>
      </w:r>
      <w:proofErr w:type="spellEnd"/>
      <w:r>
        <w:rPr>
          <w:spacing w:val="-9"/>
        </w:rPr>
        <w:t xml:space="preserve"> provided more consistent maintenance of EE healing at doses of 10 mg and 20 mg than </w:t>
      </w:r>
      <w:proofErr w:type="spellStart"/>
      <w:r>
        <w:rPr>
          <w:spacing w:val="-9"/>
        </w:rPr>
        <w:t>lansoprazole</w:t>
      </w:r>
      <w:proofErr w:type="spellEnd"/>
      <w:r>
        <w:rPr>
          <w:spacing w:val="-9"/>
        </w:rPr>
        <w:t xml:space="preserve"> 15 mg, even among CYP2C19 extensive metabolizers and patients with LA grade C/D EE. These findings suggest that </w:t>
      </w:r>
      <w:proofErr w:type="spellStart"/>
      <w:r>
        <w:rPr>
          <w:spacing w:val="-9"/>
        </w:rPr>
        <w:t>vonoprazan</w:t>
      </w:r>
      <w:proofErr w:type="spellEnd"/>
      <w:r>
        <w:rPr>
          <w:spacing w:val="-9"/>
        </w:rPr>
        <w:t xml:space="preserve"> may represent a viable alternative to </w:t>
      </w:r>
      <w:proofErr w:type="spellStart"/>
      <w:r>
        <w:rPr>
          <w:spacing w:val="-9"/>
        </w:rPr>
        <w:t>PPIs</w:t>
      </w:r>
      <w:proofErr w:type="spellEnd"/>
      <w:r>
        <w:rPr>
          <w:spacing w:val="-9"/>
        </w:rPr>
        <w:t xml:space="preserve"> in maintaining EE healing, with two doses being available for physicians to choose from.</w:t>
      </w:r>
    </w:p>
    <w:p w:rsidR="008F3BB2" w:rsidRDefault="008F3BB2" w:rsidP="008F3BB2">
      <w:pPr>
        <w:pStyle w:val="10"/>
        <w:rPr>
          <w:spacing w:val="-13"/>
        </w:rPr>
      </w:pPr>
      <w:r>
        <w:rPr>
          <w:spacing w:val="-13"/>
        </w:rPr>
        <w:t xml:space="preserve">In conclusion, this phase </w:t>
      </w:r>
      <w:r>
        <w:rPr>
          <w:rFonts w:ascii="KozMinPro-Regular" w:eastAsia="KozMinPro-Regular" w:cs="KozMinPro-Regular" w:hint="eastAsia"/>
          <w:spacing w:val="-12"/>
          <w:sz w:val="17"/>
          <w:szCs w:val="17"/>
        </w:rPr>
        <w:t>Ⅲ</w:t>
      </w:r>
      <w:r>
        <w:rPr>
          <w:spacing w:val="-13"/>
        </w:rPr>
        <w:t xml:space="preserve"> trial confirmed the non-inferiority of </w:t>
      </w:r>
      <w:proofErr w:type="spellStart"/>
      <w:r>
        <w:rPr>
          <w:spacing w:val="-13"/>
        </w:rPr>
        <w:t>vonoprazan</w:t>
      </w:r>
      <w:proofErr w:type="spellEnd"/>
      <w:r>
        <w:rPr>
          <w:spacing w:val="-13"/>
        </w:rPr>
        <w:t xml:space="preserve"> 10 mg and 20 mg to </w:t>
      </w:r>
      <w:proofErr w:type="spellStart"/>
      <w:r>
        <w:rPr>
          <w:spacing w:val="-13"/>
        </w:rPr>
        <w:t>lansoprazole</w:t>
      </w:r>
      <w:proofErr w:type="spellEnd"/>
      <w:r>
        <w:rPr>
          <w:spacing w:val="-13"/>
        </w:rPr>
        <w:t xml:space="preserve"> </w:t>
      </w:r>
      <w:r>
        <w:t xml:space="preserve">15 mg once daily in preventing EE recurrence during 24 </w:t>
      </w:r>
      <w:proofErr w:type="spellStart"/>
      <w:r>
        <w:rPr>
          <w:spacing w:val="-13"/>
        </w:rPr>
        <w:t>wk</w:t>
      </w:r>
      <w:proofErr w:type="spellEnd"/>
      <w:r>
        <w:rPr>
          <w:spacing w:val="-13"/>
        </w:rPr>
        <w:t xml:space="preserve"> of maintenance treatment in Japanese patients. The safety profile of </w:t>
      </w:r>
      <w:proofErr w:type="spellStart"/>
      <w:r>
        <w:rPr>
          <w:spacing w:val="-13"/>
        </w:rPr>
        <w:t>vonoprazan</w:t>
      </w:r>
      <w:proofErr w:type="spellEnd"/>
      <w:r>
        <w:rPr>
          <w:spacing w:val="-13"/>
        </w:rPr>
        <w:t xml:space="preserve"> at the administered doses was similar to that of </w:t>
      </w:r>
      <w:proofErr w:type="spellStart"/>
      <w:r>
        <w:rPr>
          <w:spacing w:val="-13"/>
        </w:rPr>
        <w:t>lansoprazole</w:t>
      </w:r>
      <w:proofErr w:type="spellEnd"/>
      <w:r>
        <w:rPr>
          <w:spacing w:val="-13"/>
        </w:rPr>
        <w:t xml:space="preserve"> 15 mg. </w:t>
      </w:r>
    </w:p>
    <w:p w:rsidR="008F3BB2" w:rsidRPr="000F3ABF" w:rsidRDefault="008F3BB2" w:rsidP="008F3BB2">
      <w:pPr>
        <w:pStyle w:val="af8"/>
        <w:ind w:left="5250"/>
        <w:rPr>
          <w:lang w:val="en-US"/>
        </w:rPr>
      </w:pPr>
    </w:p>
    <w:p w:rsidR="008F3BB2" w:rsidRPr="000F3ABF" w:rsidRDefault="008F3BB2" w:rsidP="008F3BB2">
      <w:pPr>
        <w:pStyle w:val="af8"/>
        <w:ind w:left="5250"/>
        <w:rPr>
          <w:u w:val="single"/>
          <w:lang w:val="en-US"/>
        </w:rPr>
      </w:pPr>
      <w:r w:rsidRPr="000F3ABF">
        <w:rPr>
          <w:u w:val="single"/>
          <w:lang w:val="en-US"/>
        </w:rPr>
        <w:t>ARTICLE HIGHLIGHTS</w:t>
      </w:r>
    </w:p>
    <w:p w:rsidR="008F3BB2" w:rsidRPr="000F3ABF" w:rsidRDefault="008F3BB2" w:rsidP="008F3BB2">
      <w:pPr>
        <w:pStyle w:val="afa"/>
        <w:rPr>
          <w:lang w:val="en-US"/>
        </w:rPr>
      </w:pPr>
      <w:r w:rsidRPr="000F3ABF">
        <w:rPr>
          <w:lang w:val="en-US"/>
        </w:rPr>
        <w:t>Research background</w:t>
      </w:r>
    </w:p>
    <w:p w:rsidR="008F3BB2" w:rsidRDefault="008F3BB2" w:rsidP="008F3BB2">
      <w:pPr>
        <w:pStyle w:val="8BF4"/>
      </w:pPr>
      <w:r>
        <w:t>Proton-pump inhibitors (</w:t>
      </w:r>
      <w:proofErr w:type="spellStart"/>
      <w:r>
        <w:t>PPIs</w:t>
      </w:r>
      <w:proofErr w:type="spellEnd"/>
      <w:r>
        <w:t xml:space="preserve">) such as </w:t>
      </w:r>
      <w:proofErr w:type="spellStart"/>
      <w:r>
        <w:t>lansoprazole</w:t>
      </w:r>
      <w:proofErr w:type="spellEnd"/>
      <w:r>
        <w:t xml:space="preserve"> are widely accepted as the treatment of choice for acid-related disorders, including erosive esophagitis (EE). Nevertheless, agents of this class are associated with notable shortcomings, which include: significant inter-individual variability in the time to onset of action; reduced night-time efficacy in preventing acid regurgitation, leading to nocturnal acid breakthrough; and differences in plasma concentrations and acid-inhibitory effects in extensive versus poor CYP2C19 metabolizers.</w:t>
      </w:r>
    </w:p>
    <w:p w:rsidR="008F3BB2" w:rsidRDefault="008F3BB2" w:rsidP="008F3BB2">
      <w:pPr>
        <w:pStyle w:val="10"/>
        <w:rPr>
          <w:rFonts w:ascii="Arial Narrow" w:hAnsi="Arial Narrow" w:cs="Arial Narrow"/>
          <w:spacing w:val="0"/>
          <w:sz w:val="16"/>
          <w:szCs w:val="16"/>
        </w:rPr>
      </w:pPr>
      <w:proofErr w:type="spellStart"/>
      <w:r>
        <w:rPr>
          <w:rFonts w:ascii="Arial Narrow" w:hAnsi="Arial Narrow" w:cs="Arial Narrow"/>
          <w:spacing w:val="0"/>
          <w:sz w:val="16"/>
          <w:szCs w:val="16"/>
        </w:rPr>
        <w:t>Vonoprazan</w:t>
      </w:r>
      <w:proofErr w:type="spellEnd"/>
      <w:r>
        <w:rPr>
          <w:rFonts w:ascii="Arial Narrow" w:hAnsi="Arial Narrow" w:cs="Arial Narrow"/>
          <w:spacing w:val="0"/>
          <w:sz w:val="16"/>
          <w:szCs w:val="16"/>
        </w:rPr>
        <w:t xml:space="preserve"> </w:t>
      </w:r>
      <w:proofErr w:type="spellStart"/>
      <w:r>
        <w:rPr>
          <w:rFonts w:ascii="Arial Narrow" w:hAnsi="Arial Narrow" w:cs="Arial Narrow"/>
          <w:spacing w:val="0"/>
          <w:sz w:val="16"/>
          <w:szCs w:val="16"/>
        </w:rPr>
        <w:t>fumarate</w:t>
      </w:r>
      <w:proofErr w:type="spellEnd"/>
      <w:r>
        <w:rPr>
          <w:rFonts w:ascii="Arial Narrow" w:hAnsi="Arial Narrow" w:cs="Arial Narrow"/>
          <w:spacing w:val="0"/>
          <w:sz w:val="16"/>
          <w:szCs w:val="16"/>
        </w:rPr>
        <w:t xml:space="preserve"> (TAK-438) belongs to a relatively new class of acid suppressants known as potassium-competitive acid blockers (P-CABs), which, by virtue of their novel mechanism of action, offer a number of potential advantages over </w:t>
      </w:r>
      <w:proofErr w:type="spellStart"/>
      <w:r>
        <w:rPr>
          <w:rFonts w:ascii="Arial Narrow" w:hAnsi="Arial Narrow" w:cs="Arial Narrow"/>
          <w:spacing w:val="0"/>
          <w:sz w:val="16"/>
          <w:szCs w:val="16"/>
        </w:rPr>
        <w:t>PPIs</w:t>
      </w:r>
      <w:proofErr w:type="spellEnd"/>
      <w:r>
        <w:rPr>
          <w:rFonts w:ascii="Arial Narrow" w:hAnsi="Arial Narrow" w:cs="Arial Narrow"/>
          <w:spacing w:val="0"/>
          <w:sz w:val="16"/>
          <w:szCs w:val="16"/>
        </w:rPr>
        <w:t xml:space="preserve"> in the treatment of acid-related disorders. In animal studies, </w:t>
      </w:r>
      <w:proofErr w:type="spellStart"/>
      <w:r>
        <w:rPr>
          <w:rFonts w:ascii="Arial Narrow" w:hAnsi="Arial Narrow" w:cs="Arial Narrow"/>
          <w:spacing w:val="0"/>
          <w:sz w:val="16"/>
          <w:szCs w:val="16"/>
        </w:rPr>
        <w:t>vonoprazan</w:t>
      </w:r>
      <w:proofErr w:type="spellEnd"/>
      <w:r>
        <w:rPr>
          <w:rFonts w:ascii="Arial Narrow" w:hAnsi="Arial Narrow" w:cs="Arial Narrow"/>
          <w:spacing w:val="0"/>
          <w:sz w:val="16"/>
          <w:szCs w:val="16"/>
        </w:rPr>
        <w:t xml:space="preserve"> provided more potent and sustained suppression of gastric acid secretion than </w:t>
      </w:r>
      <w:proofErr w:type="spellStart"/>
      <w:r>
        <w:rPr>
          <w:rFonts w:ascii="Arial Narrow" w:hAnsi="Arial Narrow" w:cs="Arial Narrow"/>
          <w:spacing w:val="0"/>
          <w:sz w:val="16"/>
          <w:szCs w:val="16"/>
        </w:rPr>
        <w:t>lansoprazole</w:t>
      </w:r>
      <w:proofErr w:type="spellEnd"/>
      <w:r>
        <w:rPr>
          <w:rFonts w:ascii="Arial Narrow" w:hAnsi="Arial Narrow" w:cs="Arial Narrow"/>
          <w:spacing w:val="0"/>
          <w:sz w:val="16"/>
          <w:szCs w:val="16"/>
        </w:rPr>
        <w:t xml:space="preserve">, while studies in healthy human volunteers demonstrated rapid, sustained, and dose-related suppression of 24-h gastric acid secretion. The present study adds to these earlier findings by confirming that </w:t>
      </w:r>
      <w:proofErr w:type="spellStart"/>
      <w:r>
        <w:rPr>
          <w:rFonts w:ascii="Arial Narrow" w:hAnsi="Arial Narrow" w:cs="Arial Narrow"/>
          <w:spacing w:val="0"/>
          <w:sz w:val="16"/>
          <w:szCs w:val="16"/>
        </w:rPr>
        <w:t>vonoprazan</w:t>
      </w:r>
      <w:proofErr w:type="spellEnd"/>
      <w:r>
        <w:rPr>
          <w:rFonts w:ascii="Arial Narrow" w:hAnsi="Arial Narrow" w:cs="Arial Narrow"/>
          <w:spacing w:val="0"/>
          <w:sz w:val="16"/>
          <w:szCs w:val="16"/>
        </w:rPr>
        <w:t xml:space="preserve"> is non-inferior to </w:t>
      </w:r>
      <w:proofErr w:type="spellStart"/>
      <w:r>
        <w:rPr>
          <w:rFonts w:ascii="Arial Narrow" w:hAnsi="Arial Narrow" w:cs="Arial Narrow"/>
          <w:spacing w:val="0"/>
          <w:sz w:val="16"/>
          <w:szCs w:val="16"/>
        </w:rPr>
        <w:t>lansoprazole</w:t>
      </w:r>
      <w:proofErr w:type="spellEnd"/>
      <w:r>
        <w:rPr>
          <w:rFonts w:ascii="Arial Narrow" w:hAnsi="Arial Narrow" w:cs="Arial Narrow"/>
          <w:spacing w:val="0"/>
          <w:sz w:val="16"/>
          <w:szCs w:val="16"/>
        </w:rPr>
        <w:t xml:space="preserve"> in preventing EE recurrence in Japanese patients with healed EE.</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Research motivation</w:t>
      </w:r>
    </w:p>
    <w:p w:rsidR="008F3BB2" w:rsidRDefault="008F3BB2" w:rsidP="008F3BB2">
      <w:pPr>
        <w:pStyle w:val="8BF4"/>
      </w:pPr>
      <w:r>
        <w:t xml:space="preserve">As a result of the increasingly widespread adoption of a westernized lifestyle and the general aging of the population, EE is now the most common acid-related disorder in Japan. Typical symptoms of EE include heartburn, acid reflux, difficulty swallowing, and sore throat, which can negatively impact patients’ quality of life. In Japan, as elsewhere, </w:t>
      </w:r>
      <w:proofErr w:type="spellStart"/>
      <w:r>
        <w:t>PPIs</w:t>
      </w:r>
      <w:proofErr w:type="spellEnd"/>
      <w:r>
        <w:t xml:space="preserve"> remain the mainstay of treatment for EE and other acid-related disorders; however, in view of the limitations of </w:t>
      </w:r>
      <w:proofErr w:type="spellStart"/>
      <w:r>
        <w:t>PPIs</w:t>
      </w:r>
      <w:proofErr w:type="spellEnd"/>
      <w:r>
        <w:t xml:space="preserve"> mentioned above, there is a need for new treatment modalities that offer greater efficacy and more consistent outcomes. Any treatments that improve outcomes in EE may also be beneficial in </w:t>
      </w:r>
      <w:proofErr w:type="spellStart"/>
      <w:r>
        <w:t>gastroesophageal</w:t>
      </w:r>
      <w:proofErr w:type="spellEnd"/>
      <w:r>
        <w:t xml:space="preserve"> reflux disease, duodenal ulcer, and other acid-related disorders, and could become the focus of a new area of research.</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Research objectives</w:t>
      </w:r>
    </w:p>
    <w:p w:rsidR="008F3BB2" w:rsidRDefault="008F3BB2" w:rsidP="008F3BB2">
      <w:pPr>
        <w:pStyle w:val="8BF4"/>
      </w:pPr>
      <w:r>
        <w:t xml:space="preserve">The main objective of the research described in this paper was to demonstrate that the efficacy of </w:t>
      </w:r>
      <w:proofErr w:type="spellStart"/>
      <w:r>
        <w:t>vonoprazan</w:t>
      </w:r>
      <w:proofErr w:type="spellEnd"/>
      <w:r>
        <w:t xml:space="preserve"> in preventing EE recurrence is comparable to that of </w:t>
      </w:r>
      <w:proofErr w:type="spellStart"/>
      <w:r>
        <w:t>lansoprazole</w:t>
      </w:r>
      <w:proofErr w:type="spellEnd"/>
      <w:r>
        <w:t xml:space="preserve"> at its established maintenance dose. This objective was realized, with the results obtained confirming that </w:t>
      </w:r>
      <w:proofErr w:type="spellStart"/>
      <w:r>
        <w:t>vonoprazan</w:t>
      </w:r>
      <w:proofErr w:type="spellEnd"/>
      <w:r>
        <w:t xml:space="preserve">, at doses of 10 and 20 mg once daily, is non-inferior to </w:t>
      </w:r>
      <w:proofErr w:type="spellStart"/>
      <w:r>
        <w:t>lansoprazole</w:t>
      </w:r>
      <w:proofErr w:type="spellEnd"/>
      <w:r>
        <w:t xml:space="preserve"> 15 mg once daily as maintenance therapy for healed EE. In addition, the safety profile of </w:t>
      </w:r>
      <w:proofErr w:type="spellStart"/>
      <w:r>
        <w:t>vonoprazan</w:t>
      </w:r>
      <w:proofErr w:type="spellEnd"/>
      <w:r>
        <w:t xml:space="preserve"> was shown to be </w:t>
      </w:r>
      <w:r>
        <w:lastRenderedPageBreak/>
        <w:t xml:space="preserve">similar to that of </w:t>
      </w:r>
      <w:proofErr w:type="spellStart"/>
      <w:r>
        <w:t>lansoprazole</w:t>
      </w:r>
      <w:proofErr w:type="spellEnd"/>
      <w:r>
        <w:t xml:space="preserve"> at the doses investigated. These findings suggest that </w:t>
      </w:r>
      <w:proofErr w:type="spellStart"/>
      <w:r>
        <w:t>vonoprazan</w:t>
      </w:r>
      <w:proofErr w:type="spellEnd"/>
      <w:r>
        <w:t xml:space="preserve"> may be a viable alternative to </w:t>
      </w:r>
      <w:proofErr w:type="spellStart"/>
      <w:r>
        <w:t>PPIs</w:t>
      </w:r>
      <w:proofErr w:type="spellEnd"/>
      <w:r>
        <w:t xml:space="preserve"> in the maintenance of EE healing, and provide a basis for future clinical trials to establish the optimal positioning of this new agent in the treatment of acid-related disorders.</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Research methods</w:t>
      </w:r>
    </w:p>
    <w:p w:rsidR="008F3BB2" w:rsidRDefault="008F3BB2" w:rsidP="008F3BB2">
      <w:pPr>
        <w:pStyle w:val="8BF4"/>
      </w:pPr>
      <w:r>
        <w:t xml:space="preserve">To establish the non-inferiority of </w:t>
      </w:r>
      <w:proofErr w:type="spellStart"/>
      <w:r>
        <w:t>vonoprazan</w:t>
      </w:r>
      <w:proofErr w:type="spellEnd"/>
      <w:r>
        <w:t xml:space="preserve"> 10 and 20 mg to </w:t>
      </w:r>
      <w:proofErr w:type="spellStart"/>
      <w:r>
        <w:t>lansoprazole</w:t>
      </w:r>
      <w:proofErr w:type="spellEnd"/>
      <w:r>
        <w:t xml:space="preserve"> 15 mg as maintenance therapy in Japanese patients with </w:t>
      </w:r>
      <w:proofErr w:type="spellStart"/>
      <w:r>
        <w:t>endoscopically</w:t>
      </w:r>
      <w:proofErr w:type="spellEnd"/>
      <w:r>
        <w:t xml:space="preserve">-confirmed healed EE, we designed and conducted a multicenter, double-blind, randomized, phase </w:t>
      </w:r>
      <w:r>
        <w:rPr>
          <w:rFonts w:ascii="KozMinPro-Regular" w:eastAsia="KozMinPro-Regular" w:cs="KozMinPro-Regular" w:hint="eastAsia"/>
          <w:sz w:val="15"/>
          <w:szCs w:val="15"/>
        </w:rPr>
        <w:t>Ⅲ</w:t>
      </w:r>
      <w:r>
        <w:t xml:space="preserve"> clinical trial. Eligible patients received </w:t>
      </w:r>
      <w:proofErr w:type="spellStart"/>
      <w:r>
        <w:t>vonoprazan</w:t>
      </w:r>
      <w:proofErr w:type="spellEnd"/>
      <w:r>
        <w:t xml:space="preserve"> 10 or 20 mg, or </w:t>
      </w:r>
      <w:proofErr w:type="spellStart"/>
      <w:r>
        <w:t>lansoprazole</w:t>
      </w:r>
      <w:proofErr w:type="spellEnd"/>
      <w:r>
        <w:t xml:space="preserve"> 15 mg, once daily for 24 wk. The primary and secondary endpoints were the rate of EE recurrence at Weeks 24 and 12, respectively; safety outcomes were also evaluated. Based on EE recurrence rates in previous studies, it was calculated that 174 patients per treatment group would be required to provide &gt; 90% power to confirm the non-inferiority of </w:t>
      </w:r>
      <w:proofErr w:type="spellStart"/>
      <w:r>
        <w:t>vonoprazan</w:t>
      </w:r>
      <w:proofErr w:type="spellEnd"/>
      <w:r>
        <w:t xml:space="preserve"> 10 and 20 mg to </w:t>
      </w:r>
      <w:proofErr w:type="spellStart"/>
      <w:r>
        <w:t>lansoprazole</w:t>
      </w:r>
      <w:proofErr w:type="spellEnd"/>
      <w:r>
        <w:t xml:space="preserve"> 15 mg.</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Research results</w:t>
      </w:r>
    </w:p>
    <w:p w:rsidR="008F3BB2" w:rsidRDefault="008F3BB2" w:rsidP="008F3BB2">
      <w:pPr>
        <w:pStyle w:val="8BF4"/>
      </w:pPr>
      <w:r>
        <w:t xml:space="preserve">We found that </w:t>
      </w:r>
      <w:proofErr w:type="spellStart"/>
      <w:r>
        <w:t>vonoprazan</w:t>
      </w:r>
      <w:proofErr w:type="spellEnd"/>
      <w:r>
        <w:t xml:space="preserve">, administered at a dose of 10 or 20 mg once daily, is non-inferior to </w:t>
      </w:r>
      <w:proofErr w:type="spellStart"/>
      <w:r>
        <w:t>lansoprazole</w:t>
      </w:r>
      <w:proofErr w:type="spellEnd"/>
      <w:r>
        <w:t xml:space="preserve"> 15 mg once daily in maintaining EE healing in Japanese patients over a period of 24 </w:t>
      </w:r>
      <w:proofErr w:type="spellStart"/>
      <w:r>
        <w:t>wk</w:t>
      </w:r>
      <w:proofErr w:type="spellEnd"/>
      <w:r>
        <w:t xml:space="preserve">, and demonstrates a comparable safety profile. Post-hoc analyses also confirmed that both doses of </w:t>
      </w:r>
      <w:proofErr w:type="spellStart"/>
      <w:r>
        <w:t>vonoprazan</w:t>
      </w:r>
      <w:proofErr w:type="spellEnd"/>
      <w:r>
        <w:t xml:space="preserve"> investigated provide more consistent EE healing than </w:t>
      </w:r>
      <w:proofErr w:type="spellStart"/>
      <w:r>
        <w:t>lansoprazole</w:t>
      </w:r>
      <w:proofErr w:type="spellEnd"/>
      <w:r>
        <w:t xml:space="preserve">, even in patients who are CYP2C19 extensive metabolizers and those with severe (Los Angeles grade C/D) EE. These results add to our previous findings that </w:t>
      </w:r>
      <w:proofErr w:type="spellStart"/>
      <w:r>
        <w:t>vonoprazan</w:t>
      </w:r>
      <w:proofErr w:type="spellEnd"/>
      <w:r>
        <w:t xml:space="preserve"> 5-40 mg once daily is non-inferior to </w:t>
      </w:r>
      <w:proofErr w:type="spellStart"/>
      <w:r>
        <w:t>lansoprazole</w:t>
      </w:r>
      <w:proofErr w:type="spellEnd"/>
      <w:r>
        <w:t xml:space="preserve"> 30 mg once daily in terms of EE healing rates over a 4-wk period, and that </w:t>
      </w:r>
      <w:proofErr w:type="spellStart"/>
      <w:r>
        <w:t>vonoprazan</w:t>
      </w:r>
      <w:proofErr w:type="spellEnd"/>
      <w:r>
        <w:t xml:space="preserve"> 20 mg once daily is non-inferior to </w:t>
      </w:r>
      <w:proofErr w:type="spellStart"/>
      <w:r>
        <w:t>lansoprazole</w:t>
      </w:r>
      <w:proofErr w:type="spellEnd"/>
      <w:r>
        <w:t xml:space="preserve"> 30 mg once daily in terms of 8-wk EE healing rates. As the maintenance period in this study was relatively short, further studies are needed to establish the long-term efficacy and safety characteristics of </w:t>
      </w:r>
      <w:proofErr w:type="spellStart"/>
      <w:r>
        <w:t>vonoprazan</w:t>
      </w:r>
      <w:proofErr w:type="spellEnd"/>
      <w:r>
        <w:t xml:space="preserve"> in the maintenance of EE healing.</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Research conclusions</w:t>
      </w:r>
    </w:p>
    <w:p w:rsidR="008F3BB2" w:rsidRDefault="008F3BB2" w:rsidP="008F3BB2">
      <w:pPr>
        <w:pStyle w:val="8BF4"/>
      </w:pPr>
      <w:r>
        <w:t xml:space="preserve">To our knowledge, this study is the first to confirm that </w:t>
      </w:r>
      <w:proofErr w:type="spellStart"/>
      <w:r>
        <w:t>vonoprazan</w:t>
      </w:r>
      <w:proofErr w:type="spellEnd"/>
      <w:r>
        <w:t xml:space="preserve"> is non-inferior to </w:t>
      </w:r>
      <w:proofErr w:type="spellStart"/>
      <w:r>
        <w:t>lansoprazole</w:t>
      </w:r>
      <w:proofErr w:type="spellEnd"/>
      <w:r>
        <w:t xml:space="preserve"> once daily in maintaining EE healing in Japanese patients. Importantly, it is also the first to show that </w:t>
      </w:r>
      <w:proofErr w:type="spellStart"/>
      <w:r>
        <w:t>vonoprazan</w:t>
      </w:r>
      <w:proofErr w:type="spellEnd"/>
      <w:r>
        <w:t xml:space="preserve"> is more consistent in maintaining EE healing, even in extensive CYP2C19 metabolizers and patients with more severe disease. These findings appear to confirm that the novel mechanism of action of </w:t>
      </w:r>
      <w:proofErr w:type="spellStart"/>
      <w:r>
        <w:t>vonoprazan</w:t>
      </w:r>
      <w:proofErr w:type="spellEnd"/>
      <w:r>
        <w:t xml:space="preserve"> is associated with advantages versus </w:t>
      </w:r>
      <w:proofErr w:type="spellStart"/>
      <w:r>
        <w:t>PPIs</w:t>
      </w:r>
      <w:proofErr w:type="spellEnd"/>
      <w:r>
        <w:t xml:space="preserve"> in the treatment of acid-related disorders, and suggest that </w:t>
      </w:r>
      <w:proofErr w:type="spellStart"/>
      <w:r>
        <w:t>vonoprazan</w:t>
      </w:r>
      <w:proofErr w:type="spellEnd"/>
      <w:r>
        <w:t xml:space="preserve"> could be an important new addition to the range of treatment options available to clinicians.</w:t>
      </w:r>
    </w:p>
    <w:p w:rsidR="008F3BB2" w:rsidRPr="000F3ABF" w:rsidRDefault="008F3BB2" w:rsidP="008F3BB2">
      <w:pPr>
        <w:pStyle w:val="afa"/>
        <w:rPr>
          <w:lang w:val="en-US"/>
        </w:rPr>
      </w:pPr>
    </w:p>
    <w:p w:rsidR="008F3BB2" w:rsidRPr="000F3ABF" w:rsidRDefault="008F3BB2" w:rsidP="008F3BB2">
      <w:pPr>
        <w:pStyle w:val="afa"/>
        <w:rPr>
          <w:lang w:val="en-US"/>
        </w:rPr>
      </w:pPr>
      <w:r w:rsidRPr="000F3ABF">
        <w:rPr>
          <w:lang w:val="en-US"/>
        </w:rPr>
        <w:t>Research perspectives</w:t>
      </w:r>
    </w:p>
    <w:p w:rsidR="008F3BB2" w:rsidRDefault="008F3BB2" w:rsidP="008F3BB2">
      <w:pPr>
        <w:pStyle w:val="8BF4"/>
      </w:pPr>
      <w:r>
        <w:t xml:space="preserve">This study confirms that </w:t>
      </w:r>
      <w:proofErr w:type="spellStart"/>
      <w:r>
        <w:t>vonoprazan</w:t>
      </w:r>
      <w:proofErr w:type="spellEnd"/>
      <w:r>
        <w:t xml:space="preserve"> demonstrates efficacy comparable with that of </w:t>
      </w:r>
      <w:proofErr w:type="spellStart"/>
      <w:r>
        <w:t>lansoprazole</w:t>
      </w:r>
      <w:proofErr w:type="spellEnd"/>
      <w:r>
        <w:t xml:space="preserve"> not only in healing EE, but also in maintaining the healing of EE over 24 wk. Future research should focus on evaluating the longer-term efficacy and safety of </w:t>
      </w:r>
      <w:proofErr w:type="spellStart"/>
      <w:r>
        <w:t>vonoprazan</w:t>
      </w:r>
      <w:proofErr w:type="spellEnd"/>
      <w:r>
        <w:t xml:space="preserve"> in this indication. In addition to randomized controlled trials, observational studies should be undertaken to gather valuable real-life data and inform decisions regarding the optimal positioning of </w:t>
      </w:r>
      <w:proofErr w:type="spellStart"/>
      <w:r>
        <w:t>vonoprazan</w:t>
      </w:r>
      <w:proofErr w:type="spellEnd"/>
      <w:r>
        <w:t xml:space="preserve"> in the management of EE.</w:t>
      </w:r>
    </w:p>
    <w:p w:rsidR="008F3BB2" w:rsidRPr="000F3ABF" w:rsidRDefault="008F3BB2" w:rsidP="008F3BB2">
      <w:pPr>
        <w:pStyle w:val="af8"/>
        <w:ind w:left="5250"/>
        <w:rPr>
          <w:lang w:val="en-US"/>
        </w:rPr>
      </w:pPr>
    </w:p>
    <w:p w:rsidR="008F3BB2" w:rsidRPr="000F3ABF" w:rsidRDefault="008F3BB2" w:rsidP="008F3BB2">
      <w:pPr>
        <w:pStyle w:val="af8"/>
        <w:ind w:left="5250"/>
        <w:rPr>
          <w:u w:val="single"/>
          <w:lang w:val="en-US"/>
        </w:rPr>
      </w:pPr>
      <w:r w:rsidRPr="000F3ABF">
        <w:rPr>
          <w:u w:val="single"/>
          <w:lang w:val="en-US"/>
        </w:rPr>
        <w:t>ACKNOWLEDGMENTS</w:t>
      </w:r>
    </w:p>
    <w:p w:rsidR="008F3BB2" w:rsidRDefault="008F3BB2" w:rsidP="008F3BB2">
      <w:pPr>
        <w:pStyle w:val="af9"/>
        <w:rPr>
          <w:spacing w:val="-9"/>
        </w:rPr>
      </w:pPr>
      <w:r>
        <w:rPr>
          <w:spacing w:val="-9"/>
        </w:rPr>
        <w:t xml:space="preserve">The authors acknowledge all participating patients and their families, as well as all staff at the 55 investigational sites. The authors also acknowledge </w:t>
      </w:r>
      <w:proofErr w:type="spellStart"/>
      <w:r>
        <w:t>Sandralee</w:t>
      </w:r>
      <w:proofErr w:type="spellEnd"/>
      <w:r>
        <w:t xml:space="preserve"> Lewis PhD, working on behalf of </w:t>
      </w:r>
      <w:proofErr w:type="spellStart"/>
      <w:r>
        <w:t>FireKite</w:t>
      </w:r>
      <w:proofErr w:type="spellEnd"/>
      <w:r>
        <w:t xml:space="preserve"> (an </w:t>
      </w:r>
      <w:proofErr w:type="spellStart"/>
      <w:r>
        <w:t>Ashfield</w:t>
      </w:r>
      <w:proofErr w:type="spellEnd"/>
      <w:r>
        <w:t xml:space="preserve"> Company, part of </w:t>
      </w:r>
      <w:proofErr w:type="spellStart"/>
      <w:r>
        <w:t>UDG</w:t>
      </w:r>
      <w:proofErr w:type="spellEnd"/>
      <w:r>
        <w:t xml:space="preserve"> Healthcare </w:t>
      </w:r>
      <w:proofErr w:type="spellStart"/>
      <w:r>
        <w:t>plc</w:t>
      </w:r>
      <w:proofErr w:type="spellEnd"/>
      <w:r>
        <w:t xml:space="preserve">), who provided medical writing assistance during the development </w:t>
      </w:r>
      <w:r>
        <w:rPr>
          <w:spacing w:val="-9"/>
        </w:rPr>
        <w:t>of this manuscript, which was funded by Takeda Pharmaceutical Company Limited and complied with Good Publication Practice 3 ethical guidelines (</w:t>
      </w:r>
      <w:proofErr w:type="spellStart"/>
      <w:r>
        <w:rPr>
          <w:spacing w:val="-9"/>
        </w:rPr>
        <w:t>Battisti</w:t>
      </w:r>
      <w:proofErr w:type="spellEnd"/>
      <w:r>
        <w:rPr>
          <w:spacing w:val="-9"/>
        </w:rPr>
        <w:t xml:space="preserve"> </w:t>
      </w:r>
      <w:r>
        <w:rPr>
          <w:i/>
          <w:iCs/>
          <w:spacing w:val="-9"/>
        </w:rPr>
        <w:t>et al</w:t>
      </w:r>
      <w:r>
        <w:rPr>
          <w:spacing w:val="-9"/>
        </w:rPr>
        <w:t xml:space="preserve">. </w:t>
      </w:r>
      <w:r>
        <w:rPr>
          <w:i/>
          <w:iCs/>
          <w:spacing w:val="-9"/>
        </w:rPr>
        <w:t xml:space="preserve">Ann Intern Med </w:t>
      </w:r>
      <w:r>
        <w:rPr>
          <w:spacing w:val="-9"/>
        </w:rPr>
        <w:t>2015; 163: 461-4 [</w:t>
      </w:r>
      <w:proofErr w:type="spellStart"/>
      <w:r>
        <w:rPr>
          <w:spacing w:val="-9"/>
        </w:rPr>
        <w:t>PMID</w:t>
      </w:r>
      <w:proofErr w:type="spellEnd"/>
      <w:r>
        <w:rPr>
          <w:spacing w:val="-9"/>
        </w:rPr>
        <w:t xml:space="preserve">: 26259067]). The results of the study were </w:t>
      </w:r>
      <w:r>
        <w:rPr>
          <w:spacing w:val="-9"/>
        </w:rPr>
        <w:lastRenderedPageBreak/>
        <w:t>previously presented at the Digestive Disease Week (</w:t>
      </w:r>
      <w:proofErr w:type="spellStart"/>
      <w:r>
        <w:rPr>
          <w:spacing w:val="-9"/>
        </w:rPr>
        <w:t>DDW</w:t>
      </w:r>
      <w:proofErr w:type="spellEnd"/>
      <w:r>
        <w:rPr>
          <w:spacing w:val="-9"/>
        </w:rPr>
        <w:t>) 2014, and at the Japanese Digestive Disease Week (</w:t>
      </w:r>
      <w:proofErr w:type="spellStart"/>
      <w:r>
        <w:rPr>
          <w:spacing w:val="-9"/>
        </w:rPr>
        <w:t>JDDW</w:t>
      </w:r>
      <w:proofErr w:type="spellEnd"/>
      <w:r>
        <w:rPr>
          <w:spacing w:val="-9"/>
        </w:rPr>
        <w:t>) 2014.</w:t>
      </w:r>
    </w:p>
    <w:p w:rsidR="008F3BB2" w:rsidRPr="000F3ABF" w:rsidRDefault="008F3BB2" w:rsidP="008F3BB2">
      <w:pPr>
        <w:pStyle w:val="af8"/>
        <w:ind w:left="5250"/>
        <w:rPr>
          <w:lang w:val="en-US"/>
        </w:rPr>
      </w:pPr>
    </w:p>
    <w:p w:rsidR="008F3BB2" w:rsidRPr="000F3ABF" w:rsidRDefault="008F3BB2" w:rsidP="008F3BB2">
      <w:pPr>
        <w:pStyle w:val="af8"/>
        <w:ind w:left="5250"/>
        <w:rPr>
          <w:lang w:val="en-US"/>
        </w:rPr>
      </w:pPr>
      <w:r w:rsidRPr="000F3ABF">
        <w:rPr>
          <w:lang w:val="en-US"/>
        </w:rPr>
        <w:t>REFERENCES</w:t>
      </w:r>
    </w:p>
    <w:p w:rsidR="008F3BB2" w:rsidRDefault="008F3BB2" w:rsidP="008F3BB2">
      <w:pPr>
        <w:pStyle w:val="-1"/>
      </w:pPr>
      <w:r>
        <w:t>1</w:t>
      </w:r>
      <w:r>
        <w:rPr>
          <w:b/>
          <w:bCs/>
        </w:rPr>
        <w:tab/>
      </w:r>
      <w:proofErr w:type="spellStart"/>
      <w:r>
        <w:rPr>
          <w:b/>
          <w:bCs/>
        </w:rPr>
        <w:t>Maradey</w:t>
      </w:r>
      <w:proofErr w:type="spellEnd"/>
      <w:r>
        <w:rPr>
          <w:b/>
          <w:bCs/>
        </w:rPr>
        <w:t>-Romero C</w:t>
      </w:r>
      <w:r>
        <w:t xml:space="preserve">, </w:t>
      </w:r>
      <w:proofErr w:type="spellStart"/>
      <w:r>
        <w:t>Fass</w:t>
      </w:r>
      <w:proofErr w:type="spellEnd"/>
      <w:r>
        <w:t xml:space="preserve"> R. New and future drug development for </w:t>
      </w:r>
      <w:proofErr w:type="spellStart"/>
      <w:r>
        <w:t>gastroesophageal</w:t>
      </w:r>
      <w:proofErr w:type="spellEnd"/>
      <w:r>
        <w:t xml:space="preserve"> reflux disease. </w:t>
      </w:r>
      <w:r>
        <w:rPr>
          <w:i/>
          <w:iCs/>
        </w:rPr>
        <w:t xml:space="preserve">J </w:t>
      </w:r>
      <w:proofErr w:type="spellStart"/>
      <w:r>
        <w:rPr>
          <w:i/>
          <w:iCs/>
        </w:rPr>
        <w:t>Neurogastroenterol</w:t>
      </w:r>
      <w:proofErr w:type="spellEnd"/>
      <w:r>
        <w:rPr>
          <w:i/>
          <w:iCs/>
        </w:rPr>
        <w:t xml:space="preserve"> </w:t>
      </w:r>
      <w:proofErr w:type="spellStart"/>
      <w:r>
        <w:rPr>
          <w:i/>
          <w:iCs/>
        </w:rPr>
        <w:t>Motil</w:t>
      </w:r>
      <w:proofErr w:type="spellEnd"/>
      <w:r>
        <w:t xml:space="preserve"> 2014; </w:t>
      </w:r>
      <w:r>
        <w:rPr>
          <w:b/>
          <w:bCs/>
        </w:rPr>
        <w:t>20</w:t>
      </w:r>
      <w:r>
        <w:t>: 6-16 [</w:t>
      </w:r>
      <w:proofErr w:type="spellStart"/>
      <w:r>
        <w:t>PMID</w:t>
      </w:r>
      <w:proofErr w:type="spellEnd"/>
      <w:r>
        <w:t xml:space="preserve">: 24466441 </w:t>
      </w:r>
      <w:proofErr w:type="spellStart"/>
      <w:r>
        <w:t>DOI</w:t>
      </w:r>
      <w:proofErr w:type="spellEnd"/>
      <w:r>
        <w:t>: 10.5056/jnm.2014.20.1.6]</w:t>
      </w:r>
    </w:p>
    <w:p w:rsidR="008F3BB2" w:rsidRDefault="008F3BB2" w:rsidP="008F3BB2">
      <w:pPr>
        <w:pStyle w:val="-1"/>
      </w:pPr>
      <w:r>
        <w:t>2</w:t>
      </w:r>
      <w:r w:rsidRPr="000F3ABF">
        <w:rPr>
          <w:b/>
          <w:bCs/>
        </w:rPr>
        <w:tab/>
      </w:r>
      <w:r>
        <w:rPr>
          <w:b/>
          <w:bCs/>
        </w:rPr>
        <w:t>Pace F</w:t>
      </w:r>
      <w:r>
        <w:t xml:space="preserve">, </w:t>
      </w:r>
      <w:proofErr w:type="spellStart"/>
      <w:r>
        <w:t>Tonini</w:t>
      </w:r>
      <w:proofErr w:type="spellEnd"/>
      <w:r>
        <w:t xml:space="preserve"> M, </w:t>
      </w:r>
      <w:proofErr w:type="spellStart"/>
      <w:r>
        <w:t>Pallotta</w:t>
      </w:r>
      <w:proofErr w:type="spellEnd"/>
      <w:r>
        <w:t xml:space="preserve"> S, </w:t>
      </w:r>
      <w:proofErr w:type="spellStart"/>
      <w:r>
        <w:t>Molteni</w:t>
      </w:r>
      <w:proofErr w:type="spellEnd"/>
      <w:r>
        <w:t xml:space="preserve"> P, </w:t>
      </w:r>
      <w:proofErr w:type="spellStart"/>
      <w:r>
        <w:t>Porro</w:t>
      </w:r>
      <w:proofErr w:type="spellEnd"/>
      <w:r>
        <w:t xml:space="preserve"> GB. Systematic review: maintenance treatment of gastro-</w:t>
      </w:r>
      <w:proofErr w:type="spellStart"/>
      <w:r>
        <w:t>oesophageal</w:t>
      </w:r>
      <w:proofErr w:type="spellEnd"/>
      <w:r>
        <w:t xml:space="preserve"> reflux disease with proton pump inhibitors taken ‘on-demand’.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2007; </w:t>
      </w:r>
      <w:r>
        <w:rPr>
          <w:b/>
          <w:bCs/>
        </w:rPr>
        <w:t>26</w:t>
      </w:r>
      <w:r>
        <w:t>: 195-204 [</w:t>
      </w:r>
      <w:proofErr w:type="spellStart"/>
      <w:r>
        <w:t>PMID</w:t>
      </w:r>
      <w:proofErr w:type="spellEnd"/>
      <w:r>
        <w:t xml:space="preserve">: 17593065 </w:t>
      </w:r>
      <w:proofErr w:type="spellStart"/>
      <w:r>
        <w:t>DOI</w:t>
      </w:r>
      <w:proofErr w:type="spellEnd"/>
      <w:r>
        <w:t>: 10.1111/j.1365-2036.2007.03381.x]</w:t>
      </w:r>
    </w:p>
    <w:p w:rsidR="008F3BB2" w:rsidRDefault="008F3BB2" w:rsidP="008F3BB2">
      <w:pPr>
        <w:pStyle w:val="-1"/>
      </w:pPr>
      <w:r>
        <w:t>3</w:t>
      </w:r>
      <w:r w:rsidRPr="000F3ABF">
        <w:rPr>
          <w:b/>
          <w:bCs/>
        </w:rPr>
        <w:tab/>
      </w:r>
      <w:proofErr w:type="spellStart"/>
      <w:r>
        <w:rPr>
          <w:b/>
          <w:bCs/>
        </w:rPr>
        <w:t>Hershcovici</w:t>
      </w:r>
      <w:proofErr w:type="spellEnd"/>
      <w:r>
        <w:rPr>
          <w:b/>
          <w:bCs/>
        </w:rPr>
        <w:t xml:space="preserve"> T</w:t>
      </w:r>
      <w:r>
        <w:t xml:space="preserve">, </w:t>
      </w:r>
      <w:proofErr w:type="spellStart"/>
      <w:r>
        <w:t>Fass</w:t>
      </w:r>
      <w:proofErr w:type="spellEnd"/>
      <w:r>
        <w:t xml:space="preserve"> R. Gastro-</w:t>
      </w:r>
      <w:proofErr w:type="spellStart"/>
      <w:r>
        <w:t>oesophageal</w:t>
      </w:r>
      <w:proofErr w:type="spellEnd"/>
      <w:r>
        <w:t xml:space="preserve"> reflux disease: beyond proton pump inhibitor therapy. </w:t>
      </w:r>
      <w:r>
        <w:rPr>
          <w:i/>
          <w:iCs/>
        </w:rPr>
        <w:t>Drugs</w:t>
      </w:r>
      <w:r>
        <w:t xml:space="preserve"> 2011; </w:t>
      </w:r>
      <w:r>
        <w:rPr>
          <w:b/>
          <w:bCs/>
        </w:rPr>
        <w:t>71</w:t>
      </w:r>
      <w:r>
        <w:t>: 2381-2389 [</w:t>
      </w:r>
      <w:proofErr w:type="spellStart"/>
      <w:r>
        <w:t>PMID</w:t>
      </w:r>
      <w:proofErr w:type="spellEnd"/>
      <w:r>
        <w:t xml:space="preserve">: 22117130 </w:t>
      </w:r>
      <w:proofErr w:type="spellStart"/>
      <w:r>
        <w:t>DOI</w:t>
      </w:r>
      <w:proofErr w:type="spellEnd"/>
      <w:r>
        <w:t>: 10.2165/11597300-000000000-00000]</w:t>
      </w:r>
    </w:p>
    <w:p w:rsidR="008F3BB2" w:rsidRDefault="008F3BB2" w:rsidP="008F3BB2">
      <w:pPr>
        <w:pStyle w:val="-1"/>
      </w:pPr>
      <w:r>
        <w:t>4</w:t>
      </w:r>
      <w:r w:rsidRPr="000F3ABF">
        <w:rPr>
          <w:b/>
          <w:bCs/>
        </w:rPr>
        <w:tab/>
      </w:r>
      <w:proofErr w:type="spellStart"/>
      <w:r>
        <w:rPr>
          <w:b/>
          <w:bCs/>
        </w:rPr>
        <w:t>Fass</w:t>
      </w:r>
      <w:proofErr w:type="spellEnd"/>
      <w:r>
        <w:rPr>
          <w:b/>
          <w:bCs/>
        </w:rPr>
        <w:t xml:space="preserve"> R</w:t>
      </w:r>
      <w:r>
        <w:t xml:space="preserve">. Alternative therapeutic approaches to chronic proton pump inhibitor treatment. </w:t>
      </w:r>
      <w:proofErr w:type="spellStart"/>
      <w:r>
        <w:rPr>
          <w:i/>
          <w:iCs/>
        </w:rPr>
        <w:t>Clin</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2012; </w:t>
      </w:r>
      <w:r>
        <w:rPr>
          <w:b/>
          <w:bCs/>
        </w:rPr>
        <w:t>10</w:t>
      </w:r>
      <w:r>
        <w:t>: 338-345; quiz e39-40 [</w:t>
      </w:r>
      <w:proofErr w:type="spellStart"/>
      <w:r>
        <w:t>PMID</w:t>
      </w:r>
      <w:proofErr w:type="spellEnd"/>
      <w:r>
        <w:t xml:space="preserve">: 22178462 </w:t>
      </w:r>
      <w:proofErr w:type="spellStart"/>
      <w:r>
        <w:t>DOI</w:t>
      </w:r>
      <w:proofErr w:type="spellEnd"/>
      <w:r>
        <w:t>: 10.1016/j.cgh.2011.12.020]</w:t>
      </w:r>
    </w:p>
    <w:p w:rsidR="008F3BB2" w:rsidRDefault="008F3BB2" w:rsidP="008F3BB2">
      <w:pPr>
        <w:pStyle w:val="-1"/>
      </w:pPr>
      <w:r>
        <w:t>5</w:t>
      </w:r>
      <w:r w:rsidRPr="000F3ABF">
        <w:rPr>
          <w:b/>
          <w:bCs/>
        </w:rPr>
        <w:tab/>
      </w:r>
      <w:proofErr w:type="spellStart"/>
      <w:r>
        <w:rPr>
          <w:b/>
          <w:bCs/>
        </w:rPr>
        <w:t>Hungin</w:t>
      </w:r>
      <w:proofErr w:type="spellEnd"/>
      <w:r>
        <w:rPr>
          <w:b/>
          <w:bCs/>
        </w:rPr>
        <w:t xml:space="preserve"> AP</w:t>
      </w:r>
      <w:r>
        <w:t xml:space="preserve">, Hill C, </w:t>
      </w:r>
      <w:proofErr w:type="gramStart"/>
      <w:r>
        <w:t>Molloy</w:t>
      </w:r>
      <w:proofErr w:type="gramEnd"/>
      <w:r>
        <w:t xml:space="preserve">-Bland M, </w:t>
      </w:r>
      <w:proofErr w:type="spellStart"/>
      <w:r>
        <w:t>Raghunath</w:t>
      </w:r>
      <w:proofErr w:type="spellEnd"/>
      <w:r>
        <w:t xml:space="preserve"> A. Systematic review: Patterns of proton pump inhibitor use and adherence in </w:t>
      </w:r>
      <w:proofErr w:type="spellStart"/>
      <w:r>
        <w:t>gastroesophageal</w:t>
      </w:r>
      <w:proofErr w:type="spellEnd"/>
      <w:r>
        <w:t xml:space="preserve"> reflux disease. </w:t>
      </w:r>
      <w:proofErr w:type="spellStart"/>
      <w:r>
        <w:rPr>
          <w:i/>
          <w:iCs/>
        </w:rPr>
        <w:t>Clin</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2012; </w:t>
      </w:r>
      <w:r>
        <w:rPr>
          <w:b/>
          <w:bCs/>
        </w:rPr>
        <w:t>10</w:t>
      </w:r>
      <w:r>
        <w:t>: 109-116 [</w:t>
      </w:r>
      <w:proofErr w:type="spellStart"/>
      <w:r>
        <w:t>PMID</w:t>
      </w:r>
      <w:proofErr w:type="spellEnd"/>
      <w:r>
        <w:t xml:space="preserve">: 21782770 </w:t>
      </w:r>
      <w:proofErr w:type="spellStart"/>
      <w:r>
        <w:t>DOI</w:t>
      </w:r>
      <w:proofErr w:type="spellEnd"/>
      <w:r>
        <w:t>: 10.1016/j.cgh.2011.07.008]</w:t>
      </w:r>
    </w:p>
    <w:p w:rsidR="008F3BB2" w:rsidRDefault="008F3BB2" w:rsidP="008F3BB2">
      <w:pPr>
        <w:pStyle w:val="-1"/>
      </w:pPr>
      <w:r>
        <w:t>6</w:t>
      </w:r>
      <w:r w:rsidRPr="000F3ABF">
        <w:rPr>
          <w:b/>
          <w:bCs/>
        </w:rPr>
        <w:tab/>
      </w:r>
      <w:proofErr w:type="spellStart"/>
      <w:r>
        <w:rPr>
          <w:b/>
          <w:bCs/>
        </w:rPr>
        <w:t>Fass</w:t>
      </w:r>
      <w:proofErr w:type="spellEnd"/>
      <w:r>
        <w:rPr>
          <w:b/>
          <w:bCs/>
        </w:rPr>
        <w:t xml:space="preserve"> R</w:t>
      </w:r>
      <w:r>
        <w:t xml:space="preserve">, Shapiro M, </w:t>
      </w:r>
      <w:proofErr w:type="spellStart"/>
      <w:proofErr w:type="gramStart"/>
      <w:r>
        <w:t>Dekel</w:t>
      </w:r>
      <w:proofErr w:type="spellEnd"/>
      <w:proofErr w:type="gramEnd"/>
      <w:r>
        <w:t xml:space="preserve"> R, Sewell J. Systematic review: proton-pump inhibitor failure in gastro-</w:t>
      </w:r>
      <w:proofErr w:type="spellStart"/>
      <w:r>
        <w:t>oesophageal</w:t>
      </w:r>
      <w:proofErr w:type="spellEnd"/>
      <w:r>
        <w:t xml:space="preserve"> reflux disease--where next?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2005; </w:t>
      </w:r>
      <w:r>
        <w:rPr>
          <w:b/>
          <w:bCs/>
        </w:rPr>
        <w:t>22</w:t>
      </w:r>
      <w:r>
        <w:t>: 79-94 [</w:t>
      </w:r>
      <w:proofErr w:type="spellStart"/>
      <w:r>
        <w:t>PMID</w:t>
      </w:r>
      <w:proofErr w:type="spellEnd"/>
      <w:r>
        <w:t xml:space="preserve">: 16011666 </w:t>
      </w:r>
      <w:proofErr w:type="spellStart"/>
      <w:r>
        <w:t>DOI</w:t>
      </w:r>
      <w:proofErr w:type="spellEnd"/>
      <w:r>
        <w:t>: 10.1111/j.1365-2036.2005.02531.x]</w:t>
      </w:r>
    </w:p>
    <w:p w:rsidR="008F3BB2" w:rsidRDefault="008F3BB2" w:rsidP="008F3BB2">
      <w:pPr>
        <w:pStyle w:val="-1"/>
        <w:rPr>
          <w:spacing w:val="-2"/>
        </w:rPr>
      </w:pPr>
      <w:r>
        <w:rPr>
          <w:spacing w:val="-2"/>
        </w:rPr>
        <w:t>7</w:t>
      </w:r>
      <w:r w:rsidRPr="000F3ABF">
        <w:rPr>
          <w:b/>
          <w:bCs/>
          <w:spacing w:val="-2"/>
        </w:rPr>
        <w:tab/>
      </w:r>
      <w:r>
        <w:rPr>
          <w:b/>
          <w:bCs/>
          <w:spacing w:val="-2"/>
        </w:rPr>
        <w:t>El-</w:t>
      </w:r>
      <w:proofErr w:type="spellStart"/>
      <w:r>
        <w:rPr>
          <w:b/>
          <w:bCs/>
          <w:spacing w:val="-2"/>
        </w:rPr>
        <w:t>Serag</w:t>
      </w:r>
      <w:proofErr w:type="spellEnd"/>
      <w:r>
        <w:rPr>
          <w:b/>
          <w:bCs/>
          <w:spacing w:val="-2"/>
        </w:rPr>
        <w:t xml:space="preserve"> H</w:t>
      </w:r>
      <w:r>
        <w:rPr>
          <w:spacing w:val="-2"/>
        </w:rPr>
        <w:t xml:space="preserve">, </w:t>
      </w:r>
      <w:proofErr w:type="spellStart"/>
      <w:r>
        <w:rPr>
          <w:spacing w:val="-2"/>
        </w:rPr>
        <w:t>Becher</w:t>
      </w:r>
      <w:proofErr w:type="spellEnd"/>
      <w:r>
        <w:rPr>
          <w:spacing w:val="-2"/>
        </w:rPr>
        <w:t xml:space="preserve"> A, </w:t>
      </w:r>
      <w:proofErr w:type="gramStart"/>
      <w:r>
        <w:rPr>
          <w:spacing w:val="-2"/>
        </w:rPr>
        <w:t>Jones</w:t>
      </w:r>
      <w:proofErr w:type="gramEnd"/>
      <w:r>
        <w:rPr>
          <w:spacing w:val="-2"/>
        </w:rPr>
        <w:t xml:space="preserve"> R. Systematic review: persistent reflux symptoms on proton pump inhibitor therapy in primary care and community studies. </w:t>
      </w:r>
      <w:r>
        <w:rPr>
          <w:i/>
          <w:iCs/>
          <w:spacing w:val="-2"/>
        </w:rPr>
        <w:t xml:space="preserve">Aliment </w:t>
      </w:r>
      <w:proofErr w:type="spellStart"/>
      <w:r>
        <w:rPr>
          <w:i/>
          <w:iCs/>
          <w:spacing w:val="-2"/>
        </w:rPr>
        <w:t>Pharmacol</w:t>
      </w:r>
      <w:proofErr w:type="spellEnd"/>
      <w:r>
        <w:rPr>
          <w:i/>
          <w:iCs/>
          <w:spacing w:val="-2"/>
        </w:rPr>
        <w:t xml:space="preserve"> </w:t>
      </w:r>
      <w:proofErr w:type="spellStart"/>
      <w:r>
        <w:rPr>
          <w:i/>
          <w:iCs/>
          <w:spacing w:val="-2"/>
        </w:rPr>
        <w:t>Ther</w:t>
      </w:r>
      <w:proofErr w:type="spellEnd"/>
      <w:r>
        <w:rPr>
          <w:spacing w:val="-2"/>
        </w:rPr>
        <w:t xml:space="preserve"> 2010; </w:t>
      </w:r>
      <w:r>
        <w:rPr>
          <w:b/>
          <w:bCs/>
          <w:spacing w:val="-2"/>
        </w:rPr>
        <w:t>32</w:t>
      </w:r>
      <w:r>
        <w:rPr>
          <w:spacing w:val="-2"/>
        </w:rPr>
        <w:t>: 720-737 [</w:t>
      </w:r>
      <w:proofErr w:type="spellStart"/>
      <w:r>
        <w:rPr>
          <w:spacing w:val="-2"/>
        </w:rPr>
        <w:t>PMID</w:t>
      </w:r>
      <w:proofErr w:type="spellEnd"/>
      <w:r>
        <w:rPr>
          <w:spacing w:val="-2"/>
        </w:rPr>
        <w:t xml:space="preserve">: 20662774 </w:t>
      </w:r>
      <w:proofErr w:type="spellStart"/>
      <w:r>
        <w:rPr>
          <w:spacing w:val="-2"/>
        </w:rPr>
        <w:t>DOI</w:t>
      </w:r>
      <w:proofErr w:type="spellEnd"/>
      <w:r>
        <w:rPr>
          <w:spacing w:val="-2"/>
        </w:rPr>
        <w:t>: 10.1111/j.1365-2036.2010.04406.x]</w:t>
      </w:r>
    </w:p>
    <w:p w:rsidR="008F3BB2" w:rsidRDefault="008F3BB2" w:rsidP="008F3BB2">
      <w:pPr>
        <w:pStyle w:val="-1"/>
      </w:pPr>
      <w:r>
        <w:t>8</w:t>
      </w:r>
      <w:r w:rsidRPr="000F3ABF">
        <w:rPr>
          <w:b/>
          <w:bCs/>
        </w:rPr>
        <w:tab/>
      </w:r>
      <w:proofErr w:type="spellStart"/>
      <w:r>
        <w:rPr>
          <w:b/>
          <w:bCs/>
        </w:rPr>
        <w:t>Andersson</w:t>
      </w:r>
      <w:proofErr w:type="spellEnd"/>
      <w:r>
        <w:rPr>
          <w:b/>
          <w:bCs/>
        </w:rPr>
        <w:t xml:space="preserve"> K</w:t>
      </w:r>
      <w:r>
        <w:t xml:space="preserve">, </w:t>
      </w:r>
      <w:proofErr w:type="spellStart"/>
      <w:r>
        <w:t>Carlsson</w:t>
      </w:r>
      <w:proofErr w:type="spellEnd"/>
      <w:r>
        <w:t xml:space="preserve"> E. Potassium-competitive acid blockade: a new therapeutic strategy in acid-related diseases. </w:t>
      </w:r>
      <w:proofErr w:type="spellStart"/>
      <w:r>
        <w:rPr>
          <w:i/>
          <w:iCs/>
        </w:rPr>
        <w:t>Pharmacol</w:t>
      </w:r>
      <w:proofErr w:type="spellEnd"/>
      <w:r>
        <w:rPr>
          <w:i/>
          <w:iCs/>
        </w:rPr>
        <w:t xml:space="preserve"> </w:t>
      </w:r>
      <w:proofErr w:type="spellStart"/>
      <w:r>
        <w:rPr>
          <w:i/>
          <w:iCs/>
        </w:rPr>
        <w:t>Ther</w:t>
      </w:r>
      <w:proofErr w:type="spellEnd"/>
      <w:r>
        <w:t xml:space="preserve"> 2005; </w:t>
      </w:r>
      <w:r>
        <w:rPr>
          <w:b/>
          <w:bCs/>
        </w:rPr>
        <w:t>108</w:t>
      </w:r>
      <w:r>
        <w:t>: 294-307 [</w:t>
      </w:r>
      <w:proofErr w:type="spellStart"/>
      <w:r>
        <w:t>PMID</w:t>
      </w:r>
      <w:proofErr w:type="spellEnd"/>
      <w:r>
        <w:t xml:space="preserve">: 16000224 </w:t>
      </w:r>
      <w:proofErr w:type="spellStart"/>
      <w:r>
        <w:t>DOI</w:t>
      </w:r>
      <w:proofErr w:type="spellEnd"/>
      <w:r>
        <w:t>: 10.1016/j.pharmthera.2005.05.005]</w:t>
      </w:r>
    </w:p>
    <w:p w:rsidR="008F3BB2" w:rsidRDefault="008F3BB2" w:rsidP="008F3BB2">
      <w:pPr>
        <w:pStyle w:val="-1"/>
      </w:pPr>
      <w:r>
        <w:t>9</w:t>
      </w:r>
      <w:r w:rsidRPr="000F3ABF">
        <w:rPr>
          <w:b/>
          <w:bCs/>
        </w:rPr>
        <w:tab/>
      </w:r>
      <w:proofErr w:type="spellStart"/>
      <w:r>
        <w:rPr>
          <w:b/>
          <w:bCs/>
        </w:rPr>
        <w:t>Cederberg</w:t>
      </w:r>
      <w:proofErr w:type="spellEnd"/>
      <w:r>
        <w:rPr>
          <w:b/>
          <w:bCs/>
        </w:rPr>
        <w:t xml:space="preserve"> C</w:t>
      </w:r>
      <w:r>
        <w:t xml:space="preserve">, Lind T, </w:t>
      </w:r>
      <w:proofErr w:type="spellStart"/>
      <w:r>
        <w:t>Röhss</w:t>
      </w:r>
      <w:proofErr w:type="spellEnd"/>
      <w:r>
        <w:t xml:space="preserve"> K, </w:t>
      </w:r>
      <w:proofErr w:type="spellStart"/>
      <w:r>
        <w:t>Olbe</w:t>
      </w:r>
      <w:proofErr w:type="spellEnd"/>
      <w:r>
        <w:t xml:space="preserve"> L. Comparison of once-daily intravenous and oral omeprazole on </w:t>
      </w:r>
      <w:proofErr w:type="spellStart"/>
      <w:r>
        <w:t>pentagastrin</w:t>
      </w:r>
      <w:proofErr w:type="spellEnd"/>
      <w:r>
        <w:t xml:space="preserve">-stimulated acid secretion in duodenal ulcer patients. </w:t>
      </w:r>
      <w:r>
        <w:rPr>
          <w:i/>
          <w:iCs/>
        </w:rPr>
        <w:t>Digestion</w:t>
      </w:r>
      <w:r>
        <w:t xml:space="preserve"> 1992; </w:t>
      </w:r>
      <w:r>
        <w:rPr>
          <w:b/>
          <w:bCs/>
        </w:rPr>
        <w:t>53</w:t>
      </w:r>
      <w:r>
        <w:t>: 171-178 [</w:t>
      </w:r>
      <w:proofErr w:type="spellStart"/>
      <w:r>
        <w:t>PMID</w:t>
      </w:r>
      <w:proofErr w:type="spellEnd"/>
      <w:r>
        <w:t xml:space="preserve">: 1291405 </w:t>
      </w:r>
      <w:proofErr w:type="spellStart"/>
      <w:r>
        <w:t>DOI</w:t>
      </w:r>
      <w:proofErr w:type="spellEnd"/>
      <w:r>
        <w:t>: 10.1159/000200992]</w:t>
      </w:r>
    </w:p>
    <w:p w:rsidR="008F3BB2" w:rsidRDefault="008F3BB2" w:rsidP="008F3BB2">
      <w:pPr>
        <w:pStyle w:val="-1"/>
      </w:pPr>
      <w:r>
        <w:t>10</w:t>
      </w:r>
      <w:r w:rsidRPr="000F3ABF">
        <w:rPr>
          <w:b/>
          <w:bCs/>
        </w:rPr>
        <w:tab/>
      </w:r>
      <w:proofErr w:type="spellStart"/>
      <w:r>
        <w:rPr>
          <w:b/>
          <w:bCs/>
        </w:rPr>
        <w:t>Dammann</w:t>
      </w:r>
      <w:proofErr w:type="spellEnd"/>
      <w:r>
        <w:rPr>
          <w:b/>
          <w:bCs/>
        </w:rPr>
        <w:t xml:space="preserve"> HG</w:t>
      </w:r>
      <w:r>
        <w:t xml:space="preserve">, </w:t>
      </w:r>
      <w:proofErr w:type="spellStart"/>
      <w:r>
        <w:t>Burkhardt</w:t>
      </w:r>
      <w:proofErr w:type="spellEnd"/>
      <w:r>
        <w:t xml:space="preserve"> F. Pantoprazole versus omeprazole: influence on meal-stimulated gastric acid secretion. </w:t>
      </w:r>
      <w:proofErr w:type="spellStart"/>
      <w:r>
        <w:rPr>
          <w:i/>
          <w:iCs/>
        </w:rPr>
        <w:t>Eur</w:t>
      </w:r>
      <w:proofErr w:type="spellEnd"/>
      <w:r>
        <w:rPr>
          <w:i/>
          <w:iCs/>
        </w:rPr>
        <w:t xml:space="preserve"> J </w:t>
      </w:r>
      <w:proofErr w:type="spellStart"/>
      <w:r>
        <w:rPr>
          <w:i/>
          <w:iCs/>
        </w:rPr>
        <w:t>Gastroenterol</w:t>
      </w:r>
      <w:proofErr w:type="spellEnd"/>
      <w:r>
        <w:rPr>
          <w:i/>
          <w:iCs/>
        </w:rPr>
        <w:t xml:space="preserve"> </w:t>
      </w:r>
      <w:proofErr w:type="spellStart"/>
      <w:r>
        <w:rPr>
          <w:i/>
          <w:iCs/>
        </w:rPr>
        <w:t>Hepatol</w:t>
      </w:r>
      <w:proofErr w:type="spellEnd"/>
      <w:r>
        <w:t xml:space="preserve"> 1999; </w:t>
      </w:r>
      <w:r>
        <w:rPr>
          <w:b/>
          <w:bCs/>
        </w:rPr>
        <w:t>11</w:t>
      </w:r>
      <w:r>
        <w:t>: 1277-1282 [</w:t>
      </w:r>
      <w:proofErr w:type="spellStart"/>
      <w:r>
        <w:t>PMID</w:t>
      </w:r>
      <w:proofErr w:type="spellEnd"/>
      <w:r>
        <w:t>: 10563540]</w:t>
      </w:r>
    </w:p>
    <w:p w:rsidR="008F3BB2" w:rsidRDefault="008F3BB2" w:rsidP="008F3BB2">
      <w:pPr>
        <w:pStyle w:val="-1"/>
      </w:pPr>
      <w:r>
        <w:t>11</w:t>
      </w:r>
      <w:r w:rsidRPr="000F3ABF">
        <w:rPr>
          <w:b/>
          <w:bCs/>
        </w:rPr>
        <w:tab/>
      </w:r>
      <w:r>
        <w:rPr>
          <w:b/>
          <w:bCs/>
        </w:rPr>
        <w:t xml:space="preserve">Shin </w:t>
      </w:r>
      <w:proofErr w:type="spellStart"/>
      <w:r>
        <w:rPr>
          <w:b/>
          <w:bCs/>
        </w:rPr>
        <w:t>JM</w:t>
      </w:r>
      <w:proofErr w:type="spellEnd"/>
      <w:r>
        <w:t xml:space="preserve">, </w:t>
      </w:r>
      <w:proofErr w:type="spellStart"/>
      <w:r>
        <w:t>Inatomi</w:t>
      </w:r>
      <w:proofErr w:type="spellEnd"/>
      <w:r>
        <w:t xml:space="preserve"> N, Munson K, </w:t>
      </w:r>
      <w:proofErr w:type="spellStart"/>
      <w:r>
        <w:t>Strugatsky</w:t>
      </w:r>
      <w:proofErr w:type="spellEnd"/>
      <w:r>
        <w:t xml:space="preserve"> D, </w:t>
      </w:r>
      <w:proofErr w:type="spellStart"/>
      <w:r>
        <w:t>Tokhtaeva</w:t>
      </w:r>
      <w:proofErr w:type="spellEnd"/>
      <w:r>
        <w:t xml:space="preserve"> E, </w:t>
      </w:r>
      <w:proofErr w:type="spellStart"/>
      <w:r>
        <w:t>Vagin</w:t>
      </w:r>
      <w:proofErr w:type="spellEnd"/>
      <w:r>
        <w:t xml:space="preserve"> O, Sachs G. Characterization of a novel potassium-competitive acid blocker of the gastric </w:t>
      </w:r>
      <w:proofErr w:type="spellStart"/>
      <w:r>
        <w:t>H,K</w:t>
      </w:r>
      <w:proofErr w:type="spellEnd"/>
      <w:r>
        <w:t xml:space="preserve">-ATPase, 1-[5-(2-fluorophenyl)-1-(pyridin-3-ylsulfonyl)-1H-pyrrol-3-yl]-N-methylmethanamine </w:t>
      </w:r>
      <w:proofErr w:type="spellStart"/>
      <w:r>
        <w:t>monofumarate</w:t>
      </w:r>
      <w:proofErr w:type="spellEnd"/>
      <w:r>
        <w:t xml:space="preserve"> (TAK-438). </w:t>
      </w:r>
      <w:r>
        <w:rPr>
          <w:i/>
          <w:iCs/>
        </w:rPr>
        <w:t xml:space="preserve">J </w:t>
      </w:r>
      <w:proofErr w:type="spellStart"/>
      <w:r>
        <w:rPr>
          <w:i/>
          <w:iCs/>
        </w:rPr>
        <w:t>Pharmacol</w:t>
      </w:r>
      <w:proofErr w:type="spellEnd"/>
      <w:r>
        <w:rPr>
          <w:i/>
          <w:iCs/>
        </w:rPr>
        <w:t xml:space="preserve"> </w:t>
      </w:r>
      <w:proofErr w:type="spellStart"/>
      <w:r>
        <w:rPr>
          <w:i/>
          <w:iCs/>
        </w:rPr>
        <w:t>Exp</w:t>
      </w:r>
      <w:proofErr w:type="spellEnd"/>
      <w:r>
        <w:rPr>
          <w:i/>
          <w:iCs/>
        </w:rPr>
        <w:t xml:space="preserve"> </w:t>
      </w:r>
      <w:proofErr w:type="spellStart"/>
      <w:r>
        <w:rPr>
          <w:i/>
          <w:iCs/>
        </w:rPr>
        <w:t>Ther</w:t>
      </w:r>
      <w:proofErr w:type="spellEnd"/>
      <w:r>
        <w:t xml:space="preserve"> 2011; </w:t>
      </w:r>
      <w:r>
        <w:rPr>
          <w:b/>
          <w:bCs/>
        </w:rPr>
        <w:t>339</w:t>
      </w:r>
      <w:r>
        <w:t>: 412-420 [</w:t>
      </w:r>
      <w:proofErr w:type="spellStart"/>
      <w:r>
        <w:t>PMID</w:t>
      </w:r>
      <w:proofErr w:type="spellEnd"/>
      <w:r>
        <w:t xml:space="preserve">: 21828261 </w:t>
      </w:r>
      <w:proofErr w:type="spellStart"/>
      <w:r>
        <w:t>DOI</w:t>
      </w:r>
      <w:proofErr w:type="spellEnd"/>
      <w:r>
        <w:t>: 10.1124/jpet.111.185314]</w:t>
      </w:r>
    </w:p>
    <w:p w:rsidR="008F3BB2" w:rsidRDefault="008F3BB2" w:rsidP="008F3BB2">
      <w:pPr>
        <w:pStyle w:val="-1"/>
      </w:pPr>
      <w:r>
        <w:t>12</w:t>
      </w:r>
      <w:r w:rsidRPr="000F3ABF">
        <w:rPr>
          <w:b/>
          <w:bCs/>
        </w:rPr>
        <w:tab/>
      </w:r>
      <w:r>
        <w:rPr>
          <w:b/>
          <w:bCs/>
        </w:rPr>
        <w:t>Hori Y</w:t>
      </w:r>
      <w:r>
        <w:t xml:space="preserve">, </w:t>
      </w:r>
      <w:proofErr w:type="spellStart"/>
      <w:r>
        <w:t>Imanishi</w:t>
      </w:r>
      <w:proofErr w:type="spellEnd"/>
      <w:r>
        <w:t xml:space="preserve"> A, Matsukawa J, </w:t>
      </w:r>
      <w:proofErr w:type="spellStart"/>
      <w:r>
        <w:t>Tsukimi</w:t>
      </w:r>
      <w:proofErr w:type="spellEnd"/>
      <w:r>
        <w:t xml:space="preserve"> Y, Nishida H, </w:t>
      </w:r>
      <w:proofErr w:type="spellStart"/>
      <w:r>
        <w:t>Arikawa</w:t>
      </w:r>
      <w:proofErr w:type="spellEnd"/>
      <w:r>
        <w:t xml:space="preserve"> Y, </w:t>
      </w:r>
      <w:proofErr w:type="spellStart"/>
      <w:r>
        <w:t>Hirase</w:t>
      </w:r>
      <w:proofErr w:type="spellEnd"/>
      <w:r>
        <w:t xml:space="preserve"> K, </w:t>
      </w:r>
      <w:proofErr w:type="spellStart"/>
      <w:r>
        <w:t>Kajino</w:t>
      </w:r>
      <w:proofErr w:type="spellEnd"/>
      <w:r>
        <w:t xml:space="preserve"> M, </w:t>
      </w:r>
      <w:proofErr w:type="spellStart"/>
      <w:r>
        <w:t>Inatomi</w:t>
      </w:r>
      <w:proofErr w:type="spellEnd"/>
      <w:r>
        <w:t xml:space="preserve"> N. 1-[5-(2-Fluorophenyl)-1-(pyridin-3-ylsulfonyl)-1H-pyrrol-3-yl]-N-methylmethanamine </w:t>
      </w:r>
      <w:proofErr w:type="spellStart"/>
      <w:r>
        <w:t>monofumarate</w:t>
      </w:r>
      <w:proofErr w:type="spellEnd"/>
      <w:r>
        <w:t xml:space="preserve"> (TAK-438), a novel and potent potassium-competitive acid blocker for the treatment of acid-related diseases. </w:t>
      </w:r>
      <w:r>
        <w:rPr>
          <w:i/>
          <w:iCs/>
        </w:rPr>
        <w:t xml:space="preserve">J </w:t>
      </w:r>
      <w:proofErr w:type="spellStart"/>
      <w:r>
        <w:rPr>
          <w:i/>
          <w:iCs/>
        </w:rPr>
        <w:t>Pharmacol</w:t>
      </w:r>
      <w:proofErr w:type="spellEnd"/>
      <w:r>
        <w:rPr>
          <w:i/>
          <w:iCs/>
        </w:rPr>
        <w:t xml:space="preserve"> </w:t>
      </w:r>
      <w:proofErr w:type="spellStart"/>
      <w:r>
        <w:rPr>
          <w:i/>
          <w:iCs/>
        </w:rPr>
        <w:t>Exp</w:t>
      </w:r>
      <w:proofErr w:type="spellEnd"/>
      <w:r>
        <w:rPr>
          <w:i/>
          <w:iCs/>
        </w:rPr>
        <w:t xml:space="preserve"> </w:t>
      </w:r>
      <w:proofErr w:type="spellStart"/>
      <w:r>
        <w:rPr>
          <w:i/>
          <w:iCs/>
        </w:rPr>
        <w:t>Ther</w:t>
      </w:r>
      <w:proofErr w:type="spellEnd"/>
      <w:r>
        <w:t xml:space="preserve"> 2010; </w:t>
      </w:r>
      <w:r>
        <w:rPr>
          <w:b/>
          <w:bCs/>
        </w:rPr>
        <w:t>335</w:t>
      </w:r>
      <w:r>
        <w:t>: 231-238 [</w:t>
      </w:r>
      <w:proofErr w:type="spellStart"/>
      <w:r>
        <w:t>PMID</w:t>
      </w:r>
      <w:proofErr w:type="spellEnd"/>
      <w:r>
        <w:t xml:space="preserve">: 20624992 </w:t>
      </w:r>
      <w:proofErr w:type="spellStart"/>
      <w:r>
        <w:t>DOI</w:t>
      </w:r>
      <w:proofErr w:type="spellEnd"/>
      <w:r>
        <w:t>: 10.1124/jpet.110.170274]</w:t>
      </w:r>
    </w:p>
    <w:p w:rsidR="008F3BB2" w:rsidRDefault="008F3BB2" w:rsidP="008F3BB2">
      <w:pPr>
        <w:pStyle w:val="-1"/>
      </w:pPr>
      <w:r>
        <w:t>13</w:t>
      </w:r>
      <w:r w:rsidRPr="000F3ABF">
        <w:rPr>
          <w:b/>
          <w:bCs/>
        </w:rPr>
        <w:tab/>
      </w:r>
      <w:r>
        <w:rPr>
          <w:b/>
          <w:bCs/>
        </w:rPr>
        <w:t>Matsukawa J</w:t>
      </w:r>
      <w:r>
        <w:t xml:space="preserve">, Hori Y, Nishida H, </w:t>
      </w:r>
      <w:proofErr w:type="spellStart"/>
      <w:r>
        <w:t>Kajino</w:t>
      </w:r>
      <w:proofErr w:type="spellEnd"/>
      <w:r>
        <w:t xml:space="preserve"> M, </w:t>
      </w:r>
      <w:proofErr w:type="spellStart"/>
      <w:r>
        <w:t>Inatomi</w:t>
      </w:r>
      <w:proofErr w:type="spellEnd"/>
      <w:r>
        <w:t xml:space="preserve"> N. </w:t>
      </w:r>
      <w:proofErr w:type="gramStart"/>
      <w:r>
        <w:t xml:space="preserve">A comparative study on the modes of action of TAK-438, a novel potassium-competitive acid blocker, and </w:t>
      </w:r>
      <w:proofErr w:type="spellStart"/>
      <w:r>
        <w:t>lansoprazole</w:t>
      </w:r>
      <w:proofErr w:type="spellEnd"/>
      <w:r>
        <w:t xml:space="preserve"> in primary cultured rabbit gastric glands.</w:t>
      </w:r>
      <w:proofErr w:type="gramEnd"/>
      <w:r>
        <w:t xml:space="preserve"> </w:t>
      </w:r>
      <w:proofErr w:type="spellStart"/>
      <w:r>
        <w:rPr>
          <w:i/>
          <w:iCs/>
        </w:rPr>
        <w:t>Biochem</w:t>
      </w:r>
      <w:proofErr w:type="spellEnd"/>
      <w:r>
        <w:rPr>
          <w:i/>
          <w:iCs/>
        </w:rPr>
        <w:t xml:space="preserve"> </w:t>
      </w:r>
      <w:proofErr w:type="spellStart"/>
      <w:r>
        <w:rPr>
          <w:i/>
          <w:iCs/>
        </w:rPr>
        <w:t>Pharmacol</w:t>
      </w:r>
      <w:proofErr w:type="spellEnd"/>
      <w:r>
        <w:t xml:space="preserve"> 2011; </w:t>
      </w:r>
      <w:r>
        <w:rPr>
          <w:b/>
          <w:bCs/>
        </w:rPr>
        <w:t>81</w:t>
      </w:r>
      <w:r>
        <w:t>: 1145-1151 [</w:t>
      </w:r>
      <w:proofErr w:type="spellStart"/>
      <w:r>
        <w:t>PMID</w:t>
      </w:r>
      <w:proofErr w:type="spellEnd"/>
      <w:r>
        <w:t xml:space="preserve">: 21371447 </w:t>
      </w:r>
      <w:proofErr w:type="spellStart"/>
      <w:r>
        <w:t>DOI</w:t>
      </w:r>
      <w:proofErr w:type="spellEnd"/>
      <w:r>
        <w:t>: 10.1016/j.bcp.2011.02.009]</w:t>
      </w:r>
    </w:p>
    <w:p w:rsidR="008F3BB2" w:rsidRDefault="008F3BB2" w:rsidP="008F3BB2">
      <w:pPr>
        <w:pStyle w:val="-1"/>
      </w:pPr>
      <w:r>
        <w:t>14</w:t>
      </w:r>
      <w:r w:rsidRPr="000F3ABF">
        <w:rPr>
          <w:b/>
          <w:bCs/>
        </w:rPr>
        <w:tab/>
      </w:r>
      <w:r>
        <w:rPr>
          <w:b/>
          <w:bCs/>
        </w:rPr>
        <w:t>Hori Y</w:t>
      </w:r>
      <w:r>
        <w:t xml:space="preserve">, Matsukawa J, Takeuchi T, Nishida H, </w:t>
      </w:r>
      <w:proofErr w:type="spellStart"/>
      <w:r>
        <w:t>Kajino</w:t>
      </w:r>
      <w:proofErr w:type="spellEnd"/>
      <w:r>
        <w:t xml:space="preserve"> M, </w:t>
      </w:r>
      <w:proofErr w:type="spellStart"/>
      <w:r>
        <w:t>Inatomi</w:t>
      </w:r>
      <w:proofErr w:type="spellEnd"/>
      <w:r>
        <w:t xml:space="preserve"> N. </w:t>
      </w:r>
      <w:proofErr w:type="gramStart"/>
      <w:r>
        <w:t xml:space="preserve">A study comparing the </w:t>
      </w:r>
      <w:proofErr w:type="spellStart"/>
      <w:r>
        <w:t>antisecretory</w:t>
      </w:r>
      <w:proofErr w:type="spellEnd"/>
      <w:r>
        <w:t xml:space="preserve"> effect of TAK-438, a novel potassium-competitive acid blocker, with </w:t>
      </w:r>
      <w:proofErr w:type="spellStart"/>
      <w:r>
        <w:t>lansoprazole</w:t>
      </w:r>
      <w:proofErr w:type="spellEnd"/>
      <w:r>
        <w:t xml:space="preserve"> in animals.</w:t>
      </w:r>
      <w:proofErr w:type="gramEnd"/>
      <w:r>
        <w:t xml:space="preserve"> </w:t>
      </w:r>
      <w:r>
        <w:rPr>
          <w:i/>
          <w:iCs/>
        </w:rPr>
        <w:t xml:space="preserve">J </w:t>
      </w:r>
      <w:proofErr w:type="spellStart"/>
      <w:r>
        <w:rPr>
          <w:i/>
          <w:iCs/>
        </w:rPr>
        <w:t>Pharmacol</w:t>
      </w:r>
      <w:proofErr w:type="spellEnd"/>
      <w:r>
        <w:rPr>
          <w:i/>
          <w:iCs/>
        </w:rPr>
        <w:t xml:space="preserve"> </w:t>
      </w:r>
      <w:proofErr w:type="spellStart"/>
      <w:r>
        <w:rPr>
          <w:i/>
          <w:iCs/>
        </w:rPr>
        <w:t>Exp</w:t>
      </w:r>
      <w:proofErr w:type="spellEnd"/>
      <w:r>
        <w:rPr>
          <w:i/>
          <w:iCs/>
        </w:rPr>
        <w:t xml:space="preserve"> </w:t>
      </w:r>
      <w:proofErr w:type="spellStart"/>
      <w:r>
        <w:rPr>
          <w:i/>
          <w:iCs/>
        </w:rPr>
        <w:t>Ther</w:t>
      </w:r>
      <w:proofErr w:type="spellEnd"/>
      <w:r>
        <w:t xml:space="preserve"> 2011; </w:t>
      </w:r>
      <w:r>
        <w:rPr>
          <w:b/>
          <w:bCs/>
        </w:rPr>
        <w:t>337</w:t>
      </w:r>
      <w:r>
        <w:t>: 797-804 [</w:t>
      </w:r>
      <w:proofErr w:type="spellStart"/>
      <w:r>
        <w:t>PMID</w:t>
      </w:r>
      <w:proofErr w:type="spellEnd"/>
      <w:r>
        <w:t xml:space="preserve">: 21411494 </w:t>
      </w:r>
      <w:proofErr w:type="spellStart"/>
      <w:r>
        <w:t>DOI</w:t>
      </w:r>
      <w:proofErr w:type="spellEnd"/>
      <w:r>
        <w:t>: 10.1124/jpet.111.179556]</w:t>
      </w:r>
    </w:p>
    <w:p w:rsidR="008F3BB2" w:rsidRDefault="008F3BB2" w:rsidP="008F3BB2">
      <w:pPr>
        <w:pStyle w:val="-1"/>
      </w:pPr>
      <w:r>
        <w:t>15</w:t>
      </w:r>
      <w:r w:rsidRPr="000F3ABF">
        <w:rPr>
          <w:b/>
          <w:bCs/>
        </w:rPr>
        <w:tab/>
      </w:r>
      <w:r>
        <w:rPr>
          <w:b/>
          <w:bCs/>
        </w:rPr>
        <w:t>Sakurai Y</w:t>
      </w:r>
      <w:r>
        <w:t xml:space="preserve">, Nishimura A, Kennedy G, </w:t>
      </w:r>
      <w:proofErr w:type="spellStart"/>
      <w:r>
        <w:t>Hibberd</w:t>
      </w:r>
      <w:proofErr w:type="spellEnd"/>
      <w:r>
        <w:t xml:space="preserve"> M, Jenkins R, Okamoto H, </w:t>
      </w:r>
      <w:proofErr w:type="spellStart"/>
      <w:r>
        <w:t>Yoneyama</w:t>
      </w:r>
      <w:proofErr w:type="spellEnd"/>
      <w:r>
        <w:t xml:space="preserve"> T, Jenkins H, </w:t>
      </w:r>
      <w:proofErr w:type="spellStart"/>
      <w:r>
        <w:t>Ashida</w:t>
      </w:r>
      <w:proofErr w:type="spellEnd"/>
      <w:r>
        <w:t xml:space="preserve"> K, </w:t>
      </w:r>
      <w:proofErr w:type="spellStart"/>
      <w:r>
        <w:t>Irie</w:t>
      </w:r>
      <w:proofErr w:type="spellEnd"/>
      <w:r>
        <w:t xml:space="preserve"> S, </w:t>
      </w:r>
      <w:proofErr w:type="spellStart"/>
      <w:r>
        <w:t>Täubel</w:t>
      </w:r>
      <w:proofErr w:type="spellEnd"/>
      <w:r>
        <w:t xml:space="preserve"> J. Safety, </w:t>
      </w:r>
      <w:r>
        <w:lastRenderedPageBreak/>
        <w:t>Tolerability, Pharmacokinetics, and Pharmacodynamics of Single Rising TAK-438 (</w:t>
      </w:r>
      <w:proofErr w:type="spellStart"/>
      <w:r>
        <w:t>Vonoprazan</w:t>
      </w:r>
      <w:proofErr w:type="spellEnd"/>
      <w:r>
        <w:t xml:space="preserve">) Doses in Healthy Male Japanese/non-Japanese Subjects. </w:t>
      </w:r>
      <w:proofErr w:type="spellStart"/>
      <w:r>
        <w:rPr>
          <w:i/>
          <w:iCs/>
        </w:rPr>
        <w:t>Clin</w:t>
      </w:r>
      <w:proofErr w:type="spellEnd"/>
      <w:r>
        <w:rPr>
          <w:i/>
          <w:iCs/>
        </w:rPr>
        <w:t xml:space="preserve"> </w:t>
      </w:r>
      <w:proofErr w:type="spellStart"/>
      <w:r>
        <w:rPr>
          <w:i/>
          <w:iCs/>
        </w:rPr>
        <w:t>Transl</w:t>
      </w:r>
      <w:proofErr w:type="spellEnd"/>
      <w:r>
        <w:rPr>
          <w:i/>
          <w:iCs/>
        </w:rPr>
        <w:t xml:space="preserve"> </w:t>
      </w:r>
      <w:proofErr w:type="spellStart"/>
      <w:r>
        <w:rPr>
          <w:i/>
          <w:iCs/>
        </w:rPr>
        <w:t>Gastroenterol</w:t>
      </w:r>
      <w:proofErr w:type="spellEnd"/>
      <w:r>
        <w:t xml:space="preserve"> 2015; </w:t>
      </w:r>
      <w:r>
        <w:rPr>
          <w:b/>
          <w:bCs/>
        </w:rPr>
        <w:t>6</w:t>
      </w:r>
      <w:r>
        <w:t>: e94 [</w:t>
      </w:r>
      <w:proofErr w:type="spellStart"/>
      <w:r>
        <w:t>PMID</w:t>
      </w:r>
      <w:proofErr w:type="spellEnd"/>
      <w:r>
        <w:t xml:space="preserve">: 26111126 </w:t>
      </w:r>
      <w:proofErr w:type="spellStart"/>
      <w:r>
        <w:t>DOI</w:t>
      </w:r>
      <w:proofErr w:type="spellEnd"/>
      <w:r>
        <w:t>: 10.1038/ctg.2015.18]</w:t>
      </w:r>
    </w:p>
    <w:p w:rsidR="008F3BB2" w:rsidRDefault="008F3BB2" w:rsidP="008F3BB2">
      <w:pPr>
        <w:pStyle w:val="-1"/>
      </w:pPr>
      <w:r>
        <w:t>16</w:t>
      </w:r>
      <w:r w:rsidRPr="000F3ABF">
        <w:rPr>
          <w:b/>
          <w:bCs/>
        </w:rPr>
        <w:tab/>
      </w:r>
      <w:r>
        <w:rPr>
          <w:b/>
          <w:bCs/>
        </w:rPr>
        <w:t>Jenkins H</w:t>
      </w:r>
      <w:r>
        <w:t xml:space="preserve">, Sakurai Y, Nishimura A, Okamoto H, </w:t>
      </w:r>
      <w:proofErr w:type="spellStart"/>
      <w:r>
        <w:t>Hibberd</w:t>
      </w:r>
      <w:proofErr w:type="spellEnd"/>
      <w:r>
        <w:t xml:space="preserve"> M, Jenkins R, </w:t>
      </w:r>
      <w:proofErr w:type="spellStart"/>
      <w:r>
        <w:t>Yoneyama</w:t>
      </w:r>
      <w:proofErr w:type="spellEnd"/>
      <w:r>
        <w:t xml:space="preserve"> T, </w:t>
      </w:r>
      <w:proofErr w:type="spellStart"/>
      <w:r>
        <w:t>Ashida</w:t>
      </w:r>
      <w:proofErr w:type="spellEnd"/>
      <w:r>
        <w:t xml:space="preserve"> K, </w:t>
      </w:r>
      <w:proofErr w:type="spellStart"/>
      <w:r>
        <w:t>Ogama</w:t>
      </w:r>
      <w:proofErr w:type="spellEnd"/>
      <w:r>
        <w:t xml:space="preserve"> Y, Warrington S. </w:t>
      </w:r>
      <w:proofErr w:type="spellStart"/>
      <w:r>
        <w:t>Randomised</w:t>
      </w:r>
      <w:proofErr w:type="spellEnd"/>
      <w:r>
        <w:t xml:space="preserve"> clinical trial: safety, tolerability, pharmacokinetics and pharmacodynamics of repeated doses of TAK-438 (</w:t>
      </w:r>
      <w:proofErr w:type="spellStart"/>
      <w:r>
        <w:t>vonoprazan</w:t>
      </w:r>
      <w:proofErr w:type="spellEnd"/>
      <w:r>
        <w:t xml:space="preserve">), a novel potassium-competitive acid blocker, in healthy male subjects.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2015; </w:t>
      </w:r>
      <w:r>
        <w:rPr>
          <w:b/>
          <w:bCs/>
        </w:rPr>
        <w:t>41</w:t>
      </w:r>
      <w:r>
        <w:t>: 636-648 [</w:t>
      </w:r>
      <w:proofErr w:type="spellStart"/>
      <w:r>
        <w:t>PMID</w:t>
      </w:r>
      <w:proofErr w:type="spellEnd"/>
      <w:r>
        <w:t xml:space="preserve">: 25707624 </w:t>
      </w:r>
      <w:proofErr w:type="spellStart"/>
      <w:r>
        <w:t>DOI</w:t>
      </w:r>
      <w:proofErr w:type="spellEnd"/>
      <w:r>
        <w:t>: 10.1111/apt.13121]</w:t>
      </w:r>
    </w:p>
    <w:p w:rsidR="008F3BB2" w:rsidRDefault="008F3BB2" w:rsidP="008F3BB2">
      <w:pPr>
        <w:pStyle w:val="-1"/>
      </w:pPr>
      <w:r>
        <w:t>17</w:t>
      </w:r>
      <w:r w:rsidRPr="000F3ABF">
        <w:rPr>
          <w:b/>
          <w:bCs/>
        </w:rPr>
        <w:tab/>
      </w:r>
      <w:proofErr w:type="spellStart"/>
      <w:r>
        <w:rPr>
          <w:b/>
          <w:bCs/>
        </w:rPr>
        <w:t>Lauritsen</w:t>
      </w:r>
      <w:proofErr w:type="spellEnd"/>
      <w:r>
        <w:rPr>
          <w:b/>
          <w:bCs/>
        </w:rPr>
        <w:t xml:space="preserve"> K</w:t>
      </w:r>
      <w:r>
        <w:t xml:space="preserve">, </w:t>
      </w:r>
      <w:proofErr w:type="spellStart"/>
      <w:r>
        <w:t>Devière</w:t>
      </w:r>
      <w:proofErr w:type="spellEnd"/>
      <w:r>
        <w:t xml:space="preserve"> J, </w:t>
      </w:r>
      <w:proofErr w:type="spellStart"/>
      <w:r>
        <w:t>Bigard</w:t>
      </w:r>
      <w:proofErr w:type="spellEnd"/>
      <w:r>
        <w:t xml:space="preserve"> MA, </w:t>
      </w:r>
      <w:proofErr w:type="spellStart"/>
      <w:r>
        <w:t>Bayerdörffer</w:t>
      </w:r>
      <w:proofErr w:type="spellEnd"/>
      <w:r>
        <w:t xml:space="preserve"> E, </w:t>
      </w:r>
      <w:proofErr w:type="spellStart"/>
      <w:r>
        <w:t>Mózsik</w:t>
      </w:r>
      <w:proofErr w:type="spellEnd"/>
      <w:r>
        <w:t xml:space="preserve"> G, Murray F, </w:t>
      </w:r>
      <w:proofErr w:type="spellStart"/>
      <w:r>
        <w:t>Kristjánsdóttir</w:t>
      </w:r>
      <w:proofErr w:type="spellEnd"/>
      <w:r>
        <w:t xml:space="preserve"> S, </w:t>
      </w:r>
      <w:proofErr w:type="spellStart"/>
      <w:r>
        <w:t>Savarino</w:t>
      </w:r>
      <w:proofErr w:type="spellEnd"/>
      <w:r>
        <w:t xml:space="preserve"> V, </w:t>
      </w:r>
      <w:proofErr w:type="spellStart"/>
      <w:r>
        <w:t>Vetvik</w:t>
      </w:r>
      <w:proofErr w:type="spellEnd"/>
      <w:r>
        <w:t xml:space="preserve"> K, De </w:t>
      </w:r>
      <w:proofErr w:type="spellStart"/>
      <w:r>
        <w:t>Freitas</w:t>
      </w:r>
      <w:proofErr w:type="spellEnd"/>
      <w:r>
        <w:t xml:space="preserve"> D, </w:t>
      </w:r>
      <w:proofErr w:type="spellStart"/>
      <w:r>
        <w:t>Orive</w:t>
      </w:r>
      <w:proofErr w:type="spellEnd"/>
      <w:r>
        <w:t xml:space="preserve"> V, Rodrigo L, Fried M, Morris J, Schneider H, </w:t>
      </w:r>
      <w:proofErr w:type="spellStart"/>
      <w:r>
        <w:t>Eklund</w:t>
      </w:r>
      <w:proofErr w:type="spellEnd"/>
      <w:r>
        <w:t xml:space="preserve"> S, </w:t>
      </w:r>
      <w:proofErr w:type="spellStart"/>
      <w:r>
        <w:t>Larkö</w:t>
      </w:r>
      <w:proofErr w:type="spellEnd"/>
      <w:r>
        <w:t xml:space="preserve"> A. Esomeprazole 20 mg and </w:t>
      </w:r>
      <w:proofErr w:type="spellStart"/>
      <w:r>
        <w:t>lansoprazole</w:t>
      </w:r>
      <w:proofErr w:type="spellEnd"/>
      <w:r>
        <w:t xml:space="preserve"> 15 mg in maintaining healed reflux </w:t>
      </w:r>
      <w:proofErr w:type="spellStart"/>
      <w:r>
        <w:t>oesophagitis</w:t>
      </w:r>
      <w:proofErr w:type="spellEnd"/>
      <w:r>
        <w:t xml:space="preserve">: </w:t>
      </w:r>
      <w:proofErr w:type="spellStart"/>
      <w:r>
        <w:t>Metropole</w:t>
      </w:r>
      <w:proofErr w:type="spellEnd"/>
      <w:r>
        <w:t xml:space="preserve"> study results.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2003; </w:t>
      </w:r>
      <w:r>
        <w:rPr>
          <w:b/>
          <w:bCs/>
        </w:rPr>
        <w:t xml:space="preserve">17 </w:t>
      </w:r>
      <w:proofErr w:type="spellStart"/>
      <w:r>
        <w:t>Suppl</w:t>
      </w:r>
      <w:proofErr w:type="spellEnd"/>
      <w:r>
        <w:t xml:space="preserve"> 1: 24; discussion 25-24; discussion 27 [</w:t>
      </w:r>
      <w:proofErr w:type="spellStart"/>
      <w:r>
        <w:t>PMID</w:t>
      </w:r>
      <w:proofErr w:type="spellEnd"/>
      <w:r>
        <w:t xml:space="preserve">: 12614304 </w:t>
      </w:r>
      <w:proofErr w:type="spellStart"/>
      <w:r>
        <w:t>DOI</w:t>
      </w:r>
      <w:proofErr w:type="spellEnd"/>
      <w:r>
        <w:t>: 10.1046/j.1365-2036.17.s1.7.x]</w:t>
      </w:r>
    </w:p>
    <w:p w:rsidR="008F3BB2" w:rsidRDefault="008F3BB2" w:rsidP="008F3BB2">
      <w:pPr>
        <w:pStyle w:val="-1"/>
      </w:pPr>
      <w:r>
        <w:t>18</w:t>
      </w:r>
      <w:r w:rsidRPr="000F3ABF">
        <w:rPr>
          <w:b/>
          <w:bCs/>
        </w:rPr>
        <w:tab/>
      </w:r>
      <w:proofErr w:type="spellStart"/>
      <w:r>
        <w:rPr>
          <w:b/>
          <w:bCs/>
        </w:rPr>
        <w:t>Ashida</w:t>
      </w:r>
      <w:proofErr w:type="spellEnd"/>
      <w:r>
        <w:rPr>
          <w:b/>
          <w:bCs/>
        </w:rPr>
        <w:t xml:space="preserve"> K</w:t>
      </w:r>
      <w:r>
        <w:t xml:space="preserve">, Sakurai Y, Hori T, </w:t>
      </w:r>
      <w:proofErr w:type="spellStart"/>
      <w:r>
        <w:t>Kudou</w:t>
      </w:r>
      <w:proofErr w:type="spellEnd"/>
      <w:r>
        <w:t xml:space="preserve"> K, Nishimura A, </w:t>
      </w:r>
      <w:proofErr w:type="spellStart"/>
      <w:r>
        <w:t>Hiramatsu</w:t>
      </w:r>
      <w:proofErr w:type="spellEnd"/>
      <w:r>
        <w:t xml:space="preserve"> N, </w:t>
      </w:r>
      <w:proofErr w:type="spellStart"/>
      <w:r>
        <w:t>Umegaki</w:t>
      </w:r>
      <w:proofErr w:type="spellEnd"/>
      <w:r>
        <w:t xml:space="preserve"> E, </w:t>
      </w:r>
      <w:proofErr w:type="spellStart"/>
      <w:r>
        <w:t>Iwakiri</w:t>
      </w:r>
      <w:proofErr w:type="spellEnd"/>
      <w:r>
        <w:t xml:space="preserve"> K. </w:t>
      </w:r>
      <w:proofErr w:type="spellStart"/>
      <w:r>
        <w:t>Randomised</w:t>
      </w:r>
      <w:proofErr w:type="spellEnd"/>
      <w:r>
        <w:t xml:space="preserve"> clinical trial: </w:t>
      </w:r>
      <w:proofErr w:type="spellStart"/>
      <w:r>
        <w:t>vonoprazan</w:t>
      </w:r>
      <w:proofErr w:type="spellEnd"/>
      <w:r>
        <w:t xml:space="preserve">, a novel potassium-competitive acid blocker, vs. </w:t>
      </w:r>
      <w:proofErr w:type="spellStart"/>
      <w:r>
        <w:t>lansoprazole</w:t>
      </w:r>
      <w:proofErr w:type="spellEnd"/>
      <w:r>
        <w:t xml:space="preserve"> for the healing of erosive </w:t>
      </w:r>
      <w:proofErr w:type="spellStart"/>
      <w:r>
        <w:t>oesophagitis</w:t>
      </w:r>
      <w:proofErr w:type="spellEnd"/>
      <w:r>
        <w:t xml:space="preserve">.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2016; </w:t>
      </w:r>
      <w:r>
        <w:rPr>
          <w:b/>
          <w:bCs/>
        </w:rPr>
        <w:t>43</w:t>
      </w:r>
      <w:r>
        <w:t>: 240-251 [</w:t>
      </w:r>
      <w:proofErr w:type="spellStart"/>
      <w:r>
        <w:t>PMID</w:t>
      </w:r>
      <w:proofErr w:type="spellEnd"/>
      <w:r>
        <w:t xml:space="preserve">: 26559637 </w:t>
      </w:r>
      <w:proofErr w:type="spellStart"/>
      <w:r>
        <w:t>DOI</w:t>
      </w:r>
      <w:proofErr w:type="spellEnd"/>
      <w:r>
        <w:t>: 10.1111/apt.13461]</w:t>
      </w:r>
    </w:p>
    <w:p w:rsidR="008F3BB2" w:rsidRDefault="008F3BB2" w:rsidP="008F3BB2">
      <w:pPr>
        <w:pStyle w:val="-1"/>
      </w:pPr>
      <w:r>
        <w:t>19</w:t>
      </w:r>
      <w:r w:rsidRPr="000F3ABF">
        <w:rPr>
          <w:b/>
          <w:bCs/>
        </w:rPr>
        <w:tab/>
      </w:r>
      <w:proofErr w:type="spellStart"/>
      <w:r>
        <w:rPr>
          <w:b/>
          <w:bCs/>
        </w:rPr>
        <w:t>Kahrilas</w:t>
      </w:r>
      <w:proofErr w:type="spellEnd"/>
      <w:r>
        <w:rPr>
          <w:b/>
          <w:bCs/>
        </w:rPr>
        <w:t xml:space="preserve"> </w:t>
      </w:r>
      <w:proofErr w:type="spellStart"/>
      <w:r>
        <w:rPr>
          <w:b/>
          <w:bCs/>
        </w:rPr>
        <w:t>PJ</w:t>
      </w:r>
      <w:proofErr w:type="spellEnd"/>
      <w:r>
        <w:t xml:space="preserve">, Dent J, </w:t>
      </w:r>
      <w:proofErr w:type="spellStart"/>
      <w:r>
        <w:t>Lauritsen</w:t>
      </w:r>
      <w:proofErr w:type="spellEnd"/>
      <w:r>
        <w:t xml:space="preserve"> K, </w:t>
      </w:r>
      <w:proofErr w:type="spellStart"/>
      <w:r>
        <w:t>Malfertheiner</w:t>
      </w:r>
      <w:proofErr w:type="spellEnd"/>
      <w:r>
        <w:t xml:space="preserve"> P, Denison H, </w:t>
      </w:r>
      <w:proofErr w:type="spellStart"/>
      <w:r>
        <w:t>Franzén</w:t>
      </w:r>
      <w:proofErr w:type="spellEnd"/>
      <w:r>
        <w:t xml:space="preserve"> S, </w:t>
      </w:r>
      <w:proofErr w:type="spellStart"/>
      <w:r>
        <w:t>Hasselgren</w:t>
      </w:r>
      <w:proofErr w:type="spellEnd"/>
      <w:r>
        <w:t xml:space="preserve"> G. </w:t>
      </w:r>
      <w:proofErr w:type="gramStart"/>
      <w:r>
        <w:t>A randomized, comparative study of three doses of AZD0865 and esomeprazole for healing of reflux esophagitis.</w:t>
      </w:r>
      <w:proofErr w:type="gramEnd"/>
      <w:r>
        <w:t xml:space="preserve"> </w:t>
      </w:r>
      <w:proofErr w:type="spellStart"/>
      <w:r>
        <w:rPr>
          <w:i/>
          <w:iCs/>
        </w:rPr>
        <w:t>Clin</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2007; </w:t>
      </w:r>
      <w:r>
        <w:rPr>
          <w:b/>
          <w:bCs/>
        </w:rPr>
        <w:t>5</w:t>
      </w:r>
      <w:r>
        <w:t>: 1385-1391 [</w:t>
      </w:r>
      <w:proofErr w:type="spellStart"/>
      <w:r>
        <w:t>PMID</w:t>
      </w:r>
      <w:proofErr w:type="spellEnd"/>
      <w:r>
        <w:t xml:space="preserve">: 17950677 </w:t>
      </w:r>
      <w:proofErr w:type="spellStart"/>
      <w:r>
        <w:t>DOI</w:t>
      </w:r>
      <w:proofErr w:type="spellEnd"/>
      <w:r>
        <w:t>: 10.1016/j.cgh.2007.08.014]</w:t>
      </w:r>
    </w:p>
    <w:p w:rsidR="008F3BB2" w:rsidRDefault="008F3BB2" w:rsidP="008F3BB2">
      <w:pPr>
        <w:pStyle w:val="-1"/>
      </w:pPr>
      <w:r>
        <w:t>20</w:t>
      </w:r>
      <w:r w:rsidRPr="000F3ABF">
        <w:rPr>
          <w:b/>
          <w:bCs/>
        </w:rPr>
        <w:tab/>
      </w:r>
      <w:r>
        <w:rPr>
          <w:b/>
          <w:bCs/>
        </w:rPr>
        <w:t>Endo M</w:t>
      </w:r>
      <w:r>
        <w:t>, Sugihara K. [Long-term maintenance treatment of reflux esophagitis resistant to H2-RA with PPI (</w:t>
      </w:r>
      <w:proofErr w:type="spellStart"/>
      <w:r>
        <w:t>lansoprazole</w:t>
      </w:r>
      <w:proofErr w:type="spellEnd"/>
      <w:r>
        <w:t xml:space="preserve">)]. </w:t>
      </w:r>
      <w:r>
        <w:rPr>
          <w:i/>
          <w:iCs/>
        </w:rPr>
        <w:t xml:space="preserve">Nihon </w:t>
      </w:r>
      <w:proofErr w:type="spellStart"/>
      <w:r>
        <w:rPr>
          <w:i/>
          <w:iCs/>
        </w:rPr>
        <w:t>Rinsho</w:t>
      </w:r>
      <w:proofErr w:type="spellEnd"/>
      <w:r>
        <w:t xml:space="preserve"> 2000; </w:t>
      </w:r>
      <w:r>
        <w:rPr>
          <w:b/>
          <w:bCs/>
        </w:rPr>
        <w:t>58</w:t>
      </w:r>
      <w:r>
        <w:t>: 1865-1870 [</w:t>
      </w:r>
      <w:proofErr w:type="spellStart"/>
      <w:r>
        <w:t>PMID</w:t>
      </w:r>
      <w:proofErr w:type="spellEnd"/>
      <w:r>
        <w:t>: 11004817]</w:t>
      </w:r>
    </w:p>
    <w:p w:rsidR="008F3BB2" w:rsidRDefault="008F3BB2" w:rsidP="008F3BB2">
      <w:pPr>
        <w:pStyle w:val="-1"/>
      </w:pPr>
      <w:r>
        <w:t>21</w:t>
      </w:r>
      <w:r w:rsidRPr="000F3ABF">
        <w:rPr>
          <w:b/>
          <w:bCs/>
        </w:rPr>
        <w:tab/>
      </w:r>
      <w:r>
        <w:rPr>
          <w:b/>
          <w:bCs/>
        </w:rPr>
        <w:t xml:space="preserve">Farrington </w:t>
      </w:r>
      <w:proofErr w:type="spellStart"/>
      <w:r>
        <w:rPr>
          <w:b/>
          <w:bCs/>
        </w:rPr>
        <w:t>CP</w:t>
      </w:r>
      <w:proofErr w:type="spellEnd"/>
      <w:r>
        <w:t xml:space="preserve">, Manning G. Test statistics and sample size formulae for comparative binomial trials with null hypothesis of non-zero risk difference or non-unity relative risk. </w:t>
      </w:r>
      <w:r>
        <w:rPr>
          <w:i/>
          <w:iCs/>
        </w:rPr>
        <w:t>Stat Med</w:t>
      </w:r>
      <w:r>
        <w:t xml:space="preserve"> 1990; </w:t>
      </w:r>
      <w:r>
        <w:rPr>
          <w:b/>
          <w:bCs/>
        </w:rPr>
        <w:t>9</w:t>
      </w:r>
      <w:r>
        <w:t>: 1447-1454 [</w:t>
      </w:r>
      <w:proofErr w:type="spellStart"/>
      <w:r>
        <w:t>PMID</w:t>
      </w:r>
      <w:proofErr w:type="spellEnd"/>
      <w:r>
        <w:t xml:space="preserve">: 2281232 </w:t>
      </w:r>
      <w:proofErr w:type="spellStart"/>
      <w:r>
        <w:t>DOI</w:t>
      </w:r>
      <w:proofErr w:type="spellEnd"/>
      <w:r>
        <w:t>: 10.1002/sim.4780091208]</w:t>
      </w:r>
    </w:p>
    <w:p w:rsidR="008F3BB2" w:rsidRDefault="008F3BB2" w:rsidP="008F3BB2">
      <w:pPr>
        <w:pStyle w:val="-1"/>
      </w:pPr>
      <w:r w:rsidRPr="000F3ABF">
        <w:rPr>
          <w:b/>
          <w:bCs/>
        </w:rPr>
        <w:t>22</w:t>
      </w:r>
      <w:r w:rsidRPr="000F3ABF">
        <w:rPr>
          <w:b/>
          <w:bCs/>
        </w:rPr>
        <w:tab/>
      </w:r>
      <w:r>
        <w:rPr>
          <w:b/>
          <w:bCs/>
        </w:rPr>
        <w:t>Fujiwara Y</w:t>
      </w:r>
      <w:r>
        <w:t xml:space="preserve">, Arakawa T. Epidemiology and clinical characteristics of </w:t>
      </w:r>
      <w:proofErr w:type="spellStart"/>
      <w:r>
        <w:t>GERD</w:t>
      </w:r>
      <w:proofErr w:type="spellEnd"/>
      <w:r>
        <w:t xml:space="preserve"> in the Japanese population. </w:t>
      </w:r>
      <w:r>
        <w:rPr>
          <w:i/>
          <w:iCs/>
        </w:rPr>
        <w:t xml:space="preserve">J </w:t>
      </w:r>
      <w:proofErr w:type="spellStart"/>
      <w:r>
        <w:rPr>
          <w:i/>
          <w:iCs/>
        </w:rPr>
        <w:t>Gastroenterol</w:t>
      </w:r>
      <w:proofErr w:type="spellEnd"/>
      <w:r>
        <w:t xml:space="preserve"> 2009; </w:t>
      </w:r>
      <w:r>
        <w:rPr>
          <w:b/>
          <w:bCs/>
        </w:rPr>
        <w:t>44</w:t>
      </w:r>
      <w:r>
        <w:t>: 518-534 [</w:t>
      </w:r>
      <w:proofErr w:type="spellStart"/>
      <w:r>
        <w:t>PMID</w:t>
      </w:r>
      <w:proofErr w:type="spellEnd"/>
      <w:r>
        <w:t xml:space="preserve">: 19365600 </w:t>
      </w:r>
      <w:proofErr w:type="spellStart"/>
      <w:r>
        <w:t>DOI</w:t>
      </w:r>
      <w:proofErr w:type="spellEnd"/>
      <w:r>
        <w:t>: 10.1007/s00535-009-0047-5]</w:t>
      </w:r>
    </w:p>
    <w:p w:rsidR="008F3BB2" w:rsidRDefault="008F3BB2" w:rsidP="008F3BB2">
      <w:pPr>
        <w:pStyle w:val="-1"/>
      </w:pPr>
      <w:r w:rsidRPr="000F3ABF">
        <w:rPr>
          <w:b/>
          <w:bCs/>
        </w:rPr>
        <w:t>23</w:t>
      </w:r>
      <w:r w:rsidRPr="000F3ABF">
        <w:rPr>
          <w:b/>
          <w:bCs/>
        </w:rPr>
        <w:tab/>
      </w:r>
      <w:r>
        <w:rPr>
          <w:b/>
          <w:bCs/>
        </w:rPr>
        <w:t>Higuchi K</w:t>
      </w:r>
      <w:r>
        <w:t xml:space="preserve">, </w:t>
      </w:r>
      <w:proofErr w:type="spellStart"/>
      <w:r>
        <w:t>Joh</w:t>
      </w:r>
      <w:proofErr w:type="spellEnd"/>
      <w:r>
        <w:t xml:space="preserve"> T, </w:t>
      </w:r>
      <w:proofErr w:type="spellStart"/>
      <w:r>
        <w:t>Nakada</w:t>
      </w:r>
      <w:proofErr w:type="spellEnd"/>
      <w:r>
        <w:t xml:space="preserve"> K, </w:t>
      </w:r>
      <w:proofErr w:type="spellStart"/>
      <w:r>
        <w:t>Haruma</w:t>
      </w:r>
      <w:proofErr w:type="spellEnd"/>
      <w:r>
        <w:t xml:space="preserve"> K. Is proton pump inhibitor therapy for reflux esophagitis sufficient</w:t>
      </w:r>
      <w:proofErr w:type="gramStart"/>
      <w:r>
        <w:t>?:</w:t>
      </w:r>
      <w:proofErr w:type="gramEnd"/>
      <w:r>
        <w:t xml:space="preserve"> a large real-world survey of Japanese patients. </w:t>
      </w:r>
      <w:r>
        <w:rPr>
          <w:i/>
          <w:iCs/>
        </w:rPr>
        <w:t>Intern Med</w:t>
      </w:r>
      <w:r>
        <w:t xml:space="preserve"> 2013; </w:t>
      </w:r>
      <w:r>
        <w:rPr>
          <w:b/>
          <w:bCs/>
        </w:rPr>
        <w:t>52</w:t>
      </w:r>
      <w:r>
        <w:t>: 1447-1454 [</w:t>
      </w:r>
      <w:proofErr w:type="spellStart"/>
      <w:r>
        <w:t>PMID</w:t>
      </w:r>
      <w:proofErr w:type="spellEnd"/>
      <w:r>
        <w:t xml:space="preserve">: 23812190 </w:t>
      </w:r>
      <w:proofErr w:type="spellStart"/>
      <w:r>
        <w:t>DOI</w:t>
      </w:r>
      <w:proofErr w:type="spellEnd"/>
      <w:r>
        <w:t>: 10.2169/internalmedicine.52.0349]</w:t>
      </w:r>
    </w:p>
    <w:p w:rsidR="008F3BB2" w:rsidRDefault="008F3BB2" w:rsidP="008F3BB2">
      <w:pPr>
        <w:pStyle w:val="-1"/>
      </w:pPr>
      <w:r>
        <w:t>24</w:t>
      </w:r>
      <w:r w:rsidRPr="000F3ABF">
        <w:rPr>
          <w:b/>
          <w:bCs/>
        </w:rPr>
        <w:tab/>
      </w:r>
      <w:r>
        <w:rPr>
          <w:b/>
          <w:bCs/>
        </w:rPr>
        <w:t>AstraZeneca Company</w:t>
      </w:r>
      <w:r>
        <w:t xml:space="preserve">. </w:t>
      </w:r>
      <w:proofErr w:type="spellStart"/>
      <w:proofErr w:type="gramStart"/>
      <w:r>
        <w:t>NEXIUM</w:t>
      </w:r>
      <w:proofErr w:type="spellEnd"/>
      <w:r>
        <w:t xml:space="preserve"> prescribing information.</w:t>
      </w:r>
      <w:proofErr w:type="gramEnd"/>
      <w:r>
        <w:t xml:space="preserve"> Accessed July 12, 2017 Available from: URL: http://www.info.pmda.go.jp/go/pack/2329028F1023_1_28/ </w:t>
      </w:r>
    </w:p>
    <w:p w:rsidR="008F3BB2" w:rsidRDefault="008F3BB2" w:rsidP="008F3BB2">
      <w:pPr>
        <w:pStyle w:val="-1"/>
      </w:pPr>
      <w:r>
        <w:t>25</w:t>
      </w:r>
      <w:r w:rsidRPr="000F3ABF">
        <w:rPr>
          <w:b/>
          <w:bCs/>
        </w:rPr>
        <w:tab/>
      </w:r>
      <w:r>
        <w:rPr>
          <w:b/>
          <w:bCs/>
        </w:rPr>
        <w:t>Eisai Company Limited</w:t>
      </w:r>
      <w:r>
        <w:t xml:space="preserve">. </w:t>
      </w:r>
      <w:proofErr w:type="spellStart"/>
      <w:proofErr w:type="gramStart"/>
      <w:r>
        <w:t>Pariet</w:t>
      </w:r>
      <w:proofErr w:type="spellEnd"/>
      <w:r>
        <w:t xml:space="preserve"> prescribing information.</w:t>
      </w:r>
      <w:proofErr w:type="gramEnd"/>
      <w:r>
        <w:t xml:space="preserve"> Accessed July 12, 2017 Available from: URL: http://www.info.pmda.go.jp/go/pack/2329029M1027_1_09/ </w:t>
      </w:r>
    </w:p>
    <w:p w:rsidR="008F3BB2" w:rsidRDefault="008F3BB2" w:rsidP="008F3BB2">
      <w:pPr>
        <w:pStyle w:val="-1"/>
      </w:pPr>
      <w:r>
        <w:t>26</w:t>
      </w:r>
      <w:r w:rsidRPr="000F3ABF">
        <w:rPr>
          <w:b/>
          <w:bCs/>
        </w:rPr>
        <w:tab/>
      </w:r>
      <w:r>
        <w:rPr>
          <w:b/>
          <w:bCs/>
        </w:rPr>
        <w:t>Takeda Pharmaceutical Company Limited</w:t>
      </w:r>
      <w:r>
        <w:t xml:space="preserve">. </w:t>
      </w:r>
      <w:proofErr w:type="spellStart"/>
      <w:proofErr w:type="gramStart"/>
      <w:r>
        <w:t>Takepron</w:t>
      </w:r>
      <w:proofErr w:type="spellEnd"/>
      <w:r>
        <w:t xml:space="preserve"> prescribing information.</w:t>
      </w:r>
      <w:proofErr w:type="gramEnd"/>
      <w:r>
        <w:t xml:space="preserve"> Accessed July 12, 2017 Available from: URL: http://www.info.pmda.go.jp/go/pack/2329023M1020_1_23/</w:t>
      </w:r>
    </w:p>
    <w:p w:rsidR="008F3BB2" w:rsidRDefault="008F3BB2" w:rsidP="008F3BB2">
      <w:pPr>
        <w:pStyle w:val="-1"/>
      </w:pPr>
      <w:r>
        <w:t>27</w:t>
      </w:r>
      <w:r w:rsidRPr="000F3ABF">
        <w:rPr>
          <w:b/>
          <w:bCs/>
        </w:rPr>
        <w:tab/>
      </w:r>
      <w:proofErr w:type="spellStart"/>
      <w:r>
        <w:rPr>
          <w:b/>
          <w:bCs/>
        </w:rPr>
        <w:t>Ashida</w:t>
      </w:r>
      <w:proofErr w:type="spellEnd"/>
      <w:r>
        <w:rPr>
          <w:b/>
          <w:bCs/>
        </w:rPr>
        <w:t xml:space="preserve"> K</w:t>
      </w:r>
      <w:r>
        <w:t xml:space="preserve">, Sakurai Y, Nishimura A, </w:t>
      </w:r>
      <w:proofErr w:type="spellStart"/>
      <w:r>
        <w:t>Kudou</w:t>
      </w:r>
      <w:proofErr w:type="spellEnd"/>
      <w:r>
        <w:t xml:space="preserve"> K, </w:t>
      </w:r>
      <w:proofErr w:type="spellStart"/>
      <w:r>
        <w:t>Hiramatsu</w:t>
      </w:r>
      <w:proofErr w:type="spellEnd"/>
      <w:r>
        <w:t xml:space="preserve"> N, </w:t>
      </w:r>
      <w:proofErr w:type="spellStart"/>
      <w:r>
        <w:t>Umegaki</w:t>
      </w:r>
      <w:proofErr w:type="spellEnd"/>
      <w:r>
        <w:t xml:space="preserve"> E, </w:t>
      </w:r>
      <w:proofErr w:type="spellStart"/>
      <w:r>
        <w:t>Iwakiri</w:t>
      </w:r>
      <w:proofErr w:type="spellEnd"/>
      <w:r>
        <w:t xml:space="preserve"> K, Chiba T. </w:t>
      </w:r>
      <w:proofErr w:type="spellStart"/>
      <w:r>
        <w:t>Randomised</w:t>
      </w:r>
      <w:proofErr w:type="spellEnd"/>
      <w:r>
        <w:t xml:space="preserve"> clinical trial: a dose-ranging study of </w:t>
      </w:r>
      <w:proofErr w:type="spellStart"/>
      <w:r>
        <w:t>vonoprazan</w:t>
      </w:r>
      <w:proofErr w:type="spellEnd"/>
      <w:r>
        <w:t xml:space="preserve">, a novel potassium-competitive acid blocker, vs. </w:t>
      </w:r>
      <w:proofErr w:type="spellStart"/>
      <w:r>
        <w:t>lansoprazole</w:t>
      </w:r>
      <w:proofErr w:type="spellEnd"/>
      <w:r>
        <w:t xml:space="preserve"> for the treatment of erosive </w:t>
      </w:r>
      <w:proofErr w:type="spellStart"/>
      <w:r>
        <w:t>oesophagitis</w:t>
      </w:r>
      <w:proofErr w:type="spellEnd"/>
      <w:r>
        <w:t xml:space="preserve">.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2015; </w:t>
      </w:r>
      <w:r>
        <w:rPr>
          <w:b/>
          <w:bCs/>
        </w:rPr>
        <w:t>42</w:t>
      </w:r>
      <w:r>
        <w:t>: 685-695 [</w:t>
      </w:r>
      <w:proofErr w:type="spellStart"/>
      <w:r>
        <w:t>PMID</w:t>
      </w:r>
      <w:proofErr w:type="spellEnd"/>
      <w:r>
        <w:t xml:space="preserve">: 26201312 </w:t>
      </w:r>
      <w:proofErr w:type="spellStart"/>
      <w:r>
        <w:t>DOI</w:t>
      </w:r>
      <w:proofErr w:type="spellEnd"/>
      <w:r>
        <w:t>: 10.1111/apt.13331]</w:t>
      </w:r>
    </w:p>
    <w:p w:rsidR="008F3BB2" w:rsidRDefault="008F3BB2" w:rsidP="008F3BB2">
      <w:pPr>
        <w:pStyle w:val="-1"/>
      </w:pPr>
      <w:r>
        <w:t>28</w:t>
      </w:r>
      <w:r w:rsidRPr="000F3ABF">
        <w:rPr>
          <w:b/>
          <w:bCs/>
        </w:rPr>
        <w:tab/>
      </w:r>
      <w:r>
        <w:rPr>
          <w:b/>
          <w:bCs/>
        </w:rPr>
        <w:t>Miwa H</w:t>
      </w:r>
      <w:r>
        <w:t xml:space="preserve">, </w:t>
      </w:r>
      <w:proofErr w:type="spellStart"/>
      <w:r>
        <w:t>Uedo</w:t>
      </w:r>
      <w:proofErr w:type="spellEnd"/>
      <w:r>
        <w:t xml:space="preserve"> N, </w:t>
      </w:r>
      <w:proofErr w:type="spellStart"/>
      <w:r>
        <w:t>Watari</w:t>
      </w:r>
      <w:proofErr w:type="spellEnd"/>
      <w:r>
        <w:t xml:space="preserve"> J, Mori Y, Sakurai Y, </w:t>
      </w:r>
      <w:proofErr w:type="spellStart"/>
      <w:r>
        <w:t>Takanami</w:t>
      </w:r>
      <w:proofErr w:type="spellEnd"/>
      <w:r>
        <w:t xml:space="preserve"> Y, Nishimura A, </w:t>
      </w:r>
      <w:proofErr w:type="spellStart"/>
      <w:proofErr w:type="gramStart"/>
      <w:r>
        <w:t>Tatsumi</w:t>
      </w:r>
      <w:proofErr w:type="spellEnd"/>
      <w:proofErr w:type="gramEnd"/>
      <w:r>
        <w:t xml:space="preserve"> T, </w:t>
      </w:r>
      <w:proofErr w:type="spellStart"/>
      <w:r>
        <w:t>Sakaki</w:t>
      </w:r>
      <w:proofErr w:type="spellEnd"/>
      <w:r>
        <w:t xml:space="preserve"> N. </w:t>
      </w:r>
      <w:proofErr w:type="spellStart"/>
      <w:r>
        <w:t>Randomised</w:t>
      </w:r>
      <w:proofErr w:type="spellEnd"/>
      <w:r>
        <w:t xml:space="preserve"> clinical trial: efficacy and safety of </w:t>
      </w:r>
      <w:proofErr w:type="spellStart"/>
      <w:r>
        <w:t>vonoprazan</w:t>
      </w:r>
      <w:proofErr w:type="spellEnd"/>
      <w:r>
        <w:t xml:space="preserve"> vs. </w:t>
      </w:r>
      <w:proofErr w:type="spellStart"/>
      <w:r>
        <w:t>lansoprazole</w:t>
      </w:r>
      <w:proofErr w:type="spellEnd"/>
      <w:r>
        <w:t xml:space="preserve"> in patients with gastric or duodenal ulcers - results from two phase 3, non-inferiority </w:t>
      </w:r>
      <w:proofErr w:type="spellStart"/>
      <w:r>
        <w:t>randomised</w:t>
      </w:r>
      <w:proofErr w:type="spellEnd"/>
      <w:r>
        <w:t xml:space="preserve"> controlled trials.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2017; </w:t>
      </w:r>
      <w:r>
        <w:rPr>
          <w:b/>
          <w:bCs/>
        </w:rPr>
        <w:t>45</w:t>
      </w:r>
      <w:r>
        <w:t>: 240-252 [</w:t>
      </w:r>
      <w:proofErr w:type="spellStart"/>
      <w:r>
        <w:t>PMID</w:t>
      </w:r>
      <w:proofErr w:type="spellEnd"/>
      <w:r>
        <w:t xml:space="preserve">: 27891632 </w:t>
      </w:r>
      <w:proofErr w:type="spellStart"/>
      <w:r>
        <w:t>DOI</w:t>
      </w:r>
      <w:proofErr w:type="spellEnd"/>
      <w:r>
        <w:t>: 10.1111/apt.13876]</w:t>
      </w:r>
    </w:p>
    <w:p w:rsidR="008F3BB2" w:rsidRDefault="008F3BB2" w:rsidP="008F3BB2">
      <w:pPr>
        <w:pStyle w:val="afb"/>
        <w:rPr>
          <w:rFonts w:ascii="Times New Roman" w:hAnsi="Times New Roman" w:cs="Times New Roman"/>
          <w:b/>
          <w:bCs/>
          <w:spacing w:val="-1"/>
        </w:rPr>
      </w:pPr>
    </w:p>
    <w:p w:rsidR="008F3BB2" w:rsidRPr="000F3ABF" w:rsidRDefault="008F3BB2" w:rsidP="008F3BB2">
      <w:pPr>
        <w:rPr>
          <w:rFonts w:hint="eastAsia"/>
        </w:rPr>
      </w:pPr>
    </w:p>
    <w:p w:rsidR="008F3BB2" w:rsidRDefault="008F3BB2" w:rsidP="008F3BB2">
      <w:r>
        <w:t>Figure Legends</w:t>
      </w:r>
    </w:p>
    <w:p w:rsidR="008F3BB2" w:rsidRDefault="008F3BB2" w:rsidP="008F3BB2">
      <w:pPr>
        <w:suppressAutoHyphens/>
        <w:autoSpaceDE w:val="0"/>
        <w:autoSpaceDN w:val="0"/>
        <w:adjustRightInd w:val="0"/>
        <w:spacing w:line="200" w:lineRule="atLeast"/>
        <w:textAlignment w:val="center"/>
        <w:rPr>
          <w:rFonts w:ascii="Arial Narrow" w:hAnsi="Arial Narrow" w:cs="Arial Narrow" w:hint="eastAsia"/>
          <w:b/>
          <w:bCs/>
          <w:color w:val="000000"/>
          <w:kern w:val="0"/>
          <w:sz w:val="16"/>
          <w:szCs w:val="16"/>
        </w:rPr>
      </w:pPr>
      <w:r>
        <w:rPr>
          <w:rFonts w:ascii="Arial Narrow" w:hAnsi="Arial Narrow" w:cs="Arial Narrow"/>
          <w:b/>
          <w:bCs/>
          <w:noProof/>
          <w:color w:val="000000"/>
          <w:kern w:val="0"/>
          <w:sz w:val="16"/>
          <w:szCs w:val="16"/>
        </w:rPr>
        <w:lastRenderedPageBreak/>
        <w:drawing>
          <wp:inline distT="0" distB="0" distL="0" distR="0">
            <wp:extent cx="3434963" cy="3385907"/>
            <wp:effectExtent l="0" t="0" r="0" b="5080"/>
            <wp:docPr id="8" name="图片 8" descr="E:\黄燕\已出版\WJGv24i14\pmc-14\fig\WJG-24-155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14\pmc-14\fig\WJG-24-1550-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5884" cy="3386815"/>
                    </a:xfrm>
                    <a:prstGeom prst="rect">
                      <a:avLst/>
                    </a:prstGeom>
                    <a:noFill/>
                    <a:ln>
                      <a:noFill/>
                    </a:ln>
                  </pic:spPr>
                </pic:pic>
              </a:graphicData>
            </a:graphic>
          </wp:inline>
        </w:drawing>
      </w:r>
    </w:p>
    <w:p w:rsidR="008F3BB2" w:rsidRPr="000F3ABF" w:rsidRDefault="008F3BB2" w:rsidP="008F3BB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0F3ABF">
        <w:rPr>
          <w:rFonts w:ascii="Arial Narrow" w:hAnsi="Arial Narrow" w:cs="Arial Narrow"/>
          <w:b/>
          <w:bCs/>
          <w:color w:val="000000"/>
          <w:kern w:val="0"/>
          <w:sz w:val="16"/>
          <w:szCs w:val="16"/>
        </w:rPr>
        <w:t xml:space="preserve">Figure </w:t>
      </w:r>
      <w:proofErr w:type="gramStart"/>
      <w:r w:rsidRPr="000F3ABF">
        <w:rPr>
          <w:rFonts w:ascii="Arial Narrow" w:hAnsi="Arial Narrow" w:cs="Arial Narrow"/>
          <w:b/>
          <w:bCs/>
          <w:color w:val="000000"/>
          <w:kern w:val="0"/>
          <w:sz w:val="16"/>
          <w:szCs w:val="16"/>
        </w:rPr>
        <w:t>1  Study</w:t>
      </w:r>
      <w:proofErr w:type="gramEnd"/>
      <w:r w:rsidRPr="000F3ABF">
        <w:rPr>
          <w:rFonts w:ascii="Arial Narrow" w:hAnsi="Arial Narrow" w:cs="Arial Narrow"/>
          <w:b/>
          <w:bCs/>
          <w:color w:val="000000"/>
          <w:kern w:val="0"/>
          <w:sz w:val="16"/>
          <w:szCs w:val="16"/>
        </w:rPr>
        <w:t xml:space="preserve"> design (A) and patient disposition (B).</w:t>
      </w:r>
      <w:r w:rsidRPr="000F3ABF">
        <w:rPr>
          <w:rFonts w:ascii="Arial Narrow" w:hAnsi="Arial Narrow" w:cs="Arial Narrow"/>
          <w:color w:val="000000"/>
          <w:kern w:val="0"/>
          <w:sz w:val="16"/>
          <w:szCs w:val="16"/>
        </w:rPr>
        <w:t xml:space="preserve"> EE: Erosive esophagitis.</w:t>
      </w:r>
    </w:p>
    <w:p w:rsidR="008F3BB2" w:rsidRDefault="008F3BB2" w:rsidP="008F3BB2">
      <w:pPr>
        <w:rPr>
          <w:rFonts w:hint="eastAsia"/>
        </w:rPr>
      </w:pPr>
      <w:r>
        <w:rPr>
          <w:noProof/>
        </w:rPr>
        <w:drawing>
          <wp:inline distT="0" distB="0" distL="0" distR="0">
            <wp:extent cx="4063116" cy="2923407"/>
            <wp:effectExtent l="0" t="0" r="0" b="0"/>
            <wp:docPr id="9" name="图片 9" descr="E:\黄燕\已出版\WJGv24i14\pmc-14\fig\WJG-24-155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14\pmc-14\fig\WJG-24-1550-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2330" cy="2937231"/>
                    </a:xfrm>
                    <a:prstGeom prst="rect">
                      <a:avLst/>
                    </a:prstGeom>
                    <a:noFill/>
                    <a:ln>
                      <a:noFill/>
                    </a:ln>
                  </pic:spPr>
                </pic:pic>
              </a:graphicData>
            </a:graphic>
          </wp:inline>
        </w:drawing>
      </w:r>
    </w:p>
    <w:p w:rsidR="008F3BB2" w:rsidRPr="000F3ABF" w:rsidRDefault="008F3BB2" w:rsidP="008F3BB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0F3ABF">
        <w:rPr>
          <w:rFonts w:ascii="Arial Narrow" w:hAnsi="Arial Narrow" w:cs="Arial Narrow"/>
          <w:b/>
          <w:bCs/>
          <w:color w:val="000000"/>
          <w:spacing w:val="2"/>
          <w:kern w:val="0"/>
          <w:sz w:val="16"/>
          <w:szCs w:val="16"/>
        </w:rPr>
        <w:t>Figure 2  Time course of serum gastrin, pepsinogen</w:t>
      </w:r>
      <w:r w:rsidRPr="000F3ABF">
        <w:rPr>
          <w:rFonts w:ascii="MS Gothic" w:eastAsia="MS Gothic" w:hAnsi="MS Gothic" w:cs="MS Gothic"/>
          <w:b/>
          <w:bCs/>
          <w:color w:val="000000"/>
          <w:spacing w:val="2"/>
          <w:kern w:val="0"/>
          <w:sz w:val="16"/>
          <w:szCs w:val="16"/>
        </w:rPr>
        <w:t> </w:t>
      </w:r>
      <w:r w:rsidRPr="000F3ABF">
        <w:rPr>
          <w:rFonts w:ascii="KozMinPro-Regular" w:eastAsia="KozMinPro-Regular" w:hAnsi="Arial Narrow" w:cs="KozMinPro-Regular" w:hint="eastAsia"/>
          <w:color w:val="000000"/>
          <w:spacing w:val="2"/>
          <w:kern w:val="0"/>
          <w:sz w:val="15"/>
          <w:szCs w:val="15"/>
        </w:rPr>
        <w:t>Ⅰ</w:t>
      </w:r>
      <w:r w:rsidRPr="000F3ABF">
        <w:rPr>
          <w:rFonts w:ascii="Arial Narrow" w:hAnsi="Arial Narrow" w:cs="Arial Narrow"/>
          <w:b/>
          <w:bCs/>
          <w:color w:val="000000"/>
          <w:spacing w:val="2"/>
          <w:kern w:val="0"/>
          <w:sz w:val="16"/>
          <w:szCs w:val="16"/>
        </w:rPr>
        <w:t xml:space="preserve">, and pepsinogen </w:t>
      </w:r>
      <w:r w:rsidRPr="000F3ABF">
        <w:rPr>
          <w:rFonts w:ascii="KozMinPro-Regular" w:eastAsia="KozMinPro-Regular" w:hAnsi="Arial Narrow" w:cs="KozMinPro-Regular" w:hint="eastAsia"/>
          <w:color w:val="000000"/>
          <w:spacing w:val="2"/>
          <w:kern w:val="0"/>
          <w:sz w:val="15"/>
          <w:szCs w:val="15"/>
        </w:rPr>
        <w:t>Ⅱ</w:t>
      </w:r>
      <w:r w:rsidRPr="000F3ABF">
        <w:rPr>
          <w:rFonts w:ascii="Arial Narrow" w:hAnsi="Arial Narrow" w:cs="Arial Narrow"/>
          <w:b/>
          <w:bCs/>
          <w:color w:val="000000"/>
          <w:spacing w:val="2"/>
          <w:kern w:val="0"/>
          <w:sz w:val="16"/>
          <w:szCs w:val="16"/>
        </w:rPr>
        <w:t xml:space="preserve"> concentrations.</w:t>
      </w:r>
      <w:r w:rsidRPr="000F3ABF">
        <w:rPr>
          <w:rFonts w:ascii="Arial Narrow" w:hAnsi="Arial Narrow" w:cs="Arial Narrow"/>
          <w:color w:val="000000"/>
          <w:spacing w:val="2"/>
          <w:kern w:val="0"/>
          <w:sz w:val="16"/>
          <w:szCs w:val="16"/>
        </w:rPr>
        <w:t xml:space="preserve"> Data expressed as arithmetic mean ± SD. </w:t>
      </w:r>
      <w:proofErr w:type="spellStart"/>
      <w:r w:rsidRPr="000F3ABF">
        <w:rPr>
          <w:rFonts w:ascii="Arial Narrow" w:hAnsi="Arial Narrow" w:cs="Arial Narrow"/>
          <w:color w:val="000000"/>
          <w:spacing w:val="2"/>
          <w:kern w:val="0"/>
          <w:sz w:val="16"/>
          <w:szCs w:val="16"/>
          <w:vertAlign w:val="superscript"/>
        </w:rPr>
        <w:t>e</w:t>
      </w:r>
      <w:r w:rsidRPr="000F3ABF">
        <w:rPr>
          <w:rFonts w:ascii="Arial Narrow" w:hAnsi="Arial Narrow" w:cs="Arial Narrow"/>
          <w:i/>
          <w:iCs/>
          <w:color w:val="000000"/>
          <w:spacing w:val="2"/>
          <w:kern w:val="0"/>
          <w:sz w:val="16"/>
          <w:szCs w:val="16"/>
        </w:rPr>
        <w:t>P</w:t>
      </w:r>
      <w:proofErr w:type="spellEnd"/>
      <w:r w:rsidRPr="000F3ABF">
        <w:rPr>
          <w:rFonts w:ascii="Arial Narrow" w:hAnsi="Arial Narrow" w:cs="Arial Narrow"/>
          <w:color w:val="000000"/>
          <w:spacing w:val="2"/>
          <w:kern w:val="0"/>
          <w:sz w:val="16"/>
          <w:szCs w:val="16"/>
        </w:rPr>
        <w:t xml:space="preserve"> &lt; 0.0001 for </w:t>
      </w:r>
      <w:proofErr w:type="spellStart"/>
      <w:r w:rsidRPr="000F3ABF">
        <w:rPr>
          <w:rFonts w:ascii="Arial Narrow" w:hAnsi="Arial Narrow" w:cs="Arial Narrow"/>
          <w:color w:val="000000"/>
          <w:spacing w:val="2"/>
          <w:kern w:val="0"/>
          <w:sz w:val="16"/>
          <w:szCs w:val="16"/>
        </w:rPr>
        <w:t>VPZ</w:t>
      </w:r>
      <w:proofErr w:type="spellEnd"/>
      <w:r w:rsidRPr="000F3ABF">
        <w:rPr>
          <w:rFonts w:ascii="Arial Narrow" w:hAnsi="Arial Narrow" w:cs="Arial Narrow"/>
          <w:color w:val="000000"/>
          <w:spacing w:val="2"/>
          <w:kern w:val="0"/>
          <w:sz w:val="16"/>
          <w:szCs w:val="16"/>
        </w:rPr>
        <w:t xml:space="preserve"> 10 </w:t>
      </w:r>
      <w:r w:rsidRPr="000F3ABF">
        <w:rPr>
          <w:rFonts w:ascii="Arial Narrow" w:hAnsi="Arial Narrow" w:cs="Arial Narrow"/>
          <w:color w:val="000000"/>
          <w:kern w:val="0"/>
          <w:sz w:val="16"/>
          <w:szCs w:val="16"/>
        </w:rPr>
        <w:t xml:space="preserve">mg or 20 mg </w:t>
      </w:r>
      <w:proofErr w:type="spellStart"/>
      <w:r w:rsidRPr="000F3ABF">
        <w:rPr>
          <w:rFonts w:ascii="Arial Narrow" w:hAnsi="Arial Narrow" w:cs="Arial Narrow"/>
          <w:i/>
          <w:iCs/>
          <w:color w:val="000000"/>
          <w:kern w:val="0"/>
          <w:sz w:val="16"/>
          <w:szCs w:val="16"/>
        </w:rPr>
        <w:t>vs</w:t>
      </w:r>
      <w:proofErr w:type="spellEnd"/>
      <w:r w:rsidRPr="000F3ABF">
        <w:rPr>
          <w:rFonts w:ascii="Arial Narrow" w:hAnsi="Arial Narrow" w:cs="Arial Narrow"/>
          <w:color w:val="000000"/>
          <w:kern w:val="0"/>
          <w:sz w:val="16"/>
          <w:szCs w:val="16"/>
        </w:rPr>
        <w:t xml:space="preserve"> </w:t>
      </w:r>
      <w:proofErr w:type="spellStart"/>
      <w:r w:rsidRPr="000F3ABF">
        <w:rPr>
          <w:rFonts w:ascii="Arial Narrow" w:hAnsi="Arial Narrow" w:cs="Arial Narrow"/>
          <w:color w:val="000000"/>
          <w:kern w:val="0"/>
          <w:sz w:val="16"/>
          <w:szCs w:val="16"/>
        </w:rPr>
        <w:t>LPZ</w:t>
      </w:r>
      <w:proofErr w:type="spellEnd"/>
      <w:r w:rsidRPr="000F3ABF">
        <w:rPr>
          <w:rFonts w:ascii="Arial Narrow" w:hAnsi="Arial Narrow" w:cs="Arial Narrow"/>
          <w:color w:val="000000"/>
          <w:kern w:val="0"/>
          <w:sz w:val="16"/>
          <w:szCs w:val="16"/>
        </w:rPr>
        <w:t xml:space="preserve"> 15 mg. </w:t>
      </w:r>
      <w:proofErr w:type="spellStart"/>
      <w:r w:rsidRPr="000F3ABF">
        <w:rPr>
          <w:rFonts w:ascii="Arial Narrow" w:hAnsi="Arial Narrow" w:cs="Arial Narrow"/>
          <w:color w:val="000000"/>
          <w:kern w:val="0"/>
          <w:sz w:val="16"/>
          <w:szCs w:val="16"/>
        </w:rPr>
        <w:t>LPZ</w:t>
      </w:r>
      <w:proofErr w:type="spellEnd"/>
      <w:r w:rsidRPr="000F3ABF">
        <w:rPr>
          <w:rFonts w:ascii="Arial Narrow" w:hAnsi="Arial Narrow" w:cs="Arial Narrow"/>
          <w:color w:val="000000"/>
          <w:kern w:val="0"/>
          <w:sz w:val="16"/>
          <w:szCs w:val="16"/>
        </w:rPr>
        <w:t xml:space="preserve">: </w:t>
      </w:r>
      <w:proofErr w:type="spellStart"/>
      <w:r w:rsidRPr="000F3ABF">
        <w:rPr>
          <w:rFonts w:ascii="Arial Narrow" w:hAnsi="Arial Narrow" w:cs="Arial Narrow"/>
          <w:color w:val="000000"/>
          <w:kern w:val="0"/>
          <w:sz w:val="16"/>
          <w:szCs w:val="16"/>
        </w:rPr>
        <w:t>Lansoprazole</w:t>
      </w:r>
      <w:proofErr w:type="spellEnd"/>
      <w:r w:rsidRPr="000F3ABF">
        <w:rPr>
          <w:rFonts w:ascii="Arial Narrow" w:hAnsi="Arial Narrow" w:cs="Arial Narrow"/>
          <w:color w:val="000000"/>
          <w:kern w:val="0"/>
          <w:sz w:val="16"/>
          <w:szCs w:val="16"/>
        </w:rPr>
        <w:t xml:space="preserve">; SD: Standard deviation; </w:t>
      </w:r>
      <w:proofErr w:type="spellStart"/>
      <w:r w:rsidRPr="000F3ABF">
        <w:rPr>
          <w:rFonts w:ascii="Arial Narrow" w:hAnsi="Arial Narrow" w:cs="Arial Narrow"/>
          <w:color w:val="000000"/>
          <w:kern w:val="0"/>
          <w:sz w:val="16"/>
          <w:szCs w:val="16"/>
        </w:rPr>
        <w:t>VPZ</w:t>
      </w:r>
      <w:proofErr w:type="spellEnd"/>
      <w:r w:rsidRPr="000F3ABF">
        <w:rPr>
          <w:rFonts w:ascii="Arial Narrow" w:hAnsi="Arial Narrow" w:cs="Arial Narrow"/>
          <w:color w:val="000000"/>
          <w:kern w:val="0"/>
          <w:sz w:val="16"/>
          <w:szCs w:val="16"/>
        </w:rPr>
        <w:t xml:space="preserve">: </w:t>
      </w:r>
      <w:proofErr w:type="spellStart"/>
      <w:r w:rsidRPr="000F3ABF">
        <w:rPr>
          <w:rFonts w:ascii="Arial Narrow" w:hAnsi="Arial Narrow" w:cs="Arial Narrow"/>
          <w:color w:val="000000"/>
          <w:kern w:val="0"/>
          <w:sz w:val="16"/>
          <w:szCs w:val="16"/>
        </w:rPr>
        <w:t>Vonoprazan</w:t>
      </w:r>
      <w:proofErr w:type="spellEnd"/>
      <w:r w:rsidRPr="000F3ABF">
        <w:rPr>
          <w:rFonts w:ascii="Arial Narrow" w:hAnsi="Arial Narrow" w:cs="Arial Narrow"/>
          <w:color w:val="000000"/>
          <w:kern w:val="0"/>
          <w:sz w:val="16"/>
          <w:szCs w:val="16"/>
        </w:rPr>
        <w:t>.</w:t>
      </w:r>
    </w:p>
    <w:p w:rsidR="008F3BB2" w:rsidRDefault="008F3BB2" w:rsidP="008F3BB2">
      <w:pPr>
        <w:rPr>
          <w:rFonts w:hint="eastAsia"/>
        </w:rPr>
      </w:pPr>
    </w:p>
    <w:p w:rsidR="008F3BB2" w:rsidRDefault="008F3BB2" w:rsidP="008F3BB2">
      <w:pPr>
        <w:rPr>
          <w:rFonts w:hint="eastAsia"/>
        </w:rPr>
      </w:pPr>
      <w:r>
        <w:t>Footnotes</w:t>
      </w:r>
    </w:p>
    <w:p w:rsidR="008F3BB2" w:rsidRDefault="008F3BB2" w:rsidP="008F3BB2">
      <w:pPr>
        <w:pStyle w:val="af6"/>
      </w:pPr>
      <w:r>
        <w:rPr>
          <w:rFonts w:ascii="Tahoma" w:hAnsi="Tahoma" w:cs="Tahoma"/>
        </w:rPr>
        <w:t>Manuscript source:</w:t>
      </w:r>
      <w:r>
        <w:t xml:space="preserve"> Unsolicited manuscript </w:t>
      </w:r>
    </w:p>
    <w:p w:rsidR="008F3BB2" w:rsidRPr="000F3ABF" w:rsidRDefault="008F3BB2" w:rsidP="008F3BB2">
      <w:pPr>
        <w:rPr>
          <w:b/>
        </w:rPr>
      </w:pPr>
      <w:bookmarkStart w:id="1" w:name="OLE_LINK881"/>
      <w:bookmarkStart w:id="2" w:name="OLE_LINK880"/>
      <w:bookmarkStart w:id="3" w:name="OLE_LINK813"/>
      <w:bookmarkStart w:id="4" w:name="OLE_LINK497"/>
      <w:r w:rsidRPr="000F3ABF">
        <w:rPr>
          <w:b/>
        </w:rPr>
        <w:lastRenderedPageBreak/>
        <w:t xml:space="preserve">Specialty type: </w:t>
      </w:r>
      <w:r w:rsidRPr="000F3ABF">
        <w:t xml:space="preserve">Gastroenterology and </w:t>
      </w:r>
      <w:proofErr w:type="spellStart"/>
      <w:r w:rsidRPr="000F3ABF">
        <w:t>hepatology</w:t>
      </w:r>
      <w:proofErr w:type="spellEnd"/>
    </w:p>
    <w:p w:rsidR="008F3BB2" w:rsidRPr="000F3ABF" w:rsidRDefault="008F3BB2" w:rsidP="008F3BB2">
      <w:pPr>
        <w:rPr>
          <w:b/>
        </w:rPr>
      </w:pPr>
      <w:r w:rsidRPr="000F3ABF">
        <w:rPr>
          <w:b/>
        </w:rPr>
        <w:t xml:space="preserve">Country of origin: </w:t>
      </w:r>
      <w:r w:rsidRPr="000F3ABF">
        <w:rPr>
          <w:lang w:val="en-CA"/>
        </w:rPr>
        <w:t>Japan</w:t>
      </w:r>
    </w:p>
    <w:p w:rsidR="008F3BB2" w:rsidRPr="000F3ABF" w:rsidRDefault="008F3BB2" w:rsidP="008F3BB2">
      <w:pPr>
        <w:rPr>
          <w:b/>
        </w:rPr>
      </w:pPr>
      <w:r w:rsidRPr="000F3ABF">
        <w:rPr>
          <w:b/>
        </w:rPr>
        <w:t>Peer-review report classification</w:t>
      </w:r>
    </w:p>
    <w:p w:rsidR="008F3BB2" w:rsidRPr="000F3ABF" w:rsidRDefault="008F3BB2" w:rsidP="008F3BB2">
      <w:r w:rsidRPr="000F3ABF">
        <w:t xml:space="preserve">Grade </w:t>
      </w:r>
      <w:proofErr w:type="gramStart"/>
      <w:r w:rsidRPr="000F3ABF">
        <w:t>A</w:t>
      </w:r>
      <w:proofErr w:type="gramEnd"/>
      <w:r w:rsidRPr="000F3ABF">
        <w:t xml:space="preserve"> (Excellent): 0</w:t>
      </w:r>
    </w:p>
    <w:p w:rsidR="008F3BB2" w:rsidRPr="000F3ABF" w:rsidRDefault="008F3BB2" w:rsidP="008F3BB2">
      <w:r w:rsidRPr="000F3ABF">
        <w:t xml:space="preserve">Grade B (Very good): B, B, B, B, </w:t>
      </w:r>
      <w:proofErr w:type="gramStart"/>
      <w:r w:rsidRPr="000F3ABF">
        <w:t>B</w:t>
      </w:r>
      <w:proofErr w:type="gramEnd"/>
    </w:p>
    <w:p w:rsidR="008F3BB2" w:rsidRPr="000F3ABF" w:rsidRDefault="008F3BB2" w:rsidP="008F3BB2">
      <w:r w:rsidRPr="000F3ABF">
        <w:t>Grade C (Good): 0</w:t>
      </w:r>
    </w:p>
    <w:p w:rsidR="008F3BB2" w:rsidRPr="000F3ABF" w:rsidRDefault="008F3BB2" w:rsidP="008F3BB2">
      <w:r w:rsidRPr="000F3ABF">
        <w:t>Grade D (Fair): 0</w:t>
      </w:r>
    </w:p>
    <w:p w:rsidR="008F3BB2" w:rsidRDefault="008F3BB2" w:rsidP="008F3BB2">
      <w:pPr>
        <w:rPr>
          <w:rFonts w:hint="eastAsia"/>
        </w:rPr>
      </w:pPr>
      <w:r w:rsidRPr="000F3ABF">
        <w:t>Grade E (Poor): 0</w:t>
      </w:r>
      <w:bookmarkEnd w:id="1"/>
      <w:bookmarkEnd w:id="2"/>
      <w:bookmarkEnd w:id="3"/>
      <w:bookmarkEnd w:id="4"/>
    </w:p>
    <w:p w:rsidR="008F3BB2" w:rsidRDefault="008F3BB2" w:rsidP="008F3BB2">
      <w:pPr>
        <w:pStyle w:val="af6"/>
      </w:pPr>
      <w:r>
        <w:rPr>
          <w:rFonts w:ascii="Tahoma" w:hAnsi="Tahoma" w:cs="Tahoma"/>
        </w:rPr>
        <w:t>Institutional review board statement:</w:t>
      </w:r>
      <w:r>
        <w:t xml:space="preserve"> The study was reviewed and approved by the institutional review board of each participating site.</w:t>
      </w:r>
    </w:p>
    <w:p w:rsidR="008F3BB2" w:rsidRDefault="008F3BB2" w:rsidP="008F3BB2">
      <w:pPr>
        <w:pStyle w:val="af6"/>
      </w:pPr>
      <w:r>
        <w:rPr>
          <w:rFonts w:ascii="Tahoma" w:hAnsi="Tahoma" w:cs="Tahoma"/>
        </w:rPr>
        <w:t>Clinical trial registration statement:</w:t>
      </w:r>
      <w:r>
        <w:t xml:space="preserve"> This study is registered at ClinicalTrials.gov. The registration identification number is NCT01459367.</w:t>
      </w:r>
    </w:p>
    <w:p w:rsidR="008F3BB2" w:rsidRDefault="008F3BB2" w:rsidP="008F3BB2">
      <w:pPr>
        <w:pStyle w:val="af6"/>
      </w:pPr>
      <w:r>
        <w:rPr>
          <w:rFonts w:ascii="Tahoma" w:hAnsi="Tahoma" w:cs="Tahoma"/>
        </w:rPr>
        <w:t>Informed consent statement:</w:t>
      </w:r>
      <w:r>
        <w:t xml:space="preserve"> All study participants provided written informed consent prior to study enrollment.</w:t>
      </w:r>
    </w:p>
    <w:p w:rsidR="008F3BB2" w:rsidRDefault="008F3BB2" w:rsidP="008F3BB2">
      <w:pPr>
        <w:pStyle w:val="af6"/>
      </w:pPr>
      <w:r>
        <w:rPr>
          <w:rFonts w:ascii="Tahoma" w:hAnsi="Tahoma" w:cs="Tahoma"/>
        </w:rPr>
        <w:t>Conflict-of-interest statement:</w:t>
      </w:r>
      <w:r>
        <w:t xml:space="preserve"> Kiyoshi </w:t>
      </w:r>
      <w:proofErr w:type="spellStart"/>
      <w:r>
        <w:t>Ashida</w:t>
      </w:r>
      <w:proofErr w:type="spellEnd"/>
      <w:r>
        <w:t xml:space="preserve"> has received fees and honoraria from Takeda Pharmaceutical Company Limited and </w:t>
      </w:r>
      <w:proofErr w:type="spellStart"/>
      <w:r>
        <w:t>Otsuka</w:t>
      </w:r>
      <w:proofErr w:type="spellEnd"/>
      <w:r>
        <w:t xml:space="preserve"> Pharmaceutical Company Limited; Katsuhiko </w:t>
      </w:r>
      <w:proofErr w:type="spellStart"/>
      <w:r>
        <w:t>Iwakiri</w:t>
      </w:r>
      <w:proofErr w:type="spellEnd"/>
      <w:r>
        <w:t xml:space="preserve"> has received grants, fees, and honoraria from Takeda Pharmaceutical Company Limited, and fees from </w:t>
      </w:r>
      <w:proofErr w:type="spellStart"/>
      <w:r>
        <w:t>Otsuka</w:t>
      </w:r>
      <w:proofErr w:type="spellEnd"/>
      <w:r>
        <w:t xml:space="preserve"> Pharmaceutical Company Limited; </w:t>
      </w:r>
      <w:proofErr w:type="spellStart"/>
      <w:r>
        <w:t>Yuuichi</w:t>
      </w:r>
      <w:proofErr w:type="spellEnd"/>
      <w:r>
        <w:t xml:space="preserve"> Sakurai, </w:t>
      </w:r>
      <w:proofErr w:type="spellStart"/>
      <w:r>
        <w:t>Tetsuharu</w:t>
      </w:r>
      <w:proofErr w:type="spellEnd"/>
      <w:r>
        <w:t xml:space="preserve"> Hori, </w:t>
      </w:r>
      <w:proofErr w:type="spellStart"/>
      <w:r>
        <w:t>Kentarou</w:t>
      </w:r>
      <w:proofErr w:type="spellEnd"/>
      <w:r>
        <w:t xml:space="preserve"> </w:t>
      </w:r>
      <w:proofErr w:type="spellStart"/>
      <w:r>
        <w:t>Kudou</w:t>
      </w:r>
      <w:proofErr w:type="spellEnd"/>
      <w:r>
        <w:t xml:space="preserve">, and Akira Nishimura are full-time employees of Takeda Pharmaceutical Company Limited; Naoki </w:t>
      </w:r>
      <w:proofErr w:type="spellStart"/>
      <w:r>
        <w:t>Hiramatsu</w:t>
      </w:r>
      <w:proofErr w:type="spellEnd"/>
      <w:r>
        <w:t xml:space="preserve"> and </w:t>
      </w:r>
      <w:proofErr w:type="spellStart"/>
      <w:r>
        <w:t>Eiji</w:t>
      </w:r>
      <w:proofErr w:type="spellEnd"/>
      <w:r>
        <w:t xml:space="preserve"> </w:t>
      </w:r>
      <w:proofErr w:type="spellStart"/>
      <w:r>
        <w:t>Umegaki</w:t>
      </w:r>
      <w:proofErr w:type="spellEnd"/>
      <w:r>
        <w:t xml:space="preserve"> have no conflicts of interest to declare. </w:t>
      </w:r>
    </w:p>
    <w:p w:rsidR="008F3BB2" w:rsidRDefault="008F3BB2" w:rsidP="008F3BB2">
      <w:pPr>
        <w:pStyle w:val="af6"/>
      </w:pPr>
      <w:r>
        <w:rPr>
          <w:rFonts w:ascii="Tahoma" w:hAnsi="Tahoma" w:cs="Tahoma"/>
        </w:rPr>
        <w:t>Data-sharing statement:</w:t>
      </w:r>
      <w:r>
        <w:t xml:space="preserve"> No additional data are available.</w:t>
      </w:r>
    </w:p>
    <w:p w:rsidR="008F3BB2" w:rsidRDefault="008F3BB2" w:rsidP="008F3BB2">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F3BB2" w:rsidRDefault="008F3BB2" w:rsidP="008F3BB2">
      <w:pPr>
        <w:pStyle w:val="af6"/>
      </w:pPr>
      <w:r>
        <w:rPr>
          <w:rFonts w:ascii="Tahoma" w:hAnsi="Tahoma" w:cs="Tahoma"/>
        </w:rPr>
        <w:t>Peer-review started:</w:t>
      </w:r>
      <w:r>
        <w:t xml:space="preserve"> December 1, 2017</w:t>
      </w:r>
    </w:p>
    <w:p w:rsidR="008F3BB2" w:rsidRDefault="008F3BB2" w:rsidP="008F3BB2">
      <w:pPr>
        <w:pStyle w:val="af6"/>
      </w:pPr>
      <w:r>
        <w:rPr>
          <w:rFonts w:ascii="Tahoma" w:hAnsi="Tahoma" w:cs="Tahoma"/>
        </w:rPr>
        <w:t xml:space="preserve">First decision: </w:t>
      </w:r>
      <w:r>
        <w:t>December 13, 2017</w:t>
      </w:r>
    </w:p>
    <w:p w:rsidR="008F3BB2" w:rsidRDefault="008F3BB2" w:rsidP="008F3BB2">
      <w:pPr>
        <w:pStyle w:val="af6"/>
      </w:pPr>
      <w:r>
        <w:rPr>
          <w:rFonts w:ascii="Tahoma" w:hAnsi="Tahoma" w:cs="Tahoma"/>
        </w:rPr>
        <w:t xml:space="preserve">Article in press: </w:t>
      </w:r>
      <w:r>
        <w:t>March 6, 2018</w:t>
      </w:r>
    </w:p>
    <w:p w:rsidR="008F3BB2" w:rsidRPr="000F3ABF" w:rsidRDefault="008F3BB2" w:rsidP="008F3BB2">
      <w:pPr>
        <w:pStyle w:val="afb"/>
        <w:rPr>
          <w:rFonts w:ascii="Times New Roman" w:hAnsi="Times New Roman" w:cs="Times New Roman"/>
          <w:spacing w:val="-1"/>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Chiba T, </w:t>
      </w:r>
      <w:proofErr w:type="spellStart"/>
      <w:r>
        <w:rPr>
          <w:rFonts w:ascii="Times New Roman" w:hAnsi="Times New Roman" w:cs="Times New Roman"/>
          <w:spacing w:val="-1"/>
        </w:rPr>
        <w:t>Esmat</w:t>
      </w:r>
      <w:proofErr w:type="spellEnd"/>
      <w:r>
        <w:rPr>
          <w:rFonts w:ascii="Times New Roman" w:hAnsi="Times New Roman" w:cs="Times New Roman"/>
          <w:spacing w:val="-1"/>
        </w:rPr>
        <w:t xml:space="preserve"> S, Kim </w:t>
      </w:r>
      <w:proofErr w:type="spellStart"/>
      <w:r>
        <w:rPr>
          <w:rFonts w:ascii="Times New Roman" w:hAnsi="Times New Roman" w:cs="Times New Roman"/>
          <w:spacing w:val="-1"/>
        </w:rPr>
        <w:t>GH</w:t>
      </w:r>
      <w:proofErr w:type="spellEnd"/>
      <w:r>
        <w:rPr>
          <w:rFonts w:ascii="Times New Roman" w:hAnsi="Times New Roman" w:cs="Times New Roman"/>
          <w:spacing w:val="-1"/>
        </w:rPr>
        <w:t xml:space="preserve">, </w:t>
      </w:r>
      <w:proofErr w:type="spellStart"/>
      <w:r>
        <w:rPr>
          <w:rFonts w:ascii="Times New Roman" w:hAnsi="Times New Roman" w:cs="Times New Roman"/>
          <w:spacing w:val="-1"/>
        </w:rPr>
        <w:t>Jonaitis</w:t>
      </w:r>
      <w:proofErr w:type="spellEnd"/>
      <w:r>
        <w:rPr>
          <w:rFonts w:ascii="Times New Roman" w:hAnsi="Times New Roman" w:cs="Times New Roman"/>
          <w:spacing w:val="-1"/>
        </w:rPr>
        <w:t xml:space="preserve"> LV, </w:t>
      </w:r>
      <w:proofErr w:type="spellStart"/>
      <w:r>
        <w:rPr>
          <w:rFonts w:ascii="Times New Roman" w:hAnsi="Times New Roman" w:cs="Times New Roman"/>
          <w:spacing w:val="-1"/>
        </w:rPr>
        <w:t>Shimatani</w:t>
      </w:r>
      <w:proofErr w:type="spellEnd"/>
      <w:r>
        <w:rPr>
          <w:rFonts w:ascii="Times New Roman" w:hAnsi="Times New Roman" w:cs="Times New Roman"/>
          <w:spacing w:val="-1"/>
        </w:rPr>
        <w:t xml:space="preserve"> T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 xml:space="preserve">Gong </w:t>
      </w:r>
      <w:proofErr w:type="spellStart"/>
      <w:r>
        <w:rPr>
          <w:rFonts w:ascii="Times New Roman" w:hAnsi="Times New Roman" w:cs="Times New Roman"/>
        </w:rPr>
        <w:t>ZM</w:t>
      </w:r>
      <w:proofErr w:type="spellEnd"/>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8575675"/>
                <wp:effectExtent l="9525" t="9525" r="12065" b="6350"/>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8575675"/>
                        </a:xfrm>
                        <a:prstGeom prst="rect">
                          <a:avLst/>
                        </a:prstGeom>
                        <a:solidFill>
                          <a:srgbClr val="FFFFFF"/>
                        </a:solidFill>
                        <a:ln w="9525">
                          <a:solidFill>
                            <a:srgbClr val="000000"/>
                          </a:solidFill>
                          <a:miter lim="800000"/>
                          <a:headEnd/>
                          <a:tailEnd/>
                        </a:ln>
                      </wps:spPr>
                      <wps:txbx>
                        <w:txbxContent>
                          <w:p w:rsidR="008F3BB2" w:rsidRPr="000F3ABF" w:rsidRDefault="008F3BB2" w:rsidP="008F3BB2">
                            <w:pPr>
                              <w:rPr>
                                <w:b/>
                                <w:bCs/>
                                <w:vertAlign w:val="superscript"/>
                              </w:rPr>
                            </w:pPr>
                            <w:r w:rsidRPr="000F3ABF">
                              <w:rPr>
                                <w:b/>
                                <w:bCs/>
                              </w:rPr>
                              <w:t xml:space="preserve">Table </w:t>
                            </w:r>
                            <w:proofErr w:type="gramStart"/>
                            <w:r w:rsidRPr="000F3ABF">
                              <w:rPr>
                                <w:b/>
                                <w:bCs/>
                              </w:rPr>
                              <w:t>1  Demographic</w:t>
                            </w:r>
                            <w:proofErr w:type="gramEnd"/>
                            <w:r w:rsidRPr="000F3ABF">
                              <w:rPr>
                                <w:b/>
                                <w:bCs/>
                              </w:rPr>
                              <w:t xml:space="preserve"> and other baseline characteristics in the randomized set (</w:t>
                            </w:r>
                            <w:r w:rsidRPr="000F3ABF">
                              <w:rPr>
                                <w:b/>
                                <w:bCs/>
                                <w:i/>
                                <w:iCs/>
                              </w:rPr>
                              <w:t>n</w:t>
                            </w:r>
                            <w:r w:rsidRPr="000F3ABF">
                              <w:rPr>
                                <w:b/>
                                <w:bCs/>
                              </w:rPr>
                              <w:t xml:space="preserve"> = 607)</w:t>
                            </w:r>
                            <w:r w:rsidRPr="000F3ABF">
                              <w:rPr>
                                <w:b/>
                                <w:bCs/>
                                <w:vertAlign w:val="superscript"/>
                              </w:rPr>
                              <w:t>1</w:t>
                            </w:r>
                          </w:p>
                          <w:tbl>
                            <w:tblPr>
                              <w:tblW w:w="953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56"/>
                              <w:gridCol w:w="2092"/>
                              <w:gridCol w:w="2093"/>
                              <w:gridCol w:w="2092"/>
                            </w:tblGrid>
                            <w:tr w:rsidR="008F3BB2" w:rsidRPr="000F3ABF">
                              <w:tblPrEx>
                                <w:tblCellMar>
                                  <w:top w:w="0" w:type="dxa"/>
                                  <w:left w:w="0" w:type="dxa"/>
                                  <w:bottom w:w="0" w:type="dxa"/>
                                  <w:right w:w="0" w:type="dxa"/>
                                </w:tblCellMar>
                              </w:tblPrEx>
                              <w:trPr>
                                <w:trHeight w:val="266"/>
                              </w:trPr>
                              <w:tc>
                                <w:tcPr>
                                  <w:tcW w:w="3256" w:type="dxa"/>
                                  <w:tcBorders>
                                    <w:top w:val="single" w:sz="6" w:space="0" w:color="000000"/>
                                    <w:bottom w:val="single" w:sz="6" w:space="0" w:color="000000"/>
                                  </w:tcBorders>
                                  <w:tcMar>
                                    <w:top w:w="28" w:type="dxa"/>
                                    <w:left w:w="28" w:type="dxa"/>
                                    <w:bottom w:w="28" w:type="dxa"/>
                                    <w:right w:w="28" w:type="dxa"/>
                                  </w:tcMar>
                                </w:tcPr>
                                <w:p w:rsidR="008F3BB2" w:rsidRPr="000F3ABF" w:rsidRDefault="008F3BB2">
                                  <w:pPr>
                                    <w:pStyle w:val="afc"/>
                                    <w:jc w:val="left"/>
                                  </w:pPr>
                                  <w:r w:rsidRPr="000F3ABF">
                                    <w:t>Characteristic</w:t>
                                  </w:r>
                                </w:p>
                                <w:p w:rsidR="008F3BB2" w:rsidRPr="000F3ABF" w:rsidRDefault="008F3BB2">
                                  <w:pPr>
                                    <w:pStyle w:val="afc"/>
                                    <w:jc w:val="left"/>
                                  </w:pPr>
                                </w:p>
                              </w:tc>
                              <w:tc>
                                <w:tcPr>
                                  <w:tcW w:w="2092" w:type="dxa"/>
                                  <w:tcBorders>
                                    <w:top w:val="single" w:sz="6" w:space="0" w:color="000000"/>
                                    <w:bottom w:val="single" w:sz="6" w:space="0" w:color="000000"/>
                                  </w:tcBorders>
                                  <w:tcMar>
                                    <w:top w:w="28" w:type="dxa"/>
                                    <w:left w:w="28" w:type="dxa"/>
                                    <w:bottom w:w="28" w:type="dxa"/>
                                    <w:right w:w="28" w:type="dxa"/>
                                  </w:tcMar>
                                </w:tcPr>
                                <w:p w:rsidR="008F3BB2" w:rsidRPr="000F3ABF" w:rsidRDefault="008F3BB2">
                                  <w:pPr>
                                    <w:pStyle w:val="afc"/>
                                    <w:jc w:val="center"/>
                                  </w:pPr>
                                  <w:r w:rsidRPr="000F3ABF">
                                    <w:t>LPZ 15 mg (</w:t>
                                  </w:r>
                                  <w:r w:rsidRPr="000F3ABF">
                                    <w:rPr>
                                      <w:rFonts w:ascii="Albertus Bold Italic" w:hAnsi="Albertus Bold Italic" w:cs="Albertus Bold Italic"/>
                                      <w:i/>
                                      <w:iCs/>
                                    </w:rPr>
                                    <w:t>n</w:t>
                                  </w:r>
                                  <w:r w:rsidRPr="000F3ABF">
                                    <w:t xml:space="preserve"> = 201)</w:t>
                                  </w:r>
                                </w:p>
                                <w:p w:rsidR="008F3BB2" w:rsidRPr="000F3ABF" w:rsidRDefault="008F3BB2">
                                  <w:pPr>
                                    <w:pStyle w:val="afc"/>
                                    <w:jc w:val="center"/>
                                  </w:pPr>
                                </w:p>
                              </w:tc>
                              <w:tc>
                                <w:tcPr>
                                  <w:tcW w:w="2093" w:type="dxa"/>
                                  <w:tcBorders>
                                    <w:top w:val="single" w:sz="6" w:space="0" w:color="000000"/>
                                    <w:bottom w:val="single" w:sz="6" w:space="0" w:color="000000"/>
                                  </w:tcBorders>
                                  <w:tcMar>
                                    <w:top w:w="28" w:type="dxa"/>
                                    <w:left w:w="28" w:type="dxa"/>
                                    <w:bottom w:w="28" w:type="dxa"/>
                                    <w:right w:w="28" w:type="dxa"/>
                                  </w:tcMar>
                                </w:tcPr>
                                <w:p w:rsidR="008F3BB2" w:rsidRPr="000F3ABF" w:rsidRDefault="008F3BB2">
                                  <w:pPr>
                                    <w:pStyle w:val="afc"/>
                                    <w:jc w:val="center"/>
                                  </w:pPr>
                                  <w:r w:rsidRPr="000F3ABF">
                                    <w:t>VPZ 10 mg (</w:t>
                                  </w:r>
                                  <w:r w:rsidRPr="000F3ABF">
                                    <w:rPr>
                                      <w:rFonts w:ascii="Albertus Bold Italic" w:hAnsi="Albertus Bold Italic" w:cs="Albertus Bold Italic"/>
                                      <w:i/>
                                      <w:iCs/>
                                    </w:rPr>
                                    <w:t>n</w:t>
                                  </w:r>
                                  <w:r w:rsidRPr="000F3ABF">
                                    <w:t xml:space="preserve"> = 202)</w:t>
                                  </w:r>
                                </w:p>
                                <w:p w:rsidR="008F3BB2" w:rsidRPr="000F3ABF" w:rsidRDefault="008F3BB2">
                                  <w:pPr>
                                    <w:pStyle w:val="afc"/>
                                    <w:jc w:val="center"/>
                                  </w:pPr>
                                </w:p>
                              </w:tc>
                              <w:tc>
                                <w:tcPr>
                                  <w:tcW w:w="2092" w:type="dxa"/>
                                  <w:tcBorders>
                                    <w:top w:val="single" w:sz="6" w:space="0" w:color="000000"/>
                                    <w:bottom w:val="single" w:sz="6" w:space="0" w:color="000000"/>
                                  </w:tcBorders>
                                  <w:tcMar>
                                    <w:top w:w="28" w:type="dxa"/>
                                    <w:left w:w="28" w:type="dxa"/>
                                    <w:bottom w:w="28" w:type="dxa"/>
                                    <w:right w:w="28" w:type="dxa"/>
                                  </w:tcMar>
                                </w:tcPr>
                                <w:p w:rsidR="008F3BB2" w:rsidRPr="000F3ABF" w:rsidRDefault="008F3BB2">
                                  <w:pPr>
                                    <w:pStyle w:val="afc"/>
                                    <w:jc w:val="center"/>
                                  </w:pPr>
                                  <w:r w:rsidRPr="000F3ABF">
                                    <w:t>VPZ 20 mg (</w:t>
                                  </w:r>
                                  <w:r w:rsidRPr="000F3ABF">
                                    <w:rPr>
                                      <w:rFonts w:ascii="Albertus Bold Italic" w:hAnsi="Albertus Bold Italic" w:cs="Albertus Bold Italic"/>
                                      <w:i/>
                                      <w:iCs/>
                                    </w:rPr>
                                    <w:t>n</w:t>
                                  </w:r>
                                  <w:r w:rsidRPr="000F3ABF">
                                    <w:t xml:space="preserve"> = 204)</w:t>
                                  </w:r>
                                </w:p>
                                <w:p w:rsidR="008F3BB2" w:rsidRPr="000F3ABF" w:rsidRDefault="008F3BB2">
                                  <w:pPr>
                                    <w:pStyle w:val="afc"/>
                                    <w:jc w:val="center"/>
                                  </w:pPr>
                                </w:p>
                              </w:tc>
                            </w:tr>
                            <w:tr w:rsidR="008F3BB2" w:rsidRPr="000F3ABF">
                              <w:tblPrEx>
                                <w:tblCellMar>
                                  <w:top w:w="0" w:type="dxa"/>
                                  <w:left w:w="0" w:type="dxa"/>
                                  <w:bottom w:w="0" w:type="dxa"/>
                                  <w:right w:w="0" w:type="dxa"/>
                                </w:tblCellMar>
                              </w:tblPrEx>
                              <w:trPr>
                                <w:trHeight w:val="60"/>
                              </w:trPr>
                              <w:tc>
                                <w:tcPr>
                                  <w:tcW w:w="3256" w:type="dxa"/>
                                  <w:tcBorders>
                                    <w:top w:val="single" w:sz="6" w:space="0" w:color="000000"/>
                                  </w:tcBorders>
                                  <w:tcMar>
                                    <w:top w:w="28" w:type="dxa"/>
                                    <w:left w:w="28" w:type="dxa"/>
                                    <w:bottom w:w="28" w:type="dxa"/>
                                    <w:right w:w="28" w:type="dxa"/>
                                  </w:tcMar>
                                </w:tcPr>
                                <w:p w:rsidR="008F3BB2" w:rsidRPr="000F3ABF" w:rsidRDefault="008F3BB2">
                                  <w:pPr>
                                    <w:pStyle w:val="afd"/>
                                    <w:jc w:val="left"/>
                                    <w:rPr>
                                      <w:b w:val="0"/>
                                    </w:rPr>
                                  </w:pPr>
                                  <w:r w:rsidRPr="000F3ABF">
                                    <w:rPr>
                                      <w:b w:val="0"/>
                                    </w:rPr>
                                    <w:t>Age, yr</w:t>
                                  </w:r>
                                </w:p>
                                <w:p w:rsidR="008F3BB2" w:rsidRPr="000F3ABF" w:rsidRDefault="008F3BB2">
                                  <w:pPr>
                                    <w:pStyle w:val="afd"/>
                                    <w:jc w:val="left"/>
                                    <w:rPr>
                                      <w:b w:val="0"/>
                                    </w:rPr>
                                  </w:pPr>
                                </w:p>
                              </w:tc>
                              <w:tc>
                                <w:tcPr>
                                  <w:tcW w:w="2092" w:type="dxa"/>
                                  <w:tcBorders>
                                    <w:top w:val="single" w:sz="6" w:space="0" w:color="000000"/>
                                  </w:tcBorders>
                                  <w:tcMar>
                                    <w:top w:w="28" w:type="dxa"/>
                                    <w:left w:w="28" w:type="dxa"/>
                                    <w:bottom w:w="28" w:type="dxa"/>
                                    <w:right w:w="28" w:type="dxa"/>
                                  </w:tcMar>
                                </w:tcPr>
                                <w:p w:rsidR="008F3BB2" w:rsidRPr="000F3ABF" w:rsidRDefault="008F3BB2">
                                  <w:pPr>
                                    <w:pStyle w:val="afd"/>
                                    <w:jc w:val="center"/>
                                    <w:rPr>
                                      <w:b w:val="0"/>
                                    </w:rPr>
                                  </w:pPr>
                                  <w:r w:rsidRPr="000F3ABF">
                                    <w:rPr>
                                      <w:b w:val="0"/>
                                    </w:rPr>
                                    <w:t xml:space="preserve">  57.8 ± 12.9</w:t>
                                  </w:r>
                                </w:p>
                                <w:p w:rsidR="008F3BB2" w:rsidRPr="000F3ABF" w:rsidRDefault="008F3BB2">
                                  <w:pPr>
                                    <w:pStyle w:val="afd"/>
                                    <w:jc w:val="center"/>
                                    <w:rPr>
                                      <w:b w:val="0"/>
                                    </w:rPr>
                                  </w:pPr>
                                </w:p>
                              </w:tc>
                              <w:tc>
                                <w:tcPr>
                                  <w:tcW w:w="2093" w:type="dxa"/>
                                  <w:tcBorders>
                                    <w:top w:val="single" w:sz="6" w:space="0" w:color="000000"/>
                                  </w:tcBorders>
                                  <w:tcMar>
                                    <w:top w:w="28" w:type="dxa"/>
                                    <w:left w:w="28" w:type="dxa"/>
                                    <w:bottom w:w="28" w:type="dxa"/>
                                    <w:right w:w="28" w:type="dxa"/>
                                  </w:tcMar>
                                </w:tcPr>
                                <w:p w:rsidR="008F3BB2" w:rsidRPr="000F3ABF" w:rsidRDefault="008F3BB2">
                                  <w:pPr>
                                    <w:pStyle w:val="afd"/>
                                    <w:jc w:val="center"/>
                                    <w:rPr>
                                      <w:b w:val="0"/>
                                    </w:rPr>
                                  </w:pPr>
                                  <w:r w:rsidRPr="000F3ABF">
                                    <w:rPr>
                                      <w:b w:val="0"/>
                                    </w:rPr>
                                    <w:t>55.5 ± 13.8</w:t>
                                  </w:r>
                                </w:p>
                                <w:p w:rsidR="008F3BB2" w:rsidRPr="000F3ABF" w:rsidRDefault="008F3BB2">
                                  <w:pPr>
                                    <w:pStyle w:val="afd"/>
                                    <w:jc w:val="center"/>
                                    <w:rPr>
                                      <w:b w:val="0"/>
                                    </w:rPr>
                                  </w:pPr>
                                </w:p>
                              </w:tc>
                              <w:tc>
                                <w:tcPr>
                                  <w:tcW w:w="2092" w:type="dxa"/>
                                  <w:tcBorders>
                                    <w:top w:val="single" w:sz="6" w:space="0" w:color="000000"/>
                                  </w:tcBorders>
                                  <w:tcMar>
                                    <w:top w:w="28" w:type="dxa"/>
                                    <w:left w:w="28" w:type="dxa"/>
                                    <w:bottom w:w="28" w:type="dxa"/>
                                    <w:right w:w="28" w:type="dxa"/>
                                  </w:tcMar>
                                </w:tcPr>
                                <w:p w:rsidR="008F3BB2" w:rsidRPr="000F3ABF" w:rsidRDefault="008F3BB2">
                                  <w:pPr>
                                    <w:pStyle w:val="afd"/>
                                    <w:jc w:val="center"/>
                                    <w:rPr>
                                      <w:b w:val="0"/>
                                    </w:rPr>
                                  </w:pPr>
                                  <w:r w:rsidRPr="000F3ABF">
                                    <w:rPr>
                                      <w:b w:val="0"/>
                                    </w:rPr>
                                    <w:t xml:space="preserve">    56.8 ± 13.6</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Gender, male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140 (69.7)</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160 (79.2)</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160 (78.4)</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Height, cm</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163.5 ± 10.2</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165.5 ± 9.3</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165.6 ± 9.3</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Weight, kg</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67.0 ± 13.4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68.2 ± 12.3</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69.0 ± 13.1</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 xml:space="preserve">Erosive esophagitis grade, investigator-assessed </w:t>
                                  </w:r>
                                </w:p>
                                <w:p w:rsidR="008F3BB2" w:rsidRPr="000F3ABF" w:rsidRDefault="008F3BB2">
                                  <w:pPr>
                                    <w:pStyle w:val="afd"/>
                                    <w:jc w:val="left"/>
                                    <w:rPr>
                                      <w:b w:val="0"/>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3"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lang w:val="en-US"/>
                                    </w:rPr>
                                    <w:t xml:space="preserve">   </w:t>
                                  </w:r>
                                  <w:r w:rsidRPr="000F3ABF">
                                    <w:rPr>
                                      <w:b w:val="0"/>
                                    </w:rPr>
                                    <w:t>LA Grade A/B</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160 (79.6)</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162 (80.2)</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161 (78.9)</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LA Grade C/D</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41 (20.4)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40 (19.8)</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43 (21.1)</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Esophageal hiatal hernia</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3"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w:t>
                                  </w:r>
                                  <w:r w:rsidRPr="000F3ABF">
                                    <w:rPr>
                                      <w:rFonts w:ascii="宋体" w:cs="宋体" w:hint="eastAsia"/>
                                      <w:b w:val="0"/>
                                      <w:bCs w:val="0"/>
                                      <w:sz w:val="13"/>
                                      <w:szCs w:val="13"/>
                                      <w:lang w:val="en-US"/>
                                    </w:rPr>
                                    <w:t>≥</w:t>
                                  </w:r>
                                  <w:r w:rsidRPr="000F3ABF">
                                    <w:rPr>
                                      <w:b w:val="0"/>
                                    </w:rPr>
                                    <w:t xml:space="preserve"> 2 cm</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31 (15.4)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45 (22.3)</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46 (22.5)</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&lt; 2 cm</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105 (52.2)</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100 (49.5)</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113 (55.4)</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None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65 (32.3)</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57 (28.2)</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44 (21.6)</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bCs w:val="0"/>
                                      <w:i/>
                                      <w:iCs/>
                                    </w:rPr>
                                    <w:t>H. pylori</w:t>
                                  </w:r>
                                  <w:r w:rsidRPr="000F3ABF">
                                    <w:rPr>
                                      <w:b w:val="0"/>
                                    </w:rPr>
                                    <w:t xml:space="preserve"> infection status</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3"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Positive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29 (14.4)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37 (18.3)</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23 (11.3)</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 xml:space="preserve">   Negative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172 (85.6)</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165 (81.7)</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181 (88.7)</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CYP2C19 genotype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3"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 xml:space="preserve">   Extensive metabolizers</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162 (80.6)</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169 (84.1)</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169 (83.3)</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 xml:space="preserve">   Poor metabolizers</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39 (19.4)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32 (15.9)</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34 (16.7)</w:t>
                                  </w:r>
                                </w:p>
                                <w:p w:rsidR="008F3BB2" w:rsidRPr="000F3ABF" w:rsidRDefault="008F3BB2">
                                  <w:pPr>
                                    <w:pStyle w:val="afd"/>
                                    <w:jc w:val="center"/>
                                    <w:rPr>
                                      <w:b w:val="0"/>
                                    </w:rPr>
                                  </w:pPr>
                                </w:p>
                              </w:tc>
                            </w:tr>
                          </w:tbl>
                          <w:p w:rsidR="008F3BB2" w:rsidRPr="00A00D81" w:rsidRDefault="008F3BB2" w:rsidP="008F3BB2">
                            <w:pPr>
                              <w:pStyle w:val="afe"/>
                              <w:rPr>
                                <w:vertAlign w:val="superscript"/>
                              </w:rPr>
                            </w:pPr>
                            <w:r w:rsidRPr="000F3ABF">
                              <w:rPr>
                                <w:b w:val="0"/>
                                <w:vertAlign w:val="superscript"/>
                              </w:rPr>
                              <w:t>1</w:t>
                            </w:r>
                            <w:r w:rsidRPr="000F3ABF">
                              <w:rPr>
                                <w:b w:val="0"/>
                              </w:rPr>
                              <w:t xml:space="preserve">Values expressed as mean ± SD, or </w:t>
                            </w:r>
                            <w:r w:rsidRPr="000F3ABF">
                              <w:rPr>
                                <w:b w:val="0"/>
                                <w:bCs w:val="0"/>
                                <w:i/>
                                <w:iCs/>
                              </w:rPr>
                              <w:t>n</w:t>
                            </w:r>
                            <w:r w:rsidRPr="000F3ABF">
                              <w:rPr>
                                <w:b w:val="0"/>
                              </w:rPr>
                              <w:t xml:space="preserve"> (%). LA: Los Angeles; </w:t>
                            </w:r>
                            <w:proofErr w:type="spellStart"/>
                            <w:r w:rsidRPr="000F3ABF">
                              <w:rPr>
                                <w:b w:val="0"/>
                              </w:rPr>
                              <w:t>LPZ</w:t>
                            </w:r>
                            <w:proofErr w:type="spellEnd"/>
                            <w:r w:rsidRPr="000F3ABF">
                              <w:rPr>
                                <w:b w:val="0"/>
                              </w:rPr>
                              <w:t xml:space="preserve">: </w:t>
                            </w:r>
                            <w:proofErr w:type="spellStart"/>
                            <w:r w:rsidRPr="000F3ABF">
                              <w:rPr>
                                <w:b w:val="0"/>
                              </w:rPr>
                              <w:t>Lansoprazole</w:t>
                            </w:r>
                            <w:proofErr w:type="spellEnd"/>
                            <w:r w:rsidRPr="000F3ABF">
                              <w:rPr>
                                <w:b w:val="0"/>
                              </w:rPr>
                              <w:t xml:space="preserve">; SD: Standard deviation; </w:t>
                            </w:r>
                            <w:proofErr w:type="spellStart"/>
                            <w:r w:rsidRPr="000F3ABF">
                              <w:rPr>
                                <w:b w:val="0"/>
                              </w:rPr>
                              <w:t>VPZ</w:t>
                            </w:r>
                            <w:proofErr w:type="spellEnd"/>
                            <w:r w:rsidRPr="000F3ABF">
                              <w:rPr>
                                <w:b w:val="0"/>
                              </w:rPr>
                              <w:t xml:space="preserve">: </w:t>
                            </w:r>
                            <w:proofErr w:type="spellStart"/>
                            <w:r w:rsidRPr="000F3ABF">
                              <w:rPr>
                                <w:b w:val="0"/>
                              </w:rPr>
                              <w:t>Vonoprazan</w:t>
                            </w:r>
                            <w:proofErr w:type="spellEnd"/>
                            <w:r w:rsidRPr="000F3ABF">
                              <w:rPr>
                                <w:b w:val="0"/>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416.05pt;height:675.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jtOAIAAFAEAAAOAAAAZHJzL2Uyb0RvYy54bWysVM2O0zAQviPxDpbvNG232XajpqulSxHS&#10;8iMtPIDjOI2F47Fst8nyAPAGnLhw57n6HIydtJS/CyIHa8Yz/mbmm5ksr7tGkb2wToLO6WQ0pkRo&#10;DqXU25y+e7t5sqDEeaZLpkCLnD4IR69Xjx8tW5OJKdSgSmEJgmiXtSantfcmSxLHa9EwNwIjNBor&#10;sA3zqNptUlrWInqjkul4fJm0YEtjgQvn8Pa2N9JVxK8qwf3rqnLCE5VTzM3H08azCGeyWrJsa5mp&#10;JR/SYP+QRcOkxqAnqFvmGdlZ+RtUI7kFB5UfcWgSqCrJRawBq5mMf6nmvmZGxFqQHGdONLn/B8tf&#10;7d9YIsuczinRrMEWHT5/Onz5dvj6kcwDPa1xGXrdG/Tz3VPosM2xVGfugL93RMO6ZnorbqyFthas&#10;xPQm4WVy9rTHcQGkaF9CiXHYzkME6irbBO6QDYLo2KaHU2tE5wnHy3S6uFhcpJRwtC3SeXo5T2MM&#10;lh2fG+v8cwENCUJOLfY+wrP9nfMhHZYdXUI0B0qWG6lUVOy2WCtL9gznZBO/Af0nN6VJm9OrdJr2&#10;DPwVYhy/P0E00uPAK9lgGScnlgXenukyjqNnUvUypqz0QGTgrmfRd0U3NKaA8gEptdAPNi4iCjXY&#10;D5S0ONQ51bh1lKgXGptyNZnNwg5EZZbOp6jYc0txbmGaI1BOPSW9uPb93uyMldsa4xzH4AYbuZGR&#10;4tDxPqchaxzbyPywYmEvzvXo9eNHsPoOAAD//wMAUEsDBBQABgAIAAAAIQAR4jX83wAAAAYBAAAP&#10;AAAAZHJzL2Rvd25yZXYueG1sTI/BTsMwEETvSPyDtUhcUGu3VaEKcSooqjggVdDyAU68JGnjdRS7&#10;SeDrWbjAZaTVjGbepuvRNaLHLtSeNMymCgRS4W1NpYb3w3ayAhGiIWsaT6jhEwOss8uL1CTWD/SG&#10;/T6WgksoJEZDFWObSBmKCp0JU98isffhO2cin10pbWcGLneNnCt1K52piRcq0+KmwuK0PzsNp6e7&#10;/njz8vyY77abY9mr4QuLV62vr8aHexARx/gXhh98RoeMmXJ/JhtEo4Efib/K3moxn4HIObRYqiXI&#10;LJX/8bNvAAAA//8DAFBLAQItABQABgAIAAAAIQC2gziS/gAAAOEBAAATAAAAAAAAAAAAAAAAAAAA&#10;AABbQ29udGVudF9UeXBlc10ueG1sUEsBAi0AFAAGAAgAAAAhADj9If/WAAAAlAEAAAsAAAAAAAAA&#10;AAAAAAAALwEAAF9yZWxzLy5yZWxzUEsBAi0AFAAGAAgAAAAhAJPQ6O04AgAAUAQAAA4AAAAAAAAA&#10;AAAAAAAALgIAAGRycy9lMm9Eb2MueG1sUEsBAi0AFAAGAAgAAAAhABHiNfzfAAAABgEAAA8AAAAA&#10;AAAAAAAAAAAAkgQAAGRycy9kb3ducmV2LnhtbFBLBQYAAAAABAAEAPMAAACeBQAAAAA=&#10;">
                <v:textbox style="mso-fit-shape-to-text:t">
                  <w:txbxContent>
                    <w:p w:rsidR="008F3BB2" w:rsidRPr="000F3ABF" w:rsidRDefault="008F3BB2" w:rsidP="008F3BB2">
                      <w:pPr>
                        <w:rPr>
                          <w:b/>
                          <w:bCs/>
                          <w:vertAlign w:val="superscript"/>
                        </w:rPr>
                      </w:pPr>
                      <w:r w:rsidRPr="000F3ABF">
                        <w:rPr>
                          <w:b/>
                          <w:bCs/>
                        </w:rPr>
                        <w:t xml:space="preserve">Table </w:t>
                      </w:r>
                      <w:proofErr w:type="gramStart"/>
                      <w:r w:rsidRPr="000F3ABF">
                        <w:rPr>
                          <w:b/>
                          <w:bCs/>
                        </w:rPr>
                        <w:t>1  Demographic</w:t>
                      </w:r>
                      <w:proofErr w:type="gramEnd"/>
                      <w:r w:rsidRPr="000F3ABF">
                        <w:rPr>
                          <w:b/>
                          <w:bCs/>
                        </w:rPr>
                        <w:t xml:space="preserve"> and other baseline characteristics in the randomized set (</w:t>
                      </w:r>
                      <w:r w:rsidRPr="000F3ABF">
                        <w:rPr>
                          <w:b/>
                          <w:bCs/>
                          <w:i/>
                          <w:iCs/>
                        </w:rPr>
                        <w:t>n</w:t>
                      </w:r>
                      <w:r w:rsidRPr="000F3ABF">
                        <w:rPr>
                          <w:b/>
                          <w:bCs/>
                        </w:rPr>
                        <w:t xml:space="preserve"> = 607)</w:t>
                      </w:r>
                      <w:r w:rsidRPr="000F3ABF">
                        <w:rPr>
                          <w:b/>
                          <w:bCs/>
                          <w:vertAlign w:val="superscript"/>
                        </w:rPr>
                        <w:t>1</w:t>
                      </w:r>
                    </w:p>
                    <w:tbl>
                      <w:tblPr>
                        <w:tblW w:w="953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256"/>
                        <w:gridCol w:w="2092"/>
                        <w:gridCol w:w="2093"/>
                        <w:gridCol w:w="2092"/>
                      </w:tblGrid>
                      <w:tr w:rsidR="008F3BB2" w:rsidRPr="000F3ABF">
                        <w:tblPrEx>
                          <w:tblCellMar>
                            <w:top w:w="0" w:type="dxa"/>
                            <w:left w:w="0" w:type="dxa"/>
                            <w:bottom w:w="0" w:type="dxa"/>
                            <w:right w:w="0" w:type="dxa"/>
                          </w:tblCellMar>
                        </w:tblPrEx>
                        <w:trPr>
                          <w:trHeight w:val="266"/>
                        </w:trPr>
                        <w:tc>
                          <w:tcPr>
                            <w:tcW w:w="3256" w:type="dxa"/>
                            <w:tcBorders>
                              <w:top w:val="single" w:sz="6" w:space="0" w:color="000000"/>
                              <w:bottom w:val="single" w:sz="6" w:space="0" w:color="000000"/>
                            </w:tcBorders>
                            <w:tcMar>
                              <w:top w:w="28" w:type="dxa"/>
                              <w:left w:w="28" w:type="dxa"/>
                              <w:bottom w:w="28" w:type="dxa"/>
                              <w:right w:w="28" w:type="dxa"/>
                            </w:tcMar>
                          </w:tcPr>
                          <w:p w:rsidR="008F3BB2" w:rsidRPr="000F3ABF" w:rsidRDefault="008F3BB2">
                            <w:pPr>
                              <w:pStyle w:val="afc"/>
                              <w:jc w:val="left"/>
                            </w:pPr>
                            <w:r w:rsidRPr="000F3ABF">
                              <w:t>Characteristic</w:t>
                            </w:r>
                          </w:p>
                          <w:p w:rsidR="008F3BB2" w:rsidRPr="000F3ABF" w:rsidRDefault="008F3BB2">
                            <w:pPr>
                              <w:pStyle w:val="afc"/>
                              <w:jc w:val="left"/>
                            </w:pPr>
                          </w:p>
                        </w:tc>
                        <w:tc>
                          <w:tcPr>
                            <w:tcW w:w="2092" w:type="dxa"/>
                            <w:tcBorders>
                              <w:top w:val="single" w:sz="6" w:space="0" w:color="000000"/>
                              <w:bottom w:val="single" w:sz="6" w:space="0" w:color="000000"/>
                            </w:tcBorders>
                            <w:tcMar>
                              <w:top w:w="28" w:type="dxa"/>
                              <w:left w:w="28" w:type="dxa"/>
                              <w:bottom w:w="28" w:type="dxa"/>
                              <w:right w:w="28" w:type="dxa"/>
                            </w:tcMar>
                          </w:tcPr>
                          <w:p w:rsidR="008F3BB2" w:rsidRPr="000F3ABF" w:rsidRDefault="008F3BB2">
                            <w:pPr>
                              <w:pStyle w:val="afc"/>
                              <w:jc w:val="center"/>
                            </w:pPr>
                            <w:r w:rsidRPr="000F3ABF">
                              <w:t>LPZ 15 mg (</w:t>
                            </w:r>
                            <w:r w:rsidRPr="000F3ABF">
                              <w:rPr>
                                <w:rFonts w:ascii="Albertus Bold Italic" w:hAnsi="Albertus Bold Italic" w:cs="Albertus Bold Italic"/>
                                <w:i/>
                                <w:iCs/>
                              </w:rPr>
                              <w:t>n</w:t>
                            </w:r>
                            <w:r w:rsidRPr="000F3ABF">
                              <w:t xml:space="preserve"> = 201)</w:t>
                            </w:r>
                          </w:p>
                          <w:p w:rsidR="008F3BB2" w:rsidRPr="000F3ABF" w:rsidRDefault="008F3BB2">
                            <w:pPr>
                              <w:pStyle w:val="afc"/>
                              <w:jc w:val="center"/>
                            </w:pPr>
                          </w:p>
                        </w:tc>
                        <w:tc>
                          <w:tcPr>
                            <w:tcW w:w="2093" w:type="dxa"/>
                            <w:tcBorders>
                              <w:top w:val="single" w:sz="6" w:space="0" w:color="000000"/>
                              <w:bottom w:val="single" w:sz="6" w:space="0" w:color="000000"/>
                            </w:tcBorders>
                            <w:tcMar>
                              <w:top w:w="28" w:type="dxa"/>
                              <w:left w:w="28" w:type="dxa"/>
                              <w:bottom w:w="28" w:type="dxa"/>
                              <w:right w:w="28" w:type="dxa"/>
                            </w:tcMar>
                          </w:tcPr>
                          <w:p w:rsidR="008F3BB2" w:rsidRPr="000F3ABF" w:rsidRDefault="008F3BB2">
                            <w:pPr>
                              <w:pStyle w:val="afc"/>
                              <w:jc w:val="center"/>
                            </w:pPr>
                            <w:r w:rsidRPr="000F3ABF">
                              <w:t>VPZ 10 mg (</w:t>
                            </w:r>
                            <w:r w:rsidRPr="000F3ABF">
                              <w:rPr>
                                <w:rFonts w:ascii="Albertus Bold Italic" w:hAnsi="Albertus Bold Italic" w:cs="Albertus Bold Italic"/>
                                <w:i/>
                                <w:iCs/>
                              </w:rPr>
                              <w:t>n</w:t>
                            </w:r>
                            <w:r w:rsidRPr="000F3ABF">
                              <w:t xml:space="preserve"> = 202)</w:t>
                            </w:r>
                          </w:p>
                          <w:p w:rsidR="008F3BB2" w:rsidRPr="000F3ABF" w:rsidRDefault="008F3BB2">
                            <w:pPr>
                              <w:pStyle w:val="afc"/>
                              <w:jc w:val="center"/>
                            </w:pPr>
                          </w:p>
                        </w:tc>
                        <w:tc>
                          <w:tcPr>
                            <w:tcW w:w="2092" w:type="dxa"/>
                            <w:tcBorders>
                              <w:top w:val="single" w:sz="6" w:space="0" w:color="000000"/>
                              <w:bottom w:val="single" w:sz="6" w:space="0" w:color="000000"/>
                            </w:tcBorders>
                            <w:tcMar>
                              <w:top w:w="28" w:type="dxa"/>
                              <w:left w:w="28" w:type="dxa"/>
                              <w:bottom w:w="28" w:type="dxa"/>
                              <w:right w:w="28" w:type="dxa"/>
                            </w:tcMar>
                          </w:tcPr>
                          <w:p w:rsidR="008F3BB2" w:rsidRPr="000F3ABF" w:rsidRDefault="008F3BB2">
                            <w:pPr>
                              <w:pStyle w:val="afc"/>
                              <w:jc w:val="center"/>
                            </w:pPr>
                            <w:r w:rsidRPr="000F3ABF">
                              <w:t>VPZ 20 mg (</w:t>
                            </w:r>
                            <w:r w:rsidRPr="000F3ABF">
                              <w:rPr>
                                <w:rFonts w:ascii="Albertus Bold Italic" w:hAnsi="Albertus Bold Italic" w:cs="Albertus Bold Italic"/>
                                <w:i/>
                                <w:iCs/>
                              </w:rPr>
                              <w:t>n</w:t>
                            </w:r>
                            <w:r w:rsidRPr="000F3ABF">
                              <w:t xml:space="preserve"> = 204)</w:t>
                            </w:r>
                          </w:p>
                          <w:p w:rsidR="008F3BB2" w:rsidRPr="000F3ABF" w:rsidRDefault="008F3BB2">
                            <w:pPr>
                              <w:pStyle w:val="afc"/>
                              <w:jc w:val="center"/>
                            </w:pPr>
                          </w:p>
                        </w:tc>
                      </w:tr>
                      <w:tr w:rsidR="008F3BB2" w:rsidRPr="000F3ABF">
                        <w:tblPrEx>
                          <w:tblCellMar>
                            <w:top w:w="0" w:type="dxa"/>
                            <w:left w:w="0" w:type="dxa"/>
                            <w:bottom w:w="0" w:type="dxa"/>
                            <w:right w:w="0" w:type="dxa"/>
                          </w:tblCellMar>
                        </w:tblPrEx>
                        <w:trPr>
                          <w:trHeight w:val="60"/>
                        </w:trPr>
                        <w:tc>
                          <w:tcPr>
                            <w:tcW w:w="3256" w:type="dxa"/>
                            <w:tcBorders>
                              <w:top w:val="single" w:sz="6" w:space="0" w:color="000000"/>
                            </w:tcBorders>
                            <w:tcMar>
                              <w:top w:w="28" w:type="dxa"/>
                              <w:left w:w="28" w:type="dxa"/>
                              <w:bottom w:w="28" w:type="dxa"/>
                              <w:right w:w="28" w:type="dxa"/>
                            </w:tcMar>
                          </w:tcPr>
                          <w:p w:rsidR="008F3BB2" w:rsidRPr="000F3ABF" w:rsidRDefault="008F3BB2">
                            <w:pPr>
                              <w:pStyle w:val="afd"/>
                              <w:jc w:val="left"/>
                              <w:rPr>
                                <w:b w:val="0"/>
                              </w:rPr>
                            </w:pPr>
                            <w:r w:rsidRPr="000F3ABF">
                              <w:rPr>
                                <w:b w:val="0"/>
                              </w:rPr>
                              <w:t>Age, yr</w:t>
                            </w:r>
                          </w:p>
                          <w:p w:rsidR="008F3BB2" w:rsidRPr="000F3ABF" w:rsidRDefault="008F3BB2">
                            <w:pPr>
                              <w:pStyle w:val="afd"/>
                              <w:jc w:val="left"/>
                              <w:rPr>
                                <w:b w:val="0"/>
                              </w:rPr>
                            </w:pPr>
                          </w:p>
                        </w:tc>
                        <w:tc>
                          <w:tcPr>
                            <w:tcW w:w="2092" w:type="dxa"/>
                            <w:tcBorders>
                              <w:top w:val="single" w:sz="6" w:space="0" w:color="000000"/>
                            </w:tcBorders>
                            <w:tcMar>
                              <w:top w:w="28" w:type="dxa"/>
                              <w:left w:w="28" w:type="dxa"/>
                              <w:bottom w:w="28" w:type="dxa"/>
                              <w:right w:w="28" w:type="dxa"/>
                            </w:tcMar>
                          </w:tcPr>
                          <w:p w:rsidR="008F3BB2" w:rsidRPr="000F3ABF" w:rsidRDefault="008F3BB2">
                            <w:pPr>
                              <w:pStyle w:val="afd"/>
                              <w:jc w:val="center"/>
                              <w:rPr>
                                <w:b w:val="0"/>
                              </w:rPr>
                            </w:pPr>
                            <w:r w:rsidRPr="000F3ABF">
                              <w:rPr>
                                <w:b w:val="0"/>
                              </w:rPr>
                              <w:t xml:space="preserve">  57.8 ± 12.9</w:t>
                            </w:r>
                          </w:p>
                          <w:p w:rsidR="008F3BB2" w:rsidRPr="000F3ABF" w:rsidRDefault="008F3BB2">
                            <w:pPr>
                              <w:pStyle w:val="afd"/>
                              <w:jc w:val="center"/>
                              <w:rPr>
                                <w:b w:val="0"/>
                              </w:rPr>
                            </w:pPr>
                          </w:p>
                        </w:tc>
                        <w:tc>
                          <w:tcPr>
                            <w:tcW w:w="2093" w:type="dxa"/>
                            <w:tcBorders>
                              <w:top w:val="single" w:sz="6" w:space="0" w:color="000000"/>
                            </w:tcBorders>
                            <w:tcMar>
                              <w:top w:w="28" w:type="dxa"/>
                              <w:left w:w="28" w:type="dxa"/>
                              <w:bottom w:w="28" w:type="dxa"/>
                              <w:right w:w="28" w:type="dxa"/>
                            </w:tcMar>
                          </w:tcPr>
                          <w:p w:rsidR="008F3BB2" w:rsidRPr="000F3ABF" w:rsidRDefault="008F3BB2">
                            <w:pPr>
                              <w:pStyle w:val="afd"/>
                              <w:jc w:val="center"/>
                              <w:rPr>
                                <w:b w:val="0"/>
                              </w:rPr>
                            </w:pPr>
                            <w:r w:rsidRPr="000F3ABF">
                              <w:rPr>
                                <w:b w:val="0"/>
                              </w:rPr>
                              <w:t>55.5 ± 13.8</w:t>
                            </w:r>
                          </w:p>
                          <w:p w:rsidR="008F3BB2" w:rsidRPr="000F3ABF" w:rsidRDefault="008F3BB2">
                            <w:pPr>
                              <w:pStyle w:val="afd"/>
                              <w:jc w:val="center"/>
                              <w:rPr>
                                <w:b w:val="0"/>
                              </w:rPr>
                            </w:pPr>
                          </w:p>
                        </w:tc>
                        <w:tc>
                          <w:tcPr>
                            <w:tcW w:w="2092" w:type="dxa"/>
                            <w:tcBorders>
                              <w:top w:val="single" w:sz="6" w:space="0" w:color="000000"/>
                            </w:tcBorders>
                            <w:tcMar>
                              <w:top w:w="28" w:type="dxa"/>
                              <w:left w:w="28" w:type="dxa"/>
                              <w:bottom w:w="28" w:type="dxa"/>
                              <w:right w:w="28" w:type="dxa"/>
                            </w:tcMar>
                          </w:tcPr>
                          <w:p w:rsidR="008F3BB2" w:rsidRPr="000F3ABF" w:rsidRDefault="008F3BB2">
                            <w:pPr>
                              <w:pStyle w:val="afd"/>
                              <w:jc w:val="center"/>
                              <w:rPr>
                                <w:b w:val="0"/>
                              </w:rPr>
                            </w:pPr>
                            <w:r w:rsidRPr="000F3ABF">
                              <w:rPr>
                                <w:b w:val="0"/>
                              </w:rPr>
                              <w:t xml:space="preserve">    56.8 ± 13.6</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Gender, male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140 (69.7)</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160 (79.2)</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160 (78.4)</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Height, cm</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163.5 ± 10.2</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165.5 ± 9.3</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165.6 ± 9.3</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Weight, kg</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67.0 ± 13.4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68.2 ± 12.3</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69.0 ± 13.1</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 xml:space="preserve">Erosive esophagitis grade, investigator-assessed </w:t>
                            </w:r>
                          </w:p>
                          <w:p w:rsidR="008F3BB2" w:rsidRPr="000F3ABF" w:rsidRDefault="008F3BB2">
                            <w:pPr>
                              <w:pStyle w:val="afd"/>
                              <w:jc w:val="left"/>
                              <w:rPr>
                                <w:b w:val="0"/>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3"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lang w:val="en-US"/>
                              </w:rPr>
                              <w:t xml:space="preserve">   </w:t>
                            </w:r>
                            <w:r w:rsidRPr="000F3ABF">
                              <w:rPr>
                                <w:b w:val="0"/>
                              </w:rPr>
                              <w:t>LA Grade A/B</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160 (79.6)</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162 (80.2)</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161 (78.9)</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LA Grade C/D</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41 (20.4)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40 (19.8)</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43 (21.1)</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Esophageal hiatal hernia</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3"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w:t>
                            </w:r>
                            <w:r w:rsidRPr="000F3ABF">
                              <w:rPr>
                                <w:rFonts w:ascii="宋体" w:cs="宋体" w:hint="eastAsia"/>
                                <w:b w:val="0"/>
                                <w:bCs w:val="0"/>
                                <w:sz w:val="13"/>
                                <w:szCs w:val="13"/>
                                <w:lang w:val="en-US"/>
                              </w:rPr>
                              <w:t>≥</w:t>
                            </w:r>
                            <w:r w:rsidRPr="000F3ABF">
                              <w:rPr>
                                <w:b w:val="0"/>
                              </w:rPr>
                              <w:t xml:space="preserve"> 2 cm</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31 (15.4)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45 (22.3)</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46 (22.5)</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&lt; 2 cm</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105 (52.2)</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100 (49.5)</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113 (55.4)</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None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65 (32.3)</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57 (28.2)</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44 (21.6)</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bCs w:val="0"/>
                                <w:i/>
                                <w:iCs/>
                              </w:rPr>
                              <w:t>H. pylori</w:t>
                            </w:r>
                            <w:r w:rsidRPr="000F3ABF">
                              <w:rPr>
                                <w:b w:val="0"/>
                              </w:rPr>
                              <w:t xml:space="preserve"> infection status</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3"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rPr>
                            </w:pPr>
                            <w:r w:rsidRPr="000F3ABF">
                              <w:rPr>
                                <w:b w:val="0"/>
                              </w:rPr>
                              <w:t xml:space="preserve">   Positive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rPr>
                            </w:pPr>
                            <w:r w:rsidRPr="000F3ABF">
                              <w:rPr>
                                <w:b w:val="0"/>
                              </w:rPr>
                              <w:t xml:space="preserve">  29 (14.4)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37 (18.3)</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23 (11.3)</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 xml:space="preserve">   Negative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172 (85.6)</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165 (81.7)</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181 (88.7)</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CYP2C19 genotype</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3"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c>
                          <w:tcPr>
                            <w:tcW w:w="2092" w:type="dxa"/>
                            <w:tcMar>
                              <w:top w:w="28" w:type="dxa"/>
                              <w:left w:w="28" w:type="dxa"/>
                              <w:bottom w:w="28" w:type="dxa"/>
                              <w:right w:w="28" w:type="dxa"/>
                            </w:tcMar>
                          </w:tcPr>
                          <w:p w:rsidR="008F3BB2" w:rsidRPr="000F3ABF" w:rsidRDefault="008F3BB2">
                            <w:pPr>
                              <w:pStyle w:val="Noparagraphstyle"/>
                              <w:spacing w:line="240" w:lineRule="auto"/>
                              <w:jc w:val="left"/>
                              <w:textAlignment w:val="auto"/>
                              <w:rPr>
                                <w:rFonts w:ascii="Albertus Bold Italic" w:cs="Times New Roman"/>
                                <w:color w:val="auto"/>
                                <w:lang w:val="en-US"/>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 xml:space="preserve">   Extensive metabolizers</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162 (80.6)</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169 (84.1)</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169 (83.3)</w:t>
                            </w:r>
                          </w:p>
                          <w:p w:rsidR="008F3BB2" w:rsidRPr="000F3ABF" w:rsidRDefault="008F3BB2">
                            <w:pPr>
                              <w:pStyle w:val="afd"/>
                              <w:jc w:val="center"/>
                              <w:rPr>
                                <w:b w:val="0"/>
                              </w:rPr>
                            </w:pPr>
                          </w:p>
                        </w:tc>
                      </w:tr>
                      <w:tr w:rsidR="008F3BB2" w:rsidRPr="000F3ABF">
                        <w:tblPrEx>
                          <w:tblCellMar>
                            <w:top w:w="0" w:type="dxa"/>
                            <w:left w:w="0" w:type="dxa"/>
                            <w:bottom w:w="0" w:type="dxa"/>
                            <w:right w:w="0" w:type="dxa"/>
                          </w:tblCellMar>
                        </w:tblPrEx>
                        <w:trPr>
                          <w:trHeight w:val="60"/>
                        </w:trPr>
                        <w:tc>
                          <w:tcPr>
                            <w:tcW w:w="3256" w:type="dxa"/>
                            <w:tcMar>
                              <w:top w:w="28" w:type="dxa"/>
                              <w:left w:w="28" w:type="dxa"/>
                              <w:bottom w:w="28" w:type="dxa"/>
                              <w:right w:w="28" w:type="dxa"/>
                            </w:tcMar>
                          </w:tcPr>
                          <w:p w:rsidR="008F3BB2" w:rsidRPr="000F3ABF" w:rsidRDefault="008F3BB2">
                            <w:pPr>
                              <w:pStyle w:val="afd"/>
                              <w:jc w:val="left"/>
                              <w:rPr>
                                <w:b w:val="0"/>
                                <w:lang w:val="en-US"/>
                              </w:rPr>
                            </w:pPr>
                            <w:r w:rsidRPr="000F3ABF">
                              <w:rPr>
                                <w:b w:val="0"/>
                                <w:lang w:val="en-US"/>
                              </w:rPr>
                              <w:t xml:space="preserve">   Poor metabolizers</w:t>
                            </w:r>
                          </w:p>
                          <w:p w:rsidR="008F3BB2" w:rsidRPr="000F3ABF" w:rsidRDefault="008F3BB2">
                            <w:pPr>
                              <w:pStyle w:val="afd"/>
                              <w:jc w:val="left"/>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39 (19.4)</w:t>
                            </w:r>
                          </w:p>
                          <w:p w:rsidR="008F3BB2" w:rsidRPr="000F3ABF" w:rsidRDefault="008F3BB2">
                            <w:pPr>
                              <w:pStyle w:val="afd"/>
                              <w:jc w:val="center"/>
                              <w:rPr>
                                <w:b w:val="0"/>
                              </w:rPr>
                            </w:pPr>
                          </w:p>
                        </w:tc>
                        <w:tc>
                          <w:tcPr>
                            <w:tcW w:w="2093"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32 (15.9)</w:t>
                            </w:r>
                          </w:p>
                          <w:p w:rsidR="008F3BB2" w:rsidRPr="000F3ABF" w:rsidRDefault="008F3BB2">
                            <w:pPr>
                              <w:pStyle w:val="afd"/>
                              <w:jc w:val="center"/>
                              <w:rPr>
                                <w:b w:val="0"/>
                              </w:rPr>
                            </w:pPr>
                          </w:p>
                        </w:tc>
                        <w:tc>
                          <w:tcPr>
                            <w:tcW w:w="2092" w:type="dxa"/>
                            <w:tcMar>
                              <w:top w:w="28" w:type="dxa"/>
                              <w:left w:w="28" w:type="dxa"/>
                              <w:bottom w:w="28" w:type="dxa"/>
                              <w:right w:w="28" w:type="dxa"/>
                            </w:tcMar>
                          </w:tcPr>
                          <w:p w:rsidR="008F3BB2" w:rsidRPr="000F3ABF" w:rsidRDefault="008F3BB2">
                            <w:pPr>
                              <w:pStyle w:val="afd"/>
                              <w:jc w:val="center"/>
                              <w:rPr>
                                <w:b w:val="0"/>
                                <w:lang w:val="en-US"/>
                              </w:rPr>
                            </w:pPr>
                            <w:r w:rsidRPr="000F3ABF">
                              <w:rPr>
                                <w:b w:val="0"/>
                                <w:lang w:val="en-US"/>
                              </w:rPr>
                              <w:t xml:space="preserve">  34 (16.7)</w:t>
                            </w:r>
                          </w:p>
                          <w:p w:rsidR="008F3BB2" w:rsidRPr="000F3ABF" w:rsidRDefault="008F3BB2">
                            <w:pPr>
                              <w:pStyle w:val="afd"/>
                              <w:jc w:val="center"/>
                              <w:rPr>
                                <w:b w:val="0"/>
                              </w:rPr>
                            </w:pPr>
                          </w:p>
                        </w:tc>
                      </w:tr>
                    </w:tbl>
                    <w:p w:rsidR="008F3BB2" w:rsidRPr="00A00D81" w:rsidRDefault="008F3BB2" w:rsidP="008F3BB2">
                      <w:pPr>
                        <w:pStyle w:val="afe"/>
                        <w:rPr>
                          <w:vertAlign w:val="superscript"/>
                        </w:rPr>
                      </w:pPr>
                      <w:r w:rsidRPr="000F3ABF">
                        <w:rPr>
                          <w:b w:val="0"/>
                          <w:vertAlign w:val="superscript"/>
                        </w:rPr>
                        <w:t>1</w:t>
                      </w:r>
                      <w:r w:rsidRPr="000F3ABF">
                        <w:rPr>
                          <w:b w:val="0"/>
                        </w:rPr>
                        <w:t xml:space="preserve">Values expressed as mean ± SD, or </w:t>
                      </w:r>
                      <w:r w:rsidRPr="000F3ABF">
                        <w:rPr>
                          <w:b w:val="0"/>
                          <w:bCs w:val="0"/>
                          <w:i/>
                          <w:iCs/>
                        </w:rPr>
                        <w:t>n</w:t>
                      </w:r>
                      <w:r w:rsidRPr="000F3ABF">
                        <w:rPr>
                          <w:b w:val="0"/>
                        </w:rPr>
                        <w:t xml:space="preserve"> (%). LA: Los Angeles; </w:t>
                      </w:r>
                      <w:proofErr w:type="spellStart"/>
                      <w:r w:rsidRPr="000F3ABF">
                        <w:rPr>
                          <w:b w:val="0"/>
                        </w:rPr>
                        <w:t>LPZ</w:t>
                      </w:r>
                      <w:proofErr w:type="spellEnd"/>
                      <w:r w:rsidRPr="000F3ABF">
                        <w:rPr>
                          <w:b w:val="0"/>
                        </w:rPr>
                        <w:t xml:space="preserve">: </w:t>
                      </w:r>
                      <w:proofErr w:type="spellStart"/>
                      <w:r w:rsidRPr="000F3ABF">
                        <w:rPr>
                          <w:b w:val="0"/>
                        </w:rPr>
                        <w:t>Lansoprazole</w:t>
                      </w:r>
                      <w:proofErr w:type="spellEnd"/>
                      <w:r w:rsidRPr="000F3ABF">
                        <w:rPr>
                          <w:b w:val="0"/>
                        </w:rPr>
                        <w:t xml:space="preserve">; SD: Standard deviation; </w:t>
                      </w:r>
                      <w:proofErr w:type="spellStart"/>
                      <w:r w:rsidRPr="000F3ABF">
                        <w:rPr>
                          <w:b w:val="0"/>
                        </w:rPr>
                        <w:t>VPZ</w:t>
                      </w:r>
                      <w:proofErr w:type="spellEnd"/>
                      <w:r w:rsidRPr="000F3ABF">
                        <w:rPr>
                          <w:b w:val="0"/>
                        </w:rPr>
                        <w:t xml:space="preserve">: </w:t>
                      </w:r>
                      <w:proofErr w:type="spellStart"/>
                      <w:r w:rsidRPr="000F3ABF">
                        <w:rPr>
                          <w:b w:val="0"/>
                        </w:rPr>
                        <w:t>Vonoprazan</w:t>
                      </w:r>
                      <w:proofErr w:type="spellEnd"/>
                      <w:r w:rsidRPr="000F3ABF">
                        <w:rPr>
                          <w:b w:val="0"/>
                        </w:rPr>
                        <w:t>.</w:t>
                      </w:r>
                    </w:p>
                  </w:txbxContent>
                </v:textbox>
                <w10:wrap type="square"/>
              </v:shape>
            </w:pict>
          </mc:Fallback>
        </mc:AlternateContent>
      </w: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6182995"/>
                <wp:effectExtent l="9525" t="13335" r="12065" b="13970"/>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182995"/>
                        </a:xfrm>
                        <a:prstGeom prst="rect">
                          <a:avLst/>
                        </a:prstGeom>
                        <a:solidFill>
                          <a:srgbClr val="FFFFFF"/>
                        </a:solidFill>
                        <a:ln w="9525">
                          <a:solidFill>
                            <a:srgbClr val="000000"/>
                          </a:solidFill>
                          <a:miter lim="800000"/>
                          <a:headEnd/>
                          <a:tailEnd/>
                        </a:ln>
                      </wps:spPr>
                      <wps:txbx>
                        <w:txbxContent>
                          <w:p w:rsidR="008F3BB2" w:rsidRPr="000F3ABF" w:rsidRDefault="008F3BB2" w:rsidP="008F3BB2">
                            <w:pPr>
                              <w:rPr>
                                <w:b/>
                                <w:bCs/>
                              </w:rPr>
                            </w:pPr>
                            <w:r w:rsidRPr="000F3ABF">
                              <w:rPr>
                                <w:b/>
                                <w:bCs/>
                              </w:rPr>
                              <w:t xml:space="preserve">Table </w:t>
                            </w:r>
                            <w:proofErr w:type="gramStart"/>
                            <w:r w:rsidRPr="000F3ABF">
                              <w:rPr>
                                <w:b/>
                                <w:bCs/>
                              </w:rPr>
                              <w:t>2  Recurrence</w:t>
                            </w:r>
                            <w:proofErr w:type="gramEnd"/>
                            <w:r w:rsidRPr="000F3ABF">
                              <w:rPr>
                                <w:b/>
                                <w:bCs/>
                              </w:rPr>
                              <w:t xml:space="preserve"> rate of erosive esophagitis: Intergroup differences and non-inferiority test</w:t>
                            </w:r>
                          </w:p>
                          <w:tbl>
                            <w:tblPr>
                              <w:tblW w:w="836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91"/>
                              <w:gridCol w:w="60"/>
                              <w:gridCol w:w="1905"/>
                              <w:gridCol w:w="1905"/>
                              <w:gridCol w:w="1905"/>
                            </w:tblGrid>
                            <w:tr w:rsidR="008F3BB2" w:rsidRPr="000F3ABF">
                              <w:tblPrEx>
                                <w:tblCellMar>
                                  <w:top w:w="0" w:type="dxa"/>
                                  <w:left w:w="0" w:type="dxa"/>
                                  <w:bottom w:w="0" w:type="dxa"/>
                                  <w:right w:w="0" w:type="dxa"/>
                                </w:tblCellMar>
                              </w:tblPrEx>
                              <w:trPr>
                                <w:trHeight w:val="266"/>
                              </w:trPr>
                              <w:tc>
                                <w:tcPr>
                                  <w:tcW w:w="2591"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Endpoint</w:t>
                                  </w:r>
                                </w:p>
                                <w:p w:rsidR="008F3BB2" w:rsidRPr="000F3ABF" w:rsidRDefault="008F3BB2" w:rsidP="000F3ABF">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965"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LPZ 15</w:t>
                                  </w:r>
                                  <w:r w:rsidRPr="000F3ABF">
                                    <w:rPr>
                                      <w:rFonts w:ascii="Garamond" w:hAnsi="Garamond" w:cs="Garamond"/>
                                      <w:b/>
                                      <w:color w:val="000000"/>
                                      <w:kern w:val="0"/>
                                      <w:sz w:val="13"/>
                                      <w:szCs w:val="13"/>
                                    </w:rPr>
                                    <w:t xml:space="preserve"> </w:t>
                                  </w:r>
                                  <w:r w:rsidRPr="000F3ABF">
                                    <w:rPr>
                                      <w:rFonts w:ascii="Albertus" w:hAnsi="Albertus" w:cs="Albertus"/>
                                      <w:b/>
                                      <w:bCs/>
                                      <w:color w:val="000000"/>
                                      <w:kern w:val="0"/>
                                      <w:sz w:val="14"/>
                                      <w:szCs w:val="14"/>
                                      <w:lang w:val="zh-CN"/>
                                    </w:rPr>
                                    <w:t>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10</w:t>
                                  </w:r>
                                  <w:r w:rsidRPr="000F3ABF">
                                    <w:rPr>
                                      <w:rFonts w:ascii="Garamond" w:hAnsi="Garamond" w:cs="Garamond"/>
                                      <w:b/>
                                      <w:color w:val="000000"/>
                                      <w:kern w:val="0"/>
                                      <w:sz w:val="13"/>
                                      <w:szCs w:val="13"/>
                                    </w:rPr>
                                    <w:t xml:space="preserve"> </w:t>
                                  </w:r>
                                  <w:r w:rsidRPr="000F3ABF">
                                    <w:rPr>
                                      <w:rFonts w:ascii="Albertus" w:hAnsi="Albertus" w:cs="Albertus"/>
                                      <w:b/>
                                      <w:bCs/>
                                      <w:color w:val="000000"/>
                                      <w:kern w:val="0"/>
                                      <w:sz w:val="14"/>
                                      <w:szCs w:val="14"/>
                                      <w:lang w:val="zh-CN"/>
                                    </w:rPr>
                                    <w:t>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20</w:t>
                                  </w:r>
                                  <w:r w:rsidRPr="000F3ABF">
                                    <w:rPr>
                                      <w:rFonts w:ascii="Garamond" w:hAnsi="Garamond" w:cs="Garamond"/>
                                      <w:b/>
                                      <w:color w:val="000000"/>
                                      <w:kern w:val="0"/>
                                      <w:sz w:val="13"/>
                                      <w:szCs w:val="13"/>
                                    </w:rPr>
                                    <w:t xml:space="preserve"> </w:t>
                                  </w:r>
                                  <w:r w:rsidRPr="000F3ABF">
                                    <w:rPr>
                                      <w:rFonts w:ascii="Albertus" w:hAnsi="Albertus" w:cs="Albertus"/>
                                      <w:b/>
                                      <w:bCs/>
                                      <w:color w:val="000000"/>
                                      <w:kern w:val="0"/>
                                      <w:sz w:val="14"/>
                                      <w:szCs w:val="14"/>
                                      <w:lang w:val="zh-CN"/>
                                    </w:rPr>
                                    <w:t>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591"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Week 24 (primary endpoint)</w:t>
                                  </w:r>
                                  <w:r w:rsidRPr="000F3ABF">
                                    <w:rPr>
                                      <w:rFonts w:ascii="Book Antiqua" w:hAnsi="Book Antiqua" w:cs="Book Antiqua"/>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65" w:type="dxa"/>
                                  <w:gridSpan w:val="2"/>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16.8% (33/196)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5.1% (10/197)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2.0% (4/201)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591"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Week 12 (secondary endpoint)</w:t>
                                  </w:r>
                                  <w:r w:rsidRPr="000F3ABF">
                                    <w:rPr>
                                      <w:rFonts w:ascii="Book Antiqua" w:hAnsi="Book Antiqua" w:cs="Book Antiqua"/>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65"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12.2% (24/196)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2.5% (5/197)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 (2/201)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196"/>
                              </w:trPr>
                              <w:tc>
                                <w:tcPr>
                                  <w:tcW w:w="2591"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Comparison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65"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Difference and 95%CI (%)</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Non-inferiority, </w:t>
                                  </w:r>
                                  <w:r w:rsidRPr="000F3ABF">
                                    <w:rPr>
                                      <w:rFonts w:ascii="Book Antiqua" w:hAnsi="Book Antiqua" w:cs="Book Antiqua"/>
                                      <w:i/>
                                      <w:iCs/>
                                      <w:color w:val="000000"/>
                                      <w:kern w:val="0"/>
                                      <w:sz w:val="14"/>
                                      <w:szCs w:val="14"/>
                                      <w:lang w:val="zh-CN"/>
                                    </w:rPr>
                                    <w:t>P</w:t>
                                  </w:r>
                                  <w:r w:rsidRPr="000F3ABF">
                                    <w:rPr>
                                      <w:rFonts w:ascii="Book Antiqua" w:hAnsi="Book Antiqua" w:cs="Book Antiqua"/>
                                      <w:bCs/>
                                      <w:color w:val="000000"/>
                                      <w:kern w:val="0"/>
                                      <w:sz w:val="14"/>
                                      <w:szCs w:val="14"/>
                                      <w:lang w:val="zh-CN"/>
                                    </w:rPr>
                                    <w:t xml:space="preserve"> value</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0F3ABF">
                                    <w:rPr>
                                      <w:rFonts w:ascii="Book Antiqua" w:hAnsi="Book Antiqua" w:cs="Book Antiqua"/>
                                      <w:bCs/>
                                      <w:color w:val="000000"/>
                                      <w:kern w:val="0"/>
                                      <w:sz w:val="14"/>
                                      <w:szCs w:val="14"/>
                                    </w:rPr>
                                    <w:t xml:space="preserve">Fisher exact test, </w:t>
                                  </w:r>
                                  <w:r w:rsidRPr="000F3ABF">
                                    <w:rPr>
                                      <w:rFonts w:ascii="Book Antiqua" w:hAnsi="Book Antiqua" w:cs="Book Antiqua"/>
                                      <w:i/>
                                      <w:iCs/>
                                      <w:color w:val="000000"/>
                                      <w:kern w:val="0"/>
                                      <w:sz w:val="14"/>
                                      <w:szCs w:val="14"/>
                                    </w:rPr>
                                    <w:t>P</w:t>
                                  </w:r>
                                  <w:r w:rsidRPr="000F3ABF">
                                    <w:rPr>
                                      <w:rFonts w:ascii="Book Antiqua" w:hAnsi="Book Antiqua" w:cs="Book Antiqua"/>
                                      <w:bCs/>
                                      <w:color w:val="000000"/>
                                      <w:kern w:val="0"/>
                                      <w:sz w:val="14"/>
                                      <w:szCs w:val="14"/>
                                    </w:rPr>
                                    <w:t xml:space="preserve"> value</w:t>
                                  </w:r>
                                  <w:r w:rsidRPr="000F3ABF">
                                    <w:rPr>
                                      <w:rFonts w:ascii="Book Antiqua" w:hAnsi="Book Antiqua" w:cs="Book Antiqua"/>
                                      <w:bCs/>
                                      <w:color w:val="000000"/>
                                      <w:kern w:val="0"/>
                                      <w:sz w:val="14"/>
                                      <w:szCs w:val="14"/>
                                      <w:vertAlign w:val="superscript"/>
                                    </w:rPr>
                                    <w:t>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8F3BB2" w:rsidRPr="000F3ABF">
                              <w:tblPrEx>
                                <w:tblCellMar>
                                  <w:top w:w="0" w:type="dxa"/>
                                  <w:left w:w="0" w:type="dxa"/>
                                  <w:bottom w:w="0" w:type="dxa"/>
                                  <w:right w:w="0" w:type="dxa"/>
                                </w:tblCellMar>
                              </w:tblPrEx>
                              <w:trPr>
                                <w:trHeight w:val="60"/>
                              </w:trPr>
                              <w:tc>
                                <w:tcPr>
                                  <w:tcW w:w="8366" w:type="dxa"/>
                                  <w:gridSpan w:val="5"/>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Week 24 (primary endpoint)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10 mg</w:t>
                                  </w:r>
                                  <w:r w:rsidRPr="000F3ABF">
                                    <w:rPr>
                                      <w:rFonts w:ascii="Garamond" w:hAnsi="Garamond" w:cs="Garamond"/>
                                      <w:color w:val="000000"/>
                                      <w:kern w:val="0"/>
                                      <w:sz w:val="13"/>
                                      <w:szCs w:val="13"/>
                                    </w:rPr>
                                    <w:t xml:space="preserve">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LPZ 15</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-11.8 [-17.83, -5.69]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20 mg</w:t>
                                  </w:r>
                                  <w:r w:rsidRPr="000F3ABF">
                                    <w:rPr>
                                      <w:rFonts w:ascii="Garamond" w:hAnsi="Garamond" w:cs="Garamond"/>
                                      <w:color w:val="000000"/>
                                      <w:kern w:val="0"/>
                                      <w:sz w:val="13"/>
                                      <w:szCs w:val="13"/>
                                    </w:rPr>
                                    <w:t xml:space="preserve">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LPZ 15</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-14.8 [-20.43, -9.26]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10 mg</w:t>
                                  </w:r>
                                  <w:r w:rsidRPr="000F3ABF">
                                    <w:rPr>
                                      <w:rFonts w:ascii="Garamond" w:hAnsi="Garamond" w:cs="Garamond"/>
                                      <w:color w:val="000000"/>
                                      <w:kern w:val="0"/>
                                      <w:sz w:val="13"/>
                                      <w:szCs w:val="13"/>
                                    </w:rPr>
                                    <w:t xml:space="preserve">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VPZ 20 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-3.1 [-6.71, 0.54]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0.1090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8366" w:type="dxa"/>
                                  <w:gridSpan w:val="5"/>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Week 12 (secondary endpoint)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10</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 xml:space="preserve">mg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LPZ 15 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-9.7 [-14.80, -4.62]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20</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 xml:space="preserve">mg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LPZ 15 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-11.2 [-16.04, -6.46]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10</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 xml:space="preserve">mg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VPZ 20</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 [-4.13, 1.05]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F3BB2" w:rsidRPr="002C0B9A" w:rsidRDefault="008F3BB2" w:rsidP="008F3B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0F3ABF">
                              <w:rPr>
                                <w:rFonts w:ascii="Book Antiqua" w:hAnsi="Book Antiqua" w:cs="Book Antiqua"/>
                                <w:bCs/>
                                <w:color w:val="000000"/>
                                <w:kern w:val="0"/>
                                <w:sz w:val="14"/>
                                <w:szCs w:val="14"/>
                                <w:vertAlign w:val="superscript"/>
                              </w:rPr>
                              <w:t>1</w:t>
                            </w:r>
                            <w:r w:rsidRPr="000F3ABF">
                              <w:rPr>
                                <w:rFonts w:ascii="Book Antiqua" w:hAnsi="Book Antiqua" w:cs="Book Antiqua"/>
                                <w:bCs/>
                                <w:color w:val="000000"/>
                                <w:kern w:val="0"/>
                                <w:sz w:val="14"/>
                                <w:szCs w:val="14"/>
                              </w:rPr>
                              <w:t xml:space="preserve">Values expressed as percentages with number of subjects in parentheses; </w:t>
                            </w:r>
                            <w:r w:rsidRPr="000F3ABF">
                              <w:rPr>
                                <w:rFonts w:ascii="Book Antiqua" w:hAnsi="Book Antiqua" w:cs="Book Antiqua"/>
                                <w:bCs/>
                                <w:color w:val="000000"/>
                                <w:kern w:val="0"/>
                                <w:sz w:val="14"/>
                                <w:szCs w:val="14"/>
                                <w:vertAlign w:val="superscript"/>
                              </w:rPr>
                              <w:t>2</w:t>
                            </w:r>
                            <w:r w:rsidRPr="000F3ABF">
                              <w:rPr>
                                <w:rFonts w:ascii="Book Antiqua" w:hAnsi="Book Antiqua" w:cs="Book Antiqua"/>
                                <w:i/>
                                <w:iCs/>
                                <w:color w:val="000000"/>
                                <w:kern w:val="0"/>
                                <w:sz w:val="14"/>
                                <w:szCs w:val="14"/>
                              </w:rPr>
                              <w:t>Post hoc</w:t>
                            </w:r>
                            <w:r w:rsidRPr="000F3ABF">
                              <w:rPr>
                                <w:rFonts w:ascii="Book Antiqua" w:hAnsi="Book Antiqua" w:cs="Book Antiqua"/>
                                <w:bCs/>
                                <w:color w:val="000000"/>
                                <w:kern w:val="0"/>
                                <w:sz w:val="14"/>
                                <w:szCs w:val="14"/>
                              </w:rPr>
                              <w:t xml:space="preserve"> analysis. CI: Confidence interval; </w:t>
                            </w: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Lansoprazole</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Vonoprazan</w:t>
                            </w:r>
                            <w:proofErr w:type="spellEnd"/>
                            <w:r w:rsidRPr="000F3ABF">
                              <w:rPr>
                                <w:rFonts w:ascii="Book Antiqua" w:hAnsi="Book Antiqua" w:cs="Book Antiqua"/>
                                <w:bCs/>
                                <w:color w:val="000000"/>
                                <w:kern w:val="0"/>
                                <w:sz w:val="14"/>
                                <w:szCs w:val="14"/>
                              </w:rPr>
                              <w:t>; N/A: Not applicable.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0;margin-top:0;width:416.05pt;height:486.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8xOgIAAFcEAAAOAAAAZHJzL2Uyb0RvYy54bWysVM2O0zAQviPxDpbvNG22KW3UdLV0KUJa&#10;fqSFB3AcJ7Hwn2y3SXkAeANOXLjzXH0Oxk7bLX8XRA7WjGf8zcw3M1le91KgHbOOa1XgyWiMEVNU&#10;V1w1BX7/bvNkjpHzRFVEaMUKvGcOX68eP1p2JmepbrWomEUAolzemQK33ps8SRxtmSRupA1TYKy1&#10;lcSDapuksqQDdCmSdDyeJZ22lbGaMufg9nYw4lXEr2tG/Zu6dswjUWDIzcfTxrMMZ7JakryxxLSc&#10;HtMg/5CFJFxB0DPULfEEbS3/DUpyarXTtR9RLRNd15yyWANUMxn/Us19SwyLtQA5zpxpcv8Plr7e&#10;vbWIVwWeYaSIhBYdvnw+fP1++PYJzQI9nXE5eN0b8PP9M91Dm2Opztxp+sEhpdctUQ27sVZ3LSMV&#10;pDcJL5OLpwOOCyBl90pXEIdsvY5AfW1l4A7YQIAObdqfW8N6jyhcZun8an6VYUTBNpvM08UiizFI&#10;fnpurPMvmJYoCAW20PsIT3Z3zod0SH5yCdGcFrzacCGiYptyLSzaEZiTTfyO6D+5CYW6Ai+yNBsY&#10;+CvEOH5/gpDcw8ALLgs8PzuRPPD2XFVxHD3hYpAhZaGORAbuBhZ9X/axZZHlQHKpqz0wa/Uw37CP&#10;ILTafsSog9kusILlw0i8VNCbxWQ6DasQlWn2NAXFXlrKSwtRFIAK7DEaxLUf1mdrLG9aiHOahhvo&#10;54ZHph9yOiYP0xsbcNy0sB6XevR6+B+sfgAAAP//AwBQSwMEFAAGAAgAAAAhAE7NguXfAAAABQEA&#10;AA8AAABkcnMvZG93bnJldi54bWxMj0FLw0AQhe9C/8MyBS9iN23B1JhNaSvFg1C0+gMm2TFJm50N&#10;2W0S/fWuXvQy8HiP975J16NpRE+dqy0rmM8iEMSF1TWXCt7f9rcrEM4ja2wsk4JPcrDOJlcpJtoO&#10;/Er90ZcilLBLUEHlfZtI6YqKDLqZbYmD92E7gz7IrpS6wyGUm0YuouhOGqw5LFTY0q6i4ny8GAXn&#10;x7g/3Tw/bfPDfncq+2j4ouJFqevpuHkA4Wn0f2H4wQ/okAWm3F5YO9EoCI/43xu81XIxB5EruI+X&#10;Mcgslf/ps28AAAD//wMAUEsBAi0AFAAGAAgAAAAhALaDOJL+AAAA4QEAABMAAAAAAAAAAAAAAAAA&#10;AAAAAFtDb250ZW50X1R5cGVzXS54bWxQSwECLQAUAAYACAAAACEAOP0h/9YAAACUAQAACwAAAAAA&#10;AAAAAAAAAAAvAQAAX3JlbHMvLnJlbHNQSwECLQAUAAYACAAAACEASlgfMToCAABXBAAADgAAAAAA&#10;AAAAAAAAAAAuAgAAZHJzL2Uyb0RvYy54bWxQSwECLQAUAAYACAAAACEATs2C5d8AAAAFAQAADwAA&#10;AAAAAAAAAAAAAACUBAAAZHJzL2Rvd25yZXYueG1sUEsFBgAAAAAEAAQA8wAAAKAFAAAAAA==&#10;">
                <v:textbox style="mso-fit-shape-to-text:t">
                  <w:txbxContent>
                    <w:p w:rsidR="008F3BB2" w:rsidRPr="000F3ABF" w:rsidRDefault="008F3BB2" w:rsidP="008F3BB2">
                      <w:pPr>
                        <w:rPr>
                          <w:b/>
                          <w:bCs/>
                        </w:rPr>
                      </w:pPr>
                      <w:r w:rsidRPr="000F3ABF">
                        <w:rPr>
                          <w:b/>
                          <w:bCs/>
                        </w:rPr>
                        <w:t xml:space="preserve">Table </w:t>
                      </w:r>
                      <w:proofErr w:type="gramStart"/>
                      <w:r w:rsidRPr="000F3ABF">
                        <w:rPr>
                          <w:b/>
                          <w:bCs/>
                        </w:rPr>
                        <w:t>2  Recurrence</w:t>
                      </w:r>
                      <w:proofErr w:type="gramEnd"/>
                      <w:r w:rsidRPr="000F3ABF">
                        <w:rPr>
                          <w:b/>
                          <w:bCs/>
                        </w:rPr>
                        <w:t xml:space="preserve"> rate of erosive esophagitis: Intergroup differences and non-inferiority test</w:t>
                      </w:r>
                    </w:p>
                    <w:tbl>
                      <w:tblPr>
                        <w:tblW w:w="836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591"/>
                        <w:gridCol w:w="60"/>
                        <w:gridCol w:w="1905"/>
                        <w:gridCol w:w="1905"/>
                        <w:gridCol w:w="1905"/>
                      </w:tblGrid>
                      <w:tr w:rsidR="008F3BB2" w:rsidRPr="000F3ABF">
                        <w:tblPrEx>
                          <w:tblCellMar>
                            <w:top w:w="0" w:type="dxa"/>
                            <w:left w:w="0" w:type="dxa"/>
                            <w:bottom w:w="0" w:type="dxa"/>
                            <w:right w:w="0" w:type="dxa"/>
                          </w:tblCellMar>
                        </w:tblPrEx>
                        <w:trPr>
                          <w:trHeight w:val="266"/>
                        </w:trPr>
                        <w:tc>
                          <w:tcPr>
                            <w:tcW w:w="2591"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Endpoint</w:t>
                            </w:r>
                          </w:p>
                          <w:p w:rsidR="008F3BB2" w:rsidRPr="000F3ABF" w:rsidRDefault="008F3BB2" w:rsidP="000F3ABF">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965"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LPZ 15</w:t>
                            </w:r>
                            <w:r w:rsidRPr="000F3ABF">
                              <w:rPr>
                                <w:rFonts w:ascii="Garamond" w:hAnsi="Garamond" w:cs="Garamond"/>
                                <w:b/>
                                <w:color w:val="000000"/>
                                <w:kern w:val="0"/>
                                <w:sz w:val="13"/>
                                <w:szCs w:val="13"/>
                              </w:rPr>
                              <w:t xml:space="preserve"> </w:t>
                            </w:r>
                            <w:r w:rsidRPr="000F3ABF">
                              <w:rPr>
                                <w:rFonts w:ascii="Albertus" w:hAnsi="Albertus" w:cs="Albertus"/>
                                <w:b/>
                                <w:bCs/>
                                <w:color w:val="000000"/>
                                <w:kern w:val="0"/>
                                <w:sz w:val="14"/>
                                <w:szCs w:val="14"/>
                                <w:lang w:val="zh-CN"/>
                              </w:rPr>
                              <w:t>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10</w:t>
                            </w:r>
                            <w:r w:rsidRPr="000F3ABF">
                              <w:rPr>
                                <w:rFonts w:ascii="Garamond" w:hAnsi="Garamond" w:cs="Garamond"/>
                                <w:b/>
                                <w:color w:val="000000"/>
                                <w:kern w:val="0"/>
                                <w:sz w:val="13"/>
                                <w:szCs w:val="13"/>
                              </w:rPr>
                              <w:t xml:space="preserve"> </w:t>
                            </w:r>
                            <w:r w:rsidRPr="000F3ABF">
                              <w:rPr>
                                <w:rFonts w:ascii="Albertus" w:hAnsi="Albertus" w:cs="Albertus"/>
                                <w:b/>
                                <w:bCs/>
                                <w:color w:val="000000"/>
                                <w:kern w:val="0"/>
                                <w:sz w:val="14"/>
                                <w:szCs w:val="14"/>
                                <w:lang w:val="zh-CN"/>
                              </w:rPr>
                              <w:t>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90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20</w:t>
                            </w:r>
                            <w:r w:rsidRPr="000F3ABF">
                              <w:rPr>
                                <w:rFonts w:ascii="Garamond" w:hAnsi="Garamond" w:cs="Garamond"/>
                                <w:b/>
                                <w:color w:val="000000"/>
                                <w:kern w:val="0"/>
                                <w:sz w:val="13"/>
                                <w:szCs w:val="13"/>
                              </w:rPr>
                              <w:t xml:space="preserve"> </w:t>
                            </w:r>
                            <w:r w:rsidRPr="000F3ABF">
                              <w:rPr>
                                <w:rFonts w:ascii="Albertus" w:hAnsi="Albertus" w:cs="Albertus"/>
                                <w:b/>
                                <w:bCs/>
                                <w:color w:val="000000"/>
                                <w:kern w:val="0"/>
                                <w:sz w:val="14"/>
                                <w:szCs w:val="14"/>
                                <w:lang w:val="zh-CN"/>
                              </w:rPr>
                              <w:t>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591"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Week 24 (primary endpoint)</w:t>
                            </w:r>
                            <w:r w:rsidRPr="000F3ABF">
                              <w:rPr>
                                <w:rFonts w:ascii="Book Antiqua" w:hAnsi="Book Antiqua" w:cs="Book Antiqua"/>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65" w:type="dxa"/>
                            <w:gridSpan w:val="2"/>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16.8% (33/196)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5.1% (10/197)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2.0% (4/201)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591"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Week 12 (secondary endpoint)</w:t>
                            </w:r>
                            <w:r w:rsidRPr="000F3ABF">
                              <w:rPr>
                                <w:rFonts w:ascii="Book Antiqua" w:hAnsi="Book Antiqua" w:cs="Book Antiqua"/>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65"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12.2% (24/196)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2.5% (5/197)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 (2/201)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196"/>
                        </w:trPr>
                        <w:tc>
                          <w:tcPr>
                            <w:tcW w:w="2591"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Comparison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65"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Difference and 95%CI (%)</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Non-inferiority, </w:t>
                            </w:r>
                            <w:r w:rsidRPr="000F3ABF">
                              <w:rPr>
                                <w:rFonts w:ascii="Book Antiqua" w:hAnsi="Book Antiqua" w:cs="Book Antiqua"/>
                                <w:i/>
                                <w:iCs/>
                                <w:color w:val="000000"/>
                                <w:kern w:val="0"/>
                                <w:sz w:val="14"/>
                                <w:szCs w:val="14"/>
                                <w:lang w:val="zh-CN"/>
                              </w:rPr>
                              <w:t>P</w:t>
                            </w:r>
                            <w:r w:rsidRPr="000F3ABF">
                              <w:rPr>
                                <w:rFonts w:ascii="Book Antiqua" w:hAnsi="Book Antiqua" w:cs="Book Antiqua"/>
                                <w:bCs/>
                                <w:color w:val="000000"/>
                                <w:kern w:val="0"/>
                                <w:sz w:val="14"/>
                                <w:szCs w:val="14"/>
                                <w:lang w:val="zh-CN"/>
                              </w:rPr>
                              <w:t xml:space="preserve"> value</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sidRPr="000F3ABF">
                              <w:rPr>
                                <w:rFonts w:ascii="Book Antiqua" w:hAnsi="Book Antiqua" w:cs="Book Antiqua"/>
                                <w:bCs/>
                                <w:color w:val="000000"/>
                                <w:kern w:val="0"/>
                                <w:sz w:val="14"/>
                                <w:szCs w:val="14"/>
                              </w:rPr>
                              <w:t xml:space="preserve">Fisher exact test, </w:t>
                            </w:r>
                            <w:r w:rsidRPr="000F3ABF">
                              <w:rPr>
                                <w:rFonts w:ascii="Book Antiqua" w:hAnsi="Book Antiqua" w:cs="Book Antiqua"/>
                                <w:i/>
                                <w:iCs/>
                                <w:color w:val="000000"/>
                                <w:kern w:val="0"/>
                                <w:sz w:val="14"/>
                                <w:szCs w:val="14"/>
                              </w:rPr>
                              <w:t>P</w:t>
                            </w:r>
                            <w:r w:rsidRPr="000F3ABF">
                              <w:rPr>
                                <w:rFonts w:ascii="Book Antiqua" w:hAnsi="Book Antiqua" w:cs="Book Antiqua"/>
                                <w:bCs/>
                                <w:color w:val="000000"/>
                                <w:kern w:val="0"/>
                                <w:sz w:val="14"/>
                                <w:szCs w:val="14"/>
                              </w:rPr>
                              <w:t xml:space="preserve"> value</w:t>
                            </w:r>
                            <w:r w:rsidRPr="000F3ABF">
                              <w:rPr>
                                <w:rFonts w:ascii="Book Antiqua" w:hAnsi="Book Antiqua" w:cs="Book Antiqua"/>
                                <w:bCs/>
                                <w:color w:val="000000"/>
                                <w:kern w:val="0"/>
                                <w:sz w:val="14"/>
                                <w:szCs w:val="14"/>
                                <w:vertAlign w:val="superscript"/>
                              </w:rPr>
                              <w:t>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8F3BB2" w:rsidRPr="000F3ABF">
                        <w:tblPrEx>
                          <w:tblCellMar>
                            <w:top w:w="0" w:type="dxa"/>
                            <w:left w:w="0" w:type="dxa"/>
                            <w:bottom w:w="0" w:type="dxa"/>
                            <w:right w:w="0" w:type="dxa"/>
                          </w:tblCellMar>
                        </w:tblPrEx>
                        <w:trPr>
                          <w:trHeight w:val="60"/>
                        </w:trPr>
                        <w:tc>
                          <w:tcPr>
                            <w:tcW w:w="8366" w:type="dxa"/>
                            <w:gridSpan w:val="5"/>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Week 24 (primary endpoint)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10 mg</w:t>
                            </w:r>
                            <w:r w:rsidRPr="000F3ABF">
                              <w:rPr>
                                <w:rFonts w:ascii="Garamond" w:hAnsi="Garamond" w:cs="Garamond"/>
                                <w:color w:val="000000"/>
                                <w:kern w:val="0"/>
                                <w:sz w:val="13"/>
                                <w:szCs w:val="13"/>
                              </w:rPr>
                              <w:t xml:space="preserve">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LPZ 15</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-11.8 [-17.83, -5.69]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20 mg</w:t>
                            </w:r>
                            <w:r w:rsidRPr="000F3ABF">
                              <w:rPr>
                                <w:rFonts w:ascii="Garamond" w:hAnsi="Garamond" w:cs="Garamond"/>
                                <w:color w:val="000000"/>
                                <w:kern w:val="0"/>
                                <w:sz w:val="13"/>
                                <w:szCs w:val="13"/>
                              </w:rPr>
                              <w:t xml:space="preserve">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LPZ 15</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-14.8 [-20.43, -9.26]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10 mg</w:t>
                            </w:r>
                            <w:r w:rsidRPr="000F3ABF">
                              <w:rPr>
                                <w:rFonts w:ascii="Garamond" w:hAnsi="Garamond" w:cs="Garamond"/>
                                <w:color w:val="000000"/>
                                <w:kern w:val="0"/>
                                <w:sz w:val="13"/>
                                <w:szCs w:val="13"/>
                              </w:rPr>
                              <w:t xml:space="preserve">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VPZ 20 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-3.1 [-6.71, 0.54]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0.1090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8366" w:type="dxa"/>
                            <w:gridSpan w:val="5"/>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Week 12 (secondary endpoint)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10</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 xml:space="preserve">mg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LPZ 15 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-9.7 [-14.80, -4.62]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20</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 xml:space="preserve">mg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LPZ 15 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-11.2 [-16.04, -6.46]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651"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VPZ 10</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 xml:space="preserve">mg </w:t>
                            </w:r>
                            <w:r w:rsidRPr="000F3ABF">
                              <w:rPr>
                                <w:rFonts w:ascii="Book Antiqua" w:hAnsi="Book Antiqua" w:cs="Book Antiqua"/>
                                <w:i/>
                                <w:iCs/>
                                <w:color w:val="000000"/>
                                <w:kern w:val="0"/>
                                <w:sz w:val="14"/>
                                <w:szCs w:val="14"/>
                                <w:lang w:val="zh-CN"/>
                              </w:rPr>
                              <w:t>vs</w:t>
                            </w:r>
                            <w:r w:rsidRPr="000F3ABF">
                              <w:rPr>
                                <w:rFonts w:ascii="Book Antiqua" w:hAnsi="Book Antiqua" w:cs="Book Antiqua"/>
                                <w:bCs/>
                                <w:color w:val="000000"/>
                                <w:kern w:val="0"/>
                                <w:sz w:val="14"/>
                                <w:szCs w:val="14"/>
                                <w:lang w:val="zh-CN"/>
                              </w:rPr>
                              <w:t xml:space="preserve"> VPZ 20</w:t>
                            </w:r>
                            <w:r w:rsidRPr="000F3ABF">
                              <w:rPr>
                                <w:rFonts w:ascii="Garamond" w:hAnsi="Garamond" w:cs="Garamond"/>
                                <w:color w:val="000000"/>
                                <w:kern w:val="0"/>
                                <w:sz w:val="13"/>
                                <w:szCs w:val="13"/>
                              </w:rPr>
                              <w:t xml:space="preserve"> </w:t>
                            </w:r>
                            <w:r w:rsidRPr="000F3ABF">
                              <w:rPr>
                                <w:rFonts w:ascii="Book Antiqua" w:hAnsi="Book Antiqua" w:cs="Book Antiqua"/>
                                <w:bCs/>
                                <w:color w:val="000000"/>
                                <w:kern w:val="0"/>
                                <w:sz w:val="14"/>
                                <w:szCs w:val="14"/>
                                <w:lang w:val="zh-CN"/>
                              </w:rPr>
                              <w:t>mg</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 [-4.13, 1.05]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90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F3BB2" w:rsidRPr="002C0B9A" w:rsidRDefault="008F3BB2" w:rsidP="008F3B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0F3ABF">
                        <w:rPr>
                          <w:rFonts w:ascii="Book Antiqua" w:hAnsi="Book Antiqua" w:cs="Book Antiqua"/>
                          <w:bCs/>
                          <w:color w:val="000000"/>
                          <w:kern w:val="0"/>
                          <w:sz w:val="14"/>
                          <w:szCs w:val="14"/>
                          <w:vertAlign w:val="superscript"/>
                        </w:rPr>
                        <w:t>1</w:t>
                      </w:r>
                      <w:r w:rsidRPr="000F3ABF">
                        <w:rPr>
                          <w:rFonts w:ascii="Book Antiqua" w:hAnsi="Book Antiqua" w:cs="Book Antiqua"/>
                          <w:bCs/>
                          <w:color w:val="000000"/>
                          <w:kern w:val="0"/>
                          <w:sz w:val="14"/>
                          <w:szCs w:val="14"/>
                        </w:rPr>
                        <w:t xml:space="preserve">Values expressed as percentages with number of subjects in parentheses; </w:t>
                      </w:r>
                      <w:r w:rsidRPr="000F3ABF">
                        <w:rPr>
                          <w:rFonts w:ascii="Book Antiqua" w:hAnsi="Book Antiqua" w:cs="Book Antiqua"/>
                          <w:bCs/>
                          <w:color w:val="000000"/>
                          <w:kern w:val="0"/>
                          <w:sz w:val="14"/>
                          <w:szCs w:val="14"/>
                          <w:vertAlign w:val="superscript"/>
                        </w:rPr>
                        <w:t>2</w:t>
                      </w:r>
                      <w:r w:rsidRPr="000F3ABF">
                        <w:rPr>
                          <w:rFonts w:ascii="Book Antiqua" w:hAnsi="Book Antiqua" w:cs="Book Antiqua"/>
                          <w:i/>
                          <w:iCs/>
                          <w:color w:val="000000"/>
                          <w:kern w:val="0"/>
                          <w:sz w:val="14"/>
                          <w:szCs w:val="14"/>
                        </w:rPr>
                        <w:t>Post hoc</w:t>
                      </w:r>
                      <w:r w:rsidRPr="000F3ABF">
                        <w:rPr>
                          <w:rFonts w:ascii="Book Antiqua" w:hAnsi="Book Antiqua" w:cs="Book Antiqua"/>
                          <w:bCs/>
                          <w:color w:val="000000"/>
                          <w:kern w:val="0"/>
                          <w:sz w:val="14"/>
                          <w:szCs w:val="14"/>
                        </w:rPr>
                        <w:t xml:space="preserve"> analysis. CI: Confidence interval; </w:t>
                      </w: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Lansoprazole</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Vonoprazan</w:t>
                      </w:r>
                      <w:proofErr w:type="spellEnd"/>
                      <w:r w:rsidRPr="000F3ABF">
                        <w:rPr>
                          <w:rFonts w:ascii="Book Antiqua" w:hAnsi="Book Antiqua" w:cs="Book Antiqua"/>
                          <w:bCs/>
                          <w:color w:val="000000"/>
                          <w:kern w:val="0"/>
                          <w:sz w:val="14"/>
                          <w:szCs w:val="14"/>
                        </w:rPr>
                        <w:t>; N/A: Not applicable.</w:t>
                      </w:r>
                    </w:p>
                  </w:txbxContent>
                </v:textbox>
                <w10:wrap type="square"/>
              </v:shape>
            </w:pict>
          </mc:Fallback>
        </mc:AlternateContent>
      </w: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12808585"/>
                <wp:effectExtent l="9525" t="9525" r="12065" b="1206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2808585"/>
                        </a:xfrm>
                        <a:prstGeom prst="rect">
                          <a:avLst/>
                        </a:prstGeom>
                        <a:solidFill>
                          <a:srgbClr val="FFFFFF"/>
                        </a:solidFill>
                        <a:ln w="9525">
                          <a:solidFill>
                            <a:srgbClr val="000000"/>
                          </a:solidFill>
                          <a:miter lim="800000"/>
                          <a:headEnd/>
                          <a:tailEnd/>
                        </a:ln>
                      </wps:spPr>
                      <wps:txbx>
                        <w:txbxContent>
                          <w:p w:rsidR="008F3BB2" w:rsidRPr="000F3ABF" w:rsidRDefault="008F3BB2" w:rsidP="008F3BB2">
                            <w:pPr>
                              <w:rPr>
                                <w:b/>
                                <w:bCs/>
                              </w:rPr>
                            </w:pPr>
                            <w:r w:rsidRPr="000F3ABF">
                              <w:rPr>
                                <w:b/>
                                <w:bCs/>
                              </w:rPr>
                              <w:t xml:space="preserve">Table </w:t>
                            </w:r>
                            <w:proofErr w:type="gramStart"/>
                            <w:r w:rsidRPr="000F3ABF">
                              <w:rPr>
                                <w:b/>
                                <w:bCs/>
                              </w:rPr>
                              <w:t>3  Recurrence</w:t>
                            </w:r>
                            <w:proofErr w:type="gramEnd"/>
                            <w:r w:rsidRPr="000F3ABF">
                              <w:rPr>
                                <w:b/>
                                <w:bCs/>
                              </w:rPr>
                              <w:t xml:space="preserve"> rate of erosive esophagitis within 24 </w:t>
                            </w:r>
                            <w:proofErr w:type="spellStart"/>
                            <w:r w:rsidRPr="000F3ABF">
                              <w:rPr>
                                <w:b/>
                                <w:bCs/>
                              </w:rPr>
                              <w:t>wk</w:t>
                            </w:r>
                            <w:proofErr w:type="spellEnd"/>
                            <w:r w:rsidRPr="000F3ABF">
                              <w:rPr>
                                <w:b/>
                                <w:bCs/>
                              </w:rPr>
                              <w:t>: sub-group analysis according to baseline characteristics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83"/>
                              <w:gridCol w:w="1017"/>
                              <w:gridCol w:w="1017"/>
                              <w:gridCol w:w="1476"/>
                              <w:gridCol w:w="917"/>
                              <w:gridCol w:w="885"/>
                              <w:gridCol w:w="1507"/>
                              <w:gridCol w:w="1022"/>
                            </w:tblGrid>
                            <w:tr w:rsidR="008F3BB2" w:rsidRPr="000F3ABF">
                              <w:tblPrEx>
                                <w:tblCellMar>
                                  <w:top w:w="0" w:type="dxa"/>
                                  <w:left w:w="0" w:type="dxa"/>
                                  <w:bottom w:w="0" w:type="dxa"/>
                                  <w:right w:w="0" w:type="dxa"/>
                                </w:tblCellMar>
                              </w:tblPrEx>
                              <w:trPr>
                                <w:trHeight w:val="215"/>
                              </w:trPr>
                              <w:tc>
                                <w:tcPr>
                                  <w:tcW w:w="1683" w:type="dxa"/>
                                  <w:tcBorders>
                                    <w:top w:val="single" w:sz="6" w:space="0" w:color="000000"/>
                                    <w:bottom w:val="nil"/>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2034"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LPZ 15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278" w:type="dxa"/>
                                  <w:gridSpan w:val="3"/>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10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2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20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404"/>
                              </w:trPr>
                              <w:tc>
                                <w:tcPr>
                                  <w:tcW w:w="1683" w:type="dxa"/>
                                  <w:tcBorders>
                                    <w:top w:val="nil"/>
                                    <w:bottom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1017"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0F3ABF">
                                    <w:rPr>
                                      <w:rFonts w:ascii="Albertus" w:hAnsi="Albertus" w:cs="Albertus"/>
                                      <w:b/>
                                      <w:bCs/>
                                      <w:color w:val="000000"/>
                                      <w:kern w:val="0"/>
                                      <w:sz w:val="14"/>
                                      <w:szCs w:val="14"/>
                                      <w:lang w:val="zh-CN"/>
                                    </w:rPr>
                                    <w:t>Estimate (%)</w:t>
                                  </w:r>
                                  <w:r w:rsidRPr="000F3ABF">
                                    <w:rPr>
                                      <w:rFonts w:ascii="Albertus" w:hAnsi="Albertus" w:cs="Albertus"/>
                                      <w:b/>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17"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0F3ABF">
                                    <w:rPr>
                                      <w:rFonts w:ascii="Albertus" w:hAnsi="Albertus" w:cs="Albertus"/>
                                      <w:b/>
                                      <w:bCs/>
                                      <w:color w:val="000000"/>
                                      <w:kern w:val="0"/>
                                      <w:sz w:val="14"/>
                                      <w:szCs w:val="14"/>
                                      <w:lang w:val="zh-CN"/>
                                    </w:rPr>
                                    <w:t>Estimate (%)</w:t>
                                  </w:r>
                                  <w:r w:rsidRPr="000F3ABF">
                                    <w:rPr>
                                      <w:rFonts w:ascii="Albertus" w:hAnsi="Albertus" w:cs="Albertus"/>
                                      <w:b/>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76"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Difference</w:t>
                                  </w:r>
                                  <w:r w:rsidRPr="000F3ABF">
                                    <w:rPr>
                                      <w:rFonts w:ascii="Albertus" w:hAnsi="Albertus" w:cs="Albertus"/>
                                      <w:b/>
                                      <w:bCs/>
                                      <w:color w:val="000000"/>
                                      <w:kern w:val="0"/>
                                      <w:sz w:val="14"/>
                                      <w:szCs w:val="14"/>
                                      <w:vertAlign w:val="superscript"/>
                                      <w:lang w:val="zh-CN"/>
                                    </w:rPr>
                                    <w:t>2</w:t>
                                  </w:r>
                                  <w:r w:rsidRPr="000F3ABF">
                                    <w:rPr>
                                      <w:rFonts w:ascii="Albertus" w:hAnsi="Albertus" w:cs="Albertus"/>
                                      <w:b/>
                                      <w:bCs/>
                                      <w:color w:val="000000"/>
                                      <w:kern w:val="0"/>
                                      <w:sz w:val="14"/>
                                      <w:szCs w:val="14"/>
                                      <w:lang w:val="zh-CN"/>
                                    </w:rPr>
                                    <w:t xml:space="preserve"> and 95%CI (%)</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17"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rPr>
                                  </w:pPr>
                                  <w:r w:rsidRPr="000F3ABF">
                                    <w:rPr>
                                      <w:rFonts w:ascii="Albertus" w:hAnsi="Albertus" w:cs="Albertus"/>
                                      <w:b/>
                                      <w:bCs/>
                                      <w:color w:val="000000"/>
                                      <w:kern w:val="0"/>
                                      <w:sz w:val="14"/>
                                      <w:szCs w:val="14"/>
                                    </w:rPr>
                                    <w:t xml:space="preserve">Fisher exact test, </w:t>
                                  </w:r>
                                  <w:r w:rsidRPr="000F3ABF">
                                    <w:rPr>
                                      <w:rFonts w:ascii="Albertus Bold Italic" w:hAnsi="Albertus Bold Italic" w:cs="Albertus Bold Italic"/>
                                      <w:b/>
                                      <w:bCs/>
                                      <w:i/>
                                      <w:iCs/>
                                      <w:color w:val="000000"/>
                                      <w:kern w:val="0"/>
                                      <w:sz w:val="14"/>
                                      <w:szCs w:val="14"/>
                                    </w:rPr>
                                    <w:t>P</w:t>
                                  </w:r>
                                  <w:r w:rsidRPr="000F3ABF">
                                    <w:rPr>
                                      <w:rFonts w:ascii="Albertus" w:hAnsi="Albertus" w:cs="Albertus"/>
                                      <w:b/>
                                      <w:bCs/>
                                      <w:color w:val="000000"/>
                                      <w:kern w:val="0"/>
                                      <w:sz w:val="14"/>
                                      <w:szCs w:val="14"/>
                                    </w:rPr>
                                    <w:t xml:space="preserve"> value</w:t>
                                  </w:r>
                                  <w:r w:rsidRPr="000F3ABF">
                                    <w:rPr>
                                      <w:rFonts w:ascii="Albertus" w:hAnsi="Albertus" w:cs="Albertus"/>
                                      <w:b/>
                                      <w:bCs/>
                                      <w:color w:val="000000"/>
                                      <w:kern w:val="0"/>
                                      <w:sz w:val="14"/>
                                      <w:szCs w:val="14"/>
                                      <w:vertAlign w:val="superscript"/>
                                    </w:rPr>
                                    <w:t>3</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88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0F3ABF">
                                    <w:rPr>
                                      <w:rFonts w:ascii="Albertus" w:hAnsi="Albertus" w:cs="Albertus"/>
                                      <w:b/>
                                      <w:bCs/>
                                      <w:color w:val="000000"/>
                                      <w:kern w:val="0"/>
                                      <w:sz w:val="14"/>
                                      <w:szCs w:val="14"/>
                                      <w:lang w:val="zh-CN"/>
                                    </w:rPr>
                                    <w:t>Estimate (%)</w:t>
                                  </w:r>
                                  <w:r w:rsidRPr="000F3ABF">
                                    <w:rPr>
                                      <w:rFonts w:ascii="Albertus" w:hAnsi="Albertus" w:cs="Albertus"/>
                                      <w:b/>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07"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Difference</w:t>
                                  </w:r>
                                  <w:r w:rsidRPr="000F3ABF">
                                    <w:rPr>
                                      <w:rFonts w:ascii="Albertus" w:hAnsi="Albertus" w:cs="Albertus"/>
                                      <w:b/>
                                      <w:bCs/>
                                      <w:color w:val="000000"/>
                                      <w:kern w:val="0"/>
                                      <w:sz w:val="14"/>
                                      <w:szCs w:val="14"/>
                                      <w:vertAlign w:val="superscript"/>
                                      <w:lang w:val="zh-CN"/>
                                    </w:rPr>
                                    <w:t>2</w:t>
                                  </w:r>
                                  <w:r w:rsidRPr="000F3ABF">
                                    <w:rPr>
                                      <w:rFonts w:ascii="Albertus" w:hAnsi="Albertus" w:cs="Albertus"/>
                                      <w:b/>
                                      <w:bCs/>
                                      <w:color w:val="000000"/>
                                      <w:kern w:val="0"/>
                                      <w:sz w:val="14"/>
                                      <w:szCs w:val="14"/>
                                      <w:lang w:val="zh-CN"/>
                                    </w:rPr>
                                    <w:t xml:space="preserve"> and 95%CI (%)</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22"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rPr>
                                  </w:pPr>
                                  <w:r w:rsidRPr="000F3ABF">
                                    <w:rPr>
                                      <w:rFonts w:ascii="Albertus" w:hAnsi="Albertus" w:cs="Albertus"/>
                                      <w:b/>
                                      <w:bCs/>
                                      <w:color w:val="000000"/>
                                      <w:kern w:val="0"/>
                                      <w:sz w:val="14"/>
                                      <w:szCs w:val="14"/>
                                    </w:rPr>
                                    <w:t xml:space="preserve">Fisher exact test, </w:t>
                                  </w:r>
                                  <w:r w:rsidRPr="000F3ABF">
                                    <w:rPr>
                                      <w:rFonts w:ascii="Albertus Bold Italic" w:hAnsi="Albertus Bold Italic" w:cs="Albertus Bold Italic"/>
                                      <w:b/>
                                      <w:bCs/>
                                      <w:i/>
                                      <w:iCs/>
                                      <w:color w:val="000000"/>
                                      <w:kern w:val="0"/>
                                      <w:sz w:val="14"/>
                                      <w:szCs w:val="14"/>
                                    </w:rPr>
                                    <w:t>P</w:t>
                                  </w:r>
                                  <w:r w:rsidRPr="000F3ABF">
                                    <w:rPr>
                                      <w:rFonts w:ascii="Albertus" w:hAnsi="Albertus" w:cs="Albertus"/>
                                      <w:b/>
                                      <w:bCs/>
                                      <w:color w:val="000000"/>
                                      <w:kern w:val="0"/>
                                      <w:sz w:val="14"/>
                                      <w:szCs w:val="14"/>
                                    </w:rPr>
                                    <w:t xml:space="preserve"> value</w:t>
                                  </w:r>
                                  <w:r w:rsidRPr="000F3ABF">
                                    <w:rPr>
                                      <w:rFonts w:ascii="Albertus" w:hAnsi="Albertus" w:cs="Albertus"/>
                                      <w:b/>
                                      <w:bCs/>
                                      <w:color w:val="000000"/>
                                      <w:kern w:val="0"/>
                                      <w:sz w:val="14"/>
                                      <w:szCs w:val="14"/>
                                      <w:vertAlign w:val="superscript"/>
                                    </w:rPr>
                                    <w:t>3</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8F3BB2" w:rsidRPr="000F3ABF">
                              <w:tblPrEx>
                                <w:tblCellMar>
                                  <w:top w:w="0" w:type="dxa"/>
                                  <w:left w:w="0" w:type="dxa"/>
                                  <w:bottom w:w="0" w:type="dxa"/>
                                  <w:right w:w="0" w:type="dxa"/>
                                </w:tblCellMar>
                              </w:tblPrEx>
                              <w:trPr>
                                <w:trHeight w:val="60"/>
                              </w:trPr>
                              <w:tc>
                                <w:tcPr>
                                  <w:tcW w:w="1683"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Age (yr)</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&lt; 65</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14.4 (19/132)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4.3 (6/139)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-10.1 [-16.95, -3.20]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0.0056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0.0 (0/136)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-14.4 [-20.38, -8.41]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t>
                                  </w:r>
                                  <w:r w:rsidRPr="000F3ABF">
                                    <w:rPr>
                                      <w:rFonts w:ascii="宋体" w:hAnsi="Book Antiqua" w:cs="宋体" w:hint="eastAsia"/>
                                      <w:color w:val="000000"/>
                                      <w:kern w:val="0"/>
                                      <w:sz w:val="13"/>
                                      <w:szCs w:val="13"/>
                                    </w:rPr>
                                    <w:t>≥</w:t>
                                  </w:r>
                                  <w:r w:rsidRPr="000F3ABF">
                                    <w:rPr>
                                      <w:rFonts w:ascii="Book Antiqua" w:hAnsi="Book Antiqua" w:cs="Book Antiqua"/>
                                      <w:bCs/>
                                      <w:color w:val="000000"/>
                                      <w:kern w:val="0"/>
                                      <w:sz w:val="14"/>
                                      <w:szCs w:val="14"/>
                                      <w:lang w:val="zh-CN"/>
                                    </w:rPr>
                                    <w:t xml:space="preserve"> 65 to &lt; 75</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21.7 (10/46)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7.0 (3/43)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-14.8 [-28.91, -0.62]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0.0711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7.0 (3/43)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-14.8 [-28.91, -0.62]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0.0711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t>
                                  </w:r>
                                  <w:r w:rsidRPr="000F3ABF">
                                    <w:rPr>
                                      <w:rFonts w:ascii="宋体" w:hAnsi="Book Antiqua" w:cs="宋体" w:hint="eastAsia"/>
                                      <w:color w:val="000000"/>
                                      <w:kern w:val="0"/>
                                      <w:sz w:val="13"/>
                                      <w:szCs w:val="13"/>
                                    </w:rPr>
                                    <w:t>≥</w:t>
                                  </w:r>
                                  <w:r w:rsidRPr="000F3ABF">
                                    <w:rPr>
                                      <w:rFonts w:ascii="Book Antiqua" w:hAnsi="Book Antiqua" w:cs="Book Antiqua"/>
                                      <w:bCs/>
                                      <w:color w:val="000000"/>
                                      <w:kern w:val="0"/>
                                      <w:sz w:val="14"/>
                                      <w:szCs w:val="14"/>
                                      <w:lang w:val="zh-CN"/>
                                    </w:rPr>
                                    <w:t xml:space="preserve"> 75</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22.2 (4/18)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6.7 (1/15)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-15.6 [-38.54, 7.43]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0.3457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4.5 (1/22)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-17.7 [-38.76, 3.41]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0.1554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Sex</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Male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13.9 (19/137)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6.3 (10/159)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-7.6 [-14.49, -0.67]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0.0321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1.3 (2/159)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-12.6 [-18.65, -6.57]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Female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23.7 (14/59)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0.0 (0/38)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-23.7 [-34.58, -12.87]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4.8 (2/42)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-19.0 [-31.59, -6.35]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0.0120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Smoking classification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Never smoked</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22.4 (17/76)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1.9 (1/54)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-20.5 [-30.55, -10.48]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5.0 (3/60)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-17.4 [-28.24, -6.50]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Current smoker</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20.0 (8/40)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6.6 (4/61)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-13.4 [-27.31, 0.42]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0.0588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 (0/57)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-20.0 [-32.40, -7.60]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Ex-smoker</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 (8/80)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6.1 (5/82)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-3.9 [-12.27, 4.47]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0.3998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1.2 (1/84)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-8.8 [-15.78, -1.84]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0.0160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Erosive esophagitis grade</w:t>
                                  </w:r>
                                  <w:r w:rsidRPr="000F3ABF">
                                    <w:rPr>
                                      <w:rFonts w:ascii="Book Antiqua" w:hAnsi="Book Antiqua" w:cs="Book Antiqua"/>
                                      <w:bCs/>
                                      <w:color w:val="000000"/>
                                      <w:kern w:val="0"/>
                                      <w:sz w:val="14"/>
                                      <w:szCs w:val="14"/>
                                      <w:vertAlign w:val="superscript"/>
                                      <w:lang w:val="zh-CN"/>
                                    </w:rPr>
                                    <w:t>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LA Grade A/B</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11.0 (17/155)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3.1 (5/159)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-7.8 [-13.44, -2.21]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0.0075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1.3 (2/158)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-9.7 [-14.92, -4.48]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LA Grade C/D</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39.0 (16/41)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13.2 (5/38)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-25.9 [-44.26, -7.47]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0.0114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4.7 (2/43)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-34.4 [-50.58, -18.17]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CYP2C19 genotype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Extensive metabolizers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19.6 (31/158)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5.4 (9/166)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-14.2 [-21.28, -7.11]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1.8 (3/168)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-17.8 [-24.34, -11.33]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Poor metabolizers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5.3 (2/38)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3.2 (1/31)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-2.0 [-11.48, 7.40]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3.0 (1/33)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-2.2 [-11.43, 6.97]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i/>
                                      <w:iCs/>
                                      <w:color w:val="000000"/>
                                      <w:kern w:val="0"/>
                                      <w:sz w:val="14"/>
                                      <w:szCs w:val="14"/>
                                      <w:lang w:val="zh-CN"/>
                                    </w:rPr>
                                    <w:t>H. pylori</w:t>
                                  </w:r>
                                  <w:r w:rsidRPr="000F3ABF">
                                    <w:rPr>
                                      <w:rFonts w:ascii="Book Antiqua" w:hAnsi="Book Antiqua" w:cs="Book Antiqua"/>
                                      <w:bCs/>
                                      <w:color w:val="000000"/>
                                      <w:kern w:val="0"/>
                                      <w:sz w:val="14"/>
                                      <w:szCs w:val="14"/>
                                      <w:lang w:val="zh-CN"/>
                                    </w:rPr>
                                    <w:t xml:space="preserve"> infection status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Positive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3.7 (1/27)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2.7 (1/37)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 [-9.84, 7.83]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 (0/27)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-3.7 [-10.83, 3.42]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Negative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18.9 (32/169)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5.6 (9/160)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-13.3 [-20.21, -6.41]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2.2 (4/179)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-16.7 [-22.99. -10.41]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F3BB2" w:rsidRPr="00F62641" w:rsidRDefault="008F3BB2" w:rsidP="008F3B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0F3ABF">
                              <w:rPr>
                                <w:rFonts w:ascii="Book Antiqua" w:hAnsi="Book Antiqua" w:cs="Book Antiqua"/>
                                <w:bCs/>
                                <w:color w:val="000000"/>
                                <w:kern w:val="0"/>
                                <w:sz w:val="14"/>
                                <w:szCs w:val="14"/>
                                <w:vertAlign w:val="superscript"/>
                              </w:rPr>
                              <w:t>1</w:t>
                            </w:r>
                            <w:r w:rsidRPr="000F3ABF">
                              <w:rPr>
                                <w:rFonts w:ascii="Book Antiqua" w:hAnsi="Book Antiqua" w:cs="Book Antiqua"/>
                                <w:bCs/>
                                <w:color w:val="000000"/>
                                <w:kern w:val="0"/>
                                <w:sz w:val="14"/>
                                <w:szCs w:val="14"/>
                              </w:rPr>
                              <w:t xml:space="preserve">Data expressed as percentages with number of subjects in parentheses; </w:t>
                            </w:r>
                            <w:r w:rsidRPr="000F3ABF">
                              <w:rPr>
                                <w:rFonts w:ascii="Book Antiqua" w:hAnsi="Book Antiqua" w:cs="Book Antiqua"/>
                                <w:bCs/>
                                <w:color w:val="000000"/>
                                <w:kern w:val="0"/>
                                <w:sz w:val="14"/>
                                <w:szCs w:val="14"/>
                                <w:vertAlign w:val="superscript"/>
                              </w:rPr>
                              <w:t>2</w:t>
                            </w:r>
                            <w:r w:rsidRPr="000F3ABF">
                              <w:rPr>
                                <w:rFonts w:ascii="Book Antiqua" w:hAnsi="Book Antiqua" w:cs="Book Antiqua"/>
                                <w:bCs/>
                                <w:color w:val="000000"/>
                                <w:kern w:val="0"/>
                                <w:sz w:val="14"/>
                                <w:szCs w:val="14"/>
                              </w:rPr>
                              <w:t xml:space="preserve">Calculated for difference between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group and </w:t>
                            </w: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15 mg group; </w:t>
                            </w:r>
                            <w:r w:rsidRPr="000F3ABF">
                              <w:rPr>
                                <w:rFonts w:ascii="Book Antiqua" w:hAnsi="Book Antiqua" w:cs="Book Antiqua"/>
                                <w:bCs/>
                                <w:color w:val="000000"/>
                                <w:kern w:val="0"/>
                                <w:sz w:val="14"/>
                                <w:szCs w:val="14"/>
                                <w:vertAlign w:val="superscript"/>
                              </w:rPr>
                              <w:t>3</w:t>
                            </w:r>
                            <w:r w:rsidRPr="000F3ABF">
                              <w:rPr>
                                <w:rFonts w:ascii="Book Antiqua" w:hAnsi="Book Antiqua" w:cs="Book Antiqua"/>
                                <w:i/>
                                <w:iCs/>
                                <w:color w:val="000000"/>
                                <w:kern w:val="0"/>
                                <w:sz w:val="14"/>
                                <w:szCs w:val="14"/>
                              </w:rPr>
                              <w:t>Post hoc</w:t>
                            </w:r>
                            <w:r w:rsidRPr="000F3ABF">
                              <w:rPr>
                                <w:rFonts w:ascii="Book Antiqua" w:hAnsi="Book Antiqua" w:cs="Book Antiqua"/>
                                <w:bCs/>
                                <w:color w:val="000000"/>
                                <w:kern w:val="0"/>
                                <w:sz w:val="14"/>
                                <w:szCs w:val="14"/>
                              </w:rPr>
                              <w:t xml:space="preserve"> analysis; </w:t>
                            </w:r>
                            <w:r w:rsidRPr="000F3ABF">
                              <w:rPr>
                                <w:rFonts w:ascii="Book Antiqua" w:hAnsi="Book Antiqua" w:cs="Book Antiqua"/>
                                <w:bCs/>
                                <w:color w:val="000000"/>
                                <w:kern w:val="0"/>
                                <w:sz w:val="14"/>
                                <w:szCs w:val="14"/>
                                <w:vertAlign w:val="superscript"/>
                              </w:rPr>
                              <w:t>4</w:t>
                            </w:r>
                            <w:r w:rsidRPr="000F3ABF">
                              <w:rPr>
                                <w:rFonts w:ascii="Book Antiqua" w:hAnsi="Book Antiqua" w:cs="Book Antiqua"/>
                                <w:bCs/>
                                <w:color w:val="000000"/>
                                <w:kern w:val="0"/>
                                <w:sz w:val="14"/>
                                <w:szCs w:val="14"/>
                              </w:rPr>
                              <w:t xml:space="preserve">LA Classification Grade of erosive esophagitis by principal investigator at baseline. CI: Confidence interval; LA: Los Angeles; </w:t>
                            </w: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Lansoprazole</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Vonoprazan</w:t>
                            </w:r>
                            <w:proofErr w:type="spellEnd"/>
                            <w:r w:rsidRPr="000F3ABF">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0;margin-top:0;width:416.05pt;height:1008.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5JOgIAAFgEAAAOAAAAZHJzL2Uyb0RvYy54bWysVM2O0zAQviPxDpbvNGm2gWzUdLV0KUJa&#10;fqSFB3AcJ7Hwn2y3yfIA8AacuHDnufocjJ22VAtcEDlYHs/488z3zWR5NUqBdsw6rlWF57MUI6ao&#10;brjqKvzh/eZJgZHzRDVEaMUqfM8cvlo9frQcTMky3WvRMIsARLlyMBXuvTdlkjjaM0ncTBumwNlq&#10;K4kH03ZJY8kA6FIkWZo+TQZtG2M1Zc7B6c3kxKuI37aM+rdt65hHosKQm4+rjWsd1mS1JGVniek5&#10;PaRB/iELSbiCR09QN8QTtLX8NyjJqdVOt35GtUx023LKYg1QzTx9UM1dTwyLtQA5zpxocv8Plr7Z&#10;vbOINxXOMVJEgkT7r1/2337sv39GeaBnMK6EqDsDcX58rkeQOZbqzK2mHx1Set0T1bFra/XQM9JA&#10;evNwMzm7OuG4AFIPr3UD75Ct1xFobK0M3AEbCNBBpvuTNGz0iMJhnhUXxQXkSME3z4q0yIuYXkLK&#10;431jnX/JtERhU2EL4kd8srt1PuRDymNIeM5pwZsNFyIatqvXwqIdgUbZxC+W8CBMKDRU+DLP8omC&#10;v0Kk8fsThOQeOl5wWeHiFETKQNwL1cR+9ISLaQ8pC3VgMpA30ejHeoyaZUeBat3cA7VWTw0OAwmb&#10;XttPGA3Q3BVWMH0YiVcKxLmcLxZhFqKxyJ9lYNhzT33uIYoCUIU9RtN27af52RrLux7eObbDNQi6&#10;4ZHpoPyU0yF5aN8owGHUwnyc2zHq1w9h9RMAAP//AwBQSwMEFAAGAAgAAAAhAKbZfaneAAAABgEA&#10;AA8AAABkcnMvZG93bnJldi54bWxMj0FLw0AQhe+C/2EZwYvY3USwJWZTtFI8CFKrP2CSHZO02dmQ&#10;3SbRX+/qRS8Dj/d475t8PdtOjDT41rGGZKFAEFfOtFxreH/bXq9A+IBssHNMGj7Jw7o4P8sxM27i&#10;Vxr3oRaxhH2GGpoQ+kxKXzVk0S9cTxy9DzdYDFEOtTQDTrHcdjJV6lZabDkuNNjTpqHquD9ZDcfH&#10;5Xi4en56KF+2m0M9qumLqp3Wlxfz/R2IQHP4C8MPfkSHIjKV7sTGi05DfCT83uitbtIERKkhVcky&#10;AVnk8j9+8Q0AAP//AwBQSwECLQAUAAYACAAAACEAtoM4kv4AAADhAQAAEwAAAAAAAAAAAAAAAAAA&#10;AAAAW0NvbnRlbnRfVHlwZXNdLnhtbFBLAQItABQABgAIAAAAIQA4/SH/1gAAAJQBAAALAAAAAAAA&#10;AAAAAAAAAC8BAABfcmVscy8ucmVsc1BLAQItABQABgAIAAAAIQCHqb5JOgIAAFgEAAAOAAAAAAAA&#10;AAAAAAAAAC4CAABkcnMvZTJvRG9jLnhtbFBLAQItABQABgAIAAAAIQCm2X2p3gAAAAYBAAAPAAAA&#10;AAAAAAAAAAAAAJQEAABkcnMvZG93bnJldi54bWxQSwUGAAAAAAQABADzAAAAnwUAAAAA&#10;">
                <v:textbox style="mso-fit-shape-to-text:t">
                  <w:txbxContent>
                    <w:p w:rsidR="008F3BB2" w:rsidRPr="000F3ABF" w:rsidRDefault="008F3BB2" w:rsidP="008F3BB2">
                      <w:pPr>
                        <w:rPr>
                          <w:b/>
                          <w:bCs/>
                        </w:rPr>
                      </w:pPr>
                      <w:r w:rsidRPr="000F3ABF">
                        <w:rPr>
                          <w:b/>
                          <w:bCs/>
                        </w:rPr>
                        <w:t xml:space="preserve">Table </w:t>
                      </w:r>
                      <w:proofErr w:type="gramStart"/>
                      <w:r w:rsidRPr="000F3ABF">
                        <w:rPr>
                          <w:b/>
                          <w:bCs/>
                        </w:rPr>
                        <w:t>3  Recurrence</w:t>
                      </w:r>
                      <w:proofErr w:type="gramEnd"/>
                      <w:r w:rsidRPr="000F3ABF">
                        <w:rPr>
                          <w:b/>
                          <w:bCs/>
                        </w:rPr>
                        <w:t xml:space="preserve"> rate of erosive esophagitis within 24 </w:t>
                      </w:r>
                      <w:proofErr w:type="spellStart"/>
                      <w:r w:rsidRPr="000F3ABF">
                        <w:rPr>
                          <w:b/>
                          <w:bCs/>
                        </w:rPr>
                        <w:t>wk</w:t>
                      </w:r>
                      <w:proofErr w:type="spellEnd"/>
                      <w:r w:rsidRPr="000F3ABF">
                        <w:rPr>
                          <w:b/>
                          <w:bCs/>
                        </w:rPr>
                        <w:t>: sub-group analysis according to baseline characteristics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83"/>
                        <w:gridCol w:w="1017"/>
                        <w:gridCol w:w="1017"/>
                        <w:gridCol w:w="1476"/>
                        <w:gridCol w:w="917"/>
                        <w:gridCol w:w="885"/>
                        <w:gridCol w:w="1507"/>
                        <w:gridCol w:w="1022"/>
                      </w:tblGrid>
                      <w:tr w:rsidR="008F3BB2" w:rsidRPr="000F3ABF">
                        <w:tblPrEx>
                          <w:tblCellMar>
                            <w:top w:w="0" w:type="dxa"/>
                            <w:left w:w="0" w:type="dxa"/>
                            <w:bottom w:w="0" w:type="dxa"/>
                            <w:right w:w="0" w:type="dxa"/>
                          </w:tblCellMar>
                        </w:tblPrEx>
                        <w:trPr>
                          <w:trHeight w:val="215"/>
                        </w:trPr>
                        <w:tc>
                          <w:tcPr>
                            <w:tcW w:w="1683" w:type="dxa"/>
                            <w:tcBorders>
                              <w:top w:val="single" w:sz="6" w:space="0" w:color="000000"/>
                              <w:bottom w:val="nil"/>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2034"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LPZ 15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278" w:type="dxa"/>
                            <w:gridSpan w:val="3"/>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10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52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20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404"/>
                        </w:trPr>
                        <w:tc>
                          <w:tcPr>
                            <w:tcW w:w="1683" w:type="dxa"/>
                            <w:tcBorders>
                              <w:top w:val="nil"/>
                              <w:bottom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1017"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0F3ABF">
                              <w:rPr>
                                <w:rFonts w:ascii="Albertus" w:hAnsi="Albertus" w:cs="Albertus"/>
                                <w:b/>
                                <w:bCs/>
                                <w:color w:val="000000"/>
                                <w:kern w:val="0"/>
                                <w:sz w:val="14"/>
                                <w:szCs w:val="14"/>
                                <w:lang w:val="zh-CN"/>
                              </w:rPr>
                              <w:t>Estimate (%)</w:t>
                            </w:r>
                            <w:r w:rsidRPr="000F3ABF">
                              <w:rPr>
                                <w:rFonts w:ascii="Albertus" w:hAnsi="Albertus" w:cs="Albertus"/>
                                <w:b/>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17"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0F3ABF">
                              <w:rPr>
                                <w:rFonts w:ascii="Albertus" w:hAnsi="Albertus" w:cs="Albertus"/>
                                <w:b/>
                                <w:bCs/>
                                <w:color w:val="000000"/>
                                <w:kern w:val="0"/>
                                <w:sz w:val="14"/>
                                <w:szCs w:val="14"/>
                                <w:lang w:val="zh-CN"/>
                              </w:rPr>
                              <w:t>Estimate (%)</w:t>
                            </w:r>
                            <w:r w:rsidRPr="000F3ABF">
                              <w:rPr>
                                <w:rFonts w:ascii="Albertus" w:hAnsi="Albertus" w:cs="Albertus"/>
                                <w:b/>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76"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Difference</w:t>
                            </w:r>
                            <w:r w:rsidRPr="000F3ABF">
                              <w:rPr>
                                <w:rFonts w:ascii="Albertus" w:hAnsi="Albertus" w:cs="Albertus"/>
                                <w:b/>
                                <w:bCs/>
                                <w:color w:val="000000"/>
                                <w:kern w:val="0"/>
                                <w:sz w:val="14"/>
                                <w:szCs w:val="14"/>
                                <w:vertAlign w:val="superscript"/>
                                <w:lang w:val="zh-CN"/>
                              </w:rPr>
                              <w:t>2</w:t>
                            </w:r>
                            <w:r w:rsidRPr="000F3ABF">
                              <w:rPr>
                                <w:rFonts w:ascii="Albertus" w:hAnsi="Albertus" w:cs="Albertus"/>
                                <w:b/>
                                <w:bCs/>
                                <w:color w:val="000000"/>
                                <w:kern w:val="0"/>
                                <w:sz w:val="14"/>
                                <w:szCs w:val="14"/>
                                <w:lang w:val="zh-CN"/>
                              </w:rPr>
                              <w:t xml:space="preserve"> and 95%CI (%)</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17"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rPr>
                            </w:pPr>
                            <w:r w:rsidRPr="000F3ABF">
                              <w:rPr>
                                <w:rFonts w:ascii="Albertus" w:hAnsi="Albertus" w:cs="Albertus"/>
                                <w:b/>
                                <w:bCs/>
                                <w:color w:val="000000"/>
                                <w:kern w:val="0"/>
                                <w:sz w:val="14"/>
                                <w:szCs w:val="14"/>
                              </w:rPr>
                              <w:t xml:space="preserve">Fisher exact test, </w:t>
                            </w:r>
                            <w:r w:rsidRPr="000F3ABF">
                              <w:rPr>
                                <w:rFonts w:ascii="Albertus Bold Italic" w:hAnsi="Albertus Bold Italic" w:cs="Albertus Bold Italic"/>
                                <w:b/>
                                <w:bCs/>
                                <w:i/>
                                <w:iCs/>
                                <w:color w:val="000000"/>
                                <w:kern w:val="0"/>
                                <w:sz w:val="14"/>
                                <w:szCs w:val="14"/>
                              </w:rPr>
                              <w:t>P</w:t>
                            </w:r>
                            <w:r w:rsidRPr="000F3ABF">
                              <w:rPr>
                                <w:rFonts w:ascii="Albertus" w:hAnsi="Albertus" w:cs="Albertus"/>
                                <w:b/>
                                <w:bCs/>
                                <w:color w:val="000000"/>
                                <w:kern w:val="0"/>
                                <w:sz w:val="14"/>
                                <w:szCs w:val="14"/>
                              </w:rPr>
                              <w:t xml:space="preserve"> value</w:t>
                            </w:r>
                            <w:r w:rsidRPr="000F3ABF">
                              <w:rPr>
                                <w:rFonts w:ascii="Albertus" w:hAnsi="Albertus" w:cs="Albertus"/>
                                <w:b/>
                                <w:bCs/>
                                <w:color w:val="000000"/>
                                <w:kern w:val="0"/>
                                <w:sz w:val="14"/>
                                <w:szCs w:val="14"/>
                                <w:vertAlign w:val="superscript"/>
                              </w:rPr>
                              <w:t>3</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88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0F3ABF">
                              <w:rPr>
                                <w:rFonts w:ascii="Albertus" w:hAnsi="Albertus" w:cs="Albertus"/>
                                <w:b/>
                                <w:bCs/>
                                <w:color w:val="000000"/>
                                <w:kern w:val="0"/>
                                <w:sz w:val="14"/>
                                <w:szCs w:val="14"/>
                                <w:lang w:val="zh-CN"/>
                              </w:rPr>
                              <w:t>Estimate (%)</w:t>
                            </w:r>
                            <w:r w:rsidRPr="000F3ABF">
                              <w:rPr>
                                <w:rFonts w:ascii="Albertus" w:hAnsi="Albertus" w:cs="Albertus"/>
                                <w:b/>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07"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Difference</w:t>
                            </w:r>
                            <w:r w:rsidRPr="000F3ABF">
                              <w:rPr>
                                <w:rFonts w:ascii="Albertus" w:hAnsi="Albertus" w:cs="Albertus"/>
                                <w:b/>
                                <w:bCs/>
                                <w:color w:val="000000"/>
                                <w:kern w:val="0"/>
                                <w:sz w:val="14"/>
                                <w:szCs w:val="14"/>
                                <w:vertAlign w:val="superscript"/>
                                <w:lang w:val="zh-CN"/>
                              </w:rPr>
                              <w:t>2</w:t>
                            </w:r>
                            <w:r w:rsidRPr="000F3ABF">
                              <w:rPr>
                                <w:rFonts w:ascii="Albertus" w:hAnsi="Albertus" w:cs="Albertus"/>
                                <w:b/>
                                <w:bCs/>
                                <w:color w:val="000000"/>
                                <w:kern w:val="0"/>
                                <w:sz w:val="14"/>
                                <w:szCs w:val="14"/>
                                <w:lang w:val="zh-CN"/>
                              </w:rPr>
                              <w:t xml:space="preserve"> and 95%CI (%)</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22"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rPr>
                            </w:pPr>
                            <w:r w:rsidRPr="000F3ABF">
                              <w:rPr>
                                <w:rFonts w:ascii="Albertus" w:hAnsi="Albertus" w:cs="Albertus"/>
                                <w:b/>
                                <w:bCs/>
                                <w:color w:val="000000"/>
                                <w:kern w:val="0"/>
                                <w:sz w:val="14"/>
                                <w:szCs w:val="14"/>
                              </w:rPr>
                              <w:t xml:space="preserve">Fisher exact test, </w:t>
                            </w:r>
                            <w:r w:rsidRPr="000F3ABF">
                              <w:rPr>
                                <w:rFonts w:ascii="Albertus Bold Italic" w:hAnsi="Albertus Bold Italic" w:cs="Albertus Bold Italic"/>
                                <w:b/>
                                <w:bCs/>
                                <w:i/>
                                <w:iCs/>
                                <w:color w:val="000000"/>
                                <w:kern w:val="0"/>
                                <w:sz w:val="14"/>
                                <w:szCs w:val="14"/>
                              </w:rPr>
                              <w:t>P</w:t>
                            </w:r>
                            <w:r w:rsidRPr="000F3ABF">
                              <w:rPr>
                                <w:rFonts w:ascii="Albertus" w:hAnsi="Albertus" w:cs="Albertus"/>
                                <w:b/>
                                <w:bCs/>
                                <w:color w:val="000000"/>
                                <w:kern w:val="0"/>
                                <w:sz w:val="14"/>
                                <w:szCs w:val="14"/>
                              </w:rPr>
                              <w:t xml:space="preserve"> value</w:t>
                            </w:r>
                            <w:r w:rsidRPr="000F3ABF">
                              <w:rPr>
                                <w:rFonts w:ascii="Albertus" w:hAnsi="Albertus" w:cs="Albertus"/>
                                <w:b/>
                                <w:bCs/>
                                <w:color w:val="000000"/>
                                <w:kern w:val="0"/>
                                <w:sz w:val="14"/>
                                <w:szCs w:val="14"/>
                                <w:vertAlign w:val="superscript"/>
                              </w:rPr>
                              <w:t>3</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r>
                      <w:tr w:rsidR="008F3BB2" w:rsidRPr="000F3ABF">
                        <w:tblPrEx>
                          <w:tblCellMar>
                            <w:top w:w="0" w:type="dxa"/>
                            <w:left w:w="0" w:type="dxa"/>
                            <w:bottom w:w="0" w:type="dxa"/>
                            <w:right w:w="0" w:type="dxa"/>
                          </w:tblCellMar>
                        </w:tblPrEx>
                        <w:trPr>
                          <w:trHeight w:val="60"/>
                        </w:trPr>
                        <w:tc>
                          <w:tcPr>
                            <w:tcW w:w="1683"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Age (yr)</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&lt; 65</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14.4 (19/132)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4.3 (6/139)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-10.1 [-16.95, -3.20]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0.0056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0.0 (0/136)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-14.4 [-20.38, -8.41]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t>
                            </w:r>
                            <w:r w:rsidRPr="000F3ABF">
                              <w:rPr>
                                <w:rFonts w:ascii="宋体" w:hAnsi="Book Antiqua" w:cs="宋体" w:hint="eastAsia"/>
                                <w:color w:val="000000"/>
                                <w:kern w:val="0"/>
                                <w:sz w:val="13"/>
                                <w:szCs w:val="13"/>
                              </w:rPr>
                              <w:t>≥</w:t>
                            </w:r>
                            <w:r w:rsidRPr="000F3ABF">
                              <w:rPr>
                                <w:rFonts w:ascii="Book Antiqua" w:hAnsi="Book Antiqua" w:cs="Book Antiqua"/>
                                <w:bCs/>
                                <w:color w:val="000000"/>
                                <w:kern w:val="0"/>
                                <w:sz w:val="14"/>
                                <w:szCs w:val="14"/>
                                <w:lang w:val="zh-CN"/>
                              </w:rPr>
                              <w:t xml:space="preserve"> 65 to &lt; 75</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21.7 (10/46)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7.0 (3/43)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-14.8 [-28.91, -0.62]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0.0711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7.0 (3/43)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-14.8 [-28.91, -0.62]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0.0711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t>
                            </w:r>
                            <w:r w:rsidRPr="000F3ABF">
                              <w:rPr>
                                <w:rFonts w:ascii="宋体" w:hAnsi="Book Antiqua" w:cs="宋体" w:hint="eastAsia"/>
                                <w:color w:val="000000"/>
                                <w:kern w:val="0"/>
                                <w:sz w:val="13"/>
                                <w:szCs w:val="13"/>
                              </w:rPr>
                              <w:t>≥</w:t>
                            </w:r>
                            <w:r w:rsidRPr="000F3ABF">
                              <w:rPr>
                                <w:rFonts w:ascii="Book Antiqua" w:hAnsi="Book Antiqua" w:cs="Book Antiqua"/>
                                <w:bCs/>
                                <w:color w:val="000000"/>
                                <w:kern w:val="0"/>
                                <w:sz w:val="14"/>
                                <w:szCs w:val="14"/>
                                <w:lang w:val="zh-CN"/>
                              </w:rPr>
                              <w:t xml:space="preserve"> 75</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22.2 (4/18)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6.7 (1/15)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-15.6 [-38.54, 7.43]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0.3457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4.5 (1/22)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-17.7 [-38.76, 3.41]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0.1554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Sex</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Male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13.9 (19/137)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6.3 (10/159)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-7.6 [-14.49, -0.67]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0.0321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1.3 (2/159)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-12.6 [-18.65, -6.57]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Female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23.7 (14/59)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0.0 (0/38)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-23.7 [-34.58, -12.87]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4.8 (2/42)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-19.0 [-31.59, -6.35]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0.0120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Smoking classification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Never smoked</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22.4 (17/76)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1.9 (1/54)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-20.5 [-30.55, -10.48]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5.0 (3/60)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-17.4 [-28.24, -6.50]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Current smoker</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20.0 (8/40)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6.6 (4/61)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-13.4 [-27.31, 0.42]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0.0588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 (0/57)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-20.0 [-32.40, -7.60]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Ex-smoker</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 (8/80)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6.1 (5/82)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-3.9 [-12.27, 4.47]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0.3998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1.2 (1/84)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-8.8 [-15.78, -1.84]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0.0160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Erosive esophagitis grade</w:t>
                            </w:r>
                            <w:r w:rsidRPr="000F3ABF">
                              <w:rPr>
                                <w:rFonts w:ascii="Book Antiqua" w:hAnsi="Book Antiqua" w:cs="Book Antiqua"/>
                                <w:bCs/>
                                <w:color w:val="000000"/>
                                <w:kern w:val="0"/>
                                <w:sz w:val="14"/>
                                <w:szCs w:val="14"/>
                                <w:vertAlign w:val="superscript"/>
                                <w:lang w:val="zh-CN"/>
                              </w:rPr>
                              <w:t>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LA Grade A/B</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11.0 (17/155)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3.1 (5/159)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-7.8 [-13.44, -2.21]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0.0075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1.3 (2/158)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-9.7 [-14.92, -4.48]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LA Grade C/D</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39.0 (16/41)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13.2 (5/38)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-25.9 [-44.26, -7.47]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0.0114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4.7 (2/43)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-34.4 [-50.58, -18.17]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CYP2C19 genotype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Extensive metabolizers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19.6 (31/158)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5.4 (9/166)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-14.2 [-21.28, -7.11]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1.8 (3/168)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-17.8 [-24.34, -11.33]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Poor metabolizers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5.3 (2/38)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3.2 (1/31)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-2.0 [-11.48, 7.40]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3.0 (1/33)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-2.2 [-11.43, 6.97]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i/>
                                <w:iCs/>
                                <w:color w:val="000000"/>
                                <w:kern w:val="0"/>
                                <w:sz w:val="14"/>
                                <w:szCs w:val="14"/>
                                <w:lang w:val="zh-CN"/>
                              </w:rPr>
                              <w:t>H. pylori</w:t>
                            </w:r>
                            <w:r w:rsidRPr="000F3ABF">
                              <w:rPr>
                                <w:rFonts w:ascii="Book Antiqua" w:hAnsi="Book Antiqua" w:cs="Book Antiqua"/>
                                <w:bCs/>
                                <w:color w:val="000000"/>
                                <w:kern w:val="0"/>
                                <w:sz w:val="14"/>
                                <w:szCs w:val="14"/>
                                <w:lang w:val="zh-CN"/>
                              </w:rPr>
                              <w:t xml:space="preserve"> infection status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476"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91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885"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507"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022"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Positive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3.7 (1/27)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2.7 (1/37)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 [-9.84, 7.83]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 (0/27)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-3.7 [-10.83, 3.42]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1.0000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1683"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Negative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18.9 (32/169)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5.6 (9/160)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76"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-13.3 [-20.21, -6.41]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1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0.0003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8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2.2 (4/179)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7"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-16.7 [-22.99. -10.41]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2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&lt; 0.0001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F3BB2" w:rsidRPr="00F62641" w:rsidRDefault="008F3BB2" w:rsidP="008F3B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0F3ABF">
                        <w:rPr>
                          <w:rFonts w:ascii="Book Antiqua" w:hAnsi="Book Antiqua" w:cs="Book Antiqua"/>
                          <w:bCs/>
                          <w:color w:val="000000"/>
                          <w:kern w:val="0"/>
                          <w:sz w:val="14"/>
                          <w:szCs w:val="14"/>
                          <w:vertAlign w:val="superscript"/>
                        </w:rPr>
                        <w:t>1</w:t>
                      </w:r>
                      <w:r w:rsidRPr="000F3ABF">
                        <w:rPr>
                          <w:rFonts w:ascii="Book Antiqua" w:hAnsi="Book Antiqua" w:cs="Book Antiqua"/>
                          <w:bCs/>
                          <w:color w:val="000000"/>
                          <w:kern w:val="0"/>
                          <w:sz w:val="14"/>
                          <w:szCs w:val="14"/>
                        </w:rPr>
                        <w:t xml:space="preserve">Data expressed as percentages with number of subjects in parentheses; </w:t>
                      </w:r>
                      <w:r w:rsidRPr="000F3ABF">
                        <w:rPr>
                          <w:rFonts w:ascii="Book Antiqua" w:hAnsi="Book Antiqua" w:cs="Book Antiqua"/>
                          <w:bCs/>
                          <w:color w:val="000000"/>
                          <w:kern w:val="0"/>
                          <w:sz w:val="14"/>
                          <w:szCs w:val="14"/>
                          <w:vertAlign w:val="superscript"/>
                        </w:rPr>
                        <w:t>2</w:t>
                      </w:r>
                      <w:r w:rsidRPr="000F3ABF">
                        <w:rPr>
                          <w:rFonts w:ascii="Book Antiqua" w:hAnsi="Book Antiqua" w:cs="Book Antiqua"/>
                          <w:bCs/>
                          <w:color w:val="000000"/>
                          <w:kern w:val="0"/>
                          <w:sz w:val="14"/>
                          <w:szCs w:val="14"/>
                        </w:rPr>
                        <w:t xml:space="preserve">Calculated for difference between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group and </w:t>
                      </w: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15 mg group; </w:t>
                      </w:r>
                      <w:r w:rsidRPr="000F3ABF">
                        <w:rPr>
                          <w:rFonts w:ascii="Book Antiqua" w:hAnsi="Book Antiqua" w:cs="Book Antiqua"/>
                          <w:bCs/>
                          <w:color w:val="000000"/>
                          <w:kern w:val="0"/>
                          <w:sz w:val="14"/>
                          <w:szCs w:val="14"/>
                          <w:vertAlign w:val="superscript"/>
                        </w:rPr>
                        <w:t>3</w:t>
                      </w:r>
                      <w:r w:rsidRPr="000F3ABF">
                        <w:rPr>
                          <w:rFonts w:ascii="Book Antiqua" w:hAnsi="Book Antiqua" w:cs="Book Antiqua"/>
                          <w:i/>
                          <w:iCs/>
                          <w:color w:val="000000"/>
                          <w:kern w:val="0"/>
                          <w:sz w:val="14"/>
                          <w:szCs w:val="14"/>
                        </w:rPr>
                        <w:t>Post hoc</w:t>
                      </w:r>
                      <w:r w:rsidRPr="000F3ABF">
                        <w:rPr>
                          <w:rFonts w:ascii="Book Antiqua" w:hAnsi="Book Antiqua" w:cs="Book Antiqua"/>
                          <w:bCs/>
                          <w:color w:val="000000"/>
                          <w:kern w:val="0"/>
                          <w:sz w:val="14"/>
                          <w:szCs w:val="14"/>
                        </w:rPr>
                        <w:t xml:space="preserve"> analysis; </w:t>
                      </w:r>
                      <w:r w:rsidRPr="000F3ABF">
                        <w:rPr>
                          <w:rFonts w:ascii="Book Antiqua" w:hAnsi="Book Antiqua" w:cs="Book Antiqua"/>
                          <w:bCs/>
                          <w:color w:val="000000"/>
                          <w:kern w:val="0"/>
                          <w:sz w:val="14"/>
                          <w:szCs w:val="14"/>
                          <w:vertAlign w:val="superscript"/>
                        </w:rPr>
                        <w:t>4</w:t>
                      </w:r>
                      <w:r w:rsidRPr="000F3ABF">
                        <w:rPr>
                          <w:rFonts w:ascii="Book Antiqua" w:hAnsi="Book Antiqua" w:cs="Book Antiqua"/>
                          <w:bCs/>
                          <w:color w:val="000000"/>
                          <w:kern w:val="0"/>
                          <w:sz w:val="14"/>
                          <w:szCs w:val="14"/>
                        </w:rPr>
                        <w:t xml:space="preserve">LA Classification Grade of erosive esophagitis by principal investigator at baseline. CI: Confidence interval; LA: Los Angeles; </w:t>
                      </w: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Lansoprazole</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Vonoprazan</w:t>
                      </w:r>
                      <w:proofErr w:type="spellEnd"/>
                      <w:r w:rsidRPr="000F3ABF">
                        <w:rPr>
                          <w:rFonts w:ascii="Book Antiqua" w:hAnsi="Book Antiqua" w:cs="Book Antiqua"/>
                          <w:bCs/>
                          <w:color w:val="000000"/>
                          <w:kern w:val="0"/>
                          <w:sz w:val="14"/>
                          <w:szCs w:val="14"/>
                        </w:rPr>
                        <w:t>.</w:t>
                      </w:r>
                    </w:p>
                  </w:txbxContent>
                </v:textbox>
                <w10:wrap type="square"/>
              </v:shape>
            </w:pict>
          </mc:Fallback>
        </mc:AlternateContent>
      </w: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12514580"/>
                <wp:effectExtent l="9525" t="9525" r="12065" b="1079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2514580"/>
                        </a:xfrm>
                        <a:prstGeom prst="rect">
                          <a:avLst/>
                        </a:prstGeom>
                        <a:solidFill>
                          <a:srgbClr val="FFFFFF"/>
                        </a:solidFill>
                        <a:ln w="9525">
                          <a:solidFill>
                            <a:srgbClr val="000000"/>
                          </a:solidFill>
                          <a:miter lim="800000"/>
                          <a:headEnd/>
                          <a:tailEnd/>
                        </a:ln>
                      </wps:spPr>
                      <wps:txbx>
                        <w:txbxContent>
                          <w:p w:rsidR="008F3BB2" w:rsidRPr="000F3ABF" w:rsidRDefault="008F3BB2" w:rsidP="008F3BB2">
                            <w:pPr>
                              <w:rPr>
                                <w:b/>
                                <w:bCs/>
                              </w:rPr>
                            </w:pPr>
                            <w:r w:rsidRPr="000F3ABF">
                              <w:rPr>
                                <w:b/>
                                <w:bCs/>
                              </w:rPr>
                              <w:t xml:space="preserve">Table </w:t>
                            </w:r>
                            <w:proofErr w:type="gramStart"/>
                            <w:r w:rsidRPr="000F3ABF">
                              <w:rPr>
                                <w:b/>
                                <w:bCs/>
                              </w:rPr>
                              <w:t>4  Summary</w:t>
                            </w:r>
                            <w:proofErr w:type="gramEnd"/>
                            <w:r w:rsidRPr="000F3ABF">
                              <w:rPr>
                                <w:b/>
                                <w:bCs/>
                              </w:rPr>
                              <w:t xml:space="preserve"> of treatment-emergent adverse events during maintenance treatment </w:t>
                            </w:r>
                            <w:r w:rsidRPr="000F3ABF">
                              <w:rPr>
                                <w:b/>
                                <w:bCs/>
                                <w:i/>
                                <w:iCs/>
                              </w:rPr>
                              <w:t>n</w:t>
                            </w:r>
                            <w:r w:rsidRPr="000F3ABF">
                              <w:rPr>
                                <w:b/>
                                <w:bCs/>
                              </w:rPr>
                              <w:t xml:space="preserve"> (%)</w:t>
                            </w:r>
                          </w:p>
                          <w:tbl>
                            <w:tblPr>
                              <w:tblW w:w="956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702"/>
                              <w:gridCol w:w="1144"/>
                              <w:gridCol w:w="1145"/>
                              <w:gridCol w:w="1144"/>
                              <w:gridCol w:w="1145"/>
                              <w:gridCol w:w="1144"/>
                              <w:gridCol w:w="1145"/>
                            </w:tblGrid>
                            <w:tr w:rsidR="008F3BB2" w:rsidRPr="000F3ABF">
                              <w:tblPrEx>
                                <w:tblCellMar>
                                  <w:top w:w="0" w:type="dxa"/>
                                  <w:left w:w="0" w:type="dxa"/>
                                  <w:bottom w:w="0" w:type="dxa"/>
                                  <w:right w:w="0" w:type="dxa"/>
                                </w:tblCellMar>
                              </w:tblPrEx>
                              <w:trPr>
                                <w:trHeight w:val="218"/>
                              </w:trPr>
                              <w:tc>
                                <w:tcPr>
                                  <w:tcW w:w="2702" w:type="dxa"/>
                                  <w:vMerge w:val="restart"/>
                                  <w:tcBorders>
                                    <w:top w:val="single" w:sz="6" w:space="0" w:color="000000"/>
                                    <w:bottom w:val="nil"/>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228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LPZ 15 mg (</w:t>
                                  </w:r>
                                  <w:r w:rsidRPr="000F3ABF">
                                    <w:rPr>
                                      <w:rFonts w:ascii="Albertus Bold Italic" w:hAnsi="Albertus Bold Italic" w:cs="Albertus Bold Italic"/>
                                      <w:b/>
                                      <w:bCs/>
                                      <w:i/>
                                      <w:iCs/>
                                      <w:color w:val="000000"/>
                                      <w:kern w:val="0"/>
                                      <w:sz w:val="14"/>
                                      <w:szCs w:val="14"/>
                                      <w:lang w:val="zh-CN"/>
                                    </w:rPr>
                                    <w:t xml:space="preserve">n </w:t>
                                  </w:r>
                                  <w:r w:rsidRPr="000F3ABF">
                                    <w:rPr>
                                      <w:rFonts w:ascii="Albertus" w:hAnsi="Albertus" w:cs="Albertus"/>
                                      <w:b/>
                                      <w:bCs/>
                                      <w:color w:val="000000"/>
                                      <w:kern w:val="0"/>
                                      <w:sz w:val="14"/>
                                      <w:szCs w:val="14"/>
                                      <w:lang w:val="zh-CN"/>
                                    </w:rPr>
                                    <w:t>= 201)</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28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10 mg (</w:t>
                                  </w:r>
                                  <w:r w:rsidRPr="000F3ABF">
                                    <w:rPr>
                                      <w:rFonts w:ascii="Albertus Bold Italic" w:hAnsi="Albertus Bold Italic" w:cs="Albertus Bold Italic"/>
                                      <w:b/>
                                      <w:bCs/>
                                      <w:i/>
                                      <w:iCs/>
                                      <w:color w:val="000000"/>
                                      <w:kern w:val="0"/>
                                      <w:sz w:val="14"/>
                                      <w:szCs w:val="14"/>
                                      <w:lang w:val="zh-CN"/>
                                    </w:rPr>
                                    <w:t xml:space="preserve">n </w:t>
                                  </w:r>
                                  <w:r w:rsidRPr="000F3ABF">
                                    <w:rPr>
                                      <w:rFonts w:ascii="Albertus" w:hAnsi="Albertus" w:cs="Albertus"/>
                                      <w:b/>
                                      <w:bCs/>
                                      <w:color w:val="000000"/>
                                      <w:kern w:val="0"/>
                                      <w:sz w:val="14"/>
                                      <w:szCs w:val="14"/>
                                      <w:lang w:val="zh-CN"/>
                                    </w:rPr>
                                    <w:t>= 202)</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28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20 mg (</w:t>
                                  </w:r>
                                  <w:r w:rsidRPr="000F3ABF">
                                    <w:rPr>
                                      <w:rFonts w:ascii="Albertus Bold Italic" w:hAnsi="Albertus Bold Italic" w:cs="Albertus Bold Italic"/>
                                      <w:b/>
                                      <w:bCs/>
                                      <w:i/>
                                      <w:iCs/>
                                      <w:color w:val="000000"/>
                                      <w:kern w:val="0"/>
                                      <w:sz w:val="14"/>
                                      <w:szCs w:val="14"/>
                                      <w:lang w:val="zh-CN"/>
                                    </w:rPr>
                                    <w:t>n</w:t>
                                  </w:r>
                                  <w:r w:rsidRPr="000F3ABF">
                                    <w:rPr>
                                      <w:rFonts w:ascii="Albertus" w:hAnsi="Albertus" w:cs="Albertus"/>
                                      <w:b/>
                                      <w:bCs/>
                                      <w:color w:val="000000"/>
                                      <w:kern w:val="0"/>
                                      <w:sz w:val="14"/>
                                      <w:szCs w:val="14"/>
                                      <w:lang w:val="zh-CN"/>
                                    </w:rPr>
                                    <w:t xml:space="preserve"> = 204)</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218"/>
                              </w:trPr>
                              <w:tc>
                                <w:tcPr>
                                  <w:tcW w:w="2702" w:type="dxa"/>
                                  <w:vMerge/>
                                  <w:tcBorders>
                                    <w:top w:val="nil"/>
                                    <w:bottom w:val="single" w:sz="6" w:space="0" w:color="000000"/>
                                  </w:tcBorders>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1144"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Events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Patients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4"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Events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Patients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4"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Events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Patients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Any TEAE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166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103 (51.2)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109 (54.0)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212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120 (58.8)</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Drug-related TEAE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23 (11.4)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21 (10.4)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 xml:space="preserve">  21 (10.3)</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TEAE leading to study discontinuation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8 (4.0)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 xml:space="preserve">  8 (3.9)</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Any serious TEAE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 xml:space="preserve"> 4 (2.0)</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Death</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 xml:space="preserve">  0 (0.0)</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9569" w:type="dxa"/>
                                  <w:gridSpan w:val="7"/>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0F3ABF">
                                    <w:rPr>
                                      <w:rFonts w:ascii="Book Antiqua" w:hAnsi="Book Antiqua" w:cs="Book Antiqua"/>
                                      <w:bCs/>
                                      <w:color w:val="000000"/>
                                      <w:kern w:val="0"/>
                                      <w:sz w:val="14"/>
                                      <w:szCs w:val="14"/>
                                    </w:rPr>
                                    <w:t>TEAEs</w:t>
                                  </w:r>
                                  <w:proofErr w:type="spellEnd"/>
                                  <w:r w:rsidRPr="000F3ABF">
                                    <w:rPr>
                                      <w:rFonts w:ascii="Book Antiqua" w:hAnsi="Book Antiqua" w:cs="Book Antiqua"/>
                                      <w:bCs/>
                                      <w:color w:val="000000"/>
                                      <w:kern w:val="0"/>
                                      <w:sz w:val="14"/>
                                      <w:szCs w:val="14"/>
                                    </w:rPr>
                                    <w:t xml:space="preserve"> reported in </w:t>
                                  </w:r>
                                  <w:r w:rsidRPr="000F3ABF">
                                    <w:rPr>
                                      <w:rFonts w:ascii="宋体" w:hAnsi="Book Antiqua" w:cs="宋体" w:hint="eastAsia"/>
                                      <w:color w:val="000000"/>
                                      <w:kern w:val="0"/>
                                      <w:sz w:val="13"/>
                                      <w:szCs w:val="13"/>
                                    </w:rPr>
                                    <w:t>≥</w:t>
                                  </w:r>
                                  <w:r w:rsidRPr="000F3ABF">
                                    <w:rPr>
                                      <w:rFonts w:ascii="Book Antiqua" w:hAnsi="Book Antiqua" w:cs="Book Antiqua"/>
                                      <w:bCs/>
                                      <w:color w:val="000000"/>
                                      <w:kern w:val="0"/>
                                      <w:sz w:val="14"/>
                                      <w:szCs w:val="14"/>
                                    </w:rPr>
                                    <w:t xml:space="preserve"> 2% of patients in any group, irrespective of causal relationship to study medication, during maintenance treatment.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8F3BB2" w:rsidRPr="000F3ABF">
                              <w:tblPrEx>
                                <w:tblCellMar>
                                  <w:top w:w="0" w:type="dxa"/>
                                  <w:left w:w="0" w:type="dxa"/>
                                  <w:bottom w:w="0" w:type="dxa"/>
                                  <w:right w:w="0" w:type="dxa"/>
                                </w:tblCellMar>
                              </w:tblPrEx>
                              <w:trPr>
                                <w:trHeight w:val="196"/>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TEAE (preferred term)</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LPZ 15 mg</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VPZ 10 mg</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VPZ 20 mg</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Nasopharyngitis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28 (13.9)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34 (16.8)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27 (13.2)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Diarrhea</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11 (5.5)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6 (3.0)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Upper respiratory tract inflammation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 (1.5)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8 (4.0)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Elevated blood creatinine phosphokinase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6 (2.9)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Elevated blood triglycerides </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 (3.0)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Fall</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8 (4.0)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Gastroenteritis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Back pain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 (1.5)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Constipation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 (1.5)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Elevated ALT</w:t>
                                  </w:r>
                                  <w:r w:rsidRPr="000F3ABF">
                                    <w:rPr>
                                      <w:rFonts w:ascii="Book Antiqua" w:hAnsi="Book Antiqua" w:cs="Book Antiqua"/>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 (1.5)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Contusion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Seasonal allergy</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Bronchitis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Dizziness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Abnormal liver function test</w:t>
                                  </w:r>
                                  <w:r w:rsidRPr="000F3ABF">
                                    <w:rPr>
                                      <w:rFonts w:ascii="Book Antiqua" w:hAnsi="Book Antiqua" w:cs="Book Antiqua"/>
                                      <w:bCs/>
                                      <w:color w:val="000000"/>
                                      <w:kern w:val="0"/>
                                      <w:sz w:val="14"/>
                                      <w:szCs w:val="14"/>
                                      <w:vertAlign w:val="superscript"/>
                                      <w:lang w:val="zh-CN"/>
                                    </w:rPr>
                                    <w:t>2</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Abnormal hepatic function</w:t>
                                  </w:r>
                                  <w:r w:rsidRPr="000F3ABF">
                                    <w:rPr>
                                      <w:rFonts w:ascii="Book Antiqua" w:hAnsi="Book Antiqua" w:cs="Book Antiqua"/>
                                      <w:bCs/>
                                      <w:color w:val="000000"/>
                                      <w:kern w:val="0"/>
                                      <w:sz w:val="14"/>
                                      <w:szCs w:val="14"/>
                                      <w:vertAlign w:val="superscript"/>
                                      <w:lang w:val="zh-CN"/>
                                    </w:rPr>
                                    <w:t>2</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Periodontitis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F3BB2" w:rsidRPr="00E027BA" w:rsidRDefault="008F3BB2" w:rsidP="008F3B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0F3ABF">
                              <w:rPr>
                                <w:rFonts w:ascii="Book Antiqua" w:hAnsi="Book Antiqua" w:cs="Book Antiqua"/>
                                <w:bCs/>
                                <w:color w:val="000000"/>
                                <w:kern w:val="0"/>
                                <w:sz w:val="14"/>
                                <w:szCs w:val="14"/>
                                <w:vertAlign w:val="superscript"/>
                              </w:rPr>
                              <w:t>1</w:t>
                            </w:r>
                            <w:r w:rsidRPr="000F3ABF">
                              <w:rPr>
                                <w:rFonts w:ascii="Book Antiqua" w:hAnsi="Book Antiqua" w:cs="Book Antiqua"/>
                                <w:bCs/>
                                <w:color w:val="000000"/>
                                <w:kern w:val="0"/>
                                <w:sz w:val="14"/>
                                <w:szCs w:val="14"/>
                              </w:rPr>
                              <w:t>Recorded as a special-interest adverse event (</w:t>
                            </w:r>
                            <w:proofErr w:type="spellStart"/>
                            <w:r w:rsidRPr="000F3ABF">
                              <w:rPr>
                                <w:rFonts w:ascii="Book Antiqua" w:hAnsi="Book Antiqua" w:cs="Book Antiqua"/>
                                <w:bCs/>
                                <w:color w:val="000000"/>
                                <w:kern w:val="0"/>
                                <w:sz w:val="14"/>
                                <w:szCs w:val="14"/>
                              </w:rPr>
                              <w:t>SIAE</w:t>
                            </w:r>
                            <w:proofErr w:type="spellEnd"/>
                            <w:r w:rsidRPr="000F3ABF">
                              <w:rPr>
                                <w:rFonts w:ascii="Book Antiqua" w:hAnsi="Book Antiqua" w:cs="Book Antiqua"/>
                                <w:bCs/>
                                <w:color w:val="000000"/>
                                <w:kern w:val="0"/>
                                <w:sz w:val="14"/>
                                <w:szCs w:val="14"/>
                              </w:rPr>
                              <w:t>) if ALT &gt; 3 × the upper limit of normal (</w:t>
                            </w:r>
                            <w:proofErr w:type="spellStart"/>
                            <w:r w:rsidRPr="000F3ABF">
                              <w:rPr>
                                <w:rFonts w:ascii="Book Antiqua" w:hAnsi="Book Antiqua" w:cs="Book Antiqua"/>
                                <w:bCs/>
                                <w:color w:val="000000"/>
                                <w:kern w:val="0"/>
                                <w:sz w:val="14"/>
                                <w:szCs w:val="14"/>
                              </w:rPr>
                              <w:t>ULN</w:t>
                            </w:r>
                            <w:proofErr w:type="spellEnd"/>
                            <w:r w:rsidRPr="000F3ABF">
                              <w:rPr>
                                <w:rFonts w:ascii="Book Antiqua" w:hAnsi="Book Antiqua" w:cs="Book Antiqua"/>
                                <w:bCs/>
                                <w:color w:val="000000"/>
                                <w:kern w:val="0"/>
                                <w:sz w:val="14"/>
                                <w:szCs w:val="14"/>
                              </w:rPr>
                              <w:t xml:space="preserve">); </w:t>
                            </w:r>
                            <w:r w:rsidRPr="000F3ABF">
                              <w:rPr>
                                <w:rFonts w:ascii="Book Antiqua" w:hAnsi="Book Antiqua" w:cs="Book Antiqua"/>
                                <w:bCs/>
                                <w:color w:val="000000"/>
                                <w:kern w:val="0"/>
                                <w:sz w:val="14"/>
                                <w:szCs w:val="14"/>
                                <w:vertAlign w:val="superscript"/>
                              </w:rPr>
                              <w:t>2</w:t>
                            </w:r>
                            <w:r w:rsidRPr="000F3ABF">
                              <w:rPr>
                                <w:rFonts w:ascii="Book Antiqua" w:hAnsi="Book Antiqua" w:cs="Book Antiqua"/>
                                <w:bCs/>
                                <w:color w:val="000000"/>
                                <w:kern w:val="0"/>
                                <w:sz w:val="14"/>
                                <w:szCs w:val="14"/>
                              </w:rPr>
                              <w:t xml:space="preserve">Recorded as a </w:t>
                            </w:r>
                            <w:proofErr w:type="spellStart"/>
                            <w:r w:rsidRPr="000F3ABF">
                              <w:rPr>
                                <w:rFonts w:ascii="Book Antiqua" w:hAnsi="Book Antiqua" w:cs="Book Antiqua"/>
                                <w:bCs/>
                                <w:color w:val="000000"/>
                                <w:kern w:val="0"/>
                                <w:sz w:val="14"/>
                                <w:szCs w:val="14"/>
                              </w:rPr>
                              <w:t>SIAE</w:t>
                            </w:r>
                            <w:proofErr w:type="spellEnd"/>
                            <w:r w:rsidRPr="000F3ABF">
                              <w:rPr>
                                <w:rFonts w:ascii="Book Antiqua" w:hAnsi="Book Antiqua" w:cs="Book Antiqua"/>
                                <w:bCs/>
                                <w:color w:val="000000"/>
                                <w:kern w:val="0"/>
                                <w:sz w:val="14"/>
                                <w:szCs w:val="14"/>
                              </w:rPr>
                              <w:t xml:space="preserve"> if total bilirubin &gt; 2 × </w:t>
                            </w:r>
                            <w:proofErr w:type="spellStart"/>
                            <w:r w:rsidRPr="000F3ABF">
                              <w:rPr>
                                <w:rFonts w:ascii="Book Antiqua" w:hAnsi="Book Antiqua" w:cs="Book Antiqua"/>
                                <w:bCs/>
                                <w:color w:val="000000"/>
                                <w:kern w:val="0"/>
                                <w:sz w:val="14"/>
                                <w:szCs w:val="14"/>
                              </w:rPr>
                              <w:t>ULN</w:t>
                            </w:r>
                            <w:proofErr w:type="spellEnd"/>
                            <w:r w:rsidRPr="000F3ABF">
                              <w:rPr>
                                <w:rFonts w:ascii="Book Antiqua" w:hAnsi="Book Antiqua" w:cs="Book Antiqua"/>
                                <w:bCs/>
                                <w:color w:val="000000"/>
                                <w:kern w:val="0"/>
                                <w:sz w:val="14"/>
                                <w:szCs w:val="14"/>
                              </w:rPr>
                              <w:t xml:space="preserve"> in two consecutive measurements. ALT: Alanine aminotransferase; </w:t>
                            </w: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Lansoprazole</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TEAE</w:t>
                            </w:r>
                            <w:proofErr w:type="spellEnd"/>
                            <w:r w:rsidRPr="000F3ABF">
                              <w:rPr>
                                <w:rFonts w:ascii="Book Antiqua" w:hAnsi="Book Antiqua" w:cs="Book Antiqua"/>
                                <w:bCs/>
                                <w:color w:val="000000"/>
                                <w:kern w:val="0"/>
                                <w:sz w:val="14"/>
                                <w:szCs w:val="14"/>
                              </w:rPr>
                              <w:t xml:space="preserve">: Treatment-emergent adverse event;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Vonoprazan</w:t>
                            </w:r>
                            <w:proofErr w:type="spellEnd"/>
                            <w:r w:rsidRPr="000F3ABF">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416.05pt;height:985.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fyOwIAAFgEAAAOAAAAZHJzL2Uyb0RvYy54bWysVM2O0zAQviPxDpbvNE2aQDdqulq6FCEt&#10;P9LCA7iOk1j4T7bbpDwAvAEnLtx5rj4HY6ct1QIXRA6WxzP+PPN9M1lcD1KgHbOOa1XhdDLFiCmq&#10;a67aCn94v34yx8h5omoitGIV3jOHr5ePHy16U7JMd1rUzCIAUa7sTYU7702ZJI52TBI30YYpcDba&#10;SuLBtG1SW9IDuhRJNp0+TXpta2M1Zc7B6e3oxMuI3zSM+rdN45hHosKQm4+rjesmrMlyQcrWEtNx&#10;ekyD/EMWknAFj56hboknaGv5b1CSU6udbvyEapnopuGUxRqgmnT6oJr7jhgWawFynDnT5P4fLH2z&#10;e2cRryucY6SIBIkOX78cvv04fP+M8kBPb1wJUfcG4vzwXA8gcyzVmTtNPzqk9KojqmU31uq+Y6SG&#10;9NJwM7m4OuK4ALLpX+sa3iFbryPQ0FgZuAM2EKCDTPuzNGzwiMJhkc1n81mBEQVfmhVpXsyjegkp&#10;T/eNdf4l0xKFTYUtiB/xye7O+ZAPKU8h4TmnBa/XXIho2HazEhbtCDTKOn6xhAdhQqG+wldFVowU&#10;/BViGr8/QUjuoeMFlxWen4NIGYh7oerYj55wMe4hZaGOTAbyRhr9sBmiZrOTQBtd74Faq8cGh4GE&#10;TaftJ4x6aO4KK5g+jMQrBeJcpXkeZiEaefEsA8NeejaXHqIoAFXYYzRuV36cn62xvO3gnVM73ICg&#10;ax6ZDsqPOR2Th/aNAhxHLczHpR2jfv0Qlj8BAAD//wMAUEsDBBQABgAIAAAAIQDTnMm43gAAAAYB&#10;AAAPAAAAZHJzL2Rvd25yZXYueG1sTI/BTsMwEETvSPyDtUhcELVbJBpCnAqKKg5ICAof4MRLkjZe&#10;R7GbhH49Wy5wGWk1o5m32WpyrRiwD40nDfOZAoFUettQpeHzY3OdgAjRkDWtJ9TwjQFW+flZZlLr&#10;R3rHYRsrwSUUUqOhjrFLpQxljc6Eme+Q2PvyvTORz76Stjcjl7tWLpS6lc40xAu16XBdY7nfHpyG&#10;/dNy2F29PD8Wr5v1rhrUeMTyTevLi+nhHkTEKf6F4YTP6JAzU+EPZINoNfAj8VfZS24WcxAFh+6W&#10;KgGZZ/I/fv4DAAD//wMAUEsBAi0AFAAGAAgAAAAhALaDOJL+AAAA4QEAABMAAAAAAAAAAAAAAAAA&#10;AAAAAFtDb250ZW50X1R5cGVzXS54bWxQSwECLQAUAAYACAAAACEAOP0h/9YAAACUAQAACwAAAAAA&#10;AAAAAAAAAAAvAQAAX3JlbHMvLnJlbHNQSwECLQAUAAYACAAAACEAKDAH8jsCAABYBAAADgAAAAAA&#10;AAAAAAAAAAAuAgAAZHJzL2Uyb0RvYy54bWxQSwECLQAUAAYACAAAACEA05zJuN4AAAAGAQAADwAA&#10;AAAAAAAAAAAAAACVBAAAZHJzL2Rvd25yZXYueG1sUEsFBgAAAAAEAAQA8wAAAKAFAAAAAA==&#10;">
                <v:textbox style="mso-fit-shape-to-text:t">
                  <w:txbxContent>
                    <w:p w:rsidR="008F3BB2" w:rsidRPr="000F3ABF" w:rsidRDefault="008F3BB2" w:rsidP="008F3BB2">
                      <w:pPr>
                        <w:rPr>
                          <w:b/>
                          <w:bCs/>
                        </w:rPr>
                      </w:pPr>
                      <w:r w:rsidRPr="000F3ABF">
                        <w:rPr>
                          <w:b/>
                          <w:bCs/>
                        </w:rPr>
                        <w:t xml:space="preserve">Table </w:t>
                      </w:r>
                      <w:proofErr w:type="gramStart"/>
                      <w:r w:rsidRPr="000F3ABF">
                        <w:rPr>
                          <w:b/>
                          <w:bCs/>
                        </w:rPr>
                        <w:t>4  Summary</w:t>
                      </w:r>
                      <w:proofErr w:type="gramEnd"/>
                      <w:r w:rsidRPr="000F3ABF">
                        <w:rPr>
                          <w:b/>
                          <w:bCs/>
                        </w:rPr>
                        <w:t xml:space="preserve"> of treatment-emergent adverse events during maintenance treatment </w:t>
                      </w:r>
                      <w:r w:rsidRPr="000F3ABF">
                        <w:rPr>
                          <w:b/>
                          <w:bCs/>
                          <w:i/>
                          <w:iCs/>
                        </w:rPr>
                        <w:t>n</w:t>
                      </w:r>
                      <w:r w:rsidRPr="000F3ABF">
                        <w:rPr>
                          <w:b/>
                          <w:bCs/>
                        </w:rPr>
                        <w:t xml:space="preserve"> (%)</w:t>
                      </w:r>
                    </w:p>
                    <w:tbl>
                      <w:tblPr>
                        <w:tblW w:w="956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702"/>
                        <w:gridCol w:w="1144"/>
                        <w:gridCol w:w="1145"/>
                        <w:gridCol w:w="1144"/>
                        <w:gridCol w:w="1145"/>
                        <w:gridCol w:w="1144"/>
                        <w:gridCol w:w="1145"/>
                      </w:tblGrid>
                      <w:tr w:rsidR="008F3BB2" w:rsidRPr="000F3ABF">
                        <w:tblPrEx>
                          <w:tblCellMar>
                            <w:top w:w="0" w:type="dxa"/>
                            <w:left w:w="0" w:type="dxa"/>
                            <w:bottom w:w="0" w:type="dxa"/>
                            <w:right w:w="0" w:type="dxa"/>
                          </w:tblCellMar>
                        </w:tblPrEx>
                        <w:trPr>
                          <w:trHeight w:val="218"/>
                        </w:trPr>
                        <w:tc>
                          <w:tcPr>
                            <w:tcW w:w="2702" w:type="dxa"/>
                            <w:vMerge w:val="restart"/>
                            <w:tcBorders>
                              <w:top w:val="single" w:sz="6" w:space="0" w:color="000000"/>
                              <w:bottom w:val="nil"/>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228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LPZ 15 mg (</w:t>
                            </w:r>
                            <w:r w:rsidRPr="000F3ABF">
                              <w:rPr>
                                <w:rFonts w:ascii="Albertus Bold Italic" w:hAnsi="Albertus Bold Italic" w:cs="Albertus Bold Italic"/>
                                <w:b/>
                                <w:bCs/>
                                <w:i/>
                                <w:iCs/>
                                <w:color w:val="000000"/>
                                <w:kern w:val="0"/>
                                <w:sz w:val="14"/>
                                <w:szCs w:val="14"/>
                                <w:lang w:val="zh-CN"/>
                              </w:rPr>
                              <w:t xml:space="preserve">n </w:t>
                            </w:r>
                            <w:r w:rsidRPr="000F3ABF">
                              <w:rPr>
                                <w:rFonts w:ascii="Albertus" w:hAnsi="Albertus" w:cs="Albertus"/>
                                <w:b/>
                                <w:bCs/>
                                <w:color w:val="000000"/>
                                <w:kern w:val="0"/>
                                <w:sz w:val="14"/>
                                <w:szCs w:val="14"/>
                                <w:lang w:val="zh-CN"/>
                              </w:rPr>
                              <w:t>= 201)</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28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10 mg (</w:t>
                            </w:r>
                            <w:r w:rsidRPr="000F3ABF">
                              <w:rPr>
                                <w:rFonts w:ascii="Albertus Bold Italic" w:hAnsi="Albertus Bold Italic" w:cs="Albertus Bold Italic"/>
                                <w:b/>
                                <w:bCs/>
                                <w:i/>
                                <w:iCs/>
                                <w:color w:val="000000"/>
                                <w:kern w:val="0"/>
                                <w:sz w:val="14"/>
                                <w:szCs w:val="14"/>
                                <w:lang w:val="zh-CN"/>
                              </w:rPr>
                              <w:t xml:space="preserve">n </w:t>
                            </w:r>
                            <w:r w:rsidRPr="000F3ABF">
                              <w:rPr>
                                <w:rFonts w:ascii="Albertus" w:hAnsi="Albertus" w:cs="Albertus"/>
                                <w:b/>
                                <w:bCs/>
                                <w:color w:val="000000"/>
                                <w:kern w:val="0"/>
                                <w:sz w:val="14"/>
                                <w:szCs w:val="14"/>
                                <w:lang w:val="zh-CN"/>
                              </w:rPr>
                              <w:t>= 202)</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28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20 mg (</w:t>
                            </w:r>
                            <w:r w:rsidRPr="000F3ABF">
                              <w:rPr>
                                <w:rFonts w:ascii="Albertus Bold Italic" w:hAnsi="Albertus Bold Italic" w:cs="Albertus Bold Italic"/>
                                <w:b/>
                                <w:bCs/>
                                <w:i/>
                                <w:iCs/>
                                <w:color w:val="000000"/>
                                <w:kern w:val="0"/>
                                <w:sz w:val="14"/>
                                <w:szCs w:val="14"/>
                                <w:lang w:val="zh-CN"/>
                              </w:rPr>
                              <w:t>n</w:t>
                            </w:r>
                            <w:r w:rsidRPr="000F3ABF">
                              <w:rPr>
                                <w:rFonts w:ascii="Albertus" w:hAnsi="Albertus" w:cs="Albertus"/>
                                <w:b/>
                                <w:bCs/>
                                <w:color w:val="000000"/>
                                <w:kern w:val="0"/>
                                <w:sz w:val="14"/>
                                <w:szCs w:val="14"/>
                                <w:lang w:val="zh-CN"/>
                              </w:rPr>
                              <w:t xml:space="preserve"> = 204)</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218"/>
                        </w:trPr>
                        <w:tc>
                          <w:tcPr>
                            <w:tcW w:w="2702" w:type="dxa"/>
                            <w:vMerge/>
                            <w:tcBorders>
                              <w:top w:val="nil"/>
                              <w:bottom w:val="single" w:sz="6" w:space="0" w:color="000000"/>
                            </w:tcBorders>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1144"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Events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Patients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4"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Events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Patients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4"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Events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45"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Patients</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Any TEAE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166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103 (51.2)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109 (54.0)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212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120 (58.8)</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Drug-related TEAE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23 (11.4)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21 (10.4)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 xml:space="preserve">  21 (10.3)</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TEAE leading to study discontinuation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8 (4.0)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 xml:space="preserve">  8 (3.9)</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Any serious TEAE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 xml:space="preserve"> 4 (2.0)</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Death</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4"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r w:rsidRPr="000F3ABF">
                              <w:rPr>
                                <w:rFonts w:ascii="Tahoma" w:hAnsi="Tahoma" w:cs="Tahoma"/>
                                <w:color w:val="000000"/>
                                <w:kern w:val="0"/>
                                <w:sz w:val="14"/>
                                <w:szCs w:val="14"/>
                                <w:lang w:val="zh-CN"/>
                              </w:rPr>
                              <w:t xml:space="preserve">  0 (0.0)</w:t>
                            </w:r>
                          </w:p>
                          <w:p w:rsidR="008F3BB2" w:rsidRPr="000F3ABF" w:rsidRDefault="008F3BB2" w:rsidP="000F3ABF">
                            <w:pPr>
                              <w:suppressAutoHyphens/>
                              <w:autoSpaceDE w:val="0"/>
                              <w:autoSpaceDN w:val="0"/>
                              <w:adjustRightInd w:val="0"/>
                              <w:spacing w:line="200" w:lineRule="atLeast"/>
                              <w:jc w:val="center"/>
                              <w:textAlignment w:val="center"/>
                              <w:rPr>
                                <w:rFonts w:ascii="Tahoma" w:hAnsi="Tahoma" w:cs="Tahoma"/>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9569" w:type="dxa"/>
                            <w:gridSpan w:val="7"/>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0F3ABF">
                              <w:rPr>
                                <w:rFonts w:ascii="Book Antiqua" w:hAnsi="Book Antiqua" w:cs="Book Antiqua"/>
                                <w:bCs/>
                                <w:color w:val="000000"/>
                                <w:kern w:val="0"/>
                                <w:sz w:val="14"/>
                                <w:szCs w:val="14"/>
                              </w:rPr>
                              <w:t>TEAEs</w:t>
                            </w:r>
                            <w:proofErr w:type="spellEnd"/>
                            <w:r w:rsidRPr="000F3ABF">
                              <w:rPr>
                                <w:rFonts w:ascii="Book Antiqua" w:hAnsi="Book Antiqua" w:cs="Book Antiqua"/>
                                <w:bCs/>
                                <w:color w:val="000000"/>
                                <w:kern w:val="0"/>
                                <w:sz w:val="14"/>
                                <w:szCs w:val="14"/>
                              </w:rPr>
                              <w:t xml:space="preserve"> reported in </w:t>
                            </w:r>
                            <w:r w:rsidRPr="000F3ABF">
                              <w:rPr>
                                <w:rFonts w:ascii="宋体" w:hAnsi="Book Antiqua" w:cs="宋体" w:hint="eastAsia"/>
                                <w:color w:val="000000"/>
                                <w:kern w:val="0"/>
                                <w:sz w:val="13"/>
                                <w:szCs w:val="13"/>
                              </w:rPr>
                              <w:t>≥</w:t>
                            </w:r>
                            <w:r w:rsidRPr="000F3ABF">
                              <w:rPr>
                                <w:rFonts w:ascii="Book Antiqua" w:hAnsi="Book Antiqua" w:cs="Book Antiqua"/>
                                <w:bCs/>
                                <w:color w:val="000000"/>
                                <w:kern w:val="0"/>
                                <w:sz w:val="14"/>
                                <w:szCs w:val="14"/>
                              </w:rPr>
                              <w:t xml:space="preserve"> 2% of patients in any group, irrespective of causal relationship to study medication, during maintenance treatment.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r>
                      <w:tr w:rsidR="008F3BB2" w:rsidRPr="000F3ABF">
                        <w:tblPrEx>
                          <w:tblCellMar>
                            <w:top w:w="0" w:type="dxa"/>
                            <w:left w:w="0" w:type="dxa"/>
                            <w:bottom w:w="0" w:type="dxa"/>
                            <w:right w:w="0" w:type="dxa"/>
                          </w:tblCellMar>
                        </w:tblPrEx>
                        <w:trPr>
                          <w:trHeight w:val="196"/>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TEAE (preferred term)</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LPZ 15 mg</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VPZ 10 mg</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VPZ 20 mg</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Nasopharyngitis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28 (13.9)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34 (16.8)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27 (13.2)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Diarrhea</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11 (5.5)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6 (3.0)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Upper respiratory tract inflammation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3 (1.5)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8 (4.0)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Elevated blood creatinine phosphokinase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6 (2.9)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Elevated blood triglycerides </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6 (3.0)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Fall</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8 (4.0)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Gastroenteritis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Back pain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 (1.5)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Constipation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 (1.5)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Elevated ALT</w:t>
                            </w:r>
                            <w:r w:rsidRPr="000F3ABF">
                              <w:rPr>
                                <w:rFonts w:ascii="Book Antiqua" w:hAnsi="Book Antiqua" w:cs="Book Antiqua"/>
                                <w:bCs/>
                                <w:color w:val="000000"/>
                                <w:kern w:val="0"/>
                                <w:sz w:val="14"/>
                                <w:szCs w:val="14"/>
                                <w:vertAlign w:val="superscript"/>
                                <w:lang w:val="zh-CN"/>
                              </w:rPr>
                              <w:t>1</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3 (1.5)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Contusion</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Seasonal allergy</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Bronchitis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5 (2.5)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Dizziness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Abnormal liver function test</w:t>
                            </w:r>
                            <w:r w:rsidRPr="000F3ABF">
                              <w:rPr>
                                <w:rFonts w:ascii="Book Antiqua" w:hAnsi="Book Antiqua" w:cs="Book Antiqua"/>
                                <w:bCs/>
                                <w:color w:val="000000"/>
                                <w:kern w:val="0"/>
                                <w:sz w:val="14"/>
                                <w:szCs w:val="14"/>
                                <w:vertAlign w:val="superscript"/>
                                <w:lang w:val="zh-CN"/>
                              </w:rPr>
                              <w:t>2</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 (1.0)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vertAlign w:val="superscript"/>
                                <w:lang w:val="zh-CN"/>
                              </w:rPr>
                            </w:pPr>
                            <w:r w:rsidRPr="000F3ABF">
                              <w:rPr>
                                <w:rFonts w:ascii="Book Antiqua" w:hAnsi="Book Antiqua" w:cs="Book Antiqua"/>
                                <w:bCs/>
                                <w:color w:val="000000"/>
                                <w:kern w:val="0"/>
                                <w:sz w:val="14"/>
                                <w:szCs w:val="14"/>
                                <w:lang w:val="zh-CN"/>
                              </w:rPr>
                              <w:t>Abnormal hepatic function</w:t>
                            </w:r>
                            <w:r w:rsidRPr="000F3ABF">
                              <w:rPr>
                                <w:rFonts w:ascii="Book Antiqua" w:hAnsi="Book Antiqua" w:cs="Book Antiqua"/>
                                <w:bCs/>
                                <w:color w:val="000000"/>
                                <w:kern w:val="0"/>
                                <w:sz w:val="14"/>
                                <w:szCs w:val="14"/>
                                <w:vertAlign w:val="superscript"/>
                                <w:lang w:val="zh-CN"/>
                              </w:rPr>
                              <w:t>2</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702"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Periodontitis</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 (0.0)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4 (2.0)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289" w:type="dxa"/>
                            <w:gridSpan w:val="2"/>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 (0.5)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F3BB2" w:rsidRPr="00E027BA" w:rsidRDefault="008F3BB2" w:rsidP="008F3B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0F3ABF">
                        <w:rPr>
                          <w:rFonts w:ascii="Book Antiqua" w:hAnsi="Book Antiqua" w:cs="Book Antiqua"/>
                          <w:bCs/>
                          <w:color w:val="000000"/>
                          <w:kern w:val="0"/>
                          <w:sz w:val="14"/>
                          <w:szCs w:val="14"/>
                          <w:vertAlign w:val="superscript"/>
                        </w:rPr>
                        <w:t>1</w:t>
                      </w:r>
                      <w:r w:rsidRPr="000F3ABF">
                        <w:rPr>
                          <w:rFonts w:ascii="Book Antiqua" w:hAnsi="Book Antiqua" w:cs="Book Antiqua"/>
                          <w:bCs/>
                          <w:color w:val="000000"/>
                          <w:kern w:val="0"/>
                          <w:sz w:val="14"/>
                          <w:szCs w:val="14"/>
                        </w:rPr>
                        <w:t>Recorded as a special-interest adverse event (</w:t>
                      </w:r>
                      <w:proofErr w:type="spellStart"/>
                      <w:r w:rsidRPr="000F3ABF">
                        <w:rPr>
                          <w:rFonts w:ascii="Book Antiqua" w:hAnsi="Book Antiqua" w:cs="Book Antiqua"/>
                          <w:bCs/>
                          <w:color w:val="000000"/>
                          <w:kern w:val="0"/>
                          <w:sz w:val="14"/>
                          <w:szCs w:val="14"/>
                        </w:rPr>
                        <w:t>SIAE</w:t>
                      </w:r>
                      <w:proofErr w:type="spellEnd"/>
                      <w:r w:rsidRPr="000F3ABF">
                        <w:rPr>
                          <w:rFonts w:ascii="Book Antiqua" w:hAnsi="Book Antiqua" w:cs="Book Antiqua"/>
                          <w:bCs/>
                          <w:color w:val="000000"/>
                          <w:kern w:val="0"/>
                          <w:sz w:val="14"/>
                          <w:szCs w:val="14"/>
                        </w:rPr>
                        <w:t>) if ALT &gt; 3 × the upper limit of normal (</w:t>
                      </w:r>
                      <w:proofErr w:type="spellStart"/>
                      <w:r w:rsidRPr="000F3ABF">
                        <w:rPr>
                          <w:rFonts w:ascii="Book Antiqua" w:hAnsi="Book Antiqua" w:cs="Book Antiqua"/>
                          <w:bCs/>
                          <w:color w:val="000000"/>
                          <w:kern w:val="0"/>
                          <w:sz w:val="14"/>
                          <w:szCs w:val="14"/>
                        </w:rPr>
                        <w:t>ULN</w:t>
                      </w:r>
                      <w:proofErr w:type="spellEnd"/>
                      <w:r w:rsidRPr="000F3ABF">
                        <w:rPr>
                          <w:rFonts w:ascii="Book Antiqua" w:hAnsi="Book Antiqua" w:cs="Book Antiqua"/>
                          <w:bCs/>
                          <w:color w:val="000000"/>
                          <w:kern w:val="0"/>
                          <w:sz w:val="14"/>
                          <w:szCs w:val="14"/>
                        </w:rPr>
                        <w:t xml:space="preserve">); </w:t>
                      </w:r>
                      <w:r w:rsidRPr="000F3ABF">
                        <w:rPr>
                          <w:rFonts w:ascii="Book Antiqua" w:hAnsi="Book Antiqua" w:cs="Book Antiqua"/>
                          <w:bCs/>
                          <w:color w:val="000000"/>
                          <w:kern w:val="0"/>
                          <w:sz w:val="14"/>
                          <w:szCs w:val="14"/>
                          <w:vertAlign w:val="superscript"/>
                        </w:rPr>
                        <w:t>2</w:t>
                      </w:r>
                      <w:r w:rsidRPr="000F3ABF">
                        <w:rPr>
                          <w:rFonts w:ascii="Book Antiqua" w:hAnsi="Book Antiqua" w:cs="Book Antiqua"/>
                          <w:bCs/>
                          <w:color w:val="000000"/>
                          <w:kern w:val="0"/>
                          <w:sz w:val="14"/>
                          <w:szCs w:val="14"/>
                        </w:rPr>
                        <w:t xml:space="preserve">Recorded as a </w:t>
                      </w:r>
                      <w:proofErr w:type="spellStart"/>
                      <w:r w:rsidRPr="000F3ABF">
                        <w:rPr>
                          <w:rFonts w:ascii="Book Antiqua" w:hAnsi="Book Antiqua" w:cs="Book Antiqua"/>
                          <w:bCs/>
                          <w:color w:val="000000"/>
                          <w:kern w:val="0"/>
                          <w:sz w:val="14"/>
                          <w:szCs w:val="14"/>
                        </w:rPr>
                        <w:t>SIAE</w:t>
                      </w:r>
                      <w:proofErr w:type="spellEnd"/>
                      <w:r w:rsidRPr="000F3ABF">
                        <w:rPr>
                          <w:rFonts w:ascii="Book Antiqua" w:hAnsi="Book Antiqua" w:cs="Book Antiqua"/>
                          <w:bCs/>
                          <w:color w:val="000000"/>
                          <w:kern w:val="0"/>
                          <w:sz w:val="14"/>
                          <w:szCs w:val="14"/>
                        </w:rPr>
                        <w:t xml:space="preserve"> if total bilirubin &gt; 2 × </w:t>
                      </w:r>
                      <w:proofErr w:type="spellStart"/>
                      <w:r w:rsidRPr="000F3ABF">
                        <w:rPr>
                          <w:rFonts w:ascii="Book Antiqua" w:hAnsi="Book Antiqua" w:cs="Book Antiqua"/>
                          <w:bCs/>
                          <w:color w:val="000000"/>
                          <w:kern w:val="0"/>
                          <w:sz w:val="14"/>
                          <w:szCs w:val="14"/>
                        </w:rPr>
                        <w:t>ULN</w:t>
                      </w:r>
                      <w:proofErr w:type="spellEnd"/>
                      <w:r w:rsidRPr="000F3ABF">
                        <w:rPr>
                          <w:rFonts w:ascii="Book Antiqua" w:hAnsi="Book Antiqua" w:cs="Book Antiqua"/>
                          <w:bCs/>
                          <w:color w:val="000000"/>
                          <w:kern w:val="0"/>
                          <w:sz w:val="14"/>
                          <w:szCs w:val="14"/>
                        </w:rPr>
                        <w:t xml:space="preserve"> in two consecutive measurements. ALT: Alanine aminotransferase; </w:t>
                      </w: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Lansoprazole</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TEAE</w:t>
                      </w:r>
                      <w:proofErr w:type="spellEnd"/>
                      <w:r w:rsidRPr="000F3ABF">
                        <w:rPr>
                          <w:rFonts w:ascii="Book Antiqua" w:hAnsi="Book Antiqua" w:cs="Book Antiqua"/>
                          <w:bCs/>
                          <w:color w:val="000000"/>
                          <w:kern w:val="0"/>
                          <w:sz w:val="14"/>
                          <w:szCs w:val="14"/>
                        </w:rPr>
                        <w:t xml:space="preserve">: Treatment-emergent adverse event;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Vonoprazan</w:t>
                      </w:r>
                      <w:proofErr w:type="spellEnd"/>
                      <w:r w:rsidRPr="000F3ABF">
                        <w:rPr>
                          <w:rFonts w:ascii="Book Antiqua" w:hAnsi="Book Antiqua" w:cs="Book Antiqua"/>
                          <w:bCs/>
                          <w:color w:val="000000"/>
                          <w:kern w:val="0"/>
                          <w:sz w:val="14"/>
                          <w:szCs w:val="14"/>
                        </w:rPr>
                        <w:t>.</w:t>
                      </w:r>
                    </w:p>
                  </w:txbxContent>
                </v:textbox>
                <w10:wrap type="square"/>
              </v:shape>
            </w:pict>
          </mc:Fallback>
        </mc:AlternateContent>
      </w: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Default="008F3BB2" w:rsidP="008F3BB2">
      <w:pPr>
        <w:rPr>
          <w:rFonts w:hint="eastAsia"/>
        </w:rPr>
      </w:pPr>
    </w:p>
    <w:p w:rsidR="008F3BB2" w:rsidRPr="000F3ABF" w:rsidRDefault="008F3BB2" w:rsidP="008F3BB2">
      <w:pPr>
        <w:rPr>
          <w:rFonts w:hint="eastAsia"/>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3835" cy="8034020"/>
                <wp:effectExtent l="9525" t="9525" r="12065" b="508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8034020"/>
                        </a:xfrm>
                        <a:prstGeom prst="rect">
                          <a:avLst/>
                        </a:prstGeom>
                        <a:solidFill>
                          <a:srgbClr val="FFFFFF"/>
                        </a:solidFill>
                        <a:ln w="9525">
                          <a:solidFill>
                            <a:srgbClr val="000000"/>
                          </a:solidFill>
                          <a:miter lim="800000"/>
                          <a:headEnd/>
                          <a:tailEnd/>
                        </a:ln>
                      </wps:spPr>
                      <wps:txbx>
                        <w:txbxContent>
                          <w:p w:rsidR="008F3BB2" w:rsidRPr="000F3ABF" w:rsidRDefault="008F3BB2" w:rsidP="008F3BB2">
                            <w:pPr>
                              <w:rPr>
                                <w:b/>
                                <w:bCs/>
                              </w:rPr>
                            </w:pPr>
                            <w:r w:rsidRPr="000F3ABF">
                              <w:rPr>
                                <w:b/>
                                <w:bCs/>
                              </w:rPr>
                              <w:t xml:space="preserve">Table </w:t>
                            </w:r>
                            <w:proofErr w:type="gramStart"/>
                            <w:r w:rsidRPr="000F3ABF">
                              <w:rPr>
                                <w:b/>
                                <w:bCs/>
                              </w:rPr>
                              <w:t>5  Histopathology</w:t>
                            </w:r>
                            <w:proofErr w:type="gramEnd"/>
                            <w:r w:rsidRPr="000F3ABF">
                              <w:rPr>
                                <w:b/>
                                <w:bCs/>
                              </w:rPr>
                              <w:t xml:space="preserve"> of gastric mucosa: neuroendocrine cell density (/mm</w:t>
                            </w:r>
                            <w:r w:rsidRPr="000F3ABF">
                              <w:rPr>
                                <w:b/>
                                <w:bCs/>
                                <w:vertAlign w:val="superscript"/>
                              </w:rPr>
                              <w:t>2</w:t>
                            </w:r>
                            <w:r w:rsidRPr="000F3ABF">
                              <w:rPr>
                                <w:b/>
                                <w:bCs/>
                              </w:rPr>
                              <w:t>)</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445"/>
                              <w:gridCol w:w="1180"/>
                              <w:gridCol w:w="1180"/>
                              <w:gridCol w:w="1180"/>
                              <w:gridCol w:w="1180"/>
                              <w:gridCol w:w="1180"/>
                              <w:gridCol w:w="1179"/>
                            </w:tblGrid>
                            <w:tr w:rsidR="008F3BB2" w:rsidRPr="000F3ABF">
                              <w:tblPrEx>
                                <w:tblCellMar>
                                  <w:top w:w="0" w:type="dxa"/>
                                  <w:left w:w="0" w:type="dxa"/>
                                  <w:bottom w:w="0" w:type="dxa"/>
                                  <w:right w:w="0" w:type="dxa"/>
                                </w:tblCellMar>
                              </w:tblPrEx>
                              <w:trPr>
                                <w:trHeight w:val="218"/>
                              </w:trPr>
                              <w:tc>
                                <w:tcPr>
                                  <w:tcW w:w="2445" w:type="dxa"/>
                                  <w:tcBorders>
                                    <w:top w:val="single" w:sz="6" w:space="0" w:color="000000"/>
                                    <w:bottom w:val="nil"/>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2360"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LPZ 15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60"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10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5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20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218"/>
                              </w:trPr>
                              <w:tc>
                                <w:tcPr>
                                  <w:tcW w:w="2445" w:type="dxa"/>
                                  <w:tcBorders>
                                    <w:top w:val="nil"/>
                                    <w:bottom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0F3ABF">
                                    <w:rPr>
                                      <w:rFonts w:ascii="Albertus Bold Italic" w:hAnsi="Albertus Bold Italic" w:cs="Albertus Bold Italic"/>
                                      <w:b/>
                                      <w:bCs/>
                                      <w:i/>
                                      <w:iCs/>
                                      <w:color w:val="000000"/>
                                      <w:kern w:val="0"/>
                                      <w:sz w:val="14"/>
                                      <w:szCs w:val="14"/>
                                      <w:lang w:val="zh-CN"/>
                                    </w:rPr>
                                    <w:t>n</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Mean (SD)</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0F3ABF">
                                    <w:rPr>
                                      <w:rFonts w:ascii="Albertus Bold Italic" w:hAnsi="Albertus Bold Italic" w:cs="Albertus Bold Italic"/>
                                      <w:b/>
                                      <w:bCs/>
                                      <w:i/>
                                      <w:iCs/>
                                      <w:color w:val="000000"/>
                                      <w:kern w:val="0"/>
                                      <w:sz w:val="14"/>
                                      <w:szCs w:val="14"/>
                                      <w:lang w:val="zh-CN"/>
                                    </w:rPr>
                                    <w:t>n</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Mean (SD)</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0F3ABF">
                                    <w:rPr>
                                      <w:rFonts w:ascii="Albertus Bold Italic" w:hAnsi="Albertus Bold Italic" w:cs="Albertus Bold Italic"/>
                                      <w:b/>
                                      <w:bCs/>
                                      <w:i/>
                                      <w:iCs/>
                                      <w:color w:val="000000"/>
                                      <w:kern w:val="0"/>
                                      <w:sz w:val="14"/>
                                      <w:szCs w:val="14"/>
                                      <w:lang w:val="zh-CN"/>
                                    </w:rPr>
                                    <w:t>n</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79"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Mean (SD)</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Epithelial cells (× 10</w:t>
                                  </w:r>
                                  <w:r w:rsidRPr="000F3ABF">
                                    <w:rPr>
                                      <w:rFonts w:ascii="Book Antiqua" w:hAnsi="Book Antiqua" w:cs="Book Antiqua"/>
                                      <w:bCs/>
                                      <w:color w:val="000000"/>
                                      <w:kern w:val="0"/>
                                      <w:sz w:val="14"/>
                                      <w:szCs w:val="14"/>
                                      <w:vertAlign w:val="superscript"/>
                                      <w:lang w:val="zh-CN"/>
                                    </w:rPr>
                                    <w:t>3</w:t>
                                  </w:r>
                                  <w:r w:rsidRPr="000F3ABF">
                                    <w:rPr>
                                      <w:rFonts w:ascii="Book Antiqua" w:hAnsi="Book Antiqua" w:cs="Book Antiqua"/>
                                      <w:bCs/>
                                      <w:color w:val="000000"/>
                                      <w:kern w:val="0"/>
                                      <w:sz w:val="14"/>
                                      <w:szCs w:val="14"/>
                                      <w:lang w:val="zh-CN"/>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1.58 (0.4831)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1.82 (0.3188)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1.74 (0.3943)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1.63 (0.2689)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1.71 (0.4304)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1.54 (0.4744)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Grimelius-positive cells (× 10</w:t>
                                  </w:r>
                                  <w:r w:rsidRPr="000F3ABF">
                                    <w:rPr>
                                      <w:rFonts w:ascii="Book Antiqua" w:hAnsi="Book Antiqua" w:cs="Book Antiqua"/>
                                      <w:bCs/>
                                      <w:color w:val="000000"/>
                                      <w:kern w:val="0"/>
                                      <w:sz w:val="14"/>
                                      <w:szCs w:val="14"/>
                                      <w:vertAlign w:val="superscript"/>
                                      <w:lang w:val="zh-CN"/>
                                    </w:rPr>
                                    <w:t>2</w:t>
                                  </w:r>
                                  <w:r w:rsidRPr="000F3ABF">
                                    <w:rPr>
                                      <w:rFonts w:ascii="Book Antiqua" w:hAnsi="Book Antiqua" w:cs="Book Antiqua"/>
                                      <w:bCs/>
                                      <w:color w:val="000000"/>
                                      <w:kern w:val="0"/>
                                      <w:sz w:val="14"/>
                                      <w:szCs w:val="14"/>
                                      <w:lang w:val="zh-CN"/>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0.716 (0.3997)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0.705 (0.5562)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0.656 (0.3778)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1.06 (0.2676)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1.07 (0.3858)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0.943 (0.4260)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0F3ABF">
                                    <w:rPr>
                                      <w:rFonts w:ascii="Book Antiqua" w:hAnsi="Book Antiqua" w:cs="Book Antiqua"/>
                                      <w:bCs/>
                                      <w:color w:val="000000"/>
                                      <w:kern w:val="0"/>
                                      <w:sz w:val="14"/>
                                      <w:szCs w:val="14"/>
                                    </w:rPr>
                                    <w:t>Chromogranin</w:t>
                                  </w:r>
                                  <w:proofErr w:type="spellEnd"/>
                                  <w:r w:rsidRPr="000F3ABF">
                                    <w:rPr>
                                      <w:rFonts w:ascii="Book Antiqua" w:hAnsi="Book Antiqua" w:cs="Book Antiqua"/>
                                      <w:bCs/>
                                      <w:color w:val="000000"/>
                                      <w:kern w:val="0"/>
                                      <w:sz w:val="14"/>
                                      <w:szCs w:val="14"/>
                                    </w:rPr>
                                    <w:t xml:space="preserve"> A-positive cells (× 10</w:t>
                                  </w:r>
                                  <w:r w:rsidRPr="000F3ABF">
                                    <w:rPr>
                                      <w:rFonts w:ascii="Book Antiqua" w:hAnsi="Book Antiqua" w:cs="Book Antiqua"/>
                                      <w:bCs/>
                                      <w:color w:val="000000"/>
                                      <w:kern w:val="0"/>
                                      <w:sz w:val="14"/>
                                      <w:szCs w:val="14"/>
                                      <w:vertAlign w:val="superscript"/>
                                    </w:rPr>
                                    <w:t>2</w:t>
                                  </w:r>
                                  <w:r w:rsidRPr="000F3ABF">
                                    <w:rPr>
                                      <w:rFonts w:ascii="Book Antiqua" w:hAnsi="Book Antiqua" w:cs="Book Antiqua"/>
                                      <w:bCs/>
                                      <w:color w:val="000000"/>
                                      <w:kern w:val="0"/>
                                      <w:sz w:val="14"/>
                                      <w:szCs w:val="14"/>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rPr>
                                    <w:t xml:space="preserve">   </w:t>
                                  </w:r>
                                  <w:r w:rsidRPr="000F3ABF">
                                    <w:rPr>
                                      <w:rFonts w:ascii="Book Antiqua" w:hAnsi="Book Antiqua" w:cs="Book Antiqua"/>
                                      <w:bCs/>
                                      <w:color w:val="000000"/>
                                      <w:kern w:val="0"/>
                                      <w:sz w:val="14"/>
                                      <w:szCs w:val="14"/>
                                      <w:lang w:val="zh-CN"/>
                                    </w:rPr>
                                    <w:t>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1.35 (0.6625)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1.25 (0.7250)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1.35 (0.7073)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1.35 (0.2962)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1.31 (0.4595)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1.20 (0.5041)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Synaptophysin-positive cells (× 10</w:t>
                                  </w:r>
                                  <w:r w:rsidRPr="000F3ABF">
                                    <w:rPr>
                                      <w:rFonts w:ascii="Book Antiqua" w:hAnsi="Book Antiqua" w:cs="Book Antiqua"/>
                                      <w:bCs/>
                                      <w:color w:val="000000"/>
                                      <w:kern w:val="0"/>
                                      <w:sz w:val="14"/>
                                      <w:szCs w:val="14"/>
                                      <w:vertAlign w:val="superscript"/>
                                      <w:lang w:val="zh-CN"/>
                                    </w:rPr>
                                    <w:t>2</w:t>
                                  </w:r>
                                  <w:r w:rsidRPr="000F3ABF">
                                    <w:rPr>
                                      <w:rFonts w:ascii="Book Antiqua" w:hAnsi="Book Antiqua" w:cs="Book Antiqua"/>
                                      <w:bCs/>
                                      <w:color w:val="000000"/>
                                      <w:kern w:val="0"/>
                                      <w:sz w:val="14"/>
                                      <w:szCs w:val="14"/>
                                      <w:lang w:val="zh-CN"/>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1.73 (0.7005)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1.73 (0.8123)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1.83 (0.9076)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1.58 (0.3716)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1.55 (0.4490)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1.45 (0.6173)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Ki-67-positive cells (× 10</w:t>
                                  </w:r>
                                  <w:r w:rsidRPr="000F3ABF">
                                    <w:rPr>
                                      <w:rFonts w:ascii="Book Antiqua" w:hAnsi="Book Antiqua" w:cs="Book Antiqua"/>
                                      <w:bCs/>
                                      <w:color w:val="000000"/>
                                      <w:kern w:val="0"/>
                                      <w:sz w:val="14"/>
                                      <w:szCs w:val="14"/>
                                      <w:vertAlign w:val="superscript"/>
                                      <w:lang w:val="zh-CN"/>
                                    </w:rPr>
                                    <w:t>2</w:t>
                                  </w:r>
                                  <w:r w:rsidRPr="000F3ABF">
                                    <w:rPr>
                                      <w:rFonts w:ascii="Book Antiqua" w:hAnsi="Book Antiqua" w:cs="Book Antiqua"/>
                                      <w:bCs/>
                                      <w:color w:val="000000"/>
                                      <w:kern w:val="0"/>
                                      <w:sz w:val="14"/>
                                      <w:szCs w:val="14"/>
                                      <w:lang w:val="zh-CN"/>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 xml:space="preserve">   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1.44 (0.8192)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1.10 (0.6624)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1.32 (0.5513)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1.14 (0.5037)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1.09 (0.4075)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1.05 (0.4853)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F3BB2" w:rsidRPr="003E20F6" w:rsidRDefault="008F3BB2" w:rsidP="008F3B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Lansoprazole</w:t>
                            </w:r>
                            <w:proofErr w:type="spellEnd"/>
                            <w:r w:rsidRPr="000F3ABF">
                              <w:rPr>
                                <w:rFonts w:ascii="Book Antiqua" w:hAnsi="Book Antiqua" w:cs="Book Antiqua"/>
                                <w:bCs/>
                                <w:color w:val="000000"/>
                                <w:kern w:val="0"/>
                                <w:sz w:val="14"/>
                                <w:szCs w:val="14"/>
                              </w:rPr>
                              <w:t xml:space="preserve">; SD: Standard deviation;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Vonoprazan</w:t>
                            </w:r>
                            <w:proofErr w:type="spellEnd"/>
                            <w:r w:rsidRPr="000F3ABF">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0" type="#_x0000_t202" style="position:absolute;left:0;text-align:left;margin-left:0;margin-top:0;width:416.05pt;height:632.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u+OwIAAFcEAAAOAAAAZHJzL2Uyb0RvYy54bWysVM2O0zAQviPxDpbvNOkfdKOmq6VLEdLy&#10;Iy08gOM4iYXjsWy3yfIA7Btw4sKd5+pzMHbabrXABeGDNc6MP89830yWl32ryE5YJ0HndDxKKRGa&#10;Qyl1ndNPHzfPFpQ4z3TJFGiR0zvh6OXq6ZNlZzIxgQZUKSxBEO2yzuS08d5kSeJ4I1rmRmCERmcF&#10;tmUej7ZOSss6RG9VMknT50kHtjQWuHAOv14PTrqK+FUluH9fVU54onKKufm427gXYU9WS5bVlplG&#10;8kMa7B+yaJnU+OgJ6pp5RrZW/gbVSm7BQeVHHNoEqkpyEWvAasbpo2puG2ZErAXJceZEk/t/sPzd&#10;7oMlsszplBLNWpRo/+1+//3n/sdXMg30dMZlGHVrMM73L6FHmWOpztwA/+yIhnXDdC2urIWuEazE&#10;9MbhZnJ2dcBxAaTo3kKJ77CthwjUV7YN3CEbBNFRpruTNKL3hOPH+WQxXUznlHD0LdLpLJ1E8RKW&#10;Ha8b6/xrAS0JRk4tah/h2e7G+ZAOy44h4TUHSpYbqVQ82LpYK0t2DPtkE1es4FGY0qTL6cV8Mh8Y&#10;+CtEGtefIFrpseGVbEMZYYUglgXeXuky2p5JNdiYstIHIgN3A4u+L/oo2SzcDSQXUN4hsxaG/sZ5&#10;RKMB+4WSDns7pxqHjxL1RqM2F+PZLIxCPMzmL5BIYs89xbmHaY5AOfWUDObaD+OzNVbWDb5z7IYr&#10;1HMjI9MPOR2Sx+6NAhwmLYzH+TlGPfwPVr8AAAD//wMAUEsDBBQABgAIAAAAIQBmX7fx3wAAAAYB&#10;AAAPAAAAZHJzL2Rvd25yZXYueG1sTI9BS8NAEIXvQv/DMgUvYjdNsZaYTdFK8SCItv0Bm+yYpM3O&#10;huw2Sf31jl708mB4j/e+SdejbUSPna8dKZjPIhBIhTM1lQoO++3tCoQPmoxuHKGCC3pYZ5OrVCfG&#10;DfSB/S6UgkvIJ1pBFUKbSOmLCq32M9cisffpOqsDn10pTacHLreNjKNoKa2uiRcq3eKmwuK0O1sF&#10;p+f7/njz+vKUv203x7KPhi8s3pW6no6PDyACjuEvDD/4jA4ZM+XuTMaLRgE/En6VvdUinoPIORQv&#10;72KQWSr/42ffAAAA//8DAFBLAQItABQABgAIAAAAIQC2gziS/gAAAOEBAAATAAAAAAAAAAAAAAAA&#10;AAAAAABbQ29udGVudF9UeXBlc10ueG1sUEsBAi0AFAAGAAgAAAAhADj9If/WAAAAlAEAAAsAAAAA&#10;AAAAAAAAAAAALwEAAF9yZWxzLy5yZWxzUEsBAi0AFAAGAAgAAAAhAPuYi747AgAAVwQAAA4AAAAA&#10;AAAAAAAAAAAALgIAAGRycy9lMm9Eb2MueG1sUEsBAi0AFAAGAAgAAAAhAGZft/HfAAAABgEAAA8A&#10;AAAAAAAAAAAAAAAAlQQAAGRycy9kb3ducmV2LnhtbFBLBQYAAAAABAAEAPMAAAChBQAAAAA=&#10;">
                <v:textbox style="mso-fit-shape-to-text:t">
                  <w:txbxContent>
                    <w:p w:rsidR="008F3BB2" w:rsidRPr="000F3ABF" w:rsidRDefault="008F3BB2" w:rsidP="008F3BB2">
                      <w:pPr>
                        <w:rPr>
                          <w:b/>
                          <w:bCs/>
                        </w:rPr>
                      </w:pPr>
                      <w:r w:rsidRPr="000F3ABF">
                        <w:rPr>
                          <w:b/>
                          <w:bCs/>
                        </w:rPr>
                        <w:t xml:space="preserve">Table </w:t>
                      </w:r>
                      <w:proofErr w:type="gramStart"/>
                      <w:r w:rsidRPr="000F3ABF">
                        <w:rPr>
                          <w:b/>
                          <w:bCs/>
                        </w:rPr>
                        <w:t>5  Histopathology</w:t>
                      </w:r>
                      <w:proofErr w:type="gramEnd"/>
                      <w:r w:rsidRPr="000F3ABF">
                        <w:rPr>
                          <w:b/>
                          <w:bCs/>
                        </w:rPr>
                        <w:t xml:space="preserve"> of gastric mucosa: neuroendocrine cell density (/mm</w:t>
                      </w:r>
                      <w:r w:rsidRPr="000F3ABF">
                        <w:rPr>
                          <w:b/>
                          <w:bCs/>
                          <w:vertAlign w:val="superscript"/>
                        </w:rPr>
                        <w:t>2</w:t>
                      </w:r>
                      <w:r w:rsidRPr="000F3ABF">
                        <w:rPr>
                          <w:b/>
                          <w:bCs/>
                        </w:rPr>
                        <w:t>)</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445"/>
                        <w:gridCol w:w="1180"/>
                        <w:gridCol w:w="1180"/>
                        <w:gridCol w:w="1180"/>
                        <w:gridCol w:w="1180"/>
                        <w:gridCol w:w="1180"/>
                        <w:gridCol w:w="1179"/>
                      </w:tblGrid>
                      <w:tr w:rsidR="008F3BB2" w:rsidRPr="000F3ABF">
                        <w:tblPrEx>
                          <w:tblCellMar>
                            <w:top w:w="0" w:type="dxa"/>
                            <w:left w:w="0" w:type="dxa"/>
                            <w:bottom w:w="0" w:type="dxa"/>
                            <w:right w:w="0" w:type="dxa"/>
                          </w:tblCellMar>
                        </w:tblPrEx>
                        <w:trPr>
                          <w:trHeight w:val="218"/>
                        </w:trPr>
                        <w:tc>
                          <w:tcPr>
                            <w:tcW w:w="2445" w:type="dxa"/>
                            <w:tcBorders>
                              <w:top w:val="single" w:sz="6" w:space="0" w:color="000000"/>
                              <w:bottom w:val="nil"/>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2360"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LPZ 15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60"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10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59" w:type="dxa"/>
                            <w:gridSpan w:val="2"/>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VPZ 20 mg</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218"/>
                        </w:trPr>
                        <w:tc>
                          <w:tcPr>
                            <w:tcW w:w="2445" w:type="dxa"/>
                            <w:tcBorders>
                              <w:top w:val="nil"/>
                              <w:bottom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b/>
                                <w:kern w:val="0"/>
                                <w:sz w:val="24"/>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0F3ABF">
                              <w:rPr>
                                <w:rFonts w:ascii="Albertus Bold Italic" w:hAnsi="Albertus Bold Italic" w:cs="Albertus Bold Italic"/>
                                <w:b/>
                                <w:bCs/>
                                <w:i/>
                                <w:iCs/>
                                <w:color w:val="000000"/>
                                <w:kern w:val="0"/>
                                <w:sz w:val="14"/>
                                <w:szCs w:val="14"/>
                                <w:lang w:val="zh-CN"/>
                              </w:rPr>
                              <w:t>n</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Mean (SD)</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0F3ABF">
                              <w:rPr>
                                <w:rFonts w:ascii="Albertus Bold Italic" w:hAnsi="Albertus Bold Italic" w:cs="Albertus Bold Italic"/>
                                <w:b/>
                                <w:bCs/>
                                <w:i/>
                                <w:iCs/>
                                <w:color w:val="000000"/>
                                <w:kern w:val="0"/>
                                <w:sz w:val="14"/>
                                <w:szCs w:val="14"/>
                                <w:lang w:val="zh-CN"/>
                              </w:rPr>
                              <w:t>n</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Mean (SD)</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80"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0F3ABF">
                              <w:rPr>
                                <w:rFonts w:ascii="Albertus Bold Italic" w:hAnsi="Albertus Bold Italic" w:cs="Albertus Bold Italic"/>
                                <w:b/>
                                <w:bCs/>
                                <w:i/>
                                <w:iCs/>
                                <w:color w:val="000000"/>
                                <w:kern w:val="0"/>
                                <w:sz w:val="14"/>
                                <w:szCs w:val="14"/>
                                <w:lang w:val="zh-CN"/>
                              </w:rPr>
                              <w:t>n</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179" w:type="dxa"/>
                            <w:tcBorders>
                              <w:top w:val="single" w:sz="6" w:space="0" w:color="000000"/>
                              <w:bottom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0F3ABF">
                              <w:rPr>
                                <w:rFonts w:ascii="Albertus" w:hAnsi="Albertus" w:cs="Albertus"/>
                                <w:b/>
                                <w:bCs/>
                                <w:color w:val="000000"/>
                                <w:kern w:val="0"/>
                                <w:sz w:val="14"/>
                                <w:szCs w:val="14"/>
                                <w:lang w:val="zh-CN"/>
                              </w:rPr>
                              <w:t>Mean (SD)</w:t>
                            </w:r>
                          </w:p>
                          <w:p w:rsidR="008F3BB2" w:rsidRPr="000F3ABF" w:rsidRDefault="008F3BB2" w:rsidP="000F3ABF">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Borders>
                              <w:top w:val="single" w:sz="6" w:space="0" w:color="000000"/>
                            </w:tcBorders>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Epithelial cells (× 10</w:t>
                            </w:r>
                            <w:r w:rsidRPr="000F3ABF">
                              <w:rPr>
                                <w:rFonts w:ascii="Book Antiqua" w:hAnsi="Book Antiqua" w:cs="Book Antiqua"/>
                                <w:bCs/>
                                <w:color w:val="000000"/>
                                <w:kern w:val="0"/>
                                <w:sz w:val="14"/>
                                <w:szCs w:val="14"/>
                                <w:vertAlign w:val="superscript"/>
                                <w:lang w:val="zh-CN"/>
                              </w:rPr>
                              <w:t>3</w:t>
                            </w:r>
                            <w:r w:rsidRPr="000F3ABF">
                              <w:rPr>
                                <w:rFonts w:ascii="Book Antiqua" w:hAnsi="Book Antiqua" w:cs="Book Antiqua"/>
                                <w:bCs/>
                                <w:color w:val="000000"/>
                                <w:kern w:val="0"/>
                                <w:sz w:val="14"/>
                                <w:szCs w:val="14"/>
                                <w:lang w:val="zh-CN"/>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Borders>
                              <w:top w:val="single" w:sz="6" w:space="0" w:color="000000"/>
                            </w:tcBorders>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1.58 (0.4831)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1.82 (0.3188)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1.74 (0.3943)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1.63 (0.2689)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1.71 (0.4304)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1.54 (0.4744)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Grimelius-positive cells (× 10</w:t>
                            </w:r>
                            <w:r w:rsidRPr="000F3ABF">
                              <w:rPr>
                                <w:rFonts w:ascii="Book Antiqua" w:hAnsi="Book Antiqua" w:cs="Book Antiqua"/>
                                <w:bCs/>
                                <w:color w:val="000000"/>
                                <w:kern w:val="0"/>
                                <w:sz w:val="14"/>
                                <w:szCs w:val="14"/>
                                <w:vertAlign w:val="superscript"/>
                                <w:lang w:val="zh-CN"/>
                              </w:rPr>
                              <w:t>2</w:t>
                            </w:r>
                            <w:r w:rsidRPr="000F3ABF">
                              <w:rPr>
                                <w:rFonts w:ascii="Book Antiqua" w:hAnsi="Book Antiqua" w:cs="Book Antiqua"/>
                                <w:bCs/>
                                <w:color w:val="000000"/>
                                <w:kern w:val="0"/>
                                <w:sz w:val="14"/>
                                <w:szCs w:val="14"/>
                                <w:lang w:val="zh-CN"/>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0.716 (0.3997)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0.705 (0.5562)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0.656 (0.3778)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1.06 (0.2676)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1.07 (0.3858)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0.943 (0.4260)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roofErr w:type="spellStart"/>
                            <w:r w:rsidRPr="000F3ABF">
                              <w:rPr>
                                <w:rFonts w:ascii="Book Antiqua" w:hAnsi="Book Antiqua" w:cs="Book Antiqua"/>
                                <w:bCs/>
                                <w:color w:val="000000"/>
                                <w:kern w:val="0"/>
                                <w:sz w:val="14"/>
                                <w:szCs w:val="14"/>
                              </w:rPr>
                              <w:t>Chromogranin</w:t>
                            </w:r>
                            <w:proofErr w:type="spellEnd"/>
                            <w:r w:rsidRPr="000F3ABF">
                              <w:rPr>
                                <w:rFonts w:ascii="Book Antiqua" w:hAnsi="Book Antiqua" w:cs="Book Antiqua"/>
                                <w:bCs/>
                                <w:color w:val="000000"/>
                                <w:kern w:val="0"/>
                                <w:sz w:val="14"/>
                                <w:szCs w:val="14"/>
                              </w:rPr>
                              <w:t xml:space="preserve"> A-positive cells (× 10</w:t>
                            </w:r>
                            <w:r w:rsidRPr="000F3ABF">
                              <w:rPr>
                                <w:rFonts w:ascii="Book Antiqua" w:hAnsi="Book Antiqua" w:cs="Book Antiqua"/>
                                <w:bCs/>
                                <w:color w:val="000000"/>
                                <w:kern w:val="0"/>
                                <w:sz w:val="14"/>
                                <w:szCs w:val="14"/>
                                <w:vertAlign w:val="superscript"/>
                              </w:rPr>
                              <w:t>2</w:t>
                            </w:r>
                            <w:r w:rsidRPr="000F3ABF">
                              <w:rPr>
                                <w:rFonts w:ascii="Book Antiqua" w:hAnsi="Book Antiqua" w:cs="Book Antiqua"/>
                                <w:bCs/>
                                <w:color w:val="000000"/>
                                <w:kern w:val="0"/>
                                <w:sz w:val="14"/>
                                <w:szCs w:val="14"/>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rPr>
                              <w:t xml:space="preserve">   </w:t>
                            </w:r>
                            <w:r w:rsidRPr="000F3ABF">
                              <w:rPr>
                                <w:rFonts w:ascii="Book Antiqua" w:hAnsi="Book Antiqua" w:cs="Book Antiqua"/>
                                <w:bCs/>
                                <w:color w:val="000000"/>
                                <w:kern w:val="0"/>
                                <w:sz w:val="14"/>
                                <w:szCs w:val="14"/>
                                <w:lang w:val="zh-CN"/>
                              </w:rPr>
                              <w:t>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1.35 (0.6625)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1.25 (0.7250)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1.35 (0.7073)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1.35 (0.2962)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1.31 (0.4595)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1.20 (0.5041)</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Synaptophysin-positive cells (× 10</w:t>
                            </w:r>
                            <w:r w:rsidRPr="000F3ABF">
                              <w:rPr>
                                <w:rFonts w:ascii="Book Antiqua" w:hAnsi="Book Antiqua" w:cs="Book Antiqua"/>
                                <w:bCs/>
                                <w:color w:val="000000"/>
                                <w:kern w:val="0"/>
                                <w:sz w:val="14"/>
                                <w:szCs w:val="14"/>
                                <w:vertAlign w:val="superscript"/>
                                <w:lang w:val="zh-CN"/>
                              </w:rPr>
                              <w:t>2</w:t>
                            </w:r>
                            <w:r w:rsidRPr="000F3ABF">
                              <w:rPr>
                                <w:rFonts w:ascii="Book Antiqua" w:hAnsi="Book Antiqua" w:cs="Book Antiqua"/>
                                <w:bCs/>
                                <w:color w:val="000000"/>
                                <w:kern w:val="0"/>
                                <w:sz w:val="14"/>
                                <w:szCs w:val="14"/>
                                <w:lang w:val="zh-CN"/>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1.73 (0.7005)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1.73 (0.8123)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1.83 (0.9076)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1.58 (0.3716)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1.55 (0.4490)</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1.45 (0.6173)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0F3ABF">
                              <w:rPr>
                                <w:rFonts w:ascii="Book Antiqua" w:hAnsi="Book Antiqua" w:cs="Book Antiqua"/>
                                <w:bCs/>
                                <w:color w:val="000000"/>
                                <w:kern w:val="0"/>
                                <w:sz w:val="14"/>
                                <w:szCs w:val="14"/>
                                <w:lang w:val="zh-CN"/>
                              </w:rPr>
                              <w:t>Ki-67-positive cells (× 10</w:t>
                            </w:r>
                            <w:r w:rsidRPr="000F3ABF">
                              <w:rPr>
                                <w:rFonts w:ascii="Book Antiqua" w:hAnsi="Book Antiqua" w:cs="Book Antiqua"/>
                                <w:bCs/>
                                <w:color w:val="000000"/>
                                <w:kern w:val="0"/>
                                <w:sz w:val="14"/>
                                <w:szCs w:val="14"/>
                                <w:vertAlign w:val="superscript"/>
                                <w:lang w:val="zh-CN"/>
                              </w:rPr>
                              <w:t>2</w:t>
                            </w:r>
                            <w:r w:rsidRPr="000F3ABF">
                              <w:rPr>
                                <w:rFonts w:ascii="Book Antiqua" w:hAnsi="Book Antiqua" w:cs="Book Antiqua"/>
                                <w:bCs/>
                                <w:color w:val="000000"/>
                                <w:kern w:val="0"/>
                                <w:sz w:val="14"/>
                                <w:szCs w:val="14"/>
                                <w:lang w:val="zh-CN"/>
                              </w:rPr>
                              <w:t>)</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80"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c>
                          <w:tcPr>
                            <w:tcW w:w="1179" w:type="dxa"/>
                            <w:tcMar>
                              <w:top w:w="28" w:type="dxa"/>
                              <w:left w:w="28" w:type="dxa"/>
                              <w:bottom w:w="28" w:type="dxa"/>
                              <w:right w:w="28" w:type="dxa"/>
                            </w:tcMar>
                          </w:tcPr>
                          <w:p w:rsidR="008F3BB2" w:rsidRPr="000F3ABF" w:rsidRDefault="008F3BB2" w:rsidP="000F3ABF">
                            <w:pPr>
                              <w:autoSpaceDE w:val="0"/>
                              <w:autoSpaceDN w:val="0"/>
                              <w:adjustRightInd w:val="0"/>
                              <w:jc w:val="left"/>
                              <w:rPr>
                                <w:rFonts w:ascii="Albertus Bold Italic" w:hAnsi="Albertus Bold Italic"/>
                                <w:kern w:val="0"/>
                                <w:sz w:val="24"/>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 xml:space="preserve">   Baseline</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1.44 (0.8192)</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29</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1.10 (0.6624)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1.32 (0.5513)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F3BB2" w:rsidRPr="000F3ABF">
                        <w:tblPrEx>
                          <w:tblCellMar>
                            <w:top w:w="0" w:type="dxa"/>
                            <w:left w:w="0" w:type="dxa"/>
                            <w:bottom w:w="0" w:type="dxa"/>
                            <w:right w:w="0" w:type="dxa"/>
                          </w:tblCellMar>
                        </w:tblPrEx>
                        <w:trPr>
                          <w:trHeight w:val="60"/>
                        </w:trPr>
                        <w:tc>
                          <w:tcPr>
                            <w:tcW w:w="2445"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 xml:space="preserve">   Week 24</w:t>
                            </w:r>
                          </w:p>
                          <w:p w:rsidR="008F3BB2" w:rsidRPr="000F3ABF" w:rsidRDefault="008F3BB2" w:rsidP="000F3ABF">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24</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1.14 (0.5037)</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26</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1.09 (0.4075)</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80"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28</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9" w:type="dxa"/>
                            <w:tcMar>
                              <w:top w:w="28" w:type="dxa"/>
                              <w:left w:w="28" w:type="dxa"/>
                              <w:bottom w:w="28" w:type="dxa"/>
                              <w:right w:w="28" w:type="dxa"/>
                            </w:tcMar>
                          </w:tcPr>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0F3ABF">
                              <w:rPr>
                                <w:rFonts w:ascii="Book Antiqua" w:hAnsi="Book Antiqua" w:cs="Book Antiqua"/>
                                <w:bCs/>
                                <w:color w:val="000000"/>
                                <w:kern w:val="0"/>
                                <w:sz w:val="14"/>
                                <w:szCs w:val="14"/>
                              </w:rPr>
                              <w:t>1.05 (0.4853)</w:t>
                            </w:r>
                          </w:p>
                          <w:p w:rsidR="008F3BB2" w:rsidRPr="000F3ABF" w:rsidRDefault="008F3BB2" w:rsidP="000F3AB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F3BB2" w:rsidRPr="003E20F6" w:rsidRDefault="008F3BB2" w:rsidP="008F3B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roofErr w:type="spellStart"/>
                      <w:r w:rsidRPr="000F3ABF">
                        <w:rPr>
                          <w:rFonts w:ascii="Book Antiqua" w:hAnsi="Book Antiqua" w:cs="Book Antiqua"/>
                          <w:bCs/>
                          <w:color w:val="000000"/>
                          <w:kern w:val="0"/>
                          <w:sz w:val="14"/>
                          <w:szCs w:val="14"/>
                        </w:rPr>
                        <w:t>LPZ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Lansoprazole</w:t>
                      </w:r>
                      <w:proofErr w:type="spellEnd"/>
                      <w:r w:rsidRPr="000F3ABF">
                        <w:rPr>
                          <w:rFonts w:ascii="Book Antiqua" w:hAnsi="Book Antiqua" w:cs="Book Antiqua"/>
                          <w:bCs/>
                          <w:color w:val="000000"/>
                          <w:kern w:val="0"/>
                          <w:sz w:val="14"/>
                          <w:szCs w:val="14"/>
                        </w:rPr>
                        <w:t xml:space="preserve">; SD: Standard deviation; </w:t>
                      </w:r>
                      <w:proofErr w:type="spellStart"/>
                      <w:r w:rsidRPr="000F3ABF">
                        <w:rPr>
                          <w:rFonts w:ascii="Book Antiqua" w:hAnsi="Book Antiqua" w:cs="Book Antiqua"/>
                          <w:bCs/>
                          <w:color w:val="000000"/>
                          <w:kern w:val="0"/>
                          <w:sz w:val="14"/>
                          <w:szCs w:val="14"/>
                        </w:rPr>
                        <w:t>VPZ</w:t>
                      </w:r>
                      <w:proofErr w:type="spellEnd"/>
                      <w:r w:rsidRPr="000F3ABF">
                        <w:rPr>
                          <w:rFonts w:ascii="Book Antiqua" w:hAnsi="Book Antiqua" w:cs="Book Antiqua"/>
                          <w:bCs/>
                          <w:color w:val="000000"/>
                          <w:kern w:val="0"/>
                          <w:sz w:val="14"/>
                          <w:szCs w:val="14"/>
                        </w:rPr>
                        <w:t xml:space="preserve">: </w:t>
                      </w:r>
                      <w:proofErr w:type="spellStart"/>
                      <w:r w:rsidRPr="000F3ABF">
                        <w:rPr>
                          <w:rFonts w:ascii="Book Antiqua" w:hAnsi="Book Antiqua" w:cs="Book Antiqua"/>
                          <w:bCs/>
                          <w:color w:val="000000"/>
                          <w:kern w:val="0"/>
                          <w:sz w:val="14"/>
                          <w:szCs w:val="14"/>
                        </w:rPr>
                        <w:t>Vonoprazan</w:t>
                      </w:r>
                      <w:proofErr w:type="spellEnd"/>
                      <w:r w:rsidRPr="000F3ABF">
                        <w:rPr>
                          <w:rFonts w:ascii="Book Antiqua" w:hAnsi="Book Antiqua" w:cs="Book Antiqua"/>
                          <w:bCs/>
                          <w:color w:val="000000"/>
                          <w:kern w:val="0"/>
                          <w:sz w:val="14"/>
                          <w:szCs w:val="14"/>
                        </w:rPr>
                        <w:t>.</w:t>
                      </w:r>
                    </w:p>
                  </w:txbxContent>
                </v:textbox>
                <w10:wrap type="square"/>
              </v:shape>
            </w:pict>
          </mc:Fallback>
        </mc:AlternateContent>
      </w:r>
    </w:p>
    <w:p w:rsidR="008F3BB2" w:rsidRPr="008F3BB2" w:rsidRDefault="008F3BB2" w:rsidP="00B657F9"/>
    <w:sectPr w:rsidR="008F3BB2" w:rsidRPr="008F3BB2"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CFC" w:rsidRDefault="00153CFC">
      <w:r>
        <w:separator/>
      </w:r>
    </w:p>
  </w:endnote>
  <w:endnote w:type="continuationSeparator" w:id="0">
    <w:p w:rsidR="00153CFC" w:rsidRDefault="00153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KozMinPro-Regular">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8F3BB2">
          <w:rPr>
            <w:noProof/>
          </w:rPr>
          <w:t>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CFC" w:rsidRDefault="00153CFC">
      <w:r>
        <w:separator/>
      </w:r>
    </w:p>
  </w:footnote>
  <w:footnote w:type="continuationSeparator" w:id="0">
    <w:p w:rsidR="00153CFC" w:rsidRDefault="00153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3CFC"/>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37C50"/>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3BB2"/>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8F3BB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8F3BB2"/>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8F3BB2"/>
    <w:pPr>
      <w:suppressAutoHyphens/>
      <w:spacing w:line="210" w:lineRule="atLeast"/>
    </w:pPr>
    <w:rPr>
      <w:rFonts w:ascii="Times New Roman" w:hAnsi="Times New Roman" w:cs="Times New Roman"/>
      <w:spacing w:val="-2"/>
      <w:sz w:val="18"/>
      <w:szCs w:val="18"/>
      <w:lang w:val="en-US"/>
    </w:rPr>
  </w:style>
  <w:style w:type="paragraph" w:customStyle="1" w:styleId="af7">
    <w:name w:val="晛"/>
    <w:basedOn w:val="a"/>
    <w:rsid w:val="008F3BB2"/>
    <w:pPr>
      <w:suppressAutoHyphens/>
      <w:autoSpaceDE w:val="0"/>
      <w:autoSpaceDN w:val="0"/>
      <w:adjustRightInd w:val="0"/>
      <w:spacing w:before="100" w:after="100" w:line="200" w:lineRule="atLeast"/>
      <w:jc w:val="left"/>
      <w:textAlignment w:val="baseline"/>
    </w:pPr>
    <w:rPr>
      <w:color w:val="000000"/>
      <w:kern w:val="0"/>
      <w:sz w:val="24"/>
      <w:szCs w:val="24"/>
      <w:lang w:val="zh-CN"/>
    </w:rPr>
  </w:style>
  <w:style w:type="paragraph" w:customStyle="1" w:styleId="af8">
    <w:name w:val="一级标题"/>
    <w:basedOn w:val="NormalParagraphStyle"/>
    <w:rsid w:val="008F3BB2"/>
    <w:pPr>
      <w:suppressAutoHyphens/>
      <w:spacing w:line="360" w:lineRule="atLeast"/>
      <w:jc w:val="left"/>
    </w:pPr>
    <w:rPr>
      <w:rFonts w:ascii="Univers" w:hAnsi="Univers" w:cs="Univers"/>
      <w:b/>
      <w:bCs/>
      <w:spacing w:val="-2"/>
    </w:rPr>
  </w:style>
  <w:style w:type="paragraph" w:customStyle="1" w:styleId="af9">
    <w:name w:val="惓暥暥_"/>
    <w:basedOn w:val="NormalParagraphStyle"/>
    <w:rsid w:val="008F3BB2"/>
    <w:pPr>
      <w:suppressAutoHyphens/>
    </w:pPr>
    <w:rPr>
      <w:rFonts w:ascii="Verdana" w:hAnsi="Verdana" w:cs="Verdana"/>
      <w:spacing w:val="-7"/>
      <w:sz w:val="18"/>
      <w:szCs w:val="18"/>
      <w:lang w:val="en-US"/>
    </w:rPr>
  </w:style>
  <w:style w:type="paragraph" w:customStyle="1" w:styleId="10">
    <w:name w:val="惓暥暥_1"/>
    <w:basedOn w:val="NormalParagraphStyle"/>
    <w:rsid w:val="008F3BB2"/>
    <w:pPr>
      <w:suppressAutoHyphens/>
      <w:ind w:firstLine="283"/>
    </w:pPr>
    <w:rPr>
      <w:rFonts w:ascii="Verdana" w:hAnsi="Verdana" w:cs="Verdana"/>
      <w:spacing w:val="-7"/>
      <w:sz w:val="18"/>
      <w:szCs w:val="18"/>
      <w:lang w:val="en-US"/>
    </w:rPr>
  </w:style>
  <w:style w:type="paragraph" w:customStyle="1" w:styleId="afa">
    <w:name w:val="二级标题"/>
    <w:basedOn w:val="a"/>
    <w:rsid w:val="008F3BB2"/>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8F3BB2"/>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8F3BB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b">
    <w:name w:val="参考文献正文"/>
    <w:basedOn w:val="a"/>
    <w:rsid w:val="008F3BB2"/>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8F3BB2"/>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rPr>
  </w:style>
  <w:style w:type="paragraph" w:customStyle="1" w:styleId="afc">
    <w:name w:val="表头"/>
    <w:basedOn w:val="NormalParagraphStyle"/>
    <w:rsid w:val="008F3BB2"/>
    <w:pPr>
      <w:suppressAutoHyphens/>
    </w:pPr>
    <w:rPr>
      <w:rFonts w:ascii="Albertus" w:hAnsi="Albertus" w:cs="Albertus"/>
      <w:b/>
      <w:bCs/>
      <w:sz w:val="14"/>
      <w:szCs w:val="14"/>
    </w:rPr>
  </w:style>
  <w:style w:type="paragraph" w:customStyle="1" w:styleId="afd">
    <w:name w:val="表格中文字"/>
    <w:basedOn w:val="a"/>
    <w:rsid w:val="008F3BB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e">
    <w:name w:val="表注"/>
    <w:basedOn w:val="afd"/>
    <w:rsid w:val="008F3BB2"/>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8F3BB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8F3BB2"/>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8F3BB2"/>
    <w:pPr>
      <w:suppressAutoHyphens/>
      <w:spacing w:line="210" w:lineRule="atLeast"/>
    </w:pPr>
    <w:rPr>
      <w:rFonts w:ascii="Times New Roman" w:hAnsi="Times New Roman" w:cs="Times New Roman"/>
      <w:spacing w:val="-2"/>
      <w:sz w:val="18"/>
      <w:szCs w:val="18"/>
      <w:lang w:val="en-US"/>
    </w:rPr>
  </w:style>
  <w:style w:type="paragraph" w:customStyle="1" w:styleId="af7">
    <w:name w:val="晛"/>
    <w:basedOn w:val="a"/>
    <w:rsid w:val="008F3BB2"/>
    <w:pPr>
      <w:suppressAutoHyphens/>
      <w:autoSpaceDE w:val="0"/>
      <w:autoSpaceDN w:val="0"/>
      <w:adjustRightInd w:val="0"/>
      <w:spacing w:before="100" w:after="100" w:line="200" w:lineRule="atLeast"/>
      <w:jc w:val="left"/>
      <w:textAlignment w:val="baseline"/>
    </w:pPr>
    <w:rPr>
      <w:color w:val="000000"/>
      <w:kern w:val="0"/>
      <w:sz w:val="24"/>
      <w:szCs w:val="24"/>
      <w:lang w:val="zh-CN"/>
    </w:rPr>
  </w:style>
  <w:style w:type="paragraph" w:customStyle="1" w:styleId="af8">
    <w:name w:val="一级标题"/>
    <w:basedOn w:val="NormalParagraphStyle"/>
    <w:rsid w:val="008F3BB2"/>
    <w:pPr>
      <w:suppressAutoHyphens/>
      <w:spacing w:line="360" w:lineRule="atLeast"/>
      <w:jc w:val="left"/>
    </w:pPr>
    <w:rPr>
      <w:rFonts w:ascii="Univers" w:hAnsi="Univers" w:cs="Univers"/>
      <w:b/>
      <w:bCs/>
      <w:spacing w:val="-2"/>
    </w:rPr>
  </w:style>
  <w:style w:type="paragraph" w:customStyle="1" w:styleId="af9">
    <w:name w:val="惓暥暥_"/>
    <w:basedOn w:val="NormalParagraphStyle"/>
    <w:rsid w:val="008F3BB2"/>
    <w:pPr>
      <w:suppressAutoHyphens/>
    </w:pPr>
    <w:rPr>
      <w:rFonts w:ascii="Verdana" w:hAnsi="Verdana" w:cs="Verdana"/>
      <w:spacing w:val="-7"/>
      <w:sz w:val="18"/>
      <w:szCs w:val="18"/>
      <w:lang w:val="en-US"/>
    </w:rPr>
  </w:style>
  <w:style w:type="paragraph" w:customStyle="1" w:styleId="10">
    <w:name w:val="惓暥暥_1"/>
    <w:basedOn w:val="NormalParagraphStyle"/>
    <w:rsid w:val="008F3BB2"/>
    <w:pPr>
      <w:suppressAutoHyphens/>
      <w:ind w:firstLine="283"/>
    </w:pPr>
    <w:rPr>
      <w:rFonts w:ascii="Verdana" w:hAnsi="Verdana" w:cs="Verdana"/>
      <w:spacing w:val="-7"/>
      <w:sz w:val="18"/>
      <w:szCs w:val="18"/>
      <w:lang w:val="en-US"/>
    </w:rPr>
  </w:style>
  <w:style w:type="paragraph" w:customStyle="1" w:styleId="afa">
    <w:name w:val="二级标题"/>
    <w:basedOn w:val="a"/>
    <w:rsid w:val="008F3BB2"/>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8F3BB2"/>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8F3BB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b">
    <w:name w:val="参考文献正文"/>
    <w:basedOn w:val="a"/>
    <w:rsid w:val="008F3BB2"/>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8F3BB2"/>
    <w:pPr>
      <w:widowControl w:val="0"/>
      <w:autoSpaceDE w:val="0"/>
      <w:autoSpaceDN w:val="0"/>
      <w:adjustRightInd w:val="0"/>
      <w:spacing w:line="288" w:lineRule="auto"/>
      <w:jc w:val="both"/>
      <w:textAlignment w:val="center"/>
    </w:pPr>
    <w:rPr>
      <w:rFonts w:ascii="宋体" w:hAnsi="Albertus Bold Italic" w:cs="宋体"/>
      <w:color w:val="000000"/>
      <w:sz w:val="24"/>
      <w:szCs w:val="24"/>
      <w:lang w:val="zh-CN"/>
    </w:rPr>
  </w:style>
  <w:style w:type="paragraph" w:customStyle="1" w:styleId="afc">
    <w:name w:val="表头"/>
    <w:basedOn w:val="NormalParagraphStyle"/>
    <w:rsid w:val="008F3BB2"/>
    <w:pPr>
      <w:suppressAutoHyphens/>
    </w:pPr>
    <w:rPr>
      <w:rFonts w:ascii="Albertus" w:hAnsi="Albertus" w:cs="Albertus"/>
      <w:b/>
      <w:bCs/>
      <w:sz w:val="14"/>
      <w:szCs w:val="14"/>
    </w:rPr>
  </w:style>
  <w:style w:type="paragraph" w:customStyle="1" w:styleId="afd">
    <w:name w:val="表格中文字"/>
    <w:basedOn w:val="a"/>
    <w:rsid w:val="008F3BB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e">
    <w:name w:val="表注"/>
    <w:basedOn w:val="afd"/>
    <w:rsid w:val="008F3BB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2E030-689A-4854-9BF7-28BE1969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26</Pages>
  <Words>7498</Words>
  <Characters>42744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2018-04-11T07:38:00Z</dcterms:modified>
</cp:coreProperties>
</file>