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A91918" w:rsidRDefault="003B099A">
            <w:pPr>
              <w:spacing w:line="360" w:lineRule="auto"/>
              <w:rPr>
                <w:rFonts w:ascii="Book Antiqua" w:hAnsi="Book Antiqua"/>
                <w:color w:val="000000"/>
                <w:sz w:val="24"/>
                <w:szCs w:val="24"/>
              </w:rPr>
            </w:pPr>
            <w:r>
              <w:rPr>
                <w:rFonts w:ascii="Book Antiqua" w:hAnsi="Book Antiqua"/>
                <w:color w:val="000000"/>
                <w:sz w:val="24"/>
                <w:szCs w:val="24"/>
              </w:rPr>
              <w:t>Nutrition status and Helicobacter pylori infection in patients receiving hemodialysis</w:t>
            </w:r>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A91918" w:rsidRDefault="003B099A">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Pr>
                <w:rFonts w:ascii="Book Antiqua" w:hAnsi="Book Antiqua" w:cs="Book Antiqua"/>
                <w:color w:val="000000"/>
                <w:sz w:val="24"/>
                <w:szCs w:val="24"/>
              </w:rPr>
              <w:t xml:space="preserve">Mitsushige Sugimoto, Hideo </w:t>
            </w:r>
            <w:r>
              <w:rPr>
                <w:rFonts w:ascii="Book Antiqua" w:hAnsi="Book Antiqua" w:cs="Book Antiqua"/>
                <w:color w:val="000000"/>
                <w:sz w:val="24"/>
                <w:szCs w:val="24"/>
              </w:rPr>
              <w:t>Yasuda and Akira Andoh</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A91918" w:rsidRDefault="003B099A">
            <w:pPr>
              <w:pStyle w:val="af4"/>
              <w:spacing w:line="360" w:lineRule="auto"/>
              <w:rPr>
                <w:rFonts w:ascii="Book Antiqua" w:hAnsi="Book Antiqua"/>
                <w:sz w:val="24"/>
                <w:szCs w:val="24"/>
                <w:lang w:val="zh-CN"/>
              </w:rPr>
            </w:pPr>
            <w:r w:rsidRPr="00013E1A">
              <w:rPr>
                <w:rFonts w:ascii="Book Antiqua" w:hAnsi="Book Antiqua"/>
                <w:sz w:val="24"/>
                <w:szCs w:val="24"/>
              </w:rPr>
              <w:t xml:space="preserve">Sugimoto M, Yasuda H, Andoh A. Nutrition status and Helicobacter pylori infection in patients receiving hemodialysis. </w:t>
            </w:r>
            <w:r>
              <w:rPr>
                <w:rFonts w:ascii="Book Antiqua" w:hAnsi="Book Antiqua"/>
                <w:sz w:val="24"/>
                <w:szCs w:val="24"/>
                <w:lang w:val="zh-CN"/>
              </w:rPr>
              <w:t>World J Gastroenterol 2018; 24(15): 1591-1600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A91918" w:rsidRDefault="003B099A">
            <w:pPr>
              <w:pStyle w:val="af3"/>
              <w:spacing w:line="360" w:lineRule="auto"/>
              <w:rPr>
                <w:rFonts w:ascii="Book Antiqua" w:hAnsi="Book Antiqua"/>
                <w:b w:val="0"/>
                <w:bCs w:val="0"/>
                <w:sz w:val="24"/>
                <w:szCs w:val="24"/>
                <w:lang w:val="en-US"/>
              </w:rPr>
            </w:pPr>
            <w:r w:rsidRPr="00013E1A">
              <w:rPr>
                <w:rFonts w:ascii="Book Antiqua" w:hAnsi="Book Antiqua"/>
                <w:b w:val="0"/>
                <w:sz w:val="24"/>
                <w:szCs w:val="24"/>
                <w:lang w:val="en-US"/>
              </w:rPr>
              <w:t>http://www.wjgnet.com/1007-9327/full/v24/i15/1591.htm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A91918" w:rsidRDefault="003B099A">
            <w:pPr>
              <w:pStyle w:val="af3"/>
              <w:spacing w:line="360" w:lineRule="auto"/>
              <w:rPr>
                <w:rFonts w:ascii="Book Antiqua" w:hAnsi="Book Antiqua"/>
                <w:b w:val="0"/>
                <w:bCs w:val="0"/>
                <w:sz w:val="24"/>
                <w:szCs w:val="24"/>
                <w:lang w:val="en-US"/>
              </w:rPr>
            </w:pPr>
            <w:r w:rsidRPr="00013E1A">
              <w:rPr>
                <w:rFonts w:ascii="Book Antiqua" w:hAnsi="Book Antiqua"/>
                <w:b w:val="0"/>
                <w:sz w:val="24"/>
                <w:szCs w:val="24"/>
                <w:lang w:val="en-US"/>
              </w:rPr>
              <w:t>http://dx.doi.org/10.3748/wjg.v24.i15.1591</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A91918" w:rsidRDefault="003B099A">
            <w:pPr>
              <w:pStyle w:val="ad"/>
              <w:spacing w:line="360" w:lineRule="auto"/>
              <w:rPr>
                <w:rFonts w:ascii="Book Antiqua" w:hAnsi="Book Antiqua"/>
                <w:color w:val="000000"/>
                <w:sz w:val="24"/>
                <w:szCs w:val="24"/>
                <w:lang w:val="zh-CN"/>
              </w:rPr>
            </w:pPr>
            <w:r w:rsidRPr="00013E1A">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w:t>
            </w:r>
            <w:r w:rsidRPr="00013E1A">
              <w:rPr>
                <w:rFonts w:ascii="Book Antiqua" w:hAnsi="Book Antiqua"/>
                <w:color w:val="000000"/>
                <w:sz w:val="24"/>
                <w:szCs w:val="24"/>
              </w:rPr>
              <w:t>n Non Commercial (CC BY-NC 4.0) license, which permits others to distribute, remix, adapt, build upon this work non-commercially, and license their derivative works on different terms, provided the original work is properly cited and the use is non-commerc</w:t>
            </w:r>
            <w:r w:rsidRPr="00013E1A">
              <w:rPr>
                <w:rFonts w:ascii="Book Antiqua" w:hAnsi="Book Antiqua"/>
                <w:color w:val="000000"/>
                <w:sz w:val="24"/>
                <w:szCs w:val="24"/>
              </w:rPr>
              <w:t xml:space="preserve">ial. </w:t>
            </w:r>
            <w:r>
              <w:rPr>
                <w:rFonts w:ascii="Book Antiqua" w:hAnsi="Book Antiqua"/>
                <w:color w:val="000000"/>
                <w:sz w:val="24"/>
                <w:szCs w:val="24"/>
                <w:lang w:val="zh-CN"/>
              </w:rPr>
              <w:t>See: http://creativecommons.org/licenses/by-nc/4.0/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A91918" w:rsidRDefault="003B099A">
            <w:pPr>
              <w:pStyle w:val="E-1"/>
              <w:spacing w:line="360" w:lineRule="auto"/>
              <w:rPr>
                <w:rFonts w:ascii="Book Antiqua" w:hAnsi="Book Antiqua"/>
                <w:bCs/>
                <w:sz w:val="24"/>
                <w:szCs w:val="24"/>
              </w:rPr>
            </w:pPr>
            <w:r>
              <w:rPr>
                <w:rFonts w:ascii="Book Antiqua" w:hAnsi="Book Antiqua"/>
                <w:sz w:val="24"/>
                <w:szCs w:val="24"/>
              </w:rPr>
              <w:t xml:space="preserve">Hemodialysis (HD) patients have a poor prognosis related in part to protein-energy wasting (PEW), associated with low levels of ghrelin. The severity of gastric mucosal atrophy has been </w:t>
            </w:r>
            <w:r>
              <w:rPr>
                <w:rFonts w:ascii="Book Antiqua" w:hAnsi="Book Antiqua"/>
                <w:sz w:val="24"/>
                <w:szCs w:val="24"/>
              </w:rPr>
              <w:t xml:space="preserve">suggested as the major determinant of ghrelin levels. </w:t>
            </w:r>
            <w:r>
              <w:rPr>
                <w:rFonts w:ascii="Book Antiqua" w:hAnsi="Book Antiqua"/>
                <w:sz w:val="24"/>
                <w:szCs w:val="24"/>
              </w:rPr>
              <w:lastRenderedPageBreak/>
              <w:t>Eradication of Helicobacter pylori (H. pylori) improves nutritional status, with serum cholinesterase and cholesterol levels stimulated by rising ghrelin levels and appetite, especially in H. pylori inf</w:t>
            </w:r>
            <w:r>
              <w:rPr>
                <w:rFonts w:ascii="Book Antiqua" w:hAnsi="Book Antiqua"/>
                <w:sz w:val="24"/>
                <w:szCs w:val="24"/>
              </w:rPr>
              <w:t xml:space="preserve">ection-positive patients with severe gastric mucosal atrophy. Although infection rates of H. pylori have been decreasing in HD patients, it would be preferable to eradicate H. pylori promptly before progression of gastric atrophy for prevention of gastric </w:t>
            </w:r>
            <w:r>
              <w:rPr>
                <w:rFonts w:ascii="Book Antiqua" w:hAnsi="Book Antiqua"/>
                <w:sz w:val="24"/>
                <w:szCs w:val="24"/>
              </w:rPr>
              <w:t>cancer and PEW.</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A91918" w:rsidRDefault="003B099A">
            <w:pPr>
              <w:pStyle w:val="E-1"/>
              <w:spacing w:line="360" w:lineRule="auto"/>
              <w:rPr>
                <w:rFonts w:ascii="Book Antiqua" w:hAnsi="Book Antiqua"/>
                <w:spacing w:val="-4"/>
                <w:sz w:val="24"/>
                <w:szCs w:val="24"/>
              </w:rPr>
            </w:pPr>
            <w:r>
              <w:rPr>
                <w:rFonts w:ascii="Book Antiqua" w:hAnsi="Book Antiqua"/>
                <w:sz w:val="24"/>
                <w:szCs w:val="24"/>
              </w:rPr>
              <w:t>Helicobacter pylori, Hemodialysis, Ghrelin, Gastric mucosa,  and Anti-bacterial agents</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A91918" w:rsidRDefault="003B099A">
            <w:pPr>
              <w:pStyle w:val="af3"/>
              <w:spacing w:line="360" w:lineRule="auto"/>
              <w:rPr>
                <w:rFonts w:ascii="Book Antiqua" w:hAnsi="Book Antiqua"/>
                <w:b w:val="0"/>
                <w:sz w:val="24"/>
                <w:szCs w:val="24"/>
                <w:lang w:val="en-US"/>
              </w:rPr>
            </w:pPr>
            <w:r>
              <w:rPr>
                <w:rFonts w:ascii="Book Antiqua" w:hAnsi="Book Antiqua"/>
                <w:b w:val="0"/>
                <w:sz w:val="24"/>
                <w:szCs w:val="24"/>
                <w:lang w:val="en-US"/>
              </w:rPr>
              <w:t>© The Author(s) 2018. Published by Baishideng Publishing Group Inc. 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A91918" w:rsidRDefault="003B099A">
            <w:pPr>
              <w:pStyle w:val="af3"/>
              <w:spacing w:line="360" w:lineRule="auto"/>
              <w:rPr>
                <w:rFonts w:ascii="Book Antiqua" w:hAnsi="Book Antiqua"/>
                <w:b w:val="0"/>
                <w:i/>
                <w:sz w:val="24"/>
                <w:szCs w:val="24"/>
                <w:lang w:val="en-US"/>
              </w:rPr>
            </w:pPr>
            <w:r>
              <w:rPr>
                <w:rFonts w:ascii="Book Antiqua" w:hAnsi="Book Antiqua"/>
                <w:b w:val="0"/>
                <w:sz w:val="24"/>
                <w:szCs w:val="24"/>
              </w:rPr>
              <w:t xml:space="preserve">World Journal of </w:t>
            </w:r>
            <w:r>
              <w:rPr>
                <w:rFonts w:ascii="Book Antiqua" w:hAnsi="Book Antiqua"/>
                <w:b w:val="0"/>
                <w:sz w:val="24"/>
                <w:szCs w:val="24"/>
              </w:rPr>
              <w:t>Gastroenterology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A91918" w:rsidRDefault="003B099A">
            <w:pPr>
              <w:pStyle w:val="af3"/>
              <w:spacing w:line="360" w:lineRule="auto"/>
              <w:rPr>
                <w:rFonts w:ascii="Book Antiqua" w:hAnsi="Book Antiqua"/>
                <w:b w:val="0"/>
                <w:sz w:val="24"/>
                <w:szCs w:val="24"/>
                <w:lang w:val="en-US"/>
              </w:rPr>
            </w:pPr>
            <w:r>
              <w:rPr>
                <w:rFonts w:ascii="Book Antiqua" w:hAnsi="Book Antiqua"/>
                <w:b w:val="0"/>
                <w:sz w:val="24"/>
                <w:szCs w:val="24"/>
              </w:rPr>
              <w:t>1007-9327</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A91918" w:rsidRDefault="003B099A">
            <w:pPr>
              <w:spacing w:line="360" w:lineRule="auto"/>
              <w:rPr>
                <w:rFonts w:ascii="Book Antiqua" w:hAnsi="Book Antiqua"/>
                <w:color w:val="000000"/>
                <w:sz w:val="24"/>
                <w:szCs w:val="24"/>
              </w:rPr>
            </w:pPr>
            <w:r>
              <w:rPr>
                <w:rFonts w:ascii="Book Antiqua" w:hAnsi="Book Antiqua"/>
                <w:color w:val="000000"/>
                <w:sz w:val="24"/>
                <w:szCs w:val="24"/>
              </w:rPr>
              <w:t>Baishideng Publishing Group Inc, 7901 Stoneridge Drive, Suite 501, 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A91918" w:rsidRDefault="003B099A">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Pr>
        <w:rPr>
          <w:rFonts w:hint="eastAsia"/>
        </w:rPr>
      </w:pPr>
    </w:p>
    <w:p w:rsidR="00013E1A" w:rsidRDefault="00013E1A" w:rsidP="00B657F9">
      <w:pPr>
        <w:rPr>
          <w:rFonts w:hint="eastAsia"/>
        </w:rPr>
      </w:pPr>
    </w:p>
    <w:p w:rsidR="00013E1A" w:rsidRDefault="00013E1A" w:rsidP="00B657F9">
      <w:pPr>
        <w:rPr>
          <w:rFonts w:hint="eastAsia"/>
        </w:rPr>
      </w:pPr>
    </w:p>
    <w:p w:rsidR="00013E1A" w:rsidRDefault="00013E1A" w:rsidP="00B657F9">
      <w:pPr>
        <w:rPr>
          <w:rFonts w:hint="eastAsia"/>
        </w:rPr>
      </w:pPr>
    </w:p>
    <w:p w:rsidR="00013E1A" w:rsidRDefault="00013E1A" w:rsidP="00B657F9">
      <w:pPr>
        <w:rPr>
          <w:rFonts w:hint="eastAsia"/>
        </w:rPr>
      </w:pPr>
    </w:p>
    <w:p w:rsidR="00013E1A" w:rsidRDefault="00013E1A" w:rsidP="00B657F9">
      <w:pPr>
        <w:rPr>
          <w:rFonts w:hint="eastAsia"/>
        </w:rPr>
      </w:pPr>
    </w:p>
    <w:p w:rsidR="00013E1A" w:rsidRDefault="00013E1A" w:rsidP="00B657F9">
      <w:pPr>
        <w:rPr>
          <w:rFonts w:hint="eastAsia"/>
        </w:rPr>
      </w:pPr>
    </w:p>
    <w:p w:rsidR="00013E1A" w:rsidRDefault="00013E1A" w:rsidP="00B657F9">
      <w:pPr>
        <w:rPr>
          <w:rFonts w:hint="eastAsia"/>
        </w:rPr>
      </w:pPr>
    </w:p>
    <w:p w:rsidR="00013E1A" w:rsidRDefault="00013E1A" w:rsidP="00B657F9">
      <w:pPr>
        <w:rPr>
          <w:rFonts w:hint="eastAsia"/>
        </w:rPr>
      </w:pPr>
    </w:p>
    <w:p w:rsidR="00013E1A" w:rsidRPr="003050C4" w:rsidRDefault="00013E1A" w:rsidP="00013E1A">
      <w:r>
        <w:lastRenderedPageBreak/>
        <w:t xml:space="preserve">Ms. wjg/20XX                                                    </w:t>
      </w:r>
      <w:r w:rsidRPr="003050C4">
        <w:t>REVIEW</w:t>
      </w:r>
    </w:p>
    <w:p w:rsidR="00013E1A" w:rsidRDefault="00013E1A" w:rsidP="00013E1A">
      <w:pPr>
        <w:rPr>
          <w:rFonts w:hint="eastAsia"/>
        </w:rPr>
      </w:pPr>
    </w:p>
    <w:p w:rsidR="00013E1A" w:rsidRPr="003050C4" w:rsidRDefault="00013E1A" w:rsidP="00013E1A">
      <w:pPr>
        <w:pStyle w:val="af3"/>
        <w:rPr>
          <w:lang w:val="en-US"/>
        </w:rPr>
      </w:pPr>
      <w:r w:rsidRPr="003050C4">
        <w:rPr>
          <w:lang w:val="en-US"/>
        </w:rPr>
        <w:t xml:space="preserve">Nutrition status and </w:t>
      </w:r>
      <w:r w:rsidRPr="003050C4">
        <w:rPr>
          <w:rFonts w:ascii="Tahoma Bold Italic" w:hAnsi="Tahoma Bold Italic" w:cs="Tahoma Bold Italic"/>
          <w:i/>
          <w:iCs/>
          <w:lang w:val="en-US"/>
        </w:rPr>
        <w:t>Helicobacter pylori</w:t>
      </w:r>
      <w:r w:rsidRPr="003050C4">
        <w:rPr>
          <w:lang w:val="en-US"/>
        </w:rPr>
        <w:t xml:space="preserve"> infection in patients receiving hemodialysis</w:t>
      </w:r>
    </w:p>
    <w:p w:rsidR="00013E1A" w:rsidRDefault="00013E1A" w:rsidP="00013E1A">
      <w:pPr>
        <w:rPr>
          <w:rFonts w:hint="eastAsia"/>
        </w:rPr>
      </w:pPr>
    </w:p>
    <w:p w:rsidR="00013E1A" w:rsidRPr="003050C4" w:rsidRDefault="00013E1A" w:rsidP="00013E1A">
      <w:pPr>
        <w:pStyle w:val="af5"/>
        <w:rPr>
          <w:lang w:val="en-US"/>
        </w:rPr>
      </w:pPr>
      <w:r w:rsidRPr="003050C4">
        <w:rPr>
          <w:lang w:val="en-US"/>
        </w:rPr>
        <w:t>Mitsushige Sugimoto, Hideo Yasuda, Akira Andoh</w:t>
      </w:r>
    </w:p>
    <w:p w:rsidR="00013E1A" w:rsidRDefault="00013E1A" w:rsidP="00013E1A">
      <w:pPr>
        <w:rPr>
          <w:rFonts w:hint="eastAsia"/>
        </w:rPr>
      </w:pPr>
    </w:p>
    <w:p w:rsidR="00013E1A" w:rsidRDefault="00013E1A" w:rsidP="00013E1A">
      <w:pPr>
        <w:pStyle w:val="af6"/>
        <w:rPr>
          <w:spacing w:val="-3"/>
        </w:rPr>
      </w:pPr>
      <w:r>
        <w:rPr>
          <w:rFonts w:ascii="Tahoma" w:hAnsi="Tahoma" w:cs="Tahoma"/>
          <w:spacing w:val="-3"/>
        </w:rPr>
        <w:t>Mitsushige Sugimoto,</w:t>
      </w:r>
      <w:r>
        <w:rPr>
          <w:spacing w:val="-3"/>
        </w:rPr>
        <w:t xml:space="preserve"> Division of Digestive Endoscopy, Shiga University of Medical Science Hospital,</w:t>
      </w:r>
      <w:r w:rsidRPr="003050C4">
        <w:rPr>
          <w:spacing w:val="-3"/>
        </w:rPr>
        <w:t xml:space="preserve"> </w:t>
      </w:r>
      <w:r>
        <w:rPr>
          <w:spacing w:val="-3"/>
        </w:rPr>
        <w:t>Shiga 520-2192, Japan</w:t>
      </w:r>
    </w:p>
    <w:p w:rsidR="00013E1A" w:rsidRDefault="00013E1A" w:rsidP="00013E1A">
      <w:pPr>
        <w:pStyle w:val="af6"/>
        <w:rPr>
          <w:spacing w:val="6"/>
        </w:rPr>
      </w:pPr>
      <w:r>
        <w:rPr>
          <w:rFonts w:ascii="Tahoma" w:hAnsi="Tahoma" w:cs="Tahoma"/>
          <w:spacing w:val="6"/>
        </w:rPr>
        <w:t>Hideo Yasuda,</w:t>
      </w:r>
      <w:r>
        <w:rPr>
          <w:spacing w:val="6"/>
        </w:rPr>
        <w:t xml:space="preserve"> </w:t>
      </w:r>
      <w:r>
        <w:t>First Department of Medicine, Hamamatsu University School of Medicine, Shizuoka 431-3192, Japan</w:t>
      </w:r>
    </w:p>
    <w:p w:rsidR="00013E1A" w:rsidRDefault="00013E1A" w:rsidP="00013E1A">
      <w:pPr>
        <w:pStyle w:val="af6"/>
        <w:rPr>
          <w:spacing w:val="-3"/>
        </w:rPr>
      </w:pPr>
      <w:r>
        <w:rPr>
          <w:rFonts w:ascii="Tahoma" w:hAnsi="Tahoma" w:cs="Tahoma"/>
          <w:spacing w:val="-3"/>
        </w:rPr>
        <w:t>Akira Andoh,</w:t>
      </w:r>
      <w:r>
        <w:rPr>
          <w:spacing w:val="-3"/>
        </w:rPr>
        <w:t xml:space="preserve"> Department of Gastroenterology, Shiga University of Medical Science Hospital, Shiga 520-2192, Japan</w:t>
      </w:r>
    </w:p>
    <w:p w:rsidR="00013E1A" w:rsidRDefault="00013E1A" w:rsidP="00013E1A">
      <w:pPr>
        <w:pStyle w:val="af6"/>
        <w:rPr>
          <w:spacing w:val="6"/>
        </w:rPr>
      </w:pPr>
      <w:r w:rsidRPr="003050C4">
        <w:rPr>
          <w:rFonts w:ascii="Tahoma" w:hAnsi="Tahoma" w:cs="Tahoma"/>
          <w:spacing w:val="0"/>
        </w:rPr>
        <w:t>Author contributions:</w:t>
      </w:r>
      <w:r>
        <w:rPr>
          <w:spacing w:val="6"/>
        </w:rPr>
        <w:t xml:space="preserve"> </w:t>
      </w:r>
      <w:r>
        <w:t xml:space="preserve">Sugimoto M, Yasuda H and Andoh A wrote the paper. </w:t>
      </w:r>
    </w:p>
    <w:p w:rsidR="00013E1A" w:rsidRDefault="00013E1A" w:rsidP="00013E1A">
      <w:pPr>
        <w:pStyle w:val="af6"/>
      </w:pPr>
      <w:r w:rsidRPr="003050C4">
        <w:rPr>
          <w:rFonts w:ascii="Tahoma" w:hAnsi="Tahoma" w:cs="Tahoma"/>
          <w:spacing w:val="0"/>
        </w:rPr>
        <w:t>Correspondence to:</w:t>
      </w:r>
      <w:r>
        <w:t xml:space="preserve"> </w:t>
      </w:r>
      <w:r>
        <w:rPr>
          <w:rFonts w:ascii="Tahoma" w:hAnsi="Tahoma" w:cs="Tahoma"/>
          <w:spacing w:val="-5"/>
        </w:rPr>
        <w:t>Mitsushige Sugimoto MD, PhD, Associate Professor</w:t>
      </w:r>
      <w:r w:rsidRPr="003050C4">
        <w:rPr>
          <w:rFonts w:ascii="Tahoma" w:hAnsi="Tahoma" w:cs="Tahoma"/>
          <w:spacing w:val="-5"/>
        </w:rPr>
        <w:t>,</w:t>
      </w:r>
      <w:r w:rsidRPr="003050C4">
        <w:t xml:space="preserve"> </w:t>
      </w:r>
      <w:r>
        <w:t>Division of Digestive Endoscopy, Shiga University of Medical Science Hospital, Seta Tsukinowa-cho, Shiga 520-2192, Japan. sugimo@belle.shiga-med.ac.jp</w:t>
      </w:r>
    </w:p>
    <w:p w:rsidR="00013E1A" w:rsidRPr="003050C4" w:rsidRDefault="00013E1A" w:rsidP="00013E1A">
      <w:pPr>
        <w:pStyle w:val="af6"/>
      </w:pPr>
      <w:r w:rsidRPr="003050C4">
        <w:rPr>
          <w:rFonts w:ascii="Tahoma" w:hAnsi="Tahoma" w:cs="Tahoma"/>
          <w:spacing w:val="0"/>
        </w:rPr>
        <w:t>Telephone:</w:t>
      </w:r>
      <w:r>
        <w:t xml:space="preserve"> +81-77-5482618</w:t>
      </w:r>
      <w:r>
        <w:rPr>
          <w:rFonts w:hint="eastAsia"/>
        </w:rPr>
        <w:t xml:space="preserve">   </w:t>
      </w:r>
      <w:r w:rsidRPr="003050C4">
        <w:rPr>
          <w:rFonts w:ascii="Tahoma" w:hAnsi="Tahoma" w:cs="Tahoma"/>
          <w:spacing w:val="0"/>
        </w:rPr>
        <w:t>Fax:</w:t>
      </w:r>
      <w:r>
        <w:t xml:space="preserve"> +81-77-5482618</w:t>
      </w:r>
    </w:p>
    <w:p w:rsidR="00013E1A" w:rsidRPr="003050C4" w:rsidRDefault="00013E1A" w:rsidP="00013E1A">
      <w:pPr>
        <w:pStyle w:val="af6"/>
      </w:pPr>
      <w:r>
        <w:rPr>
          <w:rFonts w:ascii="Tahoma" w:hAnsi="Tahoma" w:cs="Tahoma"/>
        </w:rPr>
        <w:t>Received:</w:t>
      </w:r>
      <w:r w:rsidRPr="003050C4">
        <w:t xml:space="preserve"> February 23, 2018</w:t>
      </w:r>
      <w:r>
        <w:rPr>
          <w:rFonts w:hint="eastAsia"/>
        </w:rPr>
        <w:t xml:space="preserve">   </w:t>
      </w:r>
      <w:r>
        <w:rPr>
          <w:rFonts w:ascii="Tahoma" w:hAnsi="Tahoma" w:cs="Tahoma"/>
        </w:rPr>
        <w:t>Revised:</w:t>
      </w:r>
      <w:r w:rsidRPr="003050C4">
        <w:t xml:space="preserve"> March 18, 2018</w:t>
      </w:r>
      <w:r>
        <w:rPr>
          <w:rFonts w:hint="eastAsia"/>
        </w:rPr>
        <w:t xml:space="preserve">   </w:t>
      </w:r>
      <w:r>
        <w:rPr>
          <w:rFonts w:ascii="Tahoma" w:hAnsi="Tahoma" w:cs="Tahoma"/>
        </w:rPr>
        <w:t>Accepted:</w:t>
      </w:r>
      <w:r>
        <w:t xml:space="preserve"> March 25, 2018</w:t>
      </w:r>
    </w:p>
    <w:p w:rsidR="00013E1A" w:rsidRPr="003050C4" w:rsidRDefault="00013E1A" w:rsidP="00013E1A">
      <w:pPr>
        <w:pStyle w:val="NormalParagraphStyle"/>
        <w:suppressAutoHyphens/>
        <w:rPr>
          <w:rFonts w:ascii="Times New Roman" w:hAnsi="Times New Roman" w:cs="Times New Roman"/>
          <w:sz w:val="18"/>
          <w:szCs w:val="18"/>
          <w:lang w:val="en-US"/>
        </w:rPr>
      </w:pPr>
      <w:r w:rsidRPr="003050C4">
        <w:rPr>
          <w:rFonts w:ascii="Tahoma" w:hAnsi="Tahoma" w:cs="Tahoma"/>
          <w:sz w:val="18"/>
          <w:szCs w:val="18"/>
          <w:lang w:val="en-US"/>
        </w:rPr>
        <w:t xml:space="preserve">Published online: </w:t>
      </w:r>
      <w:r w:rsidRPr="003050C4">
        <w:rPr>
          <w:rFonts w:ascii="Times New Roman" w:hAnsi="Times New Roman" w:cs="Times New Roman"/>
          <w:sz w:val="18"/>
          <w:szCs w:val="18"/>
          <w:lang w:val="en-US"/>
        </w:rPr>
        <w:t>April 21, 2018</w:t>
      </w:r>
    </w:p>
    <w:p w:rsidR="00013E1A" w:rsidRPr="003050C4" w:rsidRDefault="00013E1A" w:rsidP="00013E1A">
      <w:pPr>
        <w:pStyle w:val="NormalParagraphStyle"/>
        <w:rPr>
          <w:rFonts w:ascii="Century Gothic" w:hAnsi="Century Gothic" w:cs="Century Gothic"/>
          <w:b/>
          <w:bCs/>
          <w:spacing w:val="12"/>
          <w:lang w:val="en-US"/>
        </w:rPr>
      </w:pPr>
    </w:p>
    <w:p w:rsidR="00013E1A" w:rsidRPr="003050C4" w:rsidRDefault="00013E1A" w:rsidP="00013E1A">
      <w:pPr>
        <w:pStyle w:val="NormalParagraphStyle"/>
        <w:rPr>
          <w:rFonts w:ascii="Century Gothic" w:hAnsi="Century Gothic" w:cs="Century Gothic"/>
          <w:b/>
          <w:bCs/>
          <w:spacing w:val="12"/>
          <w:lang w:val="en-US"/>
        </w:rPr>
      </w:pPr>
    </w:p>
    <w:p w:rsidR="00013E1A" w:rsidRPr="003050C4" w:rsidRDefault="00013E1A" w:rsidP="00013E1A">
      <w:pPr>
        <w:pStyle w:val="NormalParagraphStyle"/>
        <w:rPr>
          <w:rFonts w:ascii="Century Gothic" w:hAnsi="Century Gothic" w:cs="Century Gothic"/>
          <w:b/>
          <w:bCs/>
          <w:spacing w:val="12"/>
          <w:lang w:val="en-US"/>
        </w:rPr>
      </w:pPr>
      <w:r w:rsidRPr="003050C4">
        <w:rPr>
          <w:rFonts w:ascii="Century Gothic" w:hAnsi="Century Gothic" w:cs="Century Gothic"/>
          <w:b/>
          <w:bCs/>
          <w:spacing w:val="12"/>
          <w:lang w:val="en-US"/>
        </w:rPr>
        <w:t>Abstract</w:t>
      </w:r>
    </w:p>
    <w:p w:rsidR="00013E1A" w:rsidRDefault="00013E1A" w:rsidP="00013E1A">
      <w:pPr>
        <w:pStyle w:val="E-1"/>
        <w:rPr>
          <w:spacing w:val="-2"/>
        </w:rPr>
      </w:pPr>
      <w:r>
        <w:rPr>
          <w:spacing w:val="-2"/>
        </w:rPr>
        <w:t xml:space="preserve">Chronic kidney disease (CKD) patients receiving hemodialysis (HD) often develop gastrointestinal abnormalities over their long treatment period. In general, prognosis in such patients is poor due to the development of protein-energy wasting (PEW). Therefore, it is important to clarify the etiology of PEW and to establish better strategies to deal with this condition. Chronic </w:t>
      </w:r>
      <w:r>
        <w:rPr>
          <w:rFonts w:ascii="Tahoma Italic" w:hAnsi="Tahoma Italic" w:cs="Tahoma Italic"/>
          <w:i/>
          <w:iCs/>
          <w:spacing w:val="-2"/>
        </w:rPr>
        <w:t>Helicobacter pylori</w:t>
      </w:r>
      <w:r w:rsidRPr="003050C4">
        <w:rPr>
          <w:rFonts w:ascii="Tahoma Italic" w:hAnsi="Tahoma Italic" w:cs="Tahoma Italic"/>
          <w:i/>
          <w:iCs/>
          <w:spacing w:val="-2"/>
        </w:rPr>
        <w:t xml:space="preserve"> </w:t>
      </w:r>
      <w:r w:rsidRPr="003050C4">
        <w:rPr>
          <w:spacing w:val="-2"/>
        </w:rPr>
        <w:t>(</w:t>
      </w:r>
      <w:r>
        <w:rPr>
          <w:rFonts w:ascii="Tahoma Italic" w:hAnsi="Tahoma Italic" w:cs="Tahoma Italic"/>
          <w:i/>
          <w:iCs/>
          <w:spacing w:val="-2"/>
        </w:rPr>
        <w:t>H. pylori</w:t>
      </w:r>
      <w:r w:rsidRPr="003050C4">
        <w:rPr>
          <w:spacing w:val="-2"/>
        </w:rPr>
        <w:t>)</w:t>
      </w:r>
      <w:r>
        <w:rPr>
          <w:spacing w:val="-2"/>
        </w:rPr>
        <w:t xml:space="preserve"> infection in the gastric mucosa has a close association with not only the development of peptic ulcer disease and gastric cancer, but is also associated with abnormal plasma and gastric mucosal ghrelin levels that are seen in malnutrition. It is unclear whether </w:t>
      </w:r>
      <w:r>
        <w:rPr>
          <w:rFonts w:ascii="Tahoma Italic" w:hAnsi="Tahoma Italic" w:cs="Tahoma Italic"/>
          <w:i/>
          <w:iCs/>
          <w:spacing w:val="-2"/>
        </w:rPr>
        <w:t>H. pylori</w:t>
      </w:r>
      <w:r>
        <w:rPr>
          <w:spacing w:val="-2"/>
        </w:rPr>
        <w:t xml:space="preserve"> infection of the gastric mucosa is directly associated with prognosis in HD patients by affecting ghrelin levels. Recent studies show that the prevalence of </w:t>
      </w:r>
      <w:r>
        <w:rPr>
          <w:rFonts w:ascii="Tahoma Italic" w:hAnsi="Tahoma Italic" w:cs="Tahoma Italic"/>
          <w:i/>
          <w:iCs/>
          <w:spacing w:val="-2"/>
        </w:rPr>
        <w:t xml:space="preserve">H. pylori </w:t>
      </w:r>
      <w:r>
        <w:rPr>
          <w:spacing w:val="-2"/>
        </w:rPr>
        <w:t xml:space="preserve">infection in HD patients is significantly lower than in subjects with normal renal function. In the natural history of </w:t>
      </w:r>
      <w:r>
        <w:rPr>
          <w:rFonts w:ascii="Tahoma Italic" w:hAnsi="Tahoma Italic" w:cs="Tahoma Italic"/>
          <w:i/>
          <w:iCs/>
          <w:spacing w:val="-2"/>
        </w:rPr>
        <w:t>H. pylori</w:t>
      </w:r>
      <w:r>
        <w:rPr>
          <w:spacing w:val="-2"/>
        </w:rPr>
        <w:t xml:space="preserve"> infection in HD patients, the prevalence of infection decreases as the length of time on HD increases. The severity of gastric mucosal atrophy has been suggested as the major determinant of ghrelin levels in these patients, and eradication therapy of </w:t>
      </w:r>
      <w:r>
        <w:rPr>
          <w:rFonts w:ascii="Tahoma Italic" w:hAnsi="Tahoma Italic" w:cs="Tahoma Italic"/>
          <w:i/>
          <w:iCs/>
          <w:spacing w:val="-2"/>
        </w:rPr>
        <w:t>H. pylori</w:t>
      </w:r>
      <w:r>
        <w:rPr>
          <w:spacing w:val="-2"/>
        </w:rPr>
        <w:t xml:space="preserve"> improves nutritional status by increasing serum cholinesterase and cholesterol levels, especially in patients with mild-to-moderate gastric mucosal atrophy. Prompt </w:t>
      </w:r>
      <w:r>
        <w:rPr>
          <w:rFonts w:ascii="Tahoma Italic" w:hAnsi="Tahoma Italic" w:cs="Tahoma Italic"/>
          <w:i/>
          <w:iCs/>
          <w:spacing w:val="-2"/>
        </w:rPr>
        <w:t>H. pylori</w:t>
      </w:r>
      <w:r>
        <w:rPr>
          <w:spacing w:val="-2"/>
        </w:rPr>
        <w:t xml:space="preserve"> eradication to inhibit the progress of gastric atrophy may be required to prevent this decrease in ghrelin levels and subsequent PEW and improve the prognosis of HD patients by improving their nutritional status. </w:t>
      </w:r>
    </w:p>
    <w:p w:rsidR="00013E1A" w:rsidRDefault="00013E1A" w:rsidP="00013E1A">
      <w:pPr>
        <w:pStyle w:val="E-1"/>
      </w:pPr>
    </w:p>
    <w:p w:rsidR="00013E1A" w:rsidRDefault="00013E1A" w:rsidP="00013E1A">
      <w:pPr>
        <w:pStyle w:val="E-1"/>
      </w:pPr>
      <w:r>
        <w:rPr>
          <w:rFonts w:ascii="Times New Roman" w:hAnsi="Times New Roman" w:cs="Times New Roman"/>
          <w:b/>
          <w:bCs/>
        </w:rPr>
        <w:t>Key words:</w:t>
      </w:r>
      <w:r>
        <w:t xml:space="preserve"> </w:t>
      </w:r>
      <w:r>
        <w:rPr>
          <w:rFonts w:ascii="Tahoma Italic" w:hAnsi="Tahoma Italic" w:cs="Tahoma Italic"/>
          <w:i/>
          <w:iCs/>
        </w:rPr>
        <w:t>Helicobacter pylori</w:t>
      </w:r>
      <w:r>
        <w:t>; Hemodialysis; Ghrelin; Gastric mucosa; Anti-bacterial agents</w:t>
      </w:r>
    </w:p>
    <w:p w:rsidR="00013E1A" w:rsidRDefault="00013E1A" w:rsidP="00013E1A">
      <w:pPr>
        <w:pStyle w:val="E-1"/>
      </w:pPr>
    </w:p>
    <w:p w:rsidR="00013E1A" w:rsidRDefault="00013E1A" w:rsidP="00013E1A">
      <w:pPr>
        <w:pStyle w:val="af4"/>
      </w:pPr>
      <w:r>
        <w:lastRenderedPageBreak/>
        <w:t xml:space="preserve">Sugimoto M, Yasuda H, Andoh A. Nutrition status and </w:t>
      </w:r>
      <w:r>
        <w:rPr>
          <w:i/>
          <w:iCs/>
        </w:rPr>
        <w:t>Helicobacter pylori</w:t>
      </w:r>
      <w:r>
        <w:t xml:space="preserve"> infection in patients receiving hemodialysis. </w:t>
      </w:r>
      <w:r>
        <w:rPr>
          <w:i/>
          <w:iCs/>
        </w:rPr>
        <w:t>World J Gastroenterol</w:t>
      </w:r>
      <w:r>
        <w:t xml:space="preserve"> 2018; 24(15): 1591-1600  Available from: URL: http://www.wjgnet.com/1007-9327/full/v24/i15/1591.htm  DOI: http://dx.doi.org/10.3748/wjg.v24.i15.1591</w:t>
      </w:r>
    </w:p>
    <w:p w:rsidR="00013E1A" w:rsidRPr="003050C4" w:rsidRDefault="00013E1A" w:rsidP="00013E1A">
      <w:pPr>
        <w:pStyle w:val="E-1"/>
      </w:pPr>
    </w:p>
    <w:p w:rsidR="00013E1A" w:rsidRDefault="00013E1A" w:rsidP="00013E1A">
      <w:pPr>
        <w:pStyle w:val="E-1"/>
        <w:rPr>
          <w:b/>
          <w:bCs/>
        </w:rPr>
      </w:pPr>
      <w:r>
        <w:rPr>
          <w:rFonts w:ascii="Times New Roman" w:hAnsi="Times New Roman" w:cs="Times New Roman"/>
          <w:b/>
          <w:bCs/>
          <w:spacing w:val="-3"/>
        </w:rPr>
        <w:t>Core tip:</w:t>
      </w:r>
      <w:r>
        <w:rPr>
          <w:b/>
          <w:bCs/>
        </w:rPr>
        <w:t xml:space="preserve"> </w:t>
      </w:r>
      <w:r>
        <w:t xml:space="preserve">Hemodialysis (HD) patients have a poor prognosis related in part to protein-energy wasting (PEW), associated with low levels of ghrelin. The severity of gastric mucosal atrophy has been suggested as the major determinant of ghrelin levels. Eradication of </w:t>
      </w:r>
      <w:r>
        <w:rPr>
          <w:rFonts w:ascii="Tahoma Italic" w:hAnsi="Tahoma Italic" w:cs="Tahoma Italic"/>
          <w:i/>
          <w:iCs/>
        </w:rPr>
        <w:t xml:space="preserve">Helicobacter pylori </w:t>
      </w:r>
      <w:r>
        <w:t>(</w:t>
      </w:r>
      <w:r>
        <w:rPr>
          <w:rFonts w:ascii="Tahoma Italic" w:hAnsi="Tahoma Italic" w:cs="Tahoma Italic"/>
          <w:i/>
          <w:iCs/>
        </w:rPr>
        <w:t>H. pylori</w:t>
      </w:r>
      <w:r>
        <w:t xml:space="preserve">) improves nutritional status, with serum cholinesterase and cholesterol levels stimulated by rising ghrelin levels and appetite, especially in </w:t>
      </w:r>
      <w:r>
        <w:rPr>
          <w:rFonts w:ascii="Tahoma Italic" w:hAnsi="Tahoma Italic" w:cs="Tahoma Italic"/>
          <w:i/>
          <w:iCs/>
        </w:rPr>
        <w:t xml:space="preserve">H. pylori </w:t>
      </w:r>
      <w:r>
        <w:t xml:space="preserve">infection-positive patients with severe gastric mucosal atrophy. Although infection rates of </w:t>
      </w:r>
      <w:r>
        <w:rPr>
          <w:rFonts w:ascii="Tahoma Italic" w:hAnsi="Tahoma Italic" w:cs="Tahoma Italic"/>
          <w:i/>
          <w:iCs/>
        </w:rPr>
        <w:t>H. pylori</w:t>
      </w:r>
      <w:r>
        <w:t xml:space="preserve"> have been decreasing in HD patients, it would be preferable to eradicate </w:t>
      </w:r>
      <w:r>
        <w:rPr>
          <w:rFonts w:ascii="Tahoma Italic" w:hAnsi="Tahoma Italic" w:cs="Tahoma Italic"/>
          <w:i/>
          <w:iCs/>
        </w:rPr>
        <w:t>H. pylori</w:t>
      </w:r>
      <w:r>
        <w:t xml:space="preserve"> promptly before progression of gastric atrophy for prevention of gastric cancer and PEW.</w:t>
      </w:r>
    </w:p>
    <w:p w:rsidR="00013E1A" w:rsidRDefault="00013E1A" w:rsidP="00013E1A">
      <w:pPr>
        <w:pStyle w:val="af4"/>
      </w:pPr>
    </w:p>
    <w:p w:rsidR="00013E1A" w:rsidRDefault="00013E1A" w:rsidP="00013E1A">
      <w:pPr>
        <w:pStyle w:val="af4"/>
      </w:pPr>
    </w:p>
    <w:p w:rsidR="00013E1A" w:rsidRPr="003050C4" w:rsidRDefault="00013E1A" w:rsidP="00013E1A">
      <w:pPr>
        <w:pStyle w:val="af7"/>
        <w:ind w:left="5250"/>
        <w:rPr>
          <w:lang w:val="en-US"/>
        </w:rPr>
      </w:pPr>
    </w:p>
    <w:p w:rsidR="00013E1A" w:rsidRPr="003050C4" w:rsidRDefault="00013E1A" w:rsidP="00013E1A">
      <w:pPr>
        <w:pStyle w:val="af7"/>
        <w:ind w:left="5250"/>
        <w:rPr>
          <w:lang w:val="en-US"/>
        </w:rPr>
      </w:pPr>
    </w:p>
    <w:p w:rsidR="00013E1A" w:rsidRPr="003050C4" w:rsidRDefault="00013E1A" w:rsidP="00013E1A">
      <w:pPr>
        <w:pStyle w:val="af7"/>
        <w:ind w:left="5250"/>
        <w:rPr>
          <w:u w:val="single"/>
          <w:lang w:val="en-US"/>
        </w:rPr>
      </w:pPr>
      <w:r w:rsidRPr="003050C4">
        <w:rPr>
          <w:u w:val="single"/>
          <w:lang w:val="en-US"/>
        </w:rPr>
        <w:t>INTRODUCTION</w:t>
      </w:r>
    </w:p>
    <w:p w:rsidR="00013E1A" w:rsidRDefault="00013E1A" w:rsidP="00013E1A">
      <w:pPr>
        <w:pStyle w:val="af8"/>
        <w:rPr>
          <w:spacing w:val="-10"/>
        </w:rPr>
      </w:pPr>
      <w:r>
        <w:rPr>
          <w:spacing w:val="-10"/>
        </w:rPr>
        <w:t>With ongoing progress in medical and dialysis machine techniques, the number of chronic renal failure patients receiving hemodialysis (HD) is increasing at a rate of 7% per year. At least 2.9 million Asians require dialysis, including Japanese, who live in an aging society and experience changes in their living environment</w:t>
      </w:r>
      <w:r>
        <w:rPr>
          <w:spacing w:val="-10"/>
          <w:vertAlign w:val="superscript"/>
        </w:rPr>
        <w:t>[1,2]</w:t>
      </w:r>
      <w:r>
        <w:rPr>
          <w:spacing w:val="-10"/>
        </w:rPr>
        <w:t>. HD patients often experience gastrointestinal symptoms (</w:t>
      </w:r>
      <w:r>
        <w:rPr>
          <w:i/>
          <w:iCs/>
          <w:spacing w:val="-10"/>
        </w:rPr>
        <w:t>e.g.</w:t>
      </w:r>
      <w:r>
        <w:rPr>
          <w:spacing w:val="-10"/>
        </w:rPr>
        <w:t>, nausea, abdominal pain, and constipation) caused by elevated urea levels, decreased gastrointestinal motility, amyloid protein deposition, and sensory dis</w:t>
      </w:r>
      <w:r>
        <w:rPr>
          <w:spacing w:val="-10"/>
        </w:rPr>
        <w:softHyphen/>
        <w:t>turbances, and are at increased risk of developing gastrointestinal diseases (</w:t>
      </w:r>
      <w:r>
        <w:rPr>
          <w:i/>
          <w:iCs/>
          <w:spacing w:val="-10"/>
        </w:rPr>
        <w:t>e.g.</w:t>
      </w:r>
      <w:r>
        <w:rPr>
          <w:spacing w:val="-10"/>
        </w:rPr>
        <w:t>, peptic ulcer disease, gastric antral vascular ectasia, gastroesophageal reflux disease, and gastric cancer)</w:t>
      </w:r>
      <w:r>
        <w:rPr>
          <w:spacing w:val="-10"/>
          <w:vertAlign w:val="superscript"/>
        </w:rPr>
        <w:t>[3-7]</w:t>
      </w:r>
      <w:r>
        <w:rPr>
          <w:spacing w:val="-10"/>
        </w:rPr>
        <w:t>. The risk of gastric mucosal damage is elevated in this population, in association with high ammonia levels</w:t>
      </w:r>
      <w:r>
        <w:rPr>
          <w:spacing w:val="-10"/>
          <w:vertAlign w:val="superscript"/>
        </w:rPr>
        <w:t>[8]</w:t>
      </w:r>
      <w:r>
        <w:rPr>
          <w:spacing w:val="-10"/>
        </w:rPr>
        <w:t>, systemic and/or local chronic circulatory failure</w:t>
      </w:r>
      <w:r>
        <w:rPr>
          <w:spacing w:val="-10"/>
          <w:vertAlign w:val="superscript"/>
        </w:rPr>
        <w:t>[9,10]</w:t>
      </w:r>
      <w:r>
        <w:rPr>
          <w:spacing w:val="-10"/>
        </w:rPr>
        <w:t>, and hyperga</w:t>
      </w:r>
      <w:r>
        <w:rPr>
          <w:spacing w:val="-10"/>
        </w:rPr>
        <w:softHyphen/>
        <w:t>strinemia</w:t>
      </w:r>
      <w:r>
        <w:rPr>
          <w:spacing w:val="-10"/>
          <w:vertAlign w:val="superscript"/>
        </w:rPr>
        <w:t>[11]</w:t>
      </w:r>
      <w:r>
        <w:rPr>
          <w:spacing w:val="-10"/>
        </w:rPr>
        <w:t xml:space="preserve">. Gastroduodenal diseases such as peptic ulcer and gastric cancer have been linked to chronic </w:t>
      </w:r>
      <w:r>
        <w:rPr>
          <w:i/>
          <w:iCs/>
          <w:spacing w:val="-10"/>
        </w:rPr>
        <w:t>Helicobacter pylori</w:t>
      </w:r>
      <w:r>
        <w:rPr>
          <w:spacing w:val="-10"/>
        </w:rPr>
        <w:t xml:space="preserve"> </w:t>
      </w:r>
      <w:r w:rsidRPr="003050C4">
        <w:rPr>
          <w:spacing w:val="-10"/>
        </w:rPr>
        <w:t>(</w:t>
      </w:r>
      <w:r>
        <w:rPr>
          <w:i/>
          <w:iCs/>
          <w:spacing w:val="-10"/>
        </w:rPr>
        <w:t>H. pylori</w:t>
      </w:r>
      <w:r w:rsidRPr="003050C4">
        <w:rPr>
          <w:spacing w:val="-10"/>
        </w:rPr>
        <w:t xml:space="preserve">) </w:t>
      </w:r>
      <w:r>
        <w:rPr>
          <w:spacing w:val="-10"/>
        </w:rPr>
        <w:t>infection</w:t>
      </w:r>
      <w:r>
        <w:rPr>
          <w:spacing w:val="-10"/>
          <w:vertAlign w:val="superscript"/>
        </w:rPr>
        <w:t>[12-15]</w:t>
      </w:r>
      <w:r>
        <w:rPr>
          <w:spacing w:val="-10"/>
        </w:rPr>
        <w:t xml:space="preserve">. In HD patients, the role of chronic </w:t>
      </w:r>
      <w:r>
        <w:rPr>
          <w:i/>
          <w:iCs/>
          <w:spacing w:val="-10"/>
        </w:rPr>
        <w:t xml:space="preserve">H. pylori </w:t>
      </w:r>
      <w:r>
        <w:rPr>
          <w:spacing w:val="-10"/>
        </w:rPr>
        <w:t xml:space="preserve">infection in their prognosis and quality of life (QOL) has not been defined. </w:t>
      </w:r>
    </w:p>
    <w:p w:rsidR="00013E1A" w:rsidRDefault="00013E1A" w:rsidP="00013E1A">
      <w:pPr>
        <w:pStyle w:val="10"/>
      </w:pPr>
      <w:r>
        <w:t>In general, QOL in HD patients is poor. This affects their nutritional status, and thereby contributes to the development of malnutrition, which is a potent predictor of morbidity and mortality</w:t>
      </w:r>
      <w:r>
        <w:rPr>
          <w:vertAlign w:val="superscript"/>
        </w:rPr>
        <w:t>[16,17]</w:t>
      </w:r>
      <w:r>
        <w:t>. The state of metabolic and nutritional derangement called protein-energy wasting (PEW) has a major impact on mortality in HD patients</w:t>
      </w:r>
      <w:r>
        <w:rPr>
          <w:vertAlign w:val="superscript"/>
        </w:rPr>
        <w:t>[16,17]</w:t>
      </w:r>
      <w:r>
        <w:t>. Improving the prognosis of HD patients with PEW requires determination of its etiology and the development of prophylactic strategies</w:t>
      </w:r>
      <w:r>
        <w:rPr>
          <w:vertAlign w:val="superscript"/>
        </w:rPr>
        <w:t>[18,19]</w:t>
      </w:r>
      <w:r>
        <w:t>.</w:t>
      </w:r>
    </w:p>
    <w:p w:rsidR="00013E1A" w:rsidRDefault="00013E1A" w:rsidP="00013E1A">
      <w:pPr>
        <w:pStyle w:val="10"/>
        <w:rPr>
          <w:spacing w:val="-9"/>
        </w:rPr>
      </w:pPr>
      <w:r>
        <w:rPr>
          <w:spacing w:val="-9"/>
        </w:rPr>
        <w:t xml:space="preserve">The complex interactions of gastroduodenal disease, nutritional status, and </w:t>
      </w:r>
      <w:r>
        <w:rPr>
          <w:i/>
          <w:iCs/>
          <w:spacing w:val="-9"/>
        </w:rPr>
        <w:t>H. pylori</w:t>
      </w:r>
      <w:r>
        <w:rPr>
          <w:spacing w:val="-9"/>
        </w:rPr>
        <w:t xml:space="preserve"> infection in HD patients (which tends to decrease with increasing time on dialysis</w:t>
      </w:r>
      <w:r>
        <w:rPr>
          <w:spacing w:val="-9"/>
          <w:vertAlign w:val="superscript"/>
        </w:rPr>
        <w:t>[20]</w:t>
      </w:r>
      <w:r>
        <w:rPr>
          <w:spacing w:val="-9"/>
        </w:rPr>
        <w:t xml:space="preserve">) remain to be elucidated. Here, we review the association </w:t>
      </w:r>
      <w:r>
        <w:rPr>
          <w:spacing w:val="-9"/>
        </w:rPr>
        <w:lastRenderedPageBreak/>
        <w:t xml:space="preserve">between </w:t>
      </w:r>
      <w:r>
        <w:rPr>
          <w:i/>
          <w:iCs/>
          <w:spacing w:val="-9"/>
        </w:rPr>
        <w:t>H. pylori</w:t>
      </w:r>
      <w:r>
        <w:rPr>
          <w:spacing w:val="-9"/>
        </w:rPr>
        <w:t xml:space="preserve"> infection and HD, and the relationship between </w:t>
      </w:r>
      <w:r>
        <w:rPr>
          <w:i/>
          <w:iCs/>
          <w:spacing w:val="-9"/>
        </w:rPr>
        <w:t>H. pylori</w:t>
      </w:r>
      <w:r>
        <w:rPr>
          <w:spacing w:val="-9"/>
        </w:rPr>
        <w:t xml:space="preserve"> and nutritional status in this population. Finally, we review the effects of </w:t>
      </w:r>
      <w:r>
        <w:rPr>
          <w:i/>
          <w:iCs/>
          <w:spacing w:val="-9"/>
        </w:rPr>
        <w:t>H. pylori</w:t>
      </w:r>
      <w:r>
        <w:rPr>
          <w:spacing w:val="-9"/>
        </w:rPr>
        <w:t xml:space="preserve"> eradication therapy in </w:t>
      </w:r>
      <w:r>
        <w:rPr>
          <w:i/>
          <w:iCs/>
          <w:spacing w:val="-9"/>
        </w:rPr>
        <w:t>H. pylori</w:t>
      </w:r>
      <w:r>
        <w:rPr>
          <w:spacing w:val="-9"/>
        </w:rPr>
        <w:t xml:space="preserve">-positive HD patients on nutritional status and plasma ghrelin levels. </w:t>
      </w:r>
    </w:p>
    <w:p w:rsidR="00013E1A" w:rsidRPr="003050C4" w:rsidRDefault="00013E1A" w:rsidP="00013E1A">
      <w:pPr>
        <w:pStyle w:val="af7"/>
        <w:ind w:left="5250"/>
        <w:rPr>
          <w:lang w:val="en-US"/>
        </w:rPr>
      </w:pPr>
    </w:p>
    <w:p w:rsidR="00013E1A" w:rsidRPr="003050C4" w:rsidRDefault="00013E1A" w:rsidP="00013E1A">
      <w:pPr>
        <w:pStyle w:val="af7"/>
        <w:ind w:left="5250"/>
        <w:rPr>
          <w:u w:val="single"/>
          <w:lang w:val="en-US"/>
        </w:rPr>
      </w:pPr>
      <w:r w:rsidRPr="003050C4">
        <w:rPr>
          <w:i/>
          <w:iCs/>
          <w:caps/>
          <w:u w:val="single"/>
          <w:lang w:val="en-US"/>
        </w:rPr>
        <w:t>H. pylori</w:t>
      </w:r>
      <w:r w:rsidRPr="003050C4">
        <w:rPr>
          <w:caps/>
          <w:u w:val="single"/>
          <w:lang w:val="en-US"/>
        </w:rPr>
        <w:t xml:space="preserve"> </w:t>
      </w:r>
      <w:r w:rsidRPr="003050C4">
        <w:rPr>
          <w:u w:val="single"/>
          <w:lang w:val="en-US"/>
        </w:rPr>
        <w:t>INFECTION IN HD PATIENTS</w:t>
      </w:r>
    </w:p>
    <w:p w:rsidR="00013E1A" w:rsidRDefault="00013E1A" w:rsidP="00013E1A">
      <w:pPr>
        <w:pStyle w:val="af8"/>
        <w:rPr>
          <w:spacing w:val="-10"/>
        </w:rPr>
      </w:pPr>
      <w:r>
        <w:rPr>
          <w:i/>
          <w:iCs/>
          <w:spacing w:val="-10"/>
        </w:rPr>
        <w:t>H. pylori</w:t>
      </w:r>
      <w:r>
        <w:rPr>
          <w:spacing w:val="-10"/>
        </w:rPr>
        <w:t xml:space="preserve"> is a spiral-shaped, microaerophilic Gram-negative flagellate bacterium isolated in 1983 from gastric biopsy specimens of patients with chronic atrophic gastritis</w:t>
      </w:r>
      <w:r>
        <w:rPr>
          <w:spacing w:val="-10"/>
          <w:vertAlign w:val="superscript"/>
        </w:rPr>
        <w:t>[21]</w:t>
      </w:r>
      <w:r>
        <w:rPr>
          <w:spacing w:val="-10"/>
        </w:rPr>
        <w:t xml:space="preserve">. The gastric mucosa of approximately 50% of the world’s population is infected with </w:t>
      </w:r>
      <w:r>
        <w:rPr>
          <w:i/>
          <w:iCs/>
          <w:spacing w:val="-10"/>
        </w:rPr>
        <w:t>H. pylori</w:t>
      </w:r>
      <w:r>
        <w:rPr>
          <w:spacing w:val="-10"/>
        </w:rPr>
        <w:t>, and the infection levels exceed 70% in some developing areas</w:t>
      </w:r>
      <w:r>
        <w:rPr>
          <w:spacing w:val="-10"/>
          <w:vertAlign w:val="superscript"/>
        </w:rPr>
        <w:t>[15,22-24]</w:t>
      </w:r>
      <w:r>
        <w:rPr>
          <w:spacing w:val="-10"/>
        </w:rPr>
        <w:t xml:space="preserve">. </w:t>
      </w:r>
    </w:p>
    <w:p w:rsidR="00013E1A" w:rsidRDefault="00013E1A" w:rsidP="00013E1A">
      <w:pPr>
        <w:pStyle w:val="10"/>
        <w:rPr>
          <w:spacing w:val="-9"/>
        </w:rPr>
      </w:pPr>
      <w:r>
        <w:rPr>
          <w:spacing w:val="-9"/>
        </w:rPr>
        <w:t xml:space="preserve">Previously, we reported that the prevalence of </w:t>
      </w:r>
      <w:r>
        <w:rPr>
          <w:i/>
          <w:iCs/>
          <w:spacing w:val="-9"/>
        </w:rPr>
        <w:t>H. pylori</w:t>
      </w:r>
      <w:r>
        <w:rPr>
          <w:spacing w:val="-9"/>
        </w:rPr>
        <w:t xml:space="preserve"> infection in 539 Japanese HD patients with a mean treatment period of 8.4 ± 0.3 y</w:t>
      </w:r>
      <w:r w:rsidRPr="003050C4">
        <w:rPr>
          <w:spacing w:val="-9"/>
        </w:rPr>
        <w:t>ear</w:t>
      </w:r>
      <w:r>
        <w:rPr>
          <w:spacing w:val="-9"/>
        </w:rPr>
        <w:t xml:space="preserve"> in 1997 was 48.6% (95%CI: 44.3</w:t>
      </w:r>
      <w:r w:rsidRPr="003050C4">
        <w:rPr>
          <w:spacing w:val="-9"/>
        </w:rPr>
        <w:t>%</w:t>
      </w:r>
      <w:r>
        <w:rPr>
          <w:spacing w:val="-9"/>
        </w:rPr>
        <w:t xml:space="preserve">-52.9%). This was significantly lower than that in dyspepsia patients with normal renal function </w:t>
      </w:r>
      <w:r w:rsidRPr="003050C4">
        <w:rPr>
          <w:spacing w:val="-9"/>
        </w:rPr>
        <w:t>[</w:t>
      </w:r>
      <w:r>
        <w:rPr>
          <w:spacing w:val="-9"/>
        </w:rPr>
        <w:t xml:space="preserve">78.5% </w:t>
      </w:r>
      <w:r w:rsidRPr="003050C4">
        <w:rPr>
          <w:spacing w:val="-9"/>
        </w:rPr>
        <w:t>(</w:t>
      </w:r>
      <w:r>
        <w:rPr>
          <w:spacing w:val="-9"/>
        </w:rPr>
        <w:t>74.1</w:t>
      </w:r>
      <w:r w:rsidRPr="003050C4">
        <w:rPr>
          <w:spacing w:val="-9"/>
        </w:rPr>
        <w:t>%</w:t>
      </w:r>
      <w:r>
        <w:rPr>
          <w:spacing w:val="-9"/>
        </w:rPr>
        <w:t>-82.4%</w:t>
      </w:r>
      <w:r w:rsidRPr="003050C4">
        <w:rPr>
          <w:spacing w:val="-9"/>
        </w:rPr>
        <w:t>)</w:t>
      </w:r>
      <w:r>
        <w:rPr>
          <w:spacing w:val="-9"/>
        </w:rPr>
        <w:t xml:space="preserve">, </w:t>
      </w:r>
      <w:r>
        <w:rPr>
          <w:i/>
          <w:iCs/>
          <w:spacing w:val="-9"/>
        </w:rPr>
        <w:t>P</w:t>
      </w:r>
      <w:r>
        <w:rPr>
          <w:spacing w:val="-9"/>
        </w:rPr>
        <w:t xml:space="preserve"> &lt; 0.001</w:t>
      </w:r>
      <w:r w:rsidRPr="003050C4">
        <w:rPr>
          <w:spacing w:val="-9"/>
        </w:rPr>
        <w:t>]</w:t>
      </w:r>
      <w:r>
        <w:rPr>
          <w:spacing w:val="-9"/>
        </w:rPr>
        <w:t xml:space="preserve"> and individuals receiving annual health checks </w:t>
      </w:r>
      <w:r w:rsidRPr="003050C4">
        <w:rPr>
          <w:spacing w:val="-9"/>
        </w:rPr>
        <w:t>[</w:t>
      </w:r>
      <w:r>
        <w:rPr>
          <w:spacing w:val="-9"/>
        </w:rPr>
        <w:t xml:space="preserve">69.4% </w:t>
      </w:r>
      <w:r w:rsidRPr="003050C4">
        <w:rPr>
          <w:spacing w:val="-9"/>
        </w:rPr>
        <w:t>(</w:t>
      </w:r>
      <w:r>
        <w:rPr>
          <w:spacing w:val="-9"/>
        </w:rPr>
        <w:t>60.3</w:t>
      </w:r>
      <w:r w:rsidRPr="003050C4">
        <w:rPr>
          <w:spacing w:val="-9"/>
        </w:rPr>
        <w:t>%</w:t>
      </w:r>
      <w:r>
        <w:rPr>
          <w:spacing w:val="-9"/>
        </w:rPr>
        <w:t>-77.5%</w:t>
      </w:r>
      <w:r w:rsidRPr="003050C4">
        <w:rPr>
          <w:spacing w:val="-9"/>
        </w:rPr>
        <w:t>)</w:t>
      </w:r>
      <w:r>
        <w:rPr>
          <w:spacing w:val="-9"/>
        </w:rPr>
        <w:t xml:space="preserve">, </w:t>
      </w:r>
      <w:r>
        <w:rPr>
          <w:i/>
          <w:iCs/>
          <w:spacing w:val="-9"/>
        </w:rPr>
        <w:t xml:space="preserve">P </w:t>
      </w:r>
      <w:r>
        <w:rPr>
          <w:spacing w:val="-9"/>
        </w:rPr>
        <w:t>&lt; 0.001</w:t>
      </w:r>
      <w:r w:rsidRPr="003050C4">
        <w:rPr>
          <w:spacing w:val="-9"/>
        </w:rPr>
        <w:t>]</w:t>
      </w:r>
      <w:r w:rsidRPr="003050C4">
        <w:rPr>
          <w:spacing w:val="-9"/>
          <w:vertAlign w:val="superscript"/>
        </w:rPr>
        <w:t>[20]</w:t>
      </w:r>
      <w:r>
        <w:rPr>
          <w:spacing w:val="-9"/>
        </w:rPr>
        <w:t xml:space="preserve">. In a meta-analysis of reports investigating the prevalence of </w:t>
      </w:r>
      <w:r>
        <w:rPr>
          <w:i/>
          <w:iCs/>
          <w:spacing w:val="-9"/>
        </w:rPr>
        <w:t>H. pylori</w:t>
      </w:r>
      <w:r>
        <w:rPr>
          <w:spacing w:val="-9"/>
        </w:rPr>
        <w:t xml:space="preserve"> in dialysis patients before 2009, the prevalence in patients receiving HD and continuous ambulatory peritoneal dialysis (CAPD) was 43.9% [(95%CI: 42.2</w:t>
      </w:r>
      <w:r w:rsidRPr="003050C4">
        <w:rPr>
          <w:spacing w:val="-9"/>
        </w:rPr>
        <w:t>%</w:t>
      </w:r>
      <w:r>
        <w:rPr>
          <w:spacing w:val="-9"/>
        </w:rPr>
        <w:t>-45.6%), 1435/3272] and 34.8% [(29.6</w:t>
      </w:r>
      <w:r w:rsidRPr="003050C4">
        <w:rPr>
          <w:spacing w:val="-9"/>
        </w:rPr>
        <w:t>%</w:t>
      </w:r>
      <w:r>
        <w:rPr>
          <w:spacing w:val="-9"/>
        </w:rPr>
        <w:t>-40.2%), 113/325], respectively, which was again significantly lower than that in individuals with normal renal function [49.8% (48.0</w:t>
      </w:r>
      <w:r w:rsidRPr="003050C4">
        <w:rPr>
          <w:spacing w:val="-9"/>
        </w:rPr>
        <w:t>%</w:t>
      </w:r>
      <w:r>
        <w:rPr>
          <w:spacing w:val="-9"/>
        </w:rPr>
        <w:t>-51.7%), 1476/2961,</w:t>
      </w:r>
      <w:r>
        <w:rPr>
          <w:i/>
          <w:iCs/>
          <w:spacing w:val="-9"/>
        </w:rPr>
        <w:t xml:space="preserve"> P</w:t>
      </w:r>
      <w:r>
        <w:rPr>
          <w:spacing w:val="-9"/>
        </w:rPr>
        <w:t xml:space="preserve"> &lt; 0.001]</w:t>
      </w:r>
      <w:r>
        <w:rPr>
          <w:spacing w:val="-9"/>
          <w:vertAlign w:val="superscript"/>
        </w:rPr>
        <w:t>[25]</w:t>
      </w:r>
      <w:r>
        <w:rPr>
          <w:spacing w:val="-9"/>
        </w:rPr>
        <w:t>. Although infection rates differ among different geo</w:t>
      </w:r>
      <w:r>
        <w:rPr>
          <w:spacing w:val="-9"/>
        </w:rPr>
        <w:softHyphen/>
        <w:t xml:space="preserve">graphic populations, in East Asian countries where the prevalence of </w:t>
      </w:r>
      <w:r>
        <w:rPr>
          <w:i/>
          <w:iCs/>
          <w:spacing w:val="-9"/>
        </w:rPr>
        <w:t>H. pylori</w:t>
      </w:r>
      <w:r>
        <w:rPr>
          <w:spacing w:val="-9"/>
        </w:rPr>
        <w:t xml:space="preserve"> infection and incidence of gastric cancer is relatively high, the latest statistics show the infection rate in HD patients to be 44.5% (41.5</w:t>
      </w:r>
      <w:r w:rsidRPr="003050C4">
        <w:rPr>
          <w:spacing w:val="-9"/>
        </w:rPr>
        <w:t>5%</w:t>
      </w:r>
      <w:r>
        <w:rPr>
          <w:spacing w:val="-9"/>
        </w:rPr>
        <w:t>-47.6%, 474/1065), which is significantly lower than that in individuals with normal renal function [54.0% (50.9</w:t>
      </w:r>
      <w:r w:rsidRPr="003050C4">
        <w:rPr>
          <w:spacing w:val="-9"/>
        </w:rPr>
        <w:t>%</w:t>
      </w:r>
      <w:r>
        <w:rPr>
          <w:spacing w:val="-9"/>
        </w:rPr>
        <w:t>-57.1%), 560/1038,</w:t>
      </w:r>
      <w:r>
        <w:rPr>
          <w:i/>
          <w:iCs/>
          <w:spacing w:val="-9"/>
        </w:rPr>
        <w:t xml:space="preserve"> P</w:t>
      </w:r>
      <w:r>
        <w:rPr>
          <w:spacing w:val="-9"/>
        </w:rPr>
        <w:t xml:space="preserve"> &lt; 0.001]</w:t>
      </w:r>
      <w:r>
        <w:rPr>
          <w:spacing w:val="-9"/>
          <w:vertAlign w:val="superscript"/>
        </w:rPr>
        <w:t>[25]</w:t>
      </w:r>
      <w:r>
        <w:rPr>
          <w:spacing w:val="-9"/>
        </w:rPr>
        <w:t>. Importantly, the prevalence in individuals with normal renal function is similar in patients receiving HD treatment for &lt; 1 y</w:t>
      </w:r>
      <w:r w:rsidRPr="003050C4">
        <w:rPr>
          <w:spacing w:val="-9"/>
        </w:rPr>
        <w:t>ear</w:t>
      </w:r>
      <w:r w:rsidRPr="003050C4">
        <w:rPr>
          <w:spacing w:val="-9"/>
          <w:vertAlign w:val="superscript"/>
        </w:rPr>
        <w:t>[20]</w:t>
      </w:r>
      <w:r>
        <w:rPr>
          <w:spacing w:val="-9"/>
        </w:rPr>
        <w:t xml:space="preserve">. HD treatment, but not uremia from chronic renal failure, may play an important role in the decreased prevalence of </w:t>
      </w:r>
      <w:r>
        <w:rPr>
          <w:i/>
          <w:iCs/>
          <w:spacing w:val="-9"/>
        </w:rPr>
        <w:t>H. pylori</w:t>
      </w:r>
      <w:r>
        <w:rPr>
          <w:spacing w:val="-9"/>
        </w:rPr>
        <w:t xml:space="preserve"> infection. </w:t>
      </w:r>
    </w:p>
    <w:p w:rsidR="00013E1A" w:rsidRDefault="00013E1A" w:rsidP="00013E1A">
      <w:pPr>
        <w:pStyle w:val="10"/>
        <w:rPr>
          <w:spacing w:val="-9"/>
        </w:rPr>
      </w:pPr>
      <w:r>
        <w:rPr>
          <w:spacing w:val="-9"/>
        </w:rPr>
        <w:t xml:space="preserve">Recently, infection rates of </w:t>
      </w:r>
      <w:r>
        <w:rPr>
          <w:i/>
          <w:iCs/>
          <w:spacing w:val="-9"/>
        </w:rPr>
        <w:t>H. pylori</w:t>
      </w:r>
      <w:r>
        <w:rPr>
          <w:spacing w:val="-9"/>
        </w:rPr>
        <w:t xml:space="preserve"> have been decreasing. A large-scale Japanese epidemiological study showed that the infection rate in Japanese has declined to 30</w:t>
      </w:r>
      <w:r w:rsidRPr="003050C4">
        <w:rPr>
          <w:spacing w:val="-9"/>
        </w:rPr>
        <w:t>%</w:t>
      </w:r>
      <w:r>
        <w:rPr>
          <w:spacing w:val="-9"/>
        </w:rPr>
        <w:t>-50%, especially in younger patients</w:t>
      </w:r>
      <w:r>
        <w:rPr>
          <w:spacing w:val="-9"/>
          <w:vertAlign w:val="superscript"/>
        </w:rPr>
        <w:t>[26]</w:t>
      </w:r>
      <w:r>
        <w:rPr>
          <w:spacing w:val="-9"/>
        </w:rPr>
        <w:t>. Supporting this phenomenon, an investigation of 500 Japanese HD patients with a mean treatment duration of 6.9 ± 6.6 years (2015) reported that the prevalence of infection had dramatically decreased, to 15.0% (95%CI: 12.0-18.4)</w:t>
      </w:r>
      <w:r>
        <w:rPr>
          <w:spacing w:val="-9"/>
          <w:vertAlign w:val="superscript"/>
        </w:rPr>
        <w:t>[27]</w:t>
      </w:r>
      <w:r>
        <w:rPr>
          <w:spacing w:val="-9"/>
        </w:rPr>
        <w:t xml:space="preserve">. Although it has not yet been proven, decreasing rates of </w:t>
      </w:r>
      <w:r>
        <w:rPr>
          <w:i/>
          <w:iCs/>
          <w:spacing w:val="-9"/>
        </w:rPr>
        <w:t>H. pylori</w:t>
      </w:r>
      <w:r>
        <w:rPr>
          <w:spacing w:val="-9"/>
        </w:rPr>
        <w:t xml:space="preserve"> infection suggest that the incidence of peptic ulcer disease and gastric cancer is expected to be decreasing in HD patients and that QOL in HD patients has improved due to decreases in </w:t>
      </w:r>
      <w:r>
        <w:rPr>
          <w:i/>
          <w:iCs/>
          <w:spacing w:val="-9"/>
        </w:rPr>
        <w:t>H. pylori-</w:t>
      </w:r>
      <w:r>
        <w:rPr>
          <w:spacing w:val="-9"/>
        </w:rPr>
        <w:t>related gastrointestinal disease.</w:t>
      </w:r>
    </w:p>
    <w:p w:rsidR="00013E1A" w:rsidRPr="003050C4" w:rsidRDefault="00013E1A" w:rsidP="00013E1A">
      <w:pPr>
        <w:pStyle w:val="af7"/>
        <w:ind w:left="5250"/>
        <w:rPr>
          <w:lang w:val="en-US"/>
        </w:rPr>
      </w:pPr>
    </w:p>
    <w:p w:rsidR="00013E1A" w:rsidRPr="003050C4" w:rsidRDefault="00013E1A" w:rsidP="00013E1A">
      <w:pPr>
        <w:pStyle w:val="af7"/>
        <w:ind w:left="5250"/>
        <w:rPr>
          <w:spacing w:val="-5"/>
          <w:u w:val="single"/>
          <w:lang w:val="en-US"/>
        </w:rPr>
      </w:pPr>
      <w:r w:rsidRPr="003050C4">
        <w:rPr>
          <w:spacing w:val="-5"/>
          <w:u w:val="single"/>
          <w:lang w:val="en-US"/>
        </w:rPr>
        <w:t xml:space="preserve">TREATMENT PERIODS OF HD AND </w:t>
      </w:r>
      <w:r w:rsidRPr="003050C4">
        <w:rPr>
          <w:i/>
          <w:iCs/>
          <w:spacing w:val="-5"/>
          <w:u w:val="single"/>
          <w:lang w:val="en-US"/>
        </w:rPr>
        <w:t xml:space="preserve">H. </w:t>
      </w:r>
      <w:r w:rsidRPr="003050C4">
        <w:rPr>
          <w:i/>
          <w:iCs/>
          <w:spacing w:val="-5"/>
          <w:u w:val="single"/>
          <w:lang w:val="en-US"/>
        </w:rPr>
        <w:lastRenderedPageBreak/>
        <w:t>PYLORI</w:t>
      </w:r>
      <w:r w:rsidRPr="003050C4">
        <w:rPr>
          <w:spacing w:val="-5"/>
          <w:u w:val="single"/>
          <w:lang w:val="en-US"/>
        </w:rPr>
        <w:t xml:space="preserve"> INFECTION</w:t>
      </w:r>
    </w:p>
    <w:p w:rsidR="00013E1A" w:rsidRDefault="00013E1A" w:rsidP="00013E1A">
      <w:pPr>
        <w:pStyle w:val="af8"/>
        <w:rPr>
          <w:spacing w:val="-9"/>
        </w:rPr>
      </w:pPr>
      <w:r>
        <w:rPr>
          <w:spacing w:val="-9"/>
        </w:rPr>
        <w:t xml:space="preserve">There is an inverse relationship between </w:t>
      </w:r>
      <w:r>
        <w:rPr>
          <w:i/>
          <w:iCs/>
          <w:spacing w:val="-9"/>
        </w:rPr>
        <w:t>H. pylori</w:t>
      </w:r>
      <w:r>
        <w:rPr>
          <w:spacing w:val="-9"/>
        </w:rPr>
        <w:t xml:space="preserve"> infection and dialysis treatment duration (Table 1)</w:t>
      </w:r>
      <w:r>
        <w:rPr>
          <w:spacing w:val="-9"/>
          <w:vertAlign w:val="superscript"/>
        </w:rPr>
        <w:t>[20,27-31]</w:t>
      </w:r>
      <w:r>
        <w:rPr>
          <w:spacing w:val="-9"/>
        </w:rPr>
        <w:t xml:space="preserve">. We showed that the duration of HD treatment in </w:t>
      </w:r>
      <w:r>
        <w:rPr>
          <w:i/>
          <w:iCs/>
          <w:spacing w:val="-9"/>
        </w:rPr>
        <w:t>H. pylori-</w:t>
      </w:r>
      <w:r>
        <w:rPr>
          <w:spacing w:val="-9"/>
        </w:rPr>
        <w:t xml:space="preserve">positive patients was 4.6 ± 3.8 years, which is significantly shorter than that in </w:t>
      </w:r>
      <w:r>
        <w:rPr>
          <w:i/>
          <w:iCs/>
          <w:spacing w:val="-9"/>
        </w:rPr>
        <w:t>H. pylori-</w:t>
      </w:r>
      <w:r>
        <w:rPr>
          <w:spacing w:val="-9"/>
        </w:rPr>
        <w:t xml:space="preserve">negatives (7.3 ± 6.9 years, </w:t>
      </w:r>
      <w:r>
        <w:rPr>
          <w:i/>
          <w:iCs/>
          <w:spacing w:val="-9"/>
        </w:rPr>
        <w:t>P</w:t>
      </w:r>
      <w:r>
        <w:rPr>
          <w:spacing w:val="-9"/>
        </w:rPr>
        <w:t xml:space="preserve"> = 0.001)</w:t>
      </w:r>
      <w:r>
        <w:rPr>
          <w:spacing w:val="-9"/>
          <w:vertAlign w:val="superscript"/>
        </w:rPr>
        <w:t>[27]</w:t>
      </w:r>
      <w:r>
        <w:rPr>
          <w:spacing w:val="-9"/>
        </w:rPr>
        <w:t xml:space="preserve">. Interestingly, the finding of decreased </w:t>
      </w:r>
      <w:r>
        <w:rPr>
          <w:i/>
          <w:iCs/>
          <w:spacing w:val="-9"/>
        </w:rPr>
        <w:t>H. pylori</w:t>
      </w:r>
      <w:r>
        <w:rPr>
          <w:spacing w:val="-9"/>
        </w:rPr>
        <w:t xml:space="preserve"> infection is characteristic of the prevalence of infection decreasing when the treatment period is </w:t>
      </w:r>
      <w:r>
        <w:rPr>
          <w:rFonts w:ascii="宋体" w:cs="宋体" w:hint="eastAsia"/>
          <w:spacing w:val="0"/>
        </w:rPr>
        <w:t>≥</w:t>
      </w:r>
      <w:r>
        <w:rPr>
          <w:spacing w:val="-9"/>
        </w:rPr>
        <w:t xml:space="preserve"> 2 y</w:t>
      </w:r>
      <w:r w:rsidRPr="003050C4">
        <w:rPr>
          <w:spacing w:val="-9"/>
        </w:rPr>
        <w:t>ear</w:t>
      </w:r>
      <w:r w:rsidRPr="003050C4">
        <w:rPr>
          <w:spacing w:val="-9"/>
          <w:vertAlign w:val="superscript"/>
        </w:rPr>
        <w:t>[28]</w:t>
      </w:r>
      <w:r>
        <w:rPr>
          <w:spacing w:val="-9"/>
        </w:rPr>
        <w:t>, and the infection rate gradually decreases up to four years after the initiation of HD and is followed by a plateau</w:t>
      </w:r>
      <w:r>
        <w:rPr>
          <w:spacing w:val="-9"/>
          <w:vertAlign w:val="superscript"/>
        </w:rPr>
        <w:t>[20]</w:t>
      </w:r>
      <w:r>
        <w:rPr>
          <w:spacing w:val="-9"/>
        </w:rPr>
        <w:t>. In a 4-year follow</w:t>
      </w:r>
      <w:r w:rsidRPr="003050C4">
        <w:rPr>
          <w:spacing w:val="-9"/>
        </w:rPr>
        <w:t>-</w:t>
      </w:r>
      <w:r>
        <w:rPr>
          <w:spacing w:val="-9"/>
        </w:rPr>
        <w:t xml:space="preserve">up survey of </w:t>
      </w:r>
      <w:r>
        <w:rPr>
          <w:i/>
          <w:iCs/>
          <w:spacing w:val="-9"/>
        </w:rPr>
        <w:t>H. pylori-</w:t>
      </w:r>
      <w:r>
        <w:rPr>
          <w:spacing w:val="-9"/>
        </w:rPr>
        <w:t>positive patients, the prevalence of infection was 51.6% at 1 y</w:t>
      </w:r>
      <w:r w:rsidRPr="003050C4">
        <w:rPr>
          <w:spacing w:val="-9"/>
        </w:rPr>
        <w:t>ear</w:t>
      </w:r>
      <w:r>
        <w:rPr>
          <w:spacing w:val="-9"/>
        </w:rPr>
        <w:t>, 42.9% at 2 y</w:t>
      </w:r>
      <w:r w:rsidRPr="003050C4">
        <w:rPr>
          <w:spacing w:val="-9"/>
        </w:rPr>
        <w:t>ear</w:t>
      </w:r>
      <w:r>
        <w:rPr>
          <w:spacing w:val="-9"/>
        </w:rPr>
        <w:t>, and 38.3% at 4 y</w:t>
      </w:r>
      <w:r w:rsidRPr="003050C4">
        <w:rPr>
          <w:spacing w:val="-9"/>
        </w:rPr>
        <w:t>ear</w:t>
      </w:r>
      <w:r>
        <w:rPr>
          <w:spacing w:val="-9"/>
        </w:rPr>
        <w:t xml:space="preserve"> in the absence of eradication therapy. In other words, 26.7% of patients were naturally cured of </w:t>
      </w:r>
      <w:r>
        <w:rPr>
          <w:i/>
          <w:iCs/>
          <w:spacing w:val="-9"/>
        </w:rPr>
        <w:t>H. pylori</w:t>
      </w:r>
      <w:r>
        <w:rPr>
          <w:spacing w:val="-9"/>
        </w:rPr>
        <w:t xml:space="preserve"> infection over four years</w:t>
      </w:r>
      <w:r>
        <w:rPr>
          <w:spacing w:val="-9"/>
          <w:vertAlign w:val="superscript"/>
        </w:rPr>
        <w:t>[20]</w:t>
      </w:r>
      <w:r>
        <w:rPr>
          <w:spacing w:val="-9"/>
        </w:rPr>
        <w:t xml:space="preserve">. </w:t>
      </w:r>
    </w:p>
    <w:p w:rsidR="00013E1A" w:rsidRDefault="00013E1A" w:rsidP="00013E1A">
      <w:pPr>
        <w:pStyle w:val="10"/>
        <w:rPr>
          <w:spacing w:val="-9"/>
        </w:rPr>
      </w:pPr>
      <w:r>
        <w:rPr>
          <w:spacing w:val="-9"/>
        </w:rPr>
        <w:t>It is unknown why HD patients have a lower pre</w:t>
      </w:r>
      <w:r>
        <w:rPr>
          <w:spacing w:val="-9"/>
        </w:rPr>
        <w:softHyphen/>
        <w:t xml:space="preserve">valence of </w:t>
      </w:r>
      <w:r>
        <w:rPr>
          <w:i/>
          <w:iCs/>
          <w:spacing w:val="-9"/>
        </w:rPr>
        <w:t>H. pylori</w:t>
      </w:r>
      <w:r>
        <w:rPr>
          <w:spacing w:val="-9"/>
        </w:rPr>
        <w:t xml:space="preserve"> infection. One hypothesis is that HD patients have higher levels of pro-inflammatory cytokines</w:t>
      </w:r>
      <w:r>
        <w:rPr>
          <w:spacing w:val="-9"/>
          <w:vertAlign w:val="superscript"/>
        </w:rPr>
        <w:t>[32]</w:t>
      </w:r>
      <w:r>
        <w:rPr>
          <w:spacing w:val="-9"/>
        </w:rPr>
        <w:t xml:space="preserve">. As a result, gastric atrophy progresses, and finally </w:t>
      </w:r>
      <w:r>
        <w:rPr>
          <w:i/>
          <w:iCs/>
          <w:spacing w:val="-9"/>
        </w:rPr>
        <w:t xml:space="preserve">H. pylori </w:t>
      </w:r>
      <w:r>
        <w:rPr>
          <w:spacing w:val="-9"/>
        </w:rPr>
        <w:t>are not able to live in the gastric mucosa</w:t>
      </w:r>
      <w:r>
        <w:rPr>
          <w:spacing w:val="-9"/>
          <w:vertAlign w:val="superscript"/>
        </w:rPr>
        <w:t>[33-35]</w:t>
      </w:r>
      <w:r>
        <w:rPr>
          <w:spacing w:val="-9"/>
        </w:rPr>
        <w:t xml:space="preserve">. Another hypothesis is that elevated blood urea and urea nitrogen levels may inhibit </w:t>
      </w:r>
      <w:r>
        <w:rPr>
          <w:i/>
          <w:iCs/>
          <w:spacing w:val="-9"/>
        </w:rPr>
        <w:t>H. pylori</w:t>
      </w:r>
      <w:r>
        <w:rPr>
          <w:spacing w:val="-9"/>
        </w:rPr>
        <w:t xml:space="preserve"> growth</w:t>
      </w:r>
      <w:r>
        <w:rPr>
          <w:spacing w:val="-9"/>
          <w:vertAlign w:val="superscript"/>
        </w:rPr>
        <w:t>[36]</w:t>
      </w:r>
      <w:r>
        <w:rPr>
          <w:spacing w:val="-9"/>
        </w:rPr>
        <w:t xml:space="preserve">. A third hypothesis is that </w:t>
      </w:r>
      <w:r>
        <w:rPr>
          <w:i/>
          <w:iCs/>
          <w:spacing w:val="-9"/>
        </w:rPr>
        <w:t>H. pylori</w:t>
      </w:r>
      <w:r>
        <w:rPr>
          <w:spacing w:val="-9"/>
        </w:rPr>
        <w:t xml:space="preserve"> may be cured with incidental antibiotic treatment, because most HD patients suffer from an increased incidence of bacterial infections, and because plasma levels of antimicrobial agents may be higher in HD patients than in individuals with normal renal function</w:t>
      </w:r>
      <w:r>
        <w:rPr>
          <w:spacing w:val="-9"/>
          <w:vertAlign w:val="superscript"/>
        </w:rPr>
        <w:t>[37]</w:t>
      </w:r>
      <w:r>
        <w:rPr>
          <w:spacing w:val="-9"/>
        </w:rPr>
        <w:t xml:space="preserve">. </w:t>
      </w:r>
    </w:p>
    <w:p w:rsidR="00013E1A" w:rsidRPr="003050C4" w:rsidRDefault="00013E1A" w:rsidP="00013E1A">
      <w:pPr>
        <w:pStyle w:val="af7"/>
        <w:ind w:left="5250"/>
        <w:rPr>
          <w:lang w:val="en-US"/>
        </w:rPr>
      </w:pPr>
    </w:p>
    <w:p w:rsidR="00013E1A" w:rsidRPr="003050C4" w:rsidRDefault="00013E1A" w:rsidP="00013E1A">
      <w:pPr>
        <w:pStyle w:val="af7"/>
        <w:ind w:left="5250"/>
        <w:rPr>
          <w:u w:val="single"/>
          <w:lang w:val="en-US"/>
        </w:rPr>
      </w:pPr>
      <w:r w:rsidRPr="003050C4">
        <w:rPr>
          <w:u w:val="single"/>
          <w:lang w:val="en-US"/>
        </w:rPr>
        <w:t xml:space="preserve">PEPSINOGEN IN HD PATIENTS </w:t>
      </w:r>
    </w:p>
    <w:p w:rsidR="00013E1A" w:rsidRDefault="00013E1A" w:rsidP="00013E1A">
      <w:pPr>
        <w:pStyle w:val="af8"/>
        <w:rPr>
          <w:spacing w:val="-9"/>
        </w:rPr>
      </w:pPr>
      <w:r>
        <w:rPr>
          <w:spacing w:val="-9"/>
        </w:rPr>
        <w:t>Human pepsinogens (PGs) are proenzymes that act on pepsin. Serum PG levels reflect the status of the gastric mucosa, and decreased PG secretion is a marker of gastric mucosal atrophy. In patients without renal dysfunction, measurements of serum PG levels are used in screening for gastric cancer and gastric mucosal atrophy</w:t>
      </w:r>
      <w:r>
        <w:rPr>
          <w:spacing w:val="-9"/>
          <w:vertAlign w:val="superscript"/>
        </w:rPr>
        <w:t>[38]</w:t>
      </w:r>
      <w:r>
        <w:rPr>
          <w:spacing w:val="-9"/>
        </w:rPr>
        <w:t>. In addition, serum PG levels and the PG I/PG II ratio are useful in determining the level of gastric acid secretion</w:t>
      </w:r>
      <w:r>
        <w:rPr>
          <w:spacing w:val="-9"/>
          <w:vertAlign w:val="superscript"/>
        </w:rPr>
        <w:t>[39]</w:t>
      </w:r>
      <w:r>
        <w:rPr>
          <w:spacing w:val="-9"/>
        </w:rPr>
        <w:t xml:space="preserve">. Recently in Japan, a combination of the serum PG level and </w:t>
      </w:r>
      <w:r>
        <w:rPr>
          <w:i/>
          <w:iCs/>
          <w:spacing w:val="-9"/>
        </w:rPr>
        <w:t>H. pylori</w:t>
      </w:r>
      <w:r>
        <w:rPr>
          <w:spacing w:val="-9"/>
        </w:rPr>
        <w:t>-IgG level, namely the ABC method, has been commonly used at health screenings as a useful marker for gastric cancer</w:t>
      </w:r>
      <w:r>
        <w:rPr>
          <w:spacing w:val="-9"/>
          <w:vertAlign w:val="superscript"/>
        </w:rPr>
        <w:t>[40]</w:t>
      </w:r>
      <w:r>
        <w:rPr>
          <w:spacing w:val="-9"/>
        </w:rPr>
        <w:t xml:space="preserve">. Because PG is eliminated </w:t>
      </w:r>
      <w:r>
        <w:rPr>
          <w:i/>
          <w:iCs/>
          <w:spacing w:val="-9"/>
        </w:rPr>
        <w:t>via</w:t>
      </w:r>
      <w:r>
        <w:rPr>
          <w:spacing w:val="-9"/>
        </w:rPr>
        <w:t xml:space="preserve"> the kidney, serum PG levels are elevated in patients with renal dysfunction</w:t>
      </w:r>
      <w:r>
        <w:rPr>
          <w:spacing w:val="-9"/>
          <w:vertAlign w:val="superscript"/>
        </w:rPr>
        <w:t>[41]</w:t>
      </w:r>
      <w:r>
        <w:rPr>
          <w:spacing w:val="-9"/>
        </w:rPr>
        <w:t xml:space="preserve">. The value of serum PG levels as a biomarker of gastric atrophy and the capacity of gastric acid secretion in HD patients was heretofore unknown. </w:t>
      </w:r>
    </w:p>
    <w:p w:rsidR="00013E1A" w:rsidRDefault="00013E1A" w:rsidP="00013E1A">
      <w:pPr>
        <w:pStyle w:val="10"/>
        <w:rPr>
          <w:spacing w:val="-9"/>
        </w:rPr>
      </w:pPr>
      <w:r>
        <w:rPr>
          <w:spacing w:val="-9"/>
        </w:rPr>
        <w:t xml:space="preserve">A recent report has demonstrated that PG I and II levels and PG I/PG II ratios in </w:t>
      </w:r>
      <w:r>
        <w:rPr>
          <w:i/>
          <w:iCs/>
          <w:spacing w:val="-9"/>
        </w:rPr>
        <w:t>H. pylori</w:t>
      </w:r>
      <w:r>
        <w:rPr>
          <w:spacing w:val="-9"/>
        </w:rPr>
        <w:t xml:space="preserve">-negative HD patients are significantly higher than those in </w:t>
      </w:r>
      <w:r>
        <w:rPr>
          <w:i/>
          <w:iCs/>
          <w:spacing w:val="-9"/>
        </w:rPr>
        <w:t>H. pylori</w:t>
      </w:r>
      <w:r>
        <w:rPr>
          <w:spacing w:val="-9"/>
        </w:rPr>
        <w:t xml:space="preserve">-positives and that PG I levels positively correlate with PG II levels and PG I/PG II ratio in </w:t>
      </w:r>
      <w:r>
        <w:rPr>
          <w:i/>
          <w:iCs/>
          <w:spacing w:val="-9"/>
        </w:rPr>
        <w:t>H. pylori-</w:t>
      </w:r>
      <w:r>
        <w:rPr>
          <w:spacing w:val="-9"/>
        </w:rPr>
        <w:t>negative HD patients (|R| = 0.849 and |R| = 0.569), past-infection patients (|R| = 0.870 and |R|=0.575) and current-infection patients (|R| = 0.784 and |R| = 0.517)</w:t>
      </w:r>
      <w:r>
        <w:rPr>
          <w:spacing w:val="-9"/>
          <w:vertAlign w:val="superscript"/>
        </w:rPr>
        <w:t>[26,42]</w:t>
      </w:r>
      <w:r>
        <w:rPr>
          <w:spacing w:val="-9"/>
        </w:rPr>
        <w:t xml:space="preserve">. In addition, a receiver operating characteristic curve using a cut-off value of 7.75 demonstrated that the sensitivity and specificity of PG I/PG II ratio in predicting the absence of </w:t>
      </w:r>
      <w:r>
        <w:rPr>
          <w:i/>
          <w:iCs/>
          <w:spacing w:val="-9"/>
        </w:rPr>
        <w:t xml:space="preserve">H. pylori </w:t>
      </w:r>
      <w:r>
        <w:rPr>
          <w:spacing w:val="-9"/>
        </w:rPr>
        <w:t>were 88.7% and 84.0%, respectively</w:t>
      </w:r>
      <w:r>
        <w:rPr>
          <w:spacing w:val="-9"/>
          <w:vertAlign w:val="superscript"/>
        </w:rPr>
        <w:t>[26]</w:t>
      </w:r>
      <w:r>
        <w:rPr>
          <w:spacing w:val="-9"/>
        </w:rPr>
        <w:t xml:space="preserve">. Therefore, serum PG I/PG II ratio may be a valid marker for </w:t>
      </w:r>
      <w:r>
        <w:rPr>
          <w:i/>
          <w:iCs/>
          <w:spacing w:val="-9"/>
        </w:rPr>
        <w:t xml:space="preserve">H. pylori </w:t>
      </w:r>
      <w:r>
        <w:rPr>
          <w:spacing w:val="-9"/>
        </w:rPr>
        <w:t xml:space="preserve">infection status and gastric mucosal atrophy in HD patients. Further large-scale studies </w:t>
      </w:r>
      <w:r>
        <w:rPr>
          <w:spacing w:val="-9"/>
        </w:rPr>
        <w:lastRenderedPageBreak/>
        <w:t>are needed to verify this.</w:t>
      </w:r>
    </w:p>
    <w:p w:rsidR="00013E1A" w:rsidRPr="003050C4" w:rsidRDefault="00013E1A" w:rsidP="00013E1A">
      <w:pPr>
        <w:pStyle w:val="af7"/>
        <w:ind w:left="5250"/>
        <w:rPr>
          <w:lang w:val="en-US"/>
        </w:rPr>
      </w:pPr>
    </w:p>
    <w:p w:rsidR="00013E1A" w:rsidRPr="003050C4" w:rsidRDefault="00013E1A" w:rsidP="00013E1A">
      <w:pPr>
        <w:pStyle w:val="af7"/>
        <w:ind w:left="5250"/>
        <w:rPr>
          <w:spacing w:val="-5"/>
          <w:u w:val="single"/>
          <w:lang w:val="en-US"/>
        </w:rPr>
      </w:pPr>
      <w:r w:rsidRPr="003050C4">
        <w:rPr>
          <w:spacing w:val="-5"/>
          <w:u w:val="single"/>
          <w:lang w:val="en-US"/>
        </w:rPr>
        <w:t xml:space="preserve">NECESSITY OF </w:t>
      </w:r>
      <w:r w:rsidRPr="003050C4">
        <w:rPr>
          <w:i/>
          <w:iCs/>
          <w:spacing w:val="-5"/>
          <w:u w:val="single"/>
          <w:lang w:val="en-US"/>
        </w:rPr>
        <w:t>H. PYLORI</w:t>
      </w:r>
      <w:r w:rsidRPr="003050C4">
        <w:rPr>
          <w:spacing w:val="-5"/>
          <w:u w:val="single"/>
          <w:lang w:val="en-US"/>
        </w:rPr>
        <w:t xml:space="preserve"> ERADICATION THERAPY FOR HD PATIENTS </w:t>
      </w:r>
    </w:p>
    <w:p w:rsidR="00013E1A" w:rsidRDefault="00013E1A" w:rsidP="00013E1A">
      <w:pPr>
        <w:pStyle w:val="af8"/>
        <w:rPr>
          <w:spacing w:val="-9"/>
        </w:rPr>
      </w:pPr>
      <w:r>
        <w:rPr>
          <w:spacing w:val="-9"/>
        </w:rPr>
        <w:t>The incidence rates of peptic ulcer and gastric cancer in HD patients are higher than those in individuals with normal renal function</w:t>
      </w:r>
      <w:r>
        <w:rPr>
          <w:spacing w:val="-9"/>
          <w:vertAlign w:val="superscript"/>
        </w:rPr>
        <w:t>[7,43]</w:t>
      </w:r>
      <w:r>
        <w:rPr>
          <w:spacing w:val="-9"/>
        </w:rPr>
        <w:t xml:space="preserve">. In addition, because most HD patients receive anti-thrombotic therapy and/or non-steroidal anti-inflammatory drugs (NSAIDs), the development of drug-induced ulcers and hemorrhage from gastroduodenal lesions easily occurs and often causes fatal blood loss. Therefore, prompt </w:t>
      </w:r>
      <w:r>
        <w:rPr>
          <w:i/>
          <w:iCs/>
          <w:spacing w:val="-9"/>
        </w:rPr>
        <w:t>H. pylori</w:t>
      </w:r>
      <w:r>
        <w:rPr>
          <w:spacing w:val="-9"/>
        </w:rPr>
        <w:t xml:space="preserve"> eradication therapy is necessary for </w:t>
      </w:r>
      <w:r>
        <w:rPr>
          <w:i/>
          <w:iCs/>
          <w:spacing w:val="-9"/>
        </w:rPr>
        <w:t>H. pylori</w:t>
      </w:r>
      <w:r>
        <w:rPr>
          <w:spacing w:val="-9"/>
        </w:rPr>
        <w:t>-infected HD patients</w:t>
      </w:r>
      <w:r>
        <w:rPr>
          <w:spacing w:val="-9"/>
          <w:vertAlign w:val="superscript"/>
        </w:rPr>
        <w:t>[12,13]</w:t>
      </w:r>
      <w:r>
        <w:rPr>
          <w:spacing w:val="-9"/>
        </w:rPr>
        <w:t xml:space="preserve">, especially in HD patients with a higher risk of disease development, such as those with a past history of peptic ulcer, gastroduodenal hemorrhage, or use of anticoagulants and/or NSAIDs. </w:t>
      </w:r>
    </w:p>
    <w:p w:rsidR="00013E1A" w:rsidRDefault="00013E1A" w:rsidP="00013E1A">
      <w:pPr>
        <w:pStyle w:val="10"/>
        <w:rPr>
          <w:spacing w:val="-9"/>
        </w:rPr>
      </w:pPr>
      <w:r>
        <w:rPr>
          <w:spacing w:val="-9"/>
        </w:rPr>
        <w:t xml:space="preserve">To reduce the risk of gastric cancer, the Japanese health insurance system in 2012 began covering </w:t>
      </w:r>
      <w:r>
        <w:rPr>
          <w:i/>
          <w:iCs/>
          <w:spacing w:val="-9"/>
        </w:rPr>
        <w:t>H. pylori</w:t>
      </w:r>
      <w:r>
        <w:rPr>
          <w:spacing w:val="-9"/>
        </w:rPr>
        <w:t xml:space="preserve"> eradication therapy for all patients with endoscopic gastritis as well for peptic ulcers, gastric mucosa-associated-lymphoid tissue (MALT) lymphoma, post-endoscopic resection of early gastric cancer, and idiopathic thrombocytopenic purpura (ITP)</w:t>
      </w:r>
      <w:r>
        <w:rPr>
          <w:spacing w:val="-9"/>
          <w:vertAlign w:val="superscript"/>
        </w:rPr>
        <w:t>[44-49]</w:t>
      </w:r>
      <w:r>
        <w:rPr>
          <w:spacing w:val="-9"/>
        </w:rPr>
        <w:t xml:space="preserve">. In Japan, first-line eradication therapy is limited to a regimen that employs a standard dose of vonoprazan or proton pump inhibitor (PPI) administered twice daily, amoxicillin (AMPC) 750 mg twice daily, and clarithromycin (CAM) 200 mg or 400 mg twice daily for 1 wk. Unfortunately, because the prevalence of CAM-resistant </w:t>
      </w:r>
      <w:r>
        <w:rPr>
          <w:i/>
          <w:iCs/>
          <w:spacing w:val="-9"/>
        </w:rPr>
        <w:t xml:space="preserve">H. pylori </w:t>
      </w:r>
      <w:r>
        <w:rPr>
          <w:spacing w:val="-9"/>
        </w:rPr>
        <w:t>strains in Japan is increasing (&gt; 30%), the eradication rate is gradually decreasing</w:t>
      </w:r>
      <w:r>
        <w:rPr>
          <w:spacing w:val="-9"/>
          <w:vertAlign w:val="superscript"/>
        </w:rPr>
        <w:t>[14,50-53]</w:t>
      </w:r>
      <w:r>
        <w:rPr>
          <w:spacing w:val="-9"/>
        </w:rPr>
        <w:t>. Eradication therapy is more challenging in HD patients since they have many exposures to antimicrobial agents due to immune system impairment</w:t>
      </w:r>
      <w:r>
        <w:rPr>
          <w:spacing w:val="-9"/>
          <w:vertAlign w:val="superscript"/>
        </w:rPr>
        <w:t>[54,55]</w:t>
      </w:r>
      <w:r>
        <w:rPr>
          <w:spacing w:val="-9"/>
        </w:rPr>
        <w:t>. In fact, 36.4% of patients with chronic renal failure are reported to be infected with CAM-resistant strains, which is significantly higher than in patients with normal renal function (15.2%)</w:t>
      </w:r>
      <w:r>
        <w:rPr>
          <w:spacing w:val="-9"/>
          <w:vertAlign w:val="superscript"/>
        </w:rPr>
        <w:t>[54]</w:t>
      </w:r>
      <w:r>
        <w:rPr>
          <w:spacing w:val="-9"/>
        </w:rPr>
        <w:t>. Our recent data published in 2017 shows that rate of CAM-resistant strains in HD patients is 40.5% of infected patients</w:t>
      </w:r>
      <w:r>
        <w:rPr>
          <w:spacing w:val="-9"/>
          <w:vertAlign w:val="superscript"/>
        </w:rPr>
        <w:t>[55]</w:t>
      </w:r>
      <w:r>
        <w:rPr>
          <w:spacing w:val="-9"/>
        </w:rPr>
        <w:t xml:space="preserve">. Alternative regimens may be designed to use </w:t>
      </w:r>
      <w:r>
        <w:rPr>
          <w:i/>
          <w:iCs/>
          <w:spacing w:val="-9"/>
        </w:rPr>
        <w:t>H. pylori-</w:t>
      </w:r>
      <w:r>
        <w:rPr>
          <w:spacing w:val="-9"/>
        </w:rPr>
        <w:t>susceptible antimicrobial agents, increased dosages of antimicrobial agents and PPIs, increased dosing frequency, and longer treatment periods, according to international treatment guidelines</w:t>
      </w:r>
      <w:r>
        <w:rPr>
          <w:spacing w:val="-9"/>
          <w:vertAlign w:val="superscript"/>
        </w:rPr>
        <w:t>[13,52,56-60]</w:t>
      </w:r>
      <w:r>
        <w:rPr>
          <w:spacing w:val="-9"/>
        </w:rPr>
        <w:t xml:space="preserve">. </w:t>
      </w:r>
    </w:p>
    <w:p w:rsidR="00013E1A" w:rsidRDefault="00013E1A" w:rsidP="00013E1A">
      <w:pPr>
        <w:pStyle w:val="10"/>
        <w:rPr>
          <w:spacing w:val="-9"/>
        </w:rPr>
      </w:pPr>
      <w:r>
        <w:rPr>
          <w:spacing w:val="-9"/>
        </w:rPr>
        <w:t xml:space="preserve">There is no optimal </w:t>
      </w:r>
      <w:r>
        <w:rPr>
          <w:i/>
          <w:iCs/>
          <w:spacing w:val="-9"/>
        </w:rPr>
        <w:t>H. pylori</w:t>
      </w:r>
      <w:r>
        <w:rPr>
          <w:spacing w:val="-9"/>
        </w:rPr>
        <w:t xml:space="preserve"> eradication regimen in HD patients yet (Table 2). Some antimicrobial agents, especially AMPC, are known to exacerbate renal dysfunction. The maximum drug concentration of AMPC in patients with renal failure is 2</w:t>
      </w:r>
      <w:r w:rsidRPr="003050C4">
        <w:rPr>
          <w:spacing w:val="-9"/>
        </w:rPr>
        <w:t>-</w:t>
      </w:r>
      <w:r>
        <w:rPr>
          <w:spacing w:val="-9"/>
        </w:rPr>
        <w:t>4 times higher than in patients with normal renal function, and the half-life is 5</w:t>
      </w:r>
      <w:r w:rsidRPr="003050C4">
        <w:rPr>
          <w:spacing w:val="-9"/>
        </w:rPr>
        <w:t>-</w:t>
      </w:r>
      <w:r>
        <w:rPr>
          <w:spacing w:val="-9"/>
        </w:rPr>
        <w:t>20 times as long as that in healthy individuals</w:t>
      </w:r>
      <w:r>
        <w:rPr>
          <w:spacing w:val="-9"/>
          <w:vertAlign w:val="superscript"/>
        </w:rPr>
        <w:t>[37]</w:t>
      </w:r>
      <w:r>
        <w:rPr>
          <w:spacing w:val="-9"/>
        </w:rPr>
        <w:t>.</w:t>
      </w:r>
      <w:r>
        <w:rPr>
          <w:spacing w:val="-9"/>
          <w:vertAlign w:val="superscript"/>
        </w:rPr>
        <w:t xml:space="preserve"> </w:t>
      </w:r>
      <w:r>
        <w:rPr>
          <w:spacing w:val="-9"/>
        </w:rPr>
        <w:t>Although several previous reports showed no severe adverse effects of AMPC in HD patients receiving eradication therapy</w:t>
      </w:r>
      <w:r>
        <w:rPr>
          <w:spacing w:val="-9"/>
          <w:vertAlign w:val="superscript"/>
        </w:rPr>
        <w:t>[4,11,30,61-65]</w:t>
      </w:r>
      <w:r>
        <w:rPr>
          <w:spacing w:val="-9"/>
        </w:rPr>
        <w:t xml:space="preserve">, the Japanese guidelines for </w:t>
      </w:r>
      <w:r>
        <w:rPr>
          <w:i/>
          <w:iCs/>
          <w:spacing w:val="-9"/>
        </w:rPr>
        <w:t>H. pylori</w:t>
      </w:r>
      <w:r>
        <w:rPr>
          <w:spacing w:val="-9"/>
        </w:rPr>
        <w:t xml:space="preserve"> eradication therapy in the Japanese Society of Helicobacter Research recommends a reduction in AMPC dosage for HD patients</w:t>
      </w:r>
      <w:r>
        <w:rPr>
          <w:spacing w:val="-9"/>
          <w:vertAlign w:val="superscript"/>
        </w:rPr>
        <w:t>[12]</w:t>
      </w:r>
      <w:r>
        <w:rPr>
          <w:spacing w:val="-9"/>
        </w:rPr>
        <w:t xml:space="preserve"> and the Japanese drug prescribing guidelines accordingly recommend that the dosage of AMPC for patients with renal failure </w:t>
      </w:r>
      <w:r>
        <w:rPr>
          <w:spacing w:val="-9"/>
        </w:rPr>
        <w:lastRenderedPageBreak/>
        <w:t>should be reduced by 70%.</w:t>
      </w:r>
      <w:r>
        <w:rPr>
          <w:spacing w:val="-9"/>
          <w:vertAlign w:val="superscript"/>
        </w:rPr>
        <w:t xml:space="preserve"> </w:t>
      </w:r>
      <w:r>
        <w:rPr>
          <w:spacing w:val="-9"/>
        </w:rPr>
        <w:t>In fact, the toxic effects of AMPC in HD patients have been reported in various studies</w:t>
      </w:r>
      <w:r>
        <w:rPr>
          <w:spacing w:val="-9"/>
          <w:vertAlign w:val="superscript"/>
        </w:rPr>
        <w:t>[66-68]</w:t>
      </w:r>
      <w:r>
        <w:rPr>
          <w:spacing w:val="-9"/>
        </w:rPr>
        <w:t xml:space="preserve">; for example, Sheu </w:t>
      </w:r>
      <w:r>
        <w:rPr>
          <w:i/>
          <w:iCs/>
          <w:spacing w:val="-9"/>
        </w:rPr>
        <w:t>et al</w:t>
      </w:r>
      <w:r>
        <w:rPr>
          <w:spacing w:val="-9"/>
          <w:vertAlign w:val="superscript"/>
        </w:rPr>
        <w:t>[68]</w:t>
      </w:r>
      <w:r>
        <w:rPr>
          <w:spacing w:val="-9"/>
        </w:rPr>
        <w:t xml:space="preserve"> reported that patients with a lansoprazole-CAM-metronidazole regimen had a lower risk of acute renal failure than those with a lansoprazole-CAM-AMPC regimen (2% </w:t>
      </w:r>
      <w:r>
        <w:rPr>
          <w:i/>
          <w:iCs/>
          <w:spacing w:val="-9"/>
        </w:rPr>
        <w:t>vs</w:t>
      </w:r>
      <w:r w:rsidRPr="003050C4">
        <w:rPr>
          <w:spacing w:val="-9"/>
        </w:rPr>
        <w:t xml:space="preserve"> </w:t>
      </w:r>
      <w:r>
        <w:rPr>
          <w:spacing w:val="-9"/>
        </w:rPr>
        <w:t>18%; relative risk, 0.128, 95%CI</w:t>
      </w:r>
      <w:r w:rsidRPr="003050C4">
        <w:rPr>
          <w:spacing w:val="-9"/>
        </w:rPr>
        <w:t>:</w:t>
      </w:r>
      <w:r>
        <w:rPr>
          <w:spacing w:val="-9"/>
        </w:rPr>
        <w:t xml:space="preserve"> 0.016-0.979) for chronic renal failure non-dialysis patients. Overdose of drugs has to be carefully prevented. Although an optimal regimen for dosage and periods of AMPC in HD patients is not described in the Japanese guidelines for eradication</w:t>
      </w:r>
      <w:r>
        <w:rPr>
          <w:spacing w:val="-9"/>
          <w:vertAlign w:val="superscript"/>
        </w:rPr>
        <w:t>[12]</w:t>
      </w:r>
      <w:r>
        <w:rPr>
          <w:spacing w:val="-9"/>
        </w:rPr>
        <w:t>, an AMPC-reduced regimen may be appropriate in HD patients.</w:t>
      </w:r>
    </w:p>
    <w:p w:rsidR="00013E1A" w:rsidRDefault="00013E1A" w:rsidP="00013E1A">
      <w:pPr>
        <w:pStyle w:val="10"/>
        <w:rPr>
          <w:spacing w:val="-10"/>
        </w:rPr>
      </w:pPr>
      <w:r>
        <w:rPr>
          <w:spacing w:val="-10"/>
        </w:rPr>
        <w:t>Recently, we have adopted a regimen composed of PPI and CAM, both at conventional dosage, and a dose of AMPC that is one-third of the conventional dosage (250 mg twice daily), and investigated the efficacy and safety of this regimen</w:t>
      </w:r>
      <w:r>
        <w:rPr>
          <w:spacing w:val="-10"/>
          <w:vertAlign w:val="superscript"/>
        </w:rPr>
        <w:t>[55]</w:t>
      </w:r>
      <w:r>
        <w:rPr>
          <w:spacing w:val="-10"/>
        </w:rPr>
        <w:t>. This regimen in HD patients provided equivalent efficacy as the standard dose in conventional therapy for non-dialysis patients in Japan (82.4% and 82.4%, respectively)</w:t>
      </w:r>
      <w:r>
        <w:rPr>
          <w:spacing w:val="-10"/>
          <w:vertAlign w:val="superscript"/>
        </w:rPr>
        <w:t>[55]</w:t>
      </w:r>
      <w:r>
        <w:rPr>
          <w:spacing w:val="-10"/>
        </w:rPr>
        <w:t>. Although this suggests that AMPC-reduced triple therapy is effective and safe for HD patients</w:t>
      </w:r>
      <w:r>
        <w:rPr>
          <w:spacing w:val="-10"/>
          <w:vertAlign w:val="superscript"/>
        </w:rPr>
        <w:t>[55,69,70]</w:t>
      </w:r>
      <w:r>
        <w:rPr>
          <w:spacing w:val="-10"/>
        </w:rPr>
        <w:t xml:space="preserve">, the sample number of these reports is small, and it is necessary to set an optimal regimen in HD using a larger number of subjects. </w:t>
      </w:r>
    </w:p>
    <w:p w:rsidR="00013E1A" w:rsidRDefault="00013E1A" w:rsidP="00013E1A">
      <w:pPr>
        <w:pStyle w:val="10"/>
        <w:rPr>
          <w:spacing w:val="-9"/>
        </w:rPr>
      </w:pPr>
      <w:r>
        <w:rPr>
          <w:spacing w:val="-9"/>
        </w:rPr>
        <w:t>Although the eradication rate with the Japanese standard triple therapy was first reported as appro</w:t>
      </w:r>
      <w:r>
        <w:rPr>
          <w:spacing w:val="-9"/>
        </w:rPr>
        <w:softHyphen/>
        <w:t>ximately 85</w:t>
      </w:r>
      <w:r w:rsidRPr="003050C4">
        <w:rPr>
          <w:spacing w:val="-9"/>
        </w:rPr>
        <w:t>%-</w:t>
      </w:r>
      <w:r>
        <w:rPr>
          <w:spacing w:val="-9"/>
        </w:rPr>
        <w:t xml:space="preserve">91%, it has gradually decreased year by year because of increased prevalence of CAM-resistant strains of </w:t>
      </w:r>
      <w:r>
        <w:rPr>
          <w:i/>
          <w:iCs/>
          <w:spacing w:val="-9"/>
        </w:rPr>
        <w:t>H. pylori</w:t>
      </w:r>
      <w:r>
        <w:rPr>
          <w:spacing w:val="-9"/>
        </w:rPr>
        <w:t>. Because the eradication rates with tailored treatments based only on CAM susceptibility are not very high (71.9</w:t>
      </w:r>
      <w:r w:rsidRPr="003050C4">
        <w:rPr>
          <w:spacing w:val="-9"/>
        </w:rPr>
        <w:t>%-</w:t>
      </w:r>
      <w:r>
        <w:rPr>
          <w:spacing w:val="-9"/>
        </w:rPr>
        <w:t>94.3%), more advanced tailored treatment considering other factors (</w:t>
      </w:r>
      <w:r>
        <w:rPr>
          <w:i/>
          <w:iCs/>
          <w:spacing w:val="-9"/>
        </w:rPr>
        <w:t>e.g.</w:t>
      </w:r>
      <w:r>
        <w:rPr>
          <w:spacing w:val="-9"/>
        </w:rPr>
        <w:t xml:space="preserve">, different doses of antibiotics and PPIs, different dosages and treatment period) are required to achieve high eradication rates. A tailored </w:t>
      </w:r>
      <w:r>
        <w:rPr>
          <w:i/>
          <w:iCs/>
          <w:spacing w:val="-9"/>
        </w:rPr>
        <w:t>H. pylori</w:t>
      </w:r>
      <w:r>
        <w:rPr>
          <w:spacing w:val="-9"/>
        </w:rPr>
        <w:t xml:space="preserve"> eradication regimen based on CAM susceptibility and maintaining acid secretion (rabeprazole</w:t>
      </w:r>
      <w:r w:rsidRPr="003050C4">
        <w:rPr>
          <w:spacing w:val="-9"/>
        </w:rPr>
        <w:t>,</w:t>
      </w:r>
      <w:r>
        <w:rPr>
          <w:spacing w:val="-9"/>
        </w:rPr>
        <w:t xml:space="preserve"> 10 mg</w:t>
      </w:r>
      <w:r w:rsidRPr="003050C4">
        <w:rPr>
          <w:spacing w:val="-9"/>
        </w:rPr>
        <w:t>,</w:t>
      </w:r>
      <w:r>
        <w:rPr>
          <w:spacing w:val="-9"/>
        </w:rPr>
        <w:t xml:space="preserve"> q.i.d.) is useful because it can achieve an eradication rate exceeding 95%, irrespective of eradication history, thus overcoming differences among CYP2C19 genotypes</w:t>
      </w:r>
      <w:r>
        <w:rPr>
          <w:spacing w:val="-9"/>
          <w:vertAlign w:val="superscript"/>
        </w:rPr>
        <w:t>[52]</w:t>
      </w:r>
      <w:r>
        <w:rPr>
          <w:spacing w:val="-9"/>
        </w:rPr>
        <w:t>. However, there was no report to investigate efficacy of tailored regimen in HD patients.</w:t>
      </w:r>
    </w:p>
    <w:p w:rsidR="00013E1A" w:rsidRPr="003050C4" w:rsidRDefault="00013E1A" w:rsidP="00013E1A">
      <w:pPr>
        <w:pStyle w:val="af7"/>
        <w:ind w:left="5250"/>
        <w:rPr>
          <w:lang w:val="en-US"/>
        </w:rPr>
      </w:pPr>
    </w:p>
    <w:p w:rsidR="00013E1A" w:rsidRPr="003050C4" w:rsidRDefault="00013E1A" w:rsidP="00013E1A">
      <w:pPr>
        <w:pStyle w:val="af7"/>
        <w:ind w:left="5250"/>
        <w:rPr>
          <w:u w:val="single"/>
          <w:lang w:val="en-US"/>
        </w:rPr>
      </w:pPr>
      <w:r w:rsidRPr="003050C4">
        <w:rPr>
          <w:i/>
          <w:iCs/>
          <w:u w:val="single"/>
          <w:lang w:val="en-US"/>
        </w:rPr>
        <w:t>H. PYLORI</w:t>
      </w:r>
      <w:r w:rsidRPr="003050C4">
        <w:rPr>
          <w:u w:val="single"/>
          <w:lang w:val="en-US"/>
        </w:rPr>
        <w:t xml:space="preserve"> INFECTION AND NUTRITION STATUS IN HD PATIENTS </w:t>
      </w:r>
    </w:p>
    <w:p w:rsidR="00013E1A" w:rsidRDefault="00013E1A" w:rsidP="00013E1A">
      <w:pPr>
        <w:pStyle w:val="af8"/>
        <w:rPr>
          <w:spacing w:val="-9"/>
        </w:rPr>
      </w:pPr>
      <w:r>
        <w:rPr>
          <w:spacing w:val="-9"/>
        </w:rPr>
        <w:t>HD patients have many risk factors that affect mortali</w:t>
      </w:r>
      <w:r>
        <w:rPr>
          <w:spacing w:val="-9"/>
        </w:rPr>
        <w:softHyphen/>
        <w:t>ty, such as chronic inflammation and metabolic and nutritional derangement</w:t>
      </w:r>
      <w:r>
        <w:rPr>
          <w:spacing w:val="-9"/>
          <w:vertAlign w:val="superscript"/>
        </w:rPr>
        <w:t>[16,17,71]</w:t>
      </w:r>
      <w:r>
        <w:rPr>
          <w:spacing w:val="-9"/>
        </w:rPr>
        <w:t>. PEW is defined as a state of decreased body stores of protein and energy fuels (body protein and fat mass) and is diagnosed if three features are present: (1) Abnormal nutrition markers (</w:t>
      </w:r>
      <w:r>
        <w:rPr>
          <w:i/>
          <w:iCs/>
          <w:spacing w:val="-9"/>
        </w:rPr>
        <w:t>i.e.</w:t>
      </w:r>
      <w:r>
        <w:rPr>
          <w:spacing w:val="-9"/>
        </w:rPr>
        <w:t>, low serum levels of albumin, transthyretin or cholesterol); (2) reduced body mass (</w:t>
      </w:r>
      <w:r>
        <w:rPr>
          <w:i/>
          <w:iCs/>
          <w:spacing w:val="-9"/>
        </w:rPr>
        <w:t>i.e.</w:t>
      </w:r>
      <w:r>
        <w:rPr>
          <w:spacing w:val="-9"/>
        </w:rPr>
        <w:t>, low or reduced body or fat mass or weight loss with reduced intake of protein and energy); and (3) reduced muscle mass (</w:t>
      </w:r>
      <w:r>
        <w:rPr>
          <w:i/>
          <w:iCs/>
          <w:spacing w:val="-9"/>
        </w:rPr>
        <w:t>i.e.</w:t>
      </w:r>
      <w:r>
        <w:rPr>
          <w:spacing w:val="-9"/>
        </w:rPr>
        <w:t>, muscle wasting or sarcopenia, and reduced mid-arm muscle circumference)</w:t>
      </w:r>
      <w:r>
        <w:rPr>
          <w:spacing w:val="-9"/>
          <w:vertAlign w:val="superscript"/>
        </w:rPr>
        <w:t>[72]</w:t>
      </w:r>
      <w:r>
        <w:rPr>
          <w:spacing w:val="-9"/>
        </w:rPr>
        <w:t xml:space="preserve">. </w:t>
      </w:r>
    </w:p>
    <w:p w:rsidR="00013E1A" w:rsidRDefault="00013E1A" w:rsidP="00013E1A">
      <w:pPr>
        <w:pStyle w:val="10"/>
        <w:rPr>
          <w:spacing w:val="-9"/>
        </w:rPr>
      </w:pPr>
      <w:r>
        <w:rPr>
          <w:spacing w:val="-9"/>
        </w:rPr>
        <w:t>Ghrelin, an orexigenic peptide released primarily from endocrine cells in the stomach, is important in the pathogenesis of PEW in HD patients</w:t>
      </w:r>
      <w:r>
        <w:rPr>
          <w:spacing w:val="-9"/>
          <w:vertAlign w:val="superscript"/>
        </w:rPr>
        <w:t>[71,73,74]</w:t>
      </w:r>
      <w:r>
        <w:rPr>
          <w:spacing w:val="-9"/>
        </w:rPr>
        <w:t xml:space="preserve">. Ghrelin has multiple functions, including enhancement of the orexigenic </w:t>
      </w:r>
      <w:r>
        <w:rPr>
          <w:spacing w:val="-9"/>
        </w:rPr>
        <w:lastRenderedPageBreak/>
        <w:t>effect, protein anabolism, anti-inflammatory action, and cardiovascular protection</w:t>
      </w:r>
      <w:r>
        <w:rPr>
          <w:spacing w:val="-9"/>
          <w:vertAlign w:val="superscript"/>
        </w:rPr>
        <w:t>[74,75,76]</w:t>
      </w:r>
      <w:r>
        <w:rPr>
          <w:spacing w:val="-9"/>
        </w:rPr>
        <w:t>. Plasma ghrelin levels increase after fasting and decrease after eating. Ghrelin levels are elevated in patients with a lean body</w:t>
      </w:r>
      <w:r>
        <w:rPr>
          <w:spacing w:val="-9"/>
          <w:vertAlign w:val="superscript"/>
        </w:rPr>
        <w:t>[77]</w:t>
      </w:r>
      <w:r>
        <w:rPr>
          <w:spacing w:val="-9"/>
        </w:rPr>
        <w:t>. Plasma ghrelin levels have been found to be associated with malnutrition in patients with advanced-stage cancer and anorexia nervosa</w:t>
      </w:r>
      <w:r>
        <w:rPr>
          <w:spacing w:val="-9"/>
          <w:vertAlign w:val="superscript"/>
        </w:rPr>
        <w:t>[76]</w:t>
      </w:r>
      <w:r>
        <w:rPr>
          <w:spacing w:val="-9"/>
        </w:rPr>
        <w:t>. In HD patients, a low ghrelin level increases the risk of cardiovascular mortality and morbidity</w:t>
      </w:r>
      <w:r>
        <w:rPr>
          <w:spacing w:val="-9"/>
          <w:vertAlign w:val="superscript"/>
        </w:rPr>
        <w:t>[78]</w:t>
      </w:r>
      <w:r>
        <w:rPr>
          <w:spacing w:val="-9"/>
        </w:rPr>
        <w:t>, and the utility of monitoring plasma ghrelin at fixed intervals has been proven as a biomarker for mortality in HD patients</w:t>
      </w:r>
      <w:r>
        <w:rPr>
          <w:spacing w:val="-9"/>
          <w:vertAlign w:val="superscript"/>
        </w:rPr>
        <w:t>[71]</w:t>
      </w:r>
      <w:r>
        <w:rPr>
          <w:spacing w:val="-9"/>
        </w:rPr>
        <w:t>.</w:t>
      </w:r>
    </w:p>
    <w:p w:rsidR="00013E1A" w:rsidRDefault="00013E1A" w:rsidP="00013E1A">
      <w:pPr>
        <w:pStyle w:val="10"/>
        <w:rPr>
          <w:spacing w:val="-10"/>
        </w:rPr>
      </w:pPr>
      <w:r>
        <w:rPr>
          <w:i/>
          <w:iCs/>
          <w:spacing w:val="-10"/>
        </w:rPr>
        <w:t xml:space="preserve">H. pylori </w:t>
      </w:r>
      <w:r>
        <w:rPr>
          <w:spacing w:val="-10"/>
        </w:rPr>
        <w:t xml:space="preserve">infections affect ghrelin levels. </w:t>
      </w:r>
      <w:r>
        <w:rPr>
          <w:i/>
          <w:iCs/>
          <w:spacing w:val="-10"/>
        </w:rPr>
        <w:t>H. pylori</w:t>
      </w:r>
      <w:r>
        <w:rPr>
          <w:spacing w:val="-10"/>
        </w:rPr>
        <w:t>-positive patients have lower gastric mucosal and plasma ghrelin levels and a smaller population of ghrelin-positive cells in the gastric mucosa</w:t>
      </w:r>
      <w:r>
        <w:rPr>
          <w:spacing w:val="-10"/>
          <w:vertAlign w:val="superscript"/>
        </w:rPr>
        <w:t>[79]</w:t>
      </w:r>
      <w:r>
        <w:rPr>
          <w:spacing w:val="-10"/>
        </w:rPr>
        <w:t>. Although subjects with normal renal function show a correlation between plasma ghrelin level and the severity of gastric mucosal atrophy</w:t>
      </w:r>
      <w:r>
        <w:rPr>
          <w:spacing w:val="-10"/>
          <w:vertAlign w:val="superscript"/>
        </w:rPr>
        <w:t>[79]</w:t>
      </w:r>
      <w:r>
        <w:rPr>
          <w:spacing w:val="-10"/>
        </w:rPr>
        <w:t xml:space="preserve">, the association between ghrelin and </w:t>
      </w:r>
      <w:r>
        <w:rPr>
          <w:i/>
          <w:iCs/>
          <w:spacing w:val="-10"/>
        </w:rPr>
        <w:t>H. pylori</w:t>
      </w:r>
      <w:r>
        <w:rPr>
          <w:spacing w:val="-10"/>
        </w:rPr>
        <w:t xml:space="preserve"> infection and between ghrelin and gastric mucosal atrophy in HD patients is less well understood. In an analysis using 78 HD patients and 51 non-dialysis patients with chronic renal disease, des-acyl ghrelin levels in HD patients were significantly higher than those in non-dialysis patients, and ghrelin levels decreased with the progress of endoscopic gastric mucosal atrophy in HD patients (Table 3)</w:t>
      </w:r>
      <w:r>
        <w:rPr>
          <w:spacing w:val="-10"/>
          <w:vertAlign w:val="superscript"/>
        </w:rPr>
        <w:t>[19]</w:t>
      </w:r>
      <w:r>
        <w:rPr>
          <w:spacing w:val="-10"/>
        </w:rPr>
        <w:t>. Importantly, acyl-ghrelin levels in the non-</w:t>
      </w:r>
      <w:r>
        <w:rPr>
          <w:i/>
          <w:iCs/>
          <w:spacing w:val="-10"/>
        </w:rPr>
        <w:t>H. pylori</w:t>
      </w:r>
      <w:r>
        <w:rPr>
          <w:spacing w:val="-10"/>
        </w:rPr>
        <w:t xml:space="preserve"> infection HD group (39.4 ± 23.0 fmol/mL) were significantly higher than in patients with current (24.6 ± 17.5 fmol/mL, </w:t>
      </w:r>
      <w:r>
        <w:rPr>
          <w:i/>
          <w:iCs/>
          <w:spacing w:val="-10"/>
        </w:rPr>
        <w:t>P</w:t>
      </w:r>
      <w:r>
        <w:rPr>
          <w:spacing w:val="-10"/>
        </w:rPr>
        <w:t xml:space="preserve"> = 0.022) and past </w:t>
      </w:r>
      <w:r>
        <w:rPr>
          <w:i/>
          <w:iCs/>
          <w:spacing w:val="-10"/>
        </w:rPr>
        <w:t>H. pylori</w:t>
      </w:r>
      <w:r>
        <w:rPr>
          <w:spacing w:val="-10"/>
        </w:rPr>
        <w:t xml:space="preserve"> infection (23.4 ± 19.9 fmol/mL, </w:t>
      </w:r>
      <w:r>
        <w:rPr>
          <w:i/>
          <w:iCs/>
          <w:spacing w:val="-10"/>
        </w:rPr>
        <w:t xml:space="preserve">P </w:t>
      </w:r>
      <w:r>
        <w:rPr>
          <w:spacing w:val="-10"/>
        </w:rPr>
        <w:t>= 0.007) (Table 4)</w:t>
      </w:r>
      <w:r>
        <w:rPr>
          <w:spacing w:val="-10"/>
          <w:vertAlign w:val="superscript"/>
        </w:rPr>
        <w:t>[18]</w:t>
      </w:r>
      <w:r>
        <w:rPr>
          <w:spacing w:val="-10"/>
        </w:rPr>
        <w:t>, suggesting that the severity of serological and endoscopic gastric mucosal atrophy is a major determinant of ghrelin levels (Table 3). In fact, multiple regression analysis shows a significant positive correlation between acyl ghrelin and PG I levels (</w:t>
      </w:r>
      <w:r>
        <w:rPr>
          <w:rFonts w:ascii="Symbol" w:hAnsi="Symbol" w:cs="Symbol"/>
          <w:spacing w:val="-10"/>
        </w:rPr>
        <w:t></w:t>
      </w:r>
      <w:r>
        <w:rPr>
          <w:spacing w:val="-10"/>
        </w:rPr>
        <w:t xml:space="preserve"> = 0.738, </w:t>
      </w:r>
      <w:r>
        <w:rPr>
          <w:i/>
          <w:iCs/>
          <w:spacing w:val="-10"/>
        </w:rPr>
        <w:t xml:space="preserve">P </w:t>
      </w:r>
      <w:r>
        <w:rPr>
          <w:spacing w:val="-10"/>
        </w:rPr>
        <w:t>&lt; 0.001) and significant negative correlations between ghrelin and age, albumin, and creatinine levels</w:t>
      </w:r>
      <w:r>
        <w:rPr>
          <w:spacing w:val="-10"/>
          <w:vertAlign w:val="superscript"/>
        </w:rPr>
        <w:t>[19]</w:t>
      </w:r>
      <w:r>
        <w:rPr>
          <w:spacing w:val="-10"/>
        </w:rPr>
        <w:t xml:space="preserve">. Therefore, PG level is the most influential determinant of plasma acyl and des-acyl ghrelin levels in HD patients. This suggests that plasma and gastric mucosal ghrelin levels are influenced by not only long-standing enhanced gastric mucosal inflammation induced by </w:t>
      </w:r>
      <w:r>
        <w:rPr>
          <w:i/>
          <w:iCs/>
          <w:spacing w:val="-10"/>
        </w:rPr>
        <w:t>H. pylori</w:t>
      </w:r>
      <w:r>
        <w:rPr>
          <w:spacing w:val="-10"/>
        </w:rPr>
        <w:t xml:space="preserve"> infection but also by gastric mucosal atrophy</w:t>
      </w:r>
      <w:r>
        <w:rPr>
          <w:spacing w:val="-10"/>
          <w:vertAlign w:val="superscript"/>
        </w:rPr>
        <w:t>[79]</w:t>
      </w:r>
      <w:r>
        <w:rPr>
          <w:spacing w:val="-10"/>
        </w:rPr>
        <w:t>. Because plasma and gastric ghrelin levels depend on the number of ghrelin immunoreactive cells in the gastric mucosa</w:t>
      </w:r>
      <w:r>
        <w:rPr>
          <w:spacing w:val="-10"/>
          <w:vertAlign w:val="superscript"/>
        </w:rPr>
        <w:t>[79-81]</w:t>
      </w:r>
      <w:r>
        <w:rPr>
          <w:spacing w:val="-10"/>
        </w:rPr>
        <w:t xml:space="preserve">, plasma ghrelin levels may be influenced more by the severity of atrophy than current </w:t>
      </w:r>
      <w:r>
        <w:rPr>
          <w:i/>
          <w:iCs/>
          <w:spacing w:val="-10"/>
        </w:rPr>
        <w:t xml:space="preserve">H. pylori </w:t>
      </w:r>
      <w:r>
        <w:rPr>
          <w:spacing w:val="-10"/>
        </w:rPr>
        <w:t xml:space="preserve">infection in HD patients. Therefore, it is important to consider methods to prevent progression of gastric mucosal atrophy in HD patients. </w:t>
      </w:r>
    </w:p>
    <w:p w:rsidR="00013E1A" w:rsidRDefault="00013E1A" w:rsidP="00013E1A">
      <w:pPr>
        <w:pStyle w:val="10"/>
      </w:pPr>
      <w:r>
        <w:t>HD patients with gastric mucosal atrophy have a lower normalized protein catabolic rate (nPCR) than non-atrophy patients</w:t>
      </w:r>
      <w:r>
        <w:rPr>
          <w:vertAlign w:val="superscript"/>
        </w:rPr>
        <w:t>[19]</w:t>
      </w:r>
      <w:r>
        <w:t xml:space="preserve">. Chronic persistent damage to the gastric mucosa and gastric mucosal atrophy in </w:t>
      </w:r>
      <w:r>
        <w:rPr>
          <w:i/>
          <w:iCs/>
        </w:rPr>
        <w:t>H. pylori</w:t>
      </w:r>
      <w:r>
        <w:t xml:space="preserve">-positive HD patients may contribute to decreased protein intake, PEW, and decreased body weight </w:t>
      </w:r>
      <w:r>
        <w:rPr>
          <w:i/>
          <w:iCs/>
        </w:rPr>
        <w:t>via</w:t>
      </w:r>
      <w:r>
        <w:t xml:space="preserve"> decreased ghrelin production. Because ghrelin level is associated with mortality related to cardiovascular disease and PEW in HD patients, alternative management, such as </w:t>
      </w:r>
      <w:r>
        <w:rPr>
          <w:i/>
          <w:iCs/>
        </w:rPr>
        <w:t>H. pylori</w:t>
      </w:r>
      <w:r>
        <w:t xml:space="preserve"> eradication therapy, before the progression of gastric mucosal atrophy might be necessary to prevent the decrease in ghrelin level in HD patients</w:t>
      </w:r>
      <w:r>
        <w:rPr>
          <w:vertAlign w:val="superscript"/>
        </w:rPr>
        <w:t>[74,78]</w:t>
      </w:r>
      <w:r>
        <w:t xml:space="preserve">. </w:t>
      </w:r>
    </w:p>
    <w:p w:rsidR="00013E1A" w:rsidRPr="003050C4" w:rsidRDefault="00013E1A" w:rsidP="00013E1A">
      <w:pPr>
        <w:pStyle w:val="af7"/>
        <w:ind w:left="5250"/>
        <w:rPr>
          <w:i/>
          <w:iCs/>
          <w:lang w:val="en-US"/>
        </w:rPr>
      </w:pPr>
    </w:p>
    <w:p w:rsidR="00013E1A" w:rsidRPr="003050C4" w:rsidRDefault="00013E1A" w:rsidP="00013E1A">
      <w:pPr>
        <w:pStyle w:val="af7"/>
        <w:ind w:left="5250"/>
        <w:rPr>
          <w:u w:val="single"/>
          <w:lang w:val="en-US"/>
        </w:rPr>
      </w:pPr>
      <w:r w:rsidRPr="003050C4">
        <w:rPr>
          <w:i/>
          <w:iCs/>
          <w:u w:val="single"/>
          <w:lang w:val="en-US"/>
        </w:rPr>
        <w:lastRenderedPageBreak/>
        <w:t>H. PYLORI</w:t>
      </w:r>
      <w:r w:rsidRPr="003050C4">
        <w:rPr>
          <w:u w:val="single"/>
          <w:lang w:val="en-US"/>
        </w:rPr>
        <w:t xml:space="preserve"> ERADICATION THERAPY AND NUTRITION STATUS IN HD PATIENTS </w:t>
      </w:r>
    </w:p>
    <w:p w:rsidR="00013E1A" w:rsidRDefault="00013E1A" w:rsidP="00013E1A">
      <w:pPr>
        <w:pStyle w:val="af8"/>
        <w:rPr>
          <w:spacing w:val="-10"/>
        </w:rPr>
      </w:pPr>
      <w:r>
        <w:rPr>
          <w:i/>
          <w:iCs/>
          <w:spacing w:val="-10"/>
        </w:rPr>
        <w:t>H</w:t>
      </w:r>
      <w:r w:rsidRPr="003050C4">
        <w:rPr>
          <w:i/>
          <w:iCs/>
          <w:spacing w:val="-10"/>
        </w:rPr>
        <w:t xml:space="preserve">. </w:t>
      </w:r>
      <w:r>
        <w:rPr>
          <w:i/>
          <w:iCs/>
          <w:spacing w:val="-10"/>
        </w:rPr>
        <w:t>pylori</w:t>
      </w:r>
      <w:r>
        <w:rPr>
          <w:spacing w:val="-10"/>
        </w:rPr>
        <w:t xml:space="preserve"> infection affects the incident rate of gastro</w:t>
      </w:r>
      <w:r>
        <w:rPr>
          <w:spacing w:val="-10"/>
        </w:rPr>
        <w:softHyphen/>
        <w:t>duodenal disease and nutritional status</w:t>
      </w:r>
      <w:r>
        <w:rPr>
          <w:spacing w:val="-10"/>
          <w:vertAlign w:val="superscript"/>
        </w:rPr>
        <w:t>[20,25]</w:t>
      </w:r>
      <w:r>
        <w:rPr>
          <w:spacing w:val="-10"/>
        </w:rPr>
        <w:t xml:space="preserve">. </w:t>
      </w:r>
      <w:r>
        <w:rPr>
          <w:i/>
          <w:iCs/>
          <w:spacing w:val="-10"/>
        </w:rPr>
        <w:t>H. pylori</w:t>
      </w:r>
      <w:r>
        <w:rPr>
          <w:spacing w:val="-10"/>
        </w:rPr>
        <w:t xml:space="preserve"> eradication therapy often causes individuals with no</w:t>
      </w:r>
      <w:r w:rsidRPr="003050C4">
        <w:rPr>
          <w:spacing w:val="-10"/>
        </w:rPr>
        <w:t>r</w:t>
      </w:r>
      <w:r>
        <w:rPr>
          <w:spacing w:val="-10"/>
        </w:rPr>
        <w:t>mal renal function to develop hyperlipidemia and hyperproteinaemia, along with an increase of body weight and BMI</w:t>
      </w:r>
      <w:r>
        <w:rPr>
          <w:spacing w:val="-10"/>
          <w:vertAlign w:val="superscript"/>
        </w:rPr>
        <w:t>[80]</w:t>
      </w:r>
      <w:r>
        <w:rPr>
          <w:spacing w:val="-10"/>
        </w:rPr>
        <w:t xml:space="preserve">. This phenomenon is considered to be due to increases in plasma ghrelin level followed by increased appetite and food intake after </w:t>
      </w:r>
      <w:r>
        <w:rPr>
          <w:i/>
          <w:iCs/>
          <w:spacing w:val="-10"/>
        </w:rPr>
        <w:t>H. pylori</w:t>
      </w:r>
      <w:r>
        <w:rPr>
          <w:spacing w:val="-10"/>
        </w:rPr>
        <w:t xml:space="preserve"> eradication therapy</w:t>
      </w:r>
      <w:r>
        <w:rPr>
          <w:spacing w:val="-10"/>
          <w:vertAlign w:val="superscript"/>
        </w:rPr>
        <w:t>[82,83]</w:t>
      </w:r>
      <w:r>
        <w:rPr>
          <w:spacing w:val="-10"/>
        </w:rPr>
        <w:t xml:space="preserve"> In CAPD patients, </w:t>
      </w:r>
      <w:r>
        <w:rPr>
          <w:i/>
          <w:iCs/>
          <w:spacing w:val="-10"/>
        </w:rPr>
        <w:t>H. pylori</w:t>
      </w:r>
      <w:r>
        <w:rPr>
          <w:spacing w:val="-10"/>
        </w:rPr>
        <w:t xml:space="preserve"> eradication therapy significantly improves anorexia, inflammation, and malnutrition</w:t>
      </w:r>
      <w:r>
        <w:rPr>
          <w:spacing w:val="-10"/>
          <w:vertAlign w:val="superscript"/>
        </w:rPr>
        <w:t>[84]</w:t>
      </w:r>
      <w:r>
        <w:rPr>
          <w:spacing w:val="-10"/>
        </w:rPr>
        <w:t xml:space="preserve">. After </w:t>
      </w:r>
      <w:r>
        <w:rPr>
          <w:i/>
          <w:iCs/>
          <w:spacing w:val="-10"/>
        </w:rPr>
        <w:t>H. pylori</w:t>
      </w:r>
      <w:r>
        <w:rPr>
          <w:spacing w:val="-10"/>
        </w:rPr>
        <w:t xml:space="preserve"> eradication, CAPD patients with anorexia showed a significant increase in markers of nutrition and in VAS scores for almost all questions. Significant differences were also found in lymphocyte count, nPCR, prealbumin, albumin, CRP, before-lunch desire to eat, after-lunch desire to eat, hunger before lunch, hunger after lunch, fullness before lunch, consumption after lunch, and palatability</w:t>
      </w:r>
      <w:r>
        <w:rPr>
          <w:spacing w:val="-10"/>
          <w:vertAlign w:val="superscript"/>
        </w:rPr>
        <w:t>[85]</w:t>
      </w:r>
      <w:r>
        <w:rPr>
          <w:spacing w:val="-10"/>
        </w:rPr>
        <w:t xml:space="preserve">. However, it is unclear whether nutritional disorders in HD patients improve after eradication therapy. It is important to answer this clinical question to improve the poor prognosis in HD patients. </w:t>
      </w:r>
    </w:p>
    <w:p w:rsidR="00013E1A" w:rsidRDefault="00013E1A" w:rsidP="00013E1A">
      <w:pPr>
        <w:pStyle w:val="10"/>
        <w:rPr>
          <w:spacing w:val="-9"/>
        </w:rPr>
      </w:pPr>
      <w:r>
        <w:rPr>
          <w:spacing w:val="-9"/>
        </w:rPr>
        <w:t>At 1 year after eradication therapy, serum choli</w:t>
      </w:r>
      <w:r>
        <w:rPr>
          <w:spacing w:val="-9"/>
        </w:rPr>
        <w:softHyphen/>
        <w:t xml:space="preserve">nesterase levels significantly increase compared with the level before eradication (303.2 ± 76.0 </w:t>
      </w:r>
      <w:r>
        <w:rPr>
          <w:i/>
          <w:iCs/>
          <w:spacing w:val="-9"/>
        </w:rPr>
        <w:t>vs</w:t>
      </w:r>
      <w:r w:rsidRPr="003050C4">
        <w:rPr>
          <w:spacing w:val="-9"/>
        </w:rPr>
        <w:t xml:space="preserve"> </w:t>
      </w:r>
      <w:r>
        <w:rPr>
          <w:spacing w:val="-9"/>
        </w:rPr>
        <w:t xml:space="preserve">287.3 ± 68.1 IU/L, </w:t>
      </w:r>
      <w:r>
        <w:rPr>
          <w:i/>
          <w:iCs/>
          <w:spacing w:val="-9"/>
        </w:rPr>
        <w:t>P</w:t>
      </w:r>
      <w:r>
        <w:rPr>
          <w:spacing w:val="-9"/>
        </w:rPr>
        <w:t xml:space="preserve"> = 0.029). In particular, cholesterol (before, 196.6 ± 23.2 mg/dL; after, 206.1 ± 25.9 mg/dL, </w:t>
      </w:r>
      <w:r>
        <w:rPr>
          <w:i/>
          <w:iCs/>
          <w:spacing w:val="-9"/>
        </w:rPr>
        <w:t xml:space="preserve">P </w:t>
      </w:r>
      <w:r>
        <w:rPr>
          <w:spacing w:val="-9"/>
        </w:rPr>
        <w:t xml:space="preserve">= 0.042) and cholinesterase levels (before, 296.9 ± 70.8 IU/L; after, 316.4 ± 73.8 IU/L, </w:t>
      </w:r>
      <w:r>
        <w:rPr>
          <w:i/>
          <w:iCs/>
          <w:spacing w:val="-9"/>
        </w:rPr>
        <w:t xml:space="preserve">P </w:t>
      </w:r>
      <w:r>
        <w:rPr>
          <w:spacing w:val="-9"/>
        </w:rPr>
        <w:t>= 0.049) increase more in patients with mild</w:t>
      </w:r>
      <w:r w:rsidRPr="003050C4">
        <w:rPr>
          <w:spacing w:val="-9"/>
        </w:rPr>
        <w:t>-</w:t>
      </w:r>
      <w:r>
        <w:rPr>
          <w:spacing w:val="-9"/>
        </w:rPr>
        <w:t>moderate gastric mucosal atrophy than in those with severe atrophy. This observation suggests that eradication therapy has contributed to improvement of PEW in HD patients. We therefore recommend that HD patients</w:t>
      </w:r>
      <w:r>
        <w:rPr>
          <w:i/>
          <w:iCs/>
          <w:spacing w:val="-9"/>
        </w:rPr>
        <w:t xml:space="preserve"> </w:t>
      </w:r>
      <w:r>
        <w:rPr>
          <w:spacing w:val="-9"/>
        </w:rPr>
        <w:t xml:space="preserve">be checked for </w:t>
      </w:r>
      <w:r>
        <w:rPr>
          <w:i/>
          <w:iCs/>
          <w:spacing w:val="-9"/>
        </w:rPr>
        <w:t>H. pylori</w:t>
      </w:r>
      <w:r>
        <w:rPr>
          <w:spacing w:val="-9"/>
        </w:rPr>
        <w:t xml:space="preserve"> infection and that eradication therapy should be initiated before the progression of gastric atrophy.</w:t>
      </w:r>
    </w:p>
    <w:p w:rsidR="00013E1A" w:rsidRDefault="00013E1A" w:rsidP="00013E1A">
      <w:pPr>
        <w:pStyle w:val="10"/>
        <w:rPr>
          <w:spacing w:val="-10"/>
        </w:rPr>
      </w:pPr>
      <w:r>
        <w:rPr>
          <w:spacing w:val="-10"/>
        </w:rPr>
        <w:t>It is possible that the improvement in nutritional status and increase in BMI after eradication therapy depends not only on an increase in ghrelin levels but also on another biological mechanism(s), such as an improvement in gastrointestinal motility</w:t>
      </w:r>
      <w:r>
        <w:rPr>
          <w:spacing w:val="-10"/>
          <w:vertAlign w:val="superscript"/>
        </w:rPr>
        <w:t>[86]</w:t>
      </w:r>
      <w:r>
        <w:rPr>
          <w:spacing w:val="-10"/>
        </w:rPr>
        <w:t>, change in gut microbiome profile</w:t>
      </w:r>
      <w:r>
        <w:rPr>
          <w:spacing w:val="-10"/>
          <w:vertAlign w:val="superscript"/>
        </w:rPr>
        <w:t>[87]</w:t>
      </w:r>
      <w:r>
        <w:rPr>
          <w:spacing w:val="-10"/>
        </w:rPr>
        <w:t>, and/or increase in absorption ability</w:t>
      </w:r>
      <w:r>
        <w:rPr>
          <w:spacing w:val="-10"/>
          <w:vertAlign w:val="superscript"/>
        </w:rPr>
        <w:t>[88]</w:t>
      </w:r>
      <w:r>
        <w:rPr>
          <w:spacing w:val="-10"/>
        </w:rPr>
        <w:t xml:space="preserve">. Betrapally </w:t>
      </w:r>
      <w:r>
        <w:rPr>
          <w:i/>
          <w:iCs/>
          <w:spacing w:val="-10"/>
        </w:rPr>
        <w:t>et al</w:t>
      </w:r>
      <w:r>
        <w:rPr>
          <w:spacing w:val="-10"/>
          <w:vertAlign w:val="superscript"/>
        </w:rPr>
        <w:t>[87]</w:t>
      </w:r>
      <w:r>
        <w:rPr>
          <w:spacing w:val="-10"/>
        </w:rPr>
        <w:t xml:space="preserve"> reported that alterations to the intestinal microbiota affect the development of nonalcoholic steatohepatitis by influencing digestion, de</w:t>
      </w:r>
      <w:r>
        <w:rPr>
          <w:spacing w:val="-10"/>
        </w:rPr>
        <w:softHyphen/>
        <w:t xml:space="preserve">velopment of obesity, immune response, and production of gut hormones. </w:t>
      </w:r>
      <w:r>
        <w:rPr>
          <w:i/>
          <w:iCs/>
          <w:spacing w:val="-10"/>
        </w:rPr>
        <w:t xml:space="preserve">H. pylori </w:t>
      </w:r>
      <w:r>
        <w:rPr>
          <w:spacing w:val="-10"/>
        </w:rPr>
        <w:t>eradication therapy changes the gastrointestinal microbiota</w:t>
      </w:r>
      <w:r>
        <w:rPr>
          <w:spacing w:val="-10"/>
          <w:vertAlign w:val="superscript"/>
        </w:rPr>
        <w:t>[89]</w:t>
      </w:r>
      <w:r>
        <w:rPr>
          <w:spacing w:val="-10"/>
        </w:rPr>
        <w:t>. A study to examine whether the long-term prognosis of HD patients is improved by the effect of eradication therapy on the microbiota will be required to investigate this hypothesis further.</w:t>
      </w:r>
    </w:p>
    <w:p w:rsidR="00013E1A" w:rsidRPr="003050C4" w:rsidRDefault="00013E1A" w:rsidP="00013E1A">
      <w:pPr>
        <w:pStyle w:val="af7"/>
        <w:ind w:left="5250"/>
        <w:rPr>
          <w:lang w:val="en-US"/>
        </w:rPr>
      </w:pPr>
    </w:p>
    <w:p w:rsidR="00013E1A" w:rsidRPr="003050C4" w:rsidRDefault="00013E1A" w:rsidP="00013E1A">
      <w:pPr>
        <w:pStyle w:val="af7"/>
        <w:ind w:left="5250"/>
        <w:rPr>
          <w:u w:val="single"/>
          <w:lang w:val="en-US"/>
        </w:rPr>
      </w:pPr>
      <w:r w:rsidRPr="003050C4">
        <w:rPr>
          <w:i/>
          <w:iCs/>
          <w:u w:val="single"/>
          <w:lang w:val="en-US"/>
        </w:rPr>
        <w:t>H. PYLORI</w:t>
      </w:r>
      <w:r w:rsidRPr="003050C4">
        <w:rPr>
          <w:u w:val="single"/>
          <w:lang w:val="en-US"/>
        </w:rPr>
        <w:t xml:space="preserve"> AND ANEMIA IN HEMODIALYSIS PATIENTS </w:t>
      </w:r>
    </w:p>
    <w:p w:rsidR="00013E1A" w:rsidRDefault="00013E1A" w:rsidP="00013E1A">
      <w:pPr>
        <w:pStyle w:val="af8"/>
        <w:rPr>
          <w:spacing w:val="-9"/>
        </w:rPr>
      </w:pPr>
      <w:r>
        <w:rPr>
          <w:i/>
          <w:iCs/>
          <w:spacing w:val="-9"/>
        </w:rPr>
        <w:t>H pylori</w:t>
      </w:r>
      <w:r>
        <w:rPr>
          <w:spacing w:val="-9"/>
        </w:rPr>
        <w:t xml:space="preserve"> has been identified as a possible cause of vitamin B12 and iron deficiency in the general population. Trimarchi </w:t>
      </w:r>
      <w:r>
        <w:rPr>
          <w:i/>
          <w:iCs/>
          <w:spacing w:val="-9"/>
        </w:rPr>
        <w:lastRenderedPageBreak/>
        <w:t>et al</w:t>
      </w:r>
      <w:r>
        <w:rPr>
          <w:spacing w:val="-9"/>
          <w:vertAlign w:val="superscript"/>
        </w:rPr>
        <w:t>[90]</w:t>
      </w:r>
      <w:r>
        <w:rPr>
          <w:spacing w:val="-9"/>
        </w:rPr>
        <w:t xml:space="preserve"> reported that </w:t>
      </w:r>
      <w:r>
        <w:rPr>
          <w:i/>
          <w:iCs/>
          <w:spacing w:val="-9"/>
        </w:rPr>
        <w:t>H. pylori</w:t>
      </w:r>
      <w:r>
        <w:rPr>
          <w:spacing w:val="-9"/>
        </w:rPr>
        <w:t xml:space="preserve">-positive HD patients may present with lower vitamin B12 blood levels and that </w:t>
      </w:r>
      <w:r>
        <w:rPr>
          <w:i/>
          <w:iCs/>
          <w:spacing w:val="-9"/>
        </w:rPr>
        <w:t>H. pylori</w:t>
      </w:r>
      <w:r w:rsidRPr="003050C4">
        <w:rPr>
          <w:spacing w:val="-9"/>
        </w:rPr>
        <w:t xml:space="preserve"> </w:t>
      </w:r>
      <w:r>
        <w:rPr>
          <w:spacing w:val="-9"/>
        </w:rPr>
        <w:t xml:space="preserve">should be suspected in HD patients when low or low-normal vitamin B12 levels or macrocytosis exist. </w:t>
      </w:r>
    </w:p>
    <w:p w:rsidR="00013E1A" w:rsidRPr="003050C4" w:rsidRDefault="00013E1A" w:rsidP="00013E1A">
      <w:pPr>
        <w:pStyle w:val="af7"/>
        <w:ind w:left="5250"/>
        <w:rPr>
          <w:lang w:val="en-US"/>
        </w:rPr>
      </w:pPr>
    </w:p>
    <w:p w:rsidR="00013E1A" w:rsidRPr="003050C4" w:rsidRDefault="00013E1A" w:rsidP="00013E1A">
      <w:pPr>
        <w:pStyle w:val="af7"/>
        <w:ind w:left="5250"/>
        <w:rPr>
          <w:u w:val="single"/>
          <w:lang w:val="en-US"/>
        </w:rPr>
      </w:pPr>
      <w:r w:rsidRPr="003050C4">
        <w:rPr>
          <w:u w:val="single"/>
          <w:lang w:val="en-US"/>
        </w:rPr>
        <w:t>CONCLUSION</w:t>
      </w:r>
    </w:p>
    <w:p w:rsidR="00013E1A" w:rsidRPr="003050C4" w:rsidRDefault="00013E1A" w:rsidP="00013E1A">
      <w:pPr>
        <w:pStyle w:val="af8"/>
        <w:rPr>
          <w:spacing w:val="-9"/>
        </w:rPr>
      </w:pPr>
      <w:r>
        <w:rPr>
          <w:spacing w:val="-9"/>
        </w:rPr>
        <w:t xml:space="preserve">Chronic renal failure patients receiving HD have a low prevalence of </w:t>
      </w:r>
      <w:r>
        <w:rPr>
          <w:i/>
          <w:iCs/>
          <w:spacing w:val="-9"/>
        </w:rPr>
        <w:t>H. pylori</w:t>
      </w:r>
      <w:r>
        <w:rPr>
          <w:spacing w:val="-9"/>
        </w:rPr>
        <w:t xml:space="preserve"> infection. More than one-third of patients receiving &lt; 4 y</w:t>
      </w:r>
      <w:r w:rsidRPr="003050C4">
        <w:rPr>
          <w:spacing w:val="-9"/>
        </w:rPr>
        <w:t>ear</w:t>
      </w:r>
      <w:r>
        <w:rPr>
          <w:spacing w:val="-9"/>
        </w:rPr>
        <w:t xml:space="preserve"> of dialysis had naturally cured </w:t>
      </w:r>
      <w:r>
        <w:rPr>
          <w:i/>
          <w:iCs/>
          <w:spacing w:val="-9"/>
        </w:rPr>
        <w:t xml:space="preserve">H. pylori </w:t>
      </w:r>
      <w:r>
        <w:rPr>
          <w:spacing w:val="-9"/>
        </w:rPr>
        <w:t>infection within the 4 y</w:t>
      </w:r>
      <w:r w:rsidRPr="003050C4">
        <w:rPr>
          <w:spacing w:val="-9"/>
        </w:rPr>
        <w:t>ear</w:t>
      </w:r>
      <w:r>
        <w:rPr>
          <w:spacing w:val="-9"/>
        </w:rPr>
        <w:t xml:space="preserve"> observation period. However, because chronic renal failure patients have a higher risk of gastroduodenal disorders, all HD patients are recommended to receive endoscopic check-ups to reduce the chance of developing peptic ulcer disease. Moreover, patients with </w:t>
      </w:r>
      <w:r>
        <w:rPr>
          <w:i/>
          <w:iCs/>
          <w:spacing w:val="-9"/>
        </w:rPr>
        <w:t>H. pylori</w:t>
      </w:r>
      <w:r>
        <w:rPr>
          <w:spacing w:val="-9"/>
        </w:rPr>
        <w:t xml:space="preserve"> infection should also receive eradication therapy including AMPC 250 mg twice daily to prevent peptic ulcer, gastric cancer, and hemorrhage from gastroduodenal lesions. QOL in HD patients is usually poor and affects their nutritional status. Severity of gastric atrophy is shown to be the major determinant of ghrelin levels in HD patients and eradication treatment of </w:t>
      </w:r>
      <w:r>
        <w:rPr>
          <w:i/>
          <w:iCs/>
          <w:spacing w:val="-9"/>
        </w:rPr>
        <w:t>H. pylori</w:t>
      </w:r>
      <w:r>
        <w:rPr>
          <w:spacing w:val="-9"/>
        </w:rPr>
        <w:t xml:space="preserve"> improves nutrition status by increasing serum cholinesterase and cholesterol levels. </w:t>
      </w:r>
      <w:r>
        <w:rPr>
          <w:i/>
          <w:iCs/>
          <w:spacing w:val="-9"/>
        </w:rPr>
        <w:t>H. pylori</w:t>
      </w:r>
      <w:r>
        <w:rPr>
          <w:spacing w:val="-9"/>
        </w:rPr>
        <w:t xml:space="preserve"> eradication before progress of gastric atrophy may be required to prevent a decrease in ghrelin levels and improve prognosis of HD patients in relation to poor nutritional status. </w:t>
      </w:r>
    </w:p>
    <w:p w:rsidR="00013E1A" w:rsidRPr="003050C4" w:rsidRDefault="00013E1A" w:rsidP="00013E1A">
      <w:pPr>
        <w:pStyle w:val="af7"/>
        <w:ind w:left="5250"/>
        <w:rPr>
          <w:lang w:val="en-US"/>
        </w:rPr>
      </w:pPr>
    </w:p>
    <w:p w:rsidR="00013E1A" w:rsidRPr="003050C4" w:rsidRDefault="00013E1A" w:rsidP="00013E1A">
      <w:pPr>
        <w:pStyle w:val="af7"/>
        <w:ind w:left="5250"/>
        <w:rPr>
          <w:lang w:val="en-US"/>
        </w:rPr>
      </w:pPr>
      <w:r w:rsidRPr="003050C4">
        <w:rPr>
          <w:lang w:val="en-US"/>
        </w:rPr>
        <w:t>REFERENCES</w:t>
      </w:r>
    </w:p>
    <w:p w:rsidR="00013E1A" w:rsidRDefault="00013E1A" w:rsidP="00013E1A">
      <w:pPr>
        <w:pStyle w:val="-1"/>
      </w:pPr>
      <w:r w:rsidRPr="003050C4">
        <w:t>1</w:t>
      </w:r>
      <w:r w:rsidRPr="003050C4">
        <w:tab/>
      </w:r>
      <w:r>
        <w:rPr>
          <w:b/>
          <w:bCs/>
        </w:rPr>
        <w:t>Prasad N</w:t>
      </w:r>
      <w:r>
        <w:t xml:space="preserve">, Jha V. Hemodialysis in Asia. </w:t>
      </w:r>
      <w:r>
        <w:rPr>
          <w:i/>
          <w:iCs/>
        </w:rPr>
        <w:t xml:space="preserve">Kidney Dis </w:t>
      </w:r>
      <w:r>
        <w:t xml:space="preserve">(Basel) 2015; </w:t>
      </w:r>
      <w:r>
        <w:rPr>
          <w:b/>
          <w:bCs/>
        </w:rPr>
        <w:t>1</w:t>
      </w:r>
      <w:r>
        <w:t>: 165-177 [PMID: 27536677 DOI: 10.1159/000441816]</w:t>
      </w:r>
    </w:p>
    <w:p w:rsidR="00013E1A" w:rsidRDefault="00013E1A" w:rsidP="00013E1A">
      <w:pPr>
        <w:pStyle w:val="-1"/>
      </w:pPr>
      <w:r w:rsidRPr="003050C4">
        <w:t>2</w:t>
      </w:r>
      <w:r w:rsidRPr="003050C4">
        <w:tab/>
      </w:r>
      <w:r>
        <w:rPr>
          <w:b/>
          <w:bCs/>
        </w:rPr>
        <w:t>Lysaght MJ</w:t>
      </w:r>
      <w:r>
        <w:t xml:space="preserve">. Maintenance dialysis population dynamics: current trends and long-term implications. </w:t>
      </w:r>
      <w:r>
        <w:rPr>
          <w:i/>
          <w:iCs/>
        </w:rPr>
        <w:t>J Am Soc Nephrol</w:t>
      </w:r>
      <w:r>
        <w:t xml:space="preserve"> 2002; </w:t>
      </w:r>
      <w:r>
        <w:rPr>
          <w:b/>
          <w:bCs/>
        </w:rPr>
        <w:t xml:space="preserve">13 </w:t>
      </w:r>
      <w:r>
        <w:t>Suppl 1: S37-S40 [PMID: 11792760]</w:t>
      </w:r>
    </w:p>
    <w:p w:rsidR="00013E1A" w:rsidRDefault="00013E1A" w:rsidP="00013E1A">
      <w:pPr>
        <w:pStyle w:val="-1"/>
      </w:pPr>
      <w:r w:rsidRPr="003050C4">
        <w:t>3</w:t>
      </w:r>
      <w:r w:rsidRPr="003050C4">
        <w:tab/>
      </w:r>
      <w:r>
        <w:rPr>
          <w:b/>
          <w:bCs/>
        </w:rPr>
        <w:t>Ala-Kaila K</w:t>
      </w:r>
      <w:r>
        <w:t xml:space="preserve">. Upper gastrointestinal findings in chronic renal failure. </w:t>
      </w:r>
      <w:r>
        <w:rPr>
          <w:i/>
          <w:iCs/>
        </w:rPr>
        <w:t>Scand J Gastroenterol</w:t>
      </w:r>
      <w:r>
        <w:t xml:space="preserve"> 1987; </w:t>
      </w:r>
      <w:r>
        <w:rPr>
          <w:b/>
          <w:bCs/>
        </w:rPr>
        <w:t>22</w:t>
      </w:r>
      <w:r>
        <w:t>: 372-376 [PMID: 3296137]</w:t>
      </w:r>
    </w:p>
    <w:p w:rsidR="00013E1A" w:rsidRDefault="00013E1A" w:rsidP="00013E1A">
      <w:pPr>
        <w:pStyle w:val="-1"/>
      </w:pPr>
      <w:r w:rsidRPr="003050C4">
        <w:t>4</w:t>
      </w:r>
      <w:r w:rsidRPr="003050C4">
        <w:tab/>
      </w:r>
      <w:r>
        <w:rPr>
          <w:b/>
          <w:bCs/>
        </w:rPr>
        <w:t>Sezer S</w:t>
      </w:r>
      <w:r>
        <w:t xml:space="preserve">, Ibiş A, Ozdemir BH, Ozdemir FN, Külah E, Boyacioğlu S, Haberal M. Association of helicobacter pylori infection with nutritional status in hemodialysis patients. </w:t>
      </w:r>
      <w:r>
        <w:rPr>
          <w:i/>
          <w:iCs/>
        </w:rPr>
        <w:t>Transplant Proc</w:t>
      </w:r>
      <w:r>
        <w:t xml:space="preserve"> 2004; </w:t>
      </w:r>
      <w:r>
        <w:rPr>
          <w:b/>
          <w:bCs/>
        </w:rPr>
        <w:t>36</w:t>
      </w:r>
      <w:r>
        <w:t>: 47-49 [PMID: 15013297]</w:t>
      </w:r>
    </w:p>
    <w:p w:rsidR="00013E1A" w:rsidRDefault="00013E1A" w:rsidP="00013E1A">
      <w:pPr>
        <w:pStyle w:val="-1"/>
      </w:pPr>
      <w:r w:rsidRPr="003050C4">
        <w:t>5</w:t>
      </w:r>
      <w:r w:rsidRPr="003050C4">
        <w:tab/>
      </w:r>
      <w:r>
        <w:rPr>
          <w:b/>
          <w:bCs/>
        </w:rPr>
        <w:t>Sotoudehmanesh R</w:t>
      </w:r>
      <w:r>
        <w:t xml:space="preserve">, Ali Asgari A, Ansari R, Nouraie M. Endoscopic findings in end-stage renal disease. </w:t>
      </w:r>
      <w:r>
        <w:rPr>
          <w:i/>
          <w:iCs/>
        </w:rPr>
        <w:t>Endoscopy</w:t>
      </w:r>
      <w:r>
        <w:t xml:space="preserve"> 2003; </w:t>
      </w:r>
      <w:r>
        <w:rPr>
          <w:b/>
          <w:bCs/>
        </w:rPr>
        <w:t>35</w:t>
      </w:r>
      <w:r>
        <w:t>: 502-505 [PMID: 12783348 DOI: 10.1055/s-2003-39672]</w:t>
      </w:r>
    </w:p>
    <w:p w:rsidR="00013E1A" w:rsidRDefault="00013E1A" w:rsidP="00013E1A">
      <w:pPr>
        <w:pStyle w:val="-1"/>
      </w:pPr>
      <w:r w:rsidRPr="003050C4">
        <w:t>6</w:t>
      </w:r>
      <w:r w:rsidRPr="003050C4">
        <w:tab/>
      </w:r>
      <w:r>
        <w:rPr>
          <w:b/>
          <w:bCs/>
        </w:rPr>
        <w:t>Tsai CJ</w:t>
      </w:r>
      <w:r>
        <w:t xml:space="preserve">, Hwang JC. Investigation of upper gastrointestinal hemorrhage in chronic renal failure. </w:t>
      </w:r>
      <w:r>
        <w:rPr>
          <w:i/>
          <w:iCs/>
        </w:rPr>
        <w:t>J Clin Gastroenterol</w:t>
      </w:r>
      <w:r>
        <w:t xml:space="preserve"> 1996; </w:t>
      </w:r>
      <w:r>
        <w:rPr>
          <w:b/>
          <w:bCs/>
        </w:rPr>
        <w:t>22</w:t>
      </w:r>
      <w:r>
        <w:t>: 2-5 [PMID: 8776085]</w:t>
      </w:r>
    </w:p>
    <w:p w:rsidR="00013E1A" w:rsidRDefault="00013E1A" w:rsidP="00013E1A">
      <w:pPr>
        <w:pStyle w:val="-1"/>
      </w:pPr>
      <w:r w:rsidRPr="003050C4">
        <w:t>7</w:t>
      </w:r>
      <w:r w:rsidRPr="003050C4">
        <w:tab/>
      </w:r>
      <w:r>
        <w:rPr>
          <w:b/>
          <w:bCs/>
        </w:rPr>
        <w:t>Khedmat H</w:t>
      </w:r>
      <w:r>
        <w:t xml:space="preserve">, Ahmadzad-Asl M, Amini M, Lessan-Pezeshki M, Einollahi B, Pourfarziani V, Naseri MH, Davoudi F. Gastro-duodenal lesions and Helicobacter pylori infection in uremic patients and renal transplant recipients. </w:t>
      </w:r>
      <w:r>
        <w:rPr>
          <w:i/>
          <w:iCs/>
        </w:rPr>
        <w:t>Transplant Proc</w:t>
      </w:r>
      <w:r>
        <w:t xml:space="preserve"> 2007; </w:t>
      </w:r>
      <w:r>
        <w:rPr>
          <w:b/>
          <w:bCs/>
        </w:rPr>
        <w:t>39</w:t>
      </w:r>
      <w:r>
        <w:t>: 1003-1007 [PMID: 17524875 DOI: 10.1016/j.transproceed.2007.03.034]</w:t>
      </w:r>
    </w:p>
    <w:p w:rsidR="00013E1A" w:rsidRDefault="00013E1A" w:rsidP="00013E1A">
      <w:pPr>
        <w:pStyle w:val="-1"/>
      </w:pPr>
      <w:r w:rsidRPr="003050C4">
        <w:t>8</w:t>
      </w:r>
      <w:r w:rsidRPr="003050C4">
        <w:tab/>
      </w:r>
      <w:r>
        <w:rPr>
          <w:b/>
          <w:bCs/>
        </w:rPr>
        <w:t>Neithercut WD</w:t>
      </w:r>
      <w:r>
        <w:t xml:space="preserve">, Rowe PA, el Nujumi AM, Dahill S, McColl KE. Effect of Helicobacter pylori infection on intragastric urea and ammonium concentrations in patients with chronic renal failure. </w:t>
      </w:r>
      <w:r>
        <w:rPr>
          <w:i/>
          <w:iCs/>
        </w:rPr>
        <w:t>J Clin Pathol</w:t>
      </w:r>
      <w:r>
        <w:t xml:space="preserve"> 1993; </w:t>
      </w:r>
      <w:r>
        <w:rPr>
          <w:b/>
          <w:bCs/>
        </w:rPr>
        <w:t>46</w:t>
      </w:r>
      <w:r>
        <w:t>: 544-547 [PMID: 8331178]</w:t>
      </w:r>
    </w:p>
    <w:p w:rsidR="00013E1A" w:rsidRDefault="00013E1A" w:rsidP="00013E1A">
      <w:pPr>
        <w:pStyle w:val="-1"/>
      </w:pPr>
      <w:r w:rsidRPr="003050C4">
        <w:t>9</w:t>
      </w:r>
      <w:r w:rsidRPr="003050C4">
        <w:tab/>
      </w:r>
      <w:r>
        <w:rPr>
          <w:b/>
          <w:bCs/>
        </w:rPr>
        <w:t>Block GA</w:t>
      </w:r>
      <w:r>
        <w:t xml:space="preserve">, Raggi P, Bellasi A, Kooienga L, Spiegel DM. Mortality effect of coronary calcification and phosphate binder choice in incident hemodialysis patients. </w:t>
      </w:r>
      <w:r>
        <w:rPr>
          <w:i/>
          <w:iCs/>
        </w:rPr>
        <w:t>Kidney Int</w:t>
      </w:r>
      <w:r>
        <w:t xml:space="preserve"> 2007; </w:t>
      </w:r>
      <w:r>
        <w:rPr>
          <w:b/>
          <w:bCs/>
        </w:rPr>
        <w:t>71</w:t>
      </w:r>
      <w:r>
        <w:t>: 438-441 [PMID: 17200680]</w:t>
      </w:r>
    </w:p>
    <w:p w:rsidR="00013E1A" w:rsidRDefault="00013E1A" w:rsidP="00013E1A">
      <w:pPr>
        <w:pStyle w:val="-1"/>
      </w:pPr>
      <w:r w:rsidRPr="003050C4">
        <w:t>10</w:t>
      </w:r>
      <w:r w:rsidRPr="003050C4">
        <w:tab/>
      </w:r>
      <w:r>
        <w:rPr>
          <w:b/>
          <w:bCs/>
        </w:rPr>
        <w:t>Nakamura S</w:t>
      </w:r>
      <w:r>
        <w:t xml:space="preserve">, Sasaki O, Nakahama H, Inenaga T, Kawano Y. Clinical characteristics and survival in end-stage renal disease patients with arteriosclerosis obliterans. </w:t>
      </w:r>
      <w:r>
        <w:rPr>
          <w:i/>
          <w:iCs/>
        </w:rPr>
        <w:t>Am J Nephrol</w:t>
      </w:r>
      <w:r>
        <w:t xml:space="preserve"> 2002; </w:t>
      </w:r>
      <w:r>
        <w:rPr>
          <w:b/>
          <w:bCs/>
        </w:rPr>
        <w:t>22</w:t>
      </w:r>
      <w:r>
        <w:t>: 422-428 [PMID: 12381939]</w:t>
      </w:r>
    </w:p>
    <w:p w:rsidR="00013E1A" w:rsidRDefault="00013E1A" w:rsidP="00013E1A">
      <w:pPr>
        <w:pStyle w:val="-1"/>
      </w:pPr>
      <w:r w:rsidRPr="003050C4">
        <w:t>11</w:t>
      </w:r>
      <w:r w:rsidRPr="003050C4">
        <w:tab/>
      </w:r>
      <w:r>
        <w:rPr>
          <w:b/>
          <w:bCs/>
        </w:rPr>
        <w:t>Gür G</w:t>
      </w:r>
      <w:r>
        <w:t xml:space="preserve">, Boyacioglu S, Gül C, Turan M, Gürsoy M, Baysal C, Ozdemir N. Impact of Helicobacter pylori infection on serum gastrin in </w:t>
      </w:r>
      <w:r>
        <w:lastRenderedPageBreak/>
        <w:t xml:space="preserve">haemodialysis patients. </w:t>
      </w:r>
      <w:r>
        <w:rPr>
          <w:i/>
          <w:iCs/>
        </w:rPr>
        <w:t>Nephrol Dial Transplant</w:t>
      </w:r>
      <w:r>
        <w:t xml:space="preserve"> 1999; </w:t>
      </w:r>
      <w:r>
        <w:rPr>
          <w:b/>
          <w:bCs/>
        </w:rPr>
        <w:t>14</w:t>
      </w:r>
      <w:r>
        <w:t>: 2688-2691 [PMID: 10534513]</w:t>
      </w:r>
    </w:p>
    <w:p w:rsidR="00013E1A" w:rsidRDefault="00013E1A" w:rsidP="00013E1A">
      <w:pPr>
        <w:pStyle w:val="-1"/>
      </w:pPr>
      <w:r w:rsidRPr="003050C4">
        <w:t>12</w:t>
      </w:r>
      <w:r w:rsidRPr="003050C4">
        <w:tab/>
      </w:r>
      <w:r>
        <w:rPr>
          <w:b/>
          <w:bCs/>
        </w:rPr>
        <w:t>Asaka M</w:t>
      </w:r>
      <w:r>
        <w:t xml:space="preserve">, Kato M, Takahashi S, Fukuda Y, Sugiyama T, Ota H, Uemura N, Murakami K, Satoh K, Sugano K; Japanese Society for Helicobacter Research. Guidelines for the management of Helicobacter pylori infection in Japan: 2009 revised edition. </w:t>
      </w:r>
      <w:r>
        <w:rPr>
          <w:i/>
          <w:iCs/>
        </w:rPr>
        <w:t>Helicobacter</w:t>
      </w:r>
      <w:r>
        <w:t xml:space="preserve"> 2010; </w:t>
      </w:r>
      <w:r>
        <w:rPr>
          <w:b/>
          <w:bCs/>
        </w:rPr>
        <w:t>15</w:t>
      </w:r>
      <w:r>
        <w:t>: 1-20 [PMID: 20302585]</w:t>
      </w:r>
    </w:p>
    <w:p w:rsidR="00013E1A" w:rsidRDefault="00013E1A" w:rsidP="00013E1A">
      <w:pPr>
        <w:pStyle w:val="-1"/>
      </w:pPr>
      <w:r w:rsidRPr="003050C4">
        <w:t>13</w:t>
      </w:r>
      <w:r w:rsidRPr="003050C4">
        <w:tab/>
      </w:r>
      <w:r>
        <w:rPr>
          <w:b/>
          <w:bCs/>
        </w:rPr>
        <w:t>Malfertheiner P</w:t>
      </w:r>
      <w:r>
        <w:t xml:space="preserve">, Megraud F, O’Morain CA, Gisbert JP, Kuipers EJ, Axon AT, Bazzoli F, Gasbarrini A, Atherton J, Graham DY, Hunt R, Moayyedi P, Rokkas T, Rugge M, Selgrad M, Suerbaum S, Sugano K, El-Omar EM; European Helicobacter and Microbiota Study Group and Consensus panel. Management of Helicobacter pylori infection-the Maastricht V/Florence Consensus Report. </w:t>
      </w:r>
      <w:r>
        <w:rPr>
          <w:i/>
          <w:iCs/>
        </w:rPr>
        <w:t>Gut</w:t>
      </w:r>
      <w:r>
        <w:t xml:space="preserve"> 2017; </w:t>
      </w:r>
      <w:r>
        <w:rPr>
          <w:b/>
          <w:bCs/>
        </w:rPr>
        <w:t>66</w:t>
      </w:r>
      <w:r>
        <w:t>: 6-30 [PMID: 27707777 DOI: 10.1136/gutjnl-2016-312288]</w:t>
      </w:r>
    </w:p>
    <w:p w:rsidR="00013E1A" w:rsidRDefault="00013E1A" w:rsidP="00013E1A">
      <w:pPr>
        <w:pStyle w:val="-1"/>
      </w:pPr>
      <w:r w:rsidRPr="003050C4">
        <w:t>14</w:t>
      </w:r>
      <w:r w:rsidRPr="003050C4">
        <w:tab/>
      </w:r>
      <w:r>
        <w:rPr>
          <w:b/>
          <w:bCs/>
        </w:rPr>
        <w:t>Suzuki H</w:t>
      </w:r>
      <w:r>
        <w:t xml:space="preserve">, Mori H. World trends for H. pylori eradication therapy and gastric cancer prevention strategy by H. pylori test-and-treat. </w:t>
      </w:r>
      <w:r>
        <w:rPr>
          <w:i/>
          <w:iCs/>
        </w:rPr>
        <w:t>J Gastroenterol</w:t>
      </w:r>
      <w:r>
        <w:t xml:space="preserve"> 2018; </w:t>
      </w:r>
      <w:r>
        <w:rPr>
          <w:b/>
          <w:bCs/>
        </w:rPr>
        <w:t>53</w:t>
      </w:r>
      <w:r>
        <w:t>: 354-361 [PMID: 29138921 DOI: 10.1007/s00535-017-1407-1]</w:t>
      </w:r>
    </w:p>
    <w:p w:rsidR="00013E1A" w:rsidRDefault="00013E1A" w:rsidP="00013E1A">
      <w:pPr>
        <w:pStyle w:val="-1"/>
      </w:pPr>
      <w:r w:rsidRPr="003050C4">
        <w:t>15</w:t>
      </w:r>
      <w:r w:rsidRPr="003050C4">
        <w:tab/>
      </w:r>
      <w:r>
        <w:rPr>
          <w:b/>
          <w:bCs/>
        </w:rPr>
        <w:t>Pellicano R</w:t>
      </w:r>
      <w:r>
        <w:t xml:space="preserve">, Ribaldone DG, Fagoonee S, Astegiano M, Saracco GM, Mégraud F. A 2016 panorama of Helicobacter pylori infection: key messages for clinicians. </w:t>
      </w:r>
      <w:r>
        <w:rPr>
          <w:i/>
          <w:iCs/>
        </w:rPr>
        <w:t>Panminerva Med</w:t>
      </w:r>
      <w:r>
        <w:t xml:space="preserve"> 2016; </w:t>
      </w:r>
      <w:r>
        <w:rPr>
          <w:b/>
          <w:bCs/>
        </w:rPr>
        <w:t>58</w:t>
      </w:r>
      <w:r>
        <w:t>: 304-317 [PMID: 27716738]</w:t>
      </w:r>
    </w:p>
    <w:p w:rsidR="00013E1A" w:rsidRDefault="00013E1A" w:rsidP="00013E1A">
      <w:pPr>
        <w:pStyle w:val="-1"/>
      </w:pPr>
      <w:r w:rsidRPr="003050C4">
        <w:t>16</w:t>
      </w:r>
      <w:r w:rsidRPr="003050C4">
        <w:tab/>
      </w:r>
      <w:r>
        <w:rPr>
          <w:b/>
          <w:bCs/>
        </w:rPr>
        <w:t>Ikizler TA</w:t>
      </w:r>
      <w:r>
        <w:t xml:space="preserve">, Cano NJ, Franch H, Fouque D, Himmelfarb J, Kalantar-Zadeh K, Kuhlmann MK, Stenvinkel P, TerWee P, Teta D, Wang AY, Wanner C; International Society of Renal Nutrition and Metabolism. Prevention and treatment of protein energy wasting in chronic kidney disease patients: a consensus statement by the International Society of Renal Nutrition and Metabolism. </w:t>
      </w:r>
      <w:r>
        <w:rPr>
          <w:i/>
          <w:iCs/>
        </w:rPr>
        <w:t>Kidney Int</w:t>
      </w:r>
      <w:r>
        <w:t xml:space="preserve"> 2013; </w:t>
      </w:r>
      <w:r>
        <w:rPr>
          <w:b/>
          <w:bCs/>
        </w:rPr>
        <w:t>84</w:t>
      </w:r>
      <w:r>
        <w:t>: 1096-1107 [PMID: 23698226 DOI: 10.1038/ki.2013.147]</w:t>
      </w:r>
    </w:p>
    <w:p w:rsidR="00013E1A" w:rsidRDefault="00013E1A" w:rsidP="00013E1A">
      <w:pPr>
        <w:pStyle w:val="-1"/>
      </w:pPr>
      <w:r w:rsidRPr="003050C4">
        <w:t>17</w:t>
      </w:r>
      <w:r w:rsidRPr="003050C4">
        <w:tab/>
      </w:r>
      <w:r>
        <w:rPr>
          <w:b/>
          <w:bCs/>
        </w:rPr>
        <w:t>Kovesdy CP</w:t>
      </w:r>
      <w:r>
        <w:t xml:space="preserve">, George SM, Anderson JE, Kalantar-Zadeh K. Outcome predictability of biomarkers of protein-energy wasting and inflammation in moderate and advanced chronic kidney disease. </w:t>
      </w:r>
      <w:r>
        <w:rPr>
          <w:i/>
          <w:iCs/>
        </w:rPr>
        <w:t>Am J Clin Nutr</w:t>
      </w:r>
      <w:r>
        <w:t xml:space="preserve"> 2009; </w:t>
      </w:r>
      <w:r>
        <w:rPr>
          <w:b/>
          <w:bCs/>
        </w:rPr>
        <w:t>90</w:t>
      </w:r>
      <w:r>
        <w:t>: 407-414 [PMID: 19535427 DOI: 10.3945/ajcn.2008.27390]</w:t>
      </w:r>
    </w:p>
    <w:p w:rsidR="00013E1A" w:rsidRDefault="00013E1A" w:rsidP="00013E1A">
      <w:pPr>
        <w:pStyle w:val="-1"/>
      </w:pPr>
      <w:r w:rsidRPr="003050C4">
        <w:t>18</w:t>
      </w:r>
      <w:r w:rsidRPr="003050C4">
        <w:tab/>
      </w:r>
      <w:r>
        <w:rPr>
          <w:b/>
          <w:bCs/>
        </w:rPr>
        <w:t>Ichikawa H</w:t>
      </w:r>
      <w:r>
        <w:t xml:space="preserve">, Sugimoto M, Sakao Y, Sahara S, Ohashi N, Kato A, Sugimoto K, Furuta T, Andoh A, Sakao T, Yasuda H. Relationship between ghrelin, Helicobacter pylori and gastric mucosal atrophy in hemodialysis patients. </w:t>
      </w:r>
      <w:r>
        <w:rPr>
          <w:i/>
          <w:iCs/>
        </w:rPr>
        <w:t>World J Gastroenterol</w:t>
      </w:r>
      <w:r>
        <w:t xml:space="preserve"> 2016; </w:t>
      </w:r>
      <w:r>
        <w:rPr>
          <w:b/>
          <w:bCs/>
        </w:rPr>
        <w:t>22</w:t>
      </w:r>
      <w:r>
        <w:t>: 10440-10449 [PMID: 28058025 DOI: 10.3748/wjg.v22.i47.10440]</w:t>
      </w:r>
    </w:p>
    <w:p w:rsidR="00013E1A" w:rsidRDefault="00013E1A" w:rsidP="00013E1A">
      <w:pPr>
        <w:pStyle w:val="-1"/>
      </w:pPr>
      <w:r w:rsidRPr="003050C4">
        <w:t>19</w:t>
      </w:r>
      <w:r w:rsidRPr="003050C4">
        <w:tab/>
      </w:r>
      <w:r>
        <w:rPr>
          <w:b/>
          <w:bCs/>
        </w:rPr>
        <w:t>Sakao Y</w:t>
      </w:r>
      <w:r>
        <w:t xml:space="preserve">, Sugimoto M, Ichikawa H, Sahara S, Tsuji T, Ohashi N, Kato A, Fujigaki Y, Sugimoto K, Furuta T, Sakao T, Yasuda H. Severity of Gastric Mucosal Atrophy Is the Major Determinant of Plasma Ghrelin Level in Hemodialysis Patients. </w:t>
      </w:r>
      <w:r>
        <w:rPr>
          <w:i/>
          <w:iCs/>
        </w:rPr>
        <w:t>Am J Nephrol</w:t>
      </w:r>
      <w:r>
        <w:t xml:space="preserve"> 2016; </w:t>
      </w:r>
      <w:r>
        <w:rPr>
          <w:b/>
          <w:bCs/>
        </w:rPr>
        <w:t>44</w:t>
      </w:r>
      <w:r>
        <w:t>: 224-233 [PMID: 27578611 DOI: 10.1159/000449019]</w:t>
      </w:r>
    </w:p>
    <w:p w:rsidR="00013E1A" w:rsidRDefault="00013E1A" w:rsidP="00013E1A">
      <w:pPr>
        <w:pStyle w:val="-1"/>
      </w:pPr>
      <w:r w:rsidRPr="003050C4">
        <w:t>20</w:t>
      </w:r>
      <w:r w:rsidRPr="003050C4">
        <w:tab/>
      </w:r>
      <w:r>
        <w:rPr>
          <w:b/>
          <w:bCs/>
        </w:rPr>
        <w:t>Sugimoto M</w:t>
      </w:r>
      <w:r>
        <w:t xml:space="preserve">, Sakai K, Kita M, Imanishi J, Yamaoka Y. Prevalence of Helicobacter pylori infection in long-term hemodialysis patients. </w:t>
      </w:r>
      <w:r>
        <w:rPr>
          <w:i/>
          <w:iCs/>
        </w:rPr>
        <w:t>Kidney Int</w:t>
      </w:r>
      <w:r>
        <w:t xml:space="preserve"> 2009; </w:t>
      </w:r>
      <w:r>
        <w:rPr>
          <w:b/>
          <w:bCs/>
        </w:rPr>
        <w:t>75</w:t>
      </w:r>
      <w:r>
        <w:t>: 96-103 [PMID: 18843261]</w:t>
      </w:r>
    </w:p>
    <w:p w:rsidR="00013E1A" w:rsidRDefault="00013E1A" w:rsidP="00013E1A">
      <w:pPr>
        <w:pStyle w:val="-1"/>
      </w:pPr>
      <w:r w:rsidRPr="003050C4">
        <w:t>21</w:t>
      </w:r>
      <w:r w:rsidRPr="003050C4">
        <w:tab/>
      </w:r>
      <w:r>
        <w:rPr>
          <w:b/>
          <w:bCs/>
        </w:rPr>
        <w:t>Marshall BJ</w:t>
      </w:r>
      <w:r>
        <w:t xml:space="preserve">, Warren JR. Unidentified curved bacilli in the stomach of patients with gastritis and peptic ulceration. </w:t>
      </w:r>
      <w:r>
        <w:rPr>
          <w:i/>
          <w:iCs/>
        </w:rPr>
        <w:t>Lancet</w:t>
      </w:r>
      <w:r>
        <w:t xml:space="preserve"> 1984; </w:t>
      </w:r>
      <w:r>
        <w:rPr>
          <w:b/>
          <w:bCs/>
        </w:rPr>
        <w:t>1</w:t>
      </w:r>
      <w:r>
        <w:t>: 1311-1315 [PMID: 6145023]</w:t>
      </w:r>
    </w:p>
    <w:p w:rsidR="00013E1A" w:rsidRDefault="00013E1A" w:rsidP="00013E1A">
      <w:pPr>
        <w:pStyle w:val="-1"/>
      </w:pPr>
      <w:r w:rsidRPr="003050C4">
        <w:t>22</w:t>
      </w:r>
      <w:r w:rsidRPr="003050C4">
        <w:tab/>
      </w:r>
      <w:r>
        <w:rPr>
          <w:b/>
          <w:bCs/>
        </w:rPr>
        <w:t>Perez-Perez GI</w:t>
      </w:r>
      <w:r>
        <w:t xml:space="preserve">, Taylor DN, Bodhidatta L, Wongsrichanalai J, Baze WB, Dunn BE, Echeverria PD, Blaser MJ. Seroprevalence of Helicobacter pylori infections in Thailand. </w:t>
      </w:r>
      <w:r>
        <w:rPr>
          <w:i/>
          <w:iCs/>
        </w:rPr>
        <w:t>J Infect Dis</w:t>
      </w:r>
      <w:r>
        <w:t xml:space="preserve"> 1990; </w:t>
      </w:r>
      <w:r>
        <w:rPr>
          <w:b/>
          <w:bCs/>
        </w:rPr>
        <w:t>161</w:t>
      </w:r>
      <w:r>
        <w:t>: 1237-1241 [PMID: 2345304]</w:t>
      </w:r>
    </w:p>
    <w:p w:rsidR="00013E1A" w:rsidRDefault="00013E1A" w:rsidP="00013E1A">
      <w:pPr>
        <w:pStyle w:val="-1"/>
      </w:pPr>
      <w:r w:rsidRPr="003050C4">
        <w:t>23</w:t>
      </w:r>
      <w:r w:rsidRPr="003050C4">
        <w:tab/>
      </w:r>
      <w:r>
        <w:rPr>
          <w:b/>
          <w:bCs/>
        </w:rPr>
        <w:t>Sugimoto M</w:t>
      </w:r>
      <w:r>
        <w:t xml:space="preserve">, Yamaoka Y. The association of vacA genotype and Helicobacter pylori-related disease in Latin American and African populations. </w:t>
      </w:r>
      <w:r>
        <w:rPr>
          <w:i/>
          <w:iCs/>
        </w:rPr>
        <w:t>Clin Microbiol Infect</w:t>
      </w:r>
      <w:r>
        <w:t xml:space="preserve"> 2009; </w:t>
      </w:r>
      <w:r>
        <w:rPr>
          <w:b/>
          <w:bCs/>
        </w:rPr>
        <w:t>15</w:t>
      </w:r>
      <w:r>
        <w:t>: 835-842 [PMID: 19392900 DOI: 10.1111/j.1469-0691.2009.02769.x]</w:t>
      </w:r>
    </w:p>
    <w:p w:rsidR="00013E1A" w:rsidRDefault="00013E1A" w:rsidP="00013E1A">
      <w:pPr>
        <w:pStyle w:val="-1"/>
      </w:pPr>
      <w:r w:rsidRPr="003050C4">
        <w:t>24</w:t>
      </w:r>
      <w:r w:rsidRPr="003050C4">
        <w:tab/>
      </w:r>
      <w:r>
        <w:rPr>
          <w:b/>
          <w:bCs/>
        </w:rPr>
        <w:t>Sugimoto M</w:t>
      </w:r>
      <w:r>
        <w:t xml:space="preserve">, Zali MR, Yamaoka Y. The association of vacA genotypes and Helicobacter pylori-related gastroduodenal diseases in the Middle East. </w:t>
      </w:r>
      <w:r>
        <w:rPr>
          <w:i/>
          <w:iCs/>
        </w:rPr>
        <w:t>Eur J Clin Microbiol Infect Dis</w:t>
      </w:r>
      <w:r>
        <w:t xml:space="preserve"> 2009; </w:t>
      </w:r>
      <w:r>
        <w:rPr>
          <w:b/>
          <w:bCs/>
        </w:rPr>
        <w:t>28</w:t>
      </w:r>
      <w:r>
        <w:t>: 1227-1236 [PMID: 19551413 DOI: 10.1007/s10096-009-0772-y]</w:t>
      </w:r>
    </w:p>
    <w:p w:rsidR="00013E1A" w:rsidRDefault="00013E1A" w:rsidP="00013E1A">
      <w:pPr>
        <w:pStyle w:val="-1"/>
      </w:pPr>
      <w:r w:rsidRPr="003050C4">
        <w:t>25</w:t>
      </w:r>
      <w:r w:rsidRPr="003050C4">
        <w:tab/>
      </w:r>
      <w:r>
        <w:rPr>
          <w:b/>
          <w:bCs/>
        </w:rPr>
        <w:t>Sugimoto M</w:t>
      </w:r>
      <w:r>
        <w:t xml:space="preserve">, Yamaoka Y. Review of Helicobacter pylori infection and chronic renal failure. </w:t>
      </w:r>
      <w:r>
        <w:rPr>
          <w:i/>
          <w:iCs/>
        </w:rPr>
        <w:t>Ther Apher Dial</w:t>
      </w:r>
      <w:r>
        <w:t xml:space="preserve"> 2011; </w:t>
      </w:r>
      <w:r>
        <w:rPr>
          <w:b/>
          <w:bCs/>
        </w:rPr>
        <w:t>15</w:t>
      </w:r>
      <w:r>
        <w:t>: 1-9 [PMID: 21272246 DOI: 10.1111/j.1744-9987.2010.00851.x]</w:t>
      </w:r>
    </w:p>
    <w:p w:rsidR="00013E1A" w:rsidRDefault="00013E1A" w:rsidP="00013E1A">
      <w:pPr>
        <w:pStyle w:val="-1"/>
      </w:pPr>
      <w:r w:rsidRPr="003050C4">
        <w:t>26</w:t>
      </w:r>
      <w:r w:rsidRPr="003050C4">
        <w:tab/>
      </w:r>
      <w:r>
        <w:rPr>
          <w:b/>
          <w:bCs/>
        </w:rPr>
        <w:t>Hirayama Y</w:t>
      </w:r>
      <w:r>
        <w:t xml:space="preserve">, Kawai T, Otaki J, Kawakami K, Harada Y. Prevalence of Helicobacter pylori infection with healthy subjects in Japan. </w:t>
      </w:r>
      <w:r>
        <w:rPr>
          <w:i/>
          <w:iCs/>
        </w:rPr>
        <w:t>J Gastroenterol Hepatol</w:t>
      </w:r>
      <w:r>
        <w:t xml:space="preserve"> 2014; </w:t>
      </w:r>
      <w:r>
        <w:rPr>
          <w:b/>
          <w:bCs/>
        </w:rPr>
        <w:t xml:space="preserve">29 </w:t>
      </w:r>
      <w:r>
        <w:t>Suppl 4: 16-19 [PMID: 25521727 DOI: 10.1111/jgh.12795]</w:t>
      </w:r>
    </w:p>
    <w:p w:rsidR="00013E1A" w:rsidRDefault="00013E1A" w:rsidP="00013E1A">
      <w:pPr>
        <w:pStyle w:val="-1"/>
      </w:pPr>
      <w:r w:rsidRPr="003050C4">
        <w:t>27</w:t>
      </w:r>
      <w:r w:rsidRPr="003050C4">
        <w:tab/>
      </w:r>
      <w:r>
        <w:rPr>
          <w:b/>
          <w:bCs/>
        </w:rPr>
        <w:t>Sugimoto M</w:t>
      </w:r>
      <w:r>
        <w:t xml:space="preserve">, Sahara S, Ichikawa H, Sakao Y, Ohashi N, Sugimoto K, Yasuda H, Furuta T, Andoh A. Natural Course of Helicobacter pylori </w:t>
      </w:r>
      <w:r>
        <w:lastRenderedPageBreak/>
        <w:t xml:space="preserve">Infection in Japanese Hemodialysis Patients. </w:t>
      </w:r>
      <w:r>
        <w:rPr>
          <w:i/>
          <w:iCs/>
        </w:rPr>
        <w:t>Digestion</w:t>
      </w:r>
      <w:r>
        <w:t xml:space="preserve"> 2017; </w:t>
      </w:r>
      <w:r>
        <w:rPr>
          <w:b/>
          <w:bCs/>
        </w:rPr>
        <w:t>95</w:t>
      </w:r>
      <w:r>
        <w:t>: 302-309 [PMID: 28521319 DOI: 10.1159/000475659]</w:t>
      </w:r>
    </w:p>
    <w:p w:rsidR="00013E1A" w:rsidRDefault="00013E1A" w:rsidP="00013E1A">
      <w:pPr>
        <w:pStyle w:val="-1"/>
      </w:pPr>
      <w:r w:rsidRPr="003050C4">
        <w:t>28</w:t>
      </w:r>
      <w:r w:rsidRPr="003050C4">
        <w:tab/>
      </w:r>
      <w:r>
        <w:rPr>
          <w:b/>
          <w:bCs/>
        </w:rPr>
        <w:t>Nakajima F</w:t>
      </w:r>
      <w:r>
        <w:t xml:space="preserve">, Sakaguchi M, Amemoto K, Oka H, Kubo M, Shibahara N, Ueda H, Katsuoka Y. Helicobacter pylori in patients receiving long-term dialysis. </w:t>
      </w:r>
      <w:r>
        <w:rPr>
          <w:i/>
          <w:iCs/>
        </w:rPr>
        <w:t>Am J Nephrol</w:t>
      </w:r>
      <w:r>
        <w:t xml:space="preserve"> 2002; </w:t>
      </w:r>
      <w:r>
        <w:rPr>
          <w:b/>
          <w:bCs/>
        </w:rPr>
        <w:t>22</w:t>
      </w:r>
      <w:r>
        <w:t>: 468-472 [PMID: 12381945]</w:t>
      </w:r>
    </w:p>
    <w:p w:rsidR="00013E1A" w:rsidRDefault="00013E1A" w:rsidP="00013E1A">
      <w:pPr>
        <w:pStyle w:val="-1"/>
      </w:pPr>
      <w:r w:rsidRPr="003050C4">
        <w:t>29</w:t>
      </w:r>
      <w:r w:rsidRPr="003050C4">
        <w:tab/>
      </w:r>
      <w:r>
        <w:rPr>
          <w:b/>
          <w:bCs/>
        </w:rPr>
        <w:t>Yildiz A</w:t>
      </w:r>
      <w:r>
        <w:t xml:space="preserve">, Beşişik F, Akkaya V, Sever MS, Bozfakioğlu S, Yilmaz G, Ark E. Helicobacter pylori antibodies in hemodialysis patients and renal transplant recipients. </w:t>
      </w:r>
      <w:r>
        <w:rPr>
          <w:i/>
          <w:iCs/>
        </w:rPr>
        <w:t>Clin Transplant</w:t>
      </w:r>
      <w:r>
        <w:t xml:space="preserve"> 1999; </w:t>
      </w:r>
      <w:r>
        <w:rPr>
          <w:b/>
          <w:bCs/>
        </w:rPr>
        <w:t>13</w:t>
      </w:r>
      <w:r>
        <w:t>: 13-16 [PMID: 10081629]</w:t>
      </w:r>
    </w:p>
    <w:p w:rsidR="00013E1A" w:rsidRDefault="00013E1A" w:rsidP="00013E1A">
      <w:pPr>
        <w:pStyle w:val="-1"/>
      </w:pPr>
      <w:r w:rsidRPr="003050C4">
        <w:t>30</w:t>
      </w:r>
      <w:r w:rsidRPr="003050C4">
        <w:tab/>
      </w:r>
      <w:r>
        <w:rPr>
          <w:b/>
          <w:bCs/>
        </w:rPr>
        <w:t>Muñoz de Bustillo E</w:t>
      </w:r>
      <w:r>
        <w:t xml:space="preserve">, Sánchez Tomero JA, Sanz JC, Moreno JA, Jiménez I, López-Brea M, Pajares JM, Traver JA. Eradication and follow-up of Helicobacter pylori infection in hemodialysis patients. </w:t>
      </w:r>
      <w:r>
        <w:rPr>
          <w:i/>
          <w:iCs/>
        </w:rPr>
        <w:t>Nephron</w:t>
      </w:r>
      <w:r>
        <w:t xml:space="preserve"> 1998; </w:t>
      </w:r>
      <w:r>
        <w:rPr>
          <w:b/>
          <w:bCs/>
        </w:rPr>
        <w:t>79</w:t>
      </w:r>
      <w:r>
        <w:t>: 55-60 [PMID: 9609463]</w:t>
      </w:r>
    </w:p>
    <w:p w:rsidR="00013E1A" w:rsidRDefault="00013E1A" w:rsidP="00013E1A">
      <w:pPr>
        <w:pStyle w:val="-1"/>
      </w:pPr>
      <w:r w:rsidRPr="003050C4">
        <w:t>31</w:t>
      </w:r>
      <w:r w:rsidRPr="003050C4">
        <w:tab/>
      </w:r>
      <w:r>
        <w:rPr>
          <w:b/>
          <w:bCs/>
        </w:rPr>
        <w:t>Nakajima F</w:t>
      </w:r>
      <w:r>
        <w:t xml:space="preserve">, Sakaguchi M, Oka H, Kawase Y, Shibahara N, Inoue T, Ueda H, Katsuoka Y. Prevalence of Helicobacter pylori antibodies in long-term dialysis patients. </w:t>
      </w:r>
      <w:r>
        <w:rPr>
          <w:i/>
          <w:iCs/>
        </w:rPr>
        <w:t xml:space="preserve">Nephrology </w:t>
      </w:r>
      <w:r>
        <w:t xml:space="preserve">(Carlton) 2004; </w:t>
      </w:r>
      <w:r>
        <w:rPr>
          <w:b/>
          <w:bCs/>
        </w:rPr>
        <w:t>9</w:t>
      </w:r>
      <w:r>
        <w:t>: 73-76 [PMID: 15056265]</w:t>
      </w:r>
    </w:p>
    <w:p w:rsidR="00013E1A" w:rsidRDefault="00013E1A" w:rsidP="00013E1A">
      <w:pPr>
        <w:pStyle w:val="-1"/>
      </w:pPr>
      <w:r w:rsidRPr="003050C4">
        <w:t>32</w:t>
      </w:r>
      <w:r w:rsidRPr="003050C4">
        <w:tab/>
      </w:r>
      <w:r>
        <w:rPr>
          <w:b/>
          <w:bCs/>
        </w:rPr>
        <w:t>Hwang IR</w:t>
      </w:r>
      <w:r>
        <w:t xml:space="preserve">, Kodama T, Kikuchi S, Sakai K, Peterson LE, Graham DY, Yamaoka Y. Effect of interleukin 1 polymorphisms on gastric mucosal interleukin 1beta production in Helicobacter pylori infection. </w:t>
      </w:r>
      <w:r>
        <w:rPr>
          <w:i/>
          <w:iCs/>
        </w:rPr>
        <w:t>Gastroenterology</w:t>
      </w:r>
      <w:r>
        <w:t xml:space="preserve"> 2002; </w:t>
      </w:r>
      <w:r>
        <w:rPr>
          <w:b/>
          <w:bCs/>
        </w:rPr>
        <w:t>123</w:t>
      </w:r>
      <w:r>
        <w:t>: 1793-1803 [PMID: 12454835]</w:t>
      </w:r>
    </w:p>
    <w:p w:rsidR="00013E1A" w:rsidRDefault="00013E1A" w:rsidP="00013E1A">
      <w:pPr>
        <w:pStyle w:val="-1"/>
      </w:pPr>
      <w:r w:rsidRPr="003050C4">
        <w:t>33</w:t>
      </w:r>
      <w:r w:rsidRPr="003050C4">
        <w:tab/>
      </w:r>
      <w:r>
        <w:rPr>
          <w:b/>
          <w:bCs/>
        </w:rPr>
        <w:t>Wesdorp RI</w:t>
      </w:r>
      <w:r>
        <w:t xml:space="preserve">, Falcao HA, Banks PB, Martino J, Fischer JE. Gastrin and gastric acid secretion in renal failure. </w:t>
      </w:r>
      <w:r>
        <w:rPr>
          <w:i/>
          <w:iCs/>
        </w:rPr>
        <w:t>Am J Surg</w:t>
      </w:r>
      <w:r>
        <w:t xml:space="preserve"> 1981; </w:t>
      </w:r>
      <w:r>
        <w:rPr>
          <w:b/>
          <w:bCs/>
        </w:rPr>
        <w:t>141</w:t>
      </w:r>
      <w:r>
        <w:t>: 334-338 [PMID: 7011077]</w:t>
      </w:r>
    </w:p>
    <w:p w:rsidR="00013E1A" w:rsidRDefault="00013E1A" w:rsidP="00013E1A">
      <w:pPr>
        <w:pStyle w:val="-1"/>
      </w:pPr>
      <w:r w:rsidRPr="003050C4">
        <w:t>34</w:t>
      </w:r>
      <w:r w:rsidRPr="003050C4">
        <w:tab/>
      </w:r>
      <w:r>
        <w:rPr>
          <w:b/>
          <w:bCs/>
        </w:rPr>
        <w:t>El-Omar EM</w:t>
      </w:r>
      <w:r>
        <w:t xml:space="preserve">, Carrington M, Chow WH, McColl KE, Bream JH, Young HA, Herrera J, Lissowska J, Yuan CC, Rothman N, Lanyon G, Martin M, Fraumeni JF Jr, Rabkin CS. Interleukin-1 polymorphisms associated with increased risk of gastric cancer. </w:t>
      </w:r>
      <w:r>
        <w:rPr>
          <w:i/>
          <w:iCs/>
        </w:rPr>
        <w:t>Nature</w:t>
      </w:r>
      <w:r>
        <w:t xml:space="preserve"> 2000; </w:t>
      </w:r>
      <w:r>
        <w:rPr>
          <w:b/>
          <w:bCs/>
        </w:rPr>
        <w:t>404</w:t>
      </w:r>
      <w:r>
        <w:t>: 398-402 [PMID: 10746728]</w:t>
      </w:r>
    </w:p>
    <w:p w:rsidR="00013E1A" w:rsidRDefault="00013E1A" w:rsidP="00013E1A">
      <w:pPr>
        <w:pStyle w:val="-1"/>
        <w:rPr>
          <w:spacing w:val="-2"/>
        </w:rPr>
      </w:pPr>
      <w:r w:rsidRPr="003050C4">
        <w:rPr>
          <w:spacing w:val="-2"/>
        </w:rPr>
        <w:t>35</w:t>
      </w:r>
      <w:r w:rsidRPr="003050C4">
        <w:rPr>
          <w:spacing w:val="-2"/>
        </w:rPr>
        <w:tab/>
      </w:r>
      <w:r>
        <w:rPr>
          <w:b/>
          <w:bCs/>
          <w:spacing w:val="-2"/>
        </w:rPr>
        <w:t>Sugimoto M</w:t>
      </w:r>
      <w:r>
        <w:rPr>
          <w:spacing w:val="-2"/>
        </w:rPr>
        <w:t xml:space="preserve">, Furuta T, Shirai N, Nakamura A, Xiao F, Kajimura M, Sugimura H, Hishida A. Different effects of polymorphisms of tumor necrosis factor-alpha and interleukin-1 beta on development of peptic ulcer and gastric cancer. </w:t>
      </w:r>
      <w:r>
        <w:rPr>
          <w:i/>
          <w:iCs/>
          <w:spacing w:val="-2"/>
        </w:rPr>
        <w:t>J Gastroenterol Hepatol</w:t>
      </w:r>
      <w:r>
        <w:rPr>
          <w:spacing w:val="-2"/>
        </w:rPr>
        <w:t xml:space="preserve"> 2007; </w:t>
      </w:r>
      <w:r>
        <w:rPr>
          <w:b/>
          <w:bCs/>
          <w:spacing w:val="-2"/>
        </w:rPr>
        <w:t>22</w:t>
      </w:r>
      <w:r>
        <w:rPr>
          <w:spacing w:val="-2"/>
        </w:rPr>
        <w:t>: 51-59 [PMID: 17201881 DOI: 10.1111/j.1440-1746.2006.04442.x]</w:t>
      </w:r>
    </w:p>
    <w:p w:rsidR="00013E1A" w:rsidRDefault="00013E1A" w:rsidP="00013E1A">
      <w:pPr>
        <w:pStyle w:val="-1"/>
      </w:pPr>
      <w:r w:rsidRPr="003050C4">
        <w:t>36</w:t>
      </w:r>
      <w:r w:rsidRPr="003050C4">
        <w:tab/>
      </w:r>
      <w:r>
        <w:rPr>
          <w:b/>
          <w:bCs/>
        </w:rPr>
        <w:t>Gladziwa U</w:t>
      </w:r>
      <w:r>
        <w:t xml:space="preserve">, Haase G, Handt S, Riehl J, Wietholtz H, Dakshinamurty KV, Glöckner WM, Sieberth HG. Prevalence of Helicobacter pylori in patients with chronic renal failure. </w:t>
      </w:r>
      <w:r>
        <w:rPr>
          <w:i/>
          <w:iCs/>
        </w:rPr>
        <w:t>Nephrol Dial Transplant</w:t>
      </w:r>
      <w:r>
        <w:t xml:space="preserve"> 1993; </w:t>
      </w:r>
      <w:r>
        <w:rPr>
          <w:b/>
          <w:bCs/>
        </w:rPr>
        <w:t>8</w:t>
      </w:r>
      <w:r>
        <w:t>: 301-306 [PMID: 8390002]</w:t>
      </w:r>
    </w:p>
    <w:p w:rsidR="00013E1A" w:rsidRDefault="00013E1A" w:rsidP="00013E1A">
      <w:pPr>
        <w:pStyle w:val="-1"/>
      </w:pPr>
      <w:r w:rsidRPr="003050C4">
        <w:t>37</w:t>
      </w:r>
      <w:r w:rsidRPr="003050C4">
        <w:tab/>
      </w:r>
      <w:r>
        <w:rPr>
          <w:b/>
          <w:bCs/>
        </w:rPr>
        <w:t>Francke EL</w:t>
      </w:r>
      <w:r>
        <w:t xml:space="preserve">, Appel GB, Neu HC. Kinetics of intravenous amoxicillin in patients on long-term dialysis. </w:t>
      </w:r>
      <w:r>
        <w:rPr>
          <w:i/>
          <w:iCs/>
        </w:rPr>
        <w:t>Clin Pharmacol Ther</w:t>
      </w:r>
      <w:r>
        <w:t xml:space="preserve"> 1979; </w:t>
      </w:r>
      <w:r>
        <w:rPr>
          <w:b/>
          <w:bCs/>
        </w:rPr>
        <w:t>26</w:t>
      </w:r>
      <w:r>
        <w:t>: 31-35 [PMID: 445959]</w:t>
      </w:r>
    </w:p>
    <w:p w:rsidR="00013E1A" w:rsidRDefault="00013E1A" w:rsidP="00013E1A">
      <w:pPr>
        <w:pStyle w:val="-1"/>
      </w:pPr>
      <w:r w:rsidRPr="003050C4">
        <w:t>38</w:t>
      </w:r>
      <w:r w:rsidRPr="003050C4">
        <w:tab/>
      </w:r>
      <w:r>
        <w:rPr>
          <w:b/>
          <w:bCs/>
        </w:rPr>
        <w:t>Yoshimura T</w:t>
      </w:r>
      <w:r>
        <w:t xml:space="preserve">, Shimoyama T, Fukuda S, Tanaka M, Axon AT, Munakata A. Most gastric cancer occurs on the distal side of the endoscopic atrophic border. </w:t>
      </w:r>
      <w:r>
        <w:rPr>
          <w:i/>
          <w:iCs/>
        </w:rPr>
        <w:t>Scand J Gastroenterol</w:t>
      </w:r>
      <w:r>
        <w:t xml:space="preserve"> 1999; </w:t>
      </w:r>
      <w:r>
        <w:rPr>
          <w:b/>
          <w:bCs/>
        </w:rPr>
        <w:t>34</w:t>
      </w:r>
      <w:r>
        <w:t>: 1077-1081 [PMID: 10582756]</w:t>
      </w:r>
    </w:p>
    <w:p w:rsidR="00013E1A" w:rsidRDefault="00013E1A" w:rsidP="00013E1A">
      <w:pPr>
        <w:pStyle w:val="-1"/>
      </w:pPr>
      <w:r w:rsidRPr="003050C4">
        <w:t>39</w:t>
      </w:r>
      <w:r w:rsidRPr="003050C4">
        <w:tab/>
      </w:r>
      <w:r>
        <w:rPr>
          <w:b/>
          <w:bCs/>
        </w:rPr>
        <w:t>Iijima K</w:t>
      </w:r>
      <w:r>
        <w:t xml:space="preserve">, Koike T, Abe Y, Shimosegawa T. Cutoff serum pepsinogen values for predicting gastric acid secretion status. </w:t>
      </w:r>
      <w:r>
        <w:rPr>
          <w:i/>
          <w:iCs/>
        </w:rPr>
        <w:t>Tohoku J Exp Med</w:t>
      </w:r>
      <w:r>
        <w:t xml:space="preserve"> 2014; </w:t>
      </w:r>
      <w:r>
        <w:rPr>
          <w:b/>
          <w:bCs/>
        </w:rPr>
        <w:t>232</w:t>
      </w:r>
      <w:r>
        <w:t>: 293-300 [PMID: 24717778]</w:t>
      </w:r>
    </w:p>
    <w:p w:rsidR="00013E1A" w:rsidRDefault="00013E1A" w:rsidP="00013E1A">
      <w:pPr>
        <w:pStyle w:val="-1"/>
        <w:rPr>
          <w:spacing w:val="-3"/>
        </w:rPr>
      </w:pPr>
      <w:r w:rsidRPr="003050C4">
        <w:rPr>
          <w:spacing w:val="-3"/>
        </w:rPr>
        <w:t>40</w:t>
      </w:r>
      <w:r w:rsidRPr="003050C4">
        <w:rPr>
          <w:spacing w:val="-3"/>
        </w:rPr>
        <w:tab/>
      </w:r>
      <w:r>
        <w:rPr>
          <w:b/>
          <w:bCs/>
          <w:spacing w:val="-3"/>
        </w:rPr>
        <w:t>Masuyama H</w:t>
      </w:r>
      <w:r>
        <w:rPr>
          <w:spacing w:val="-3"/>
        </w:rPr>
        <w:t xml:space="preserve">, Yoshitake N, Sasai T, Nakamura T, Masuyama A, Zuiki T, Kurashina K, Mieda M, Sunada K, Yamamoto H, Togashi K, Terano A, Hiraishi H. Relationship between the degree of endoscopic atrophy of the gastric mucosa and carcinogenic risk. </w:t>
      </w:r>
      <w:r>
        <w:rPr>
          <w:i/>
          <w:iCs/>
          <w:spacing w:val="-3"/>
        </w:rPr>
        <w:t>Digestion</w:t>
      </w:r>
      <w:r>
        <w:rPr>
          <w:spacing w:val="-3"/>
        </w:rPr>
        <w:t xml:space="preserve"> 2015; </w:t>
      </w:r>
      <w:r>
        <w:rPr>
          <w:b/>
          <w:bCs/>
          <w:spacing w:val="-3"/>
        </w:rPr>
        <w:t>91</w:t>
      </w:r>
      <w:r>
        <w:rPr>
          <w:spacing w:val="-3"/>
        </w:rPr>
        <w:t>: 30-36 [PMID: 25632914 DOI: 10.1159/000368807]</w:t>
      </w:r>
    </w:p>
    <w:p w:rsidR="00013E1A" w:rsidRDefault="00013E1A" w:rsidP="00013E1A">
      <w:pPr>
        <w:pStyle w:val="-1"/>
        <w:rPr>
          <w:spacing w:val="-2"/>
        </w:rPr>
      </w:pPr>
      <w:r w:rsidRPr="003050C4">
        <w:rPr>
          <w:spacing w:val="-2"/>
        </w:rPr>
        <w:t>41</w:t>
      </w:r>
      <w:r w:rsidRPr="003050C4">
        <w:rPr>
          <w:spacing w:val="-2"/>
        </w:rPr>
        <w:tab/>
      </w:r>
      <w:r>
        <w:rPr>
          <w:b/>
          <w:bCs/>
          <w:spacing w:val="-2"/>
        </w:rPr>
        <w:t>Nakahama H</w:t>
      </w:r>
      <w:r>
        <w:rPr>
          <w:spacing w:val="-2"/>
        </w:rPr>
        <w:t xml:space="preserve">, Tanaka Y, Shirai D, Nishihara F, Takamitsu Y, Nakanishi T, Sugita M. Elevated serum pepsinogens in chronic renal failure patients. </w:t>
      </w:r>
      <w:r>
        <w:rPr>
          <w:i/>
          <w:iCs/>
          <w:spacing w:val="-2"/>
        </w:rPr>
        <w:t>Nephron</w:t>
      </w:r>
      <w:r>
        <w:rPr>
          <w:spacing w:val="-2"/>
        </w:rPr>
        <w:t xml:space="preserve"> 1995; </w:t>
      </w:r>
      <w:r>
        <w:rPr>
          <w:b/>
          <w:bCs/>
          <w:spacing w:val="-2"/>
        </w:rPr>
        <w:t>70</w:t>
      </w:r>
      <w:r>
        <w:rPr>
          <w:spacing w:val="-2"/>
        </w:rPr>
        <w:t>: 211-216 [PMID: 7566306]</w:t>
      </w:r>
    </w:p>
    <w:p w:rsidR="00013E1A" w:rsidRDefault="00013E1A" w:rsidP="00013E1A">
      <w:pPr>
        <w:pStyle w:val="-1"/>
      </w:pPr>
      <w:r w:rsidRPr="003050C4">
        <w:t>42</w:t>
      </w:r>
      <w:r w:rsidRPr="003050C4">
        <w:tab/>
      </w:r>
      <w:r>
        <w:rPr>
          <w:b/>
          <w:bCs/>
        </w:rPr>
        <w:t>Moriyama T</w:t>
      </w:r>
      <w:r>
        <w:t xml:space="preserve">, Matsumoto T, Hirakawa K, Ikeda H, Tsuruya K, Hirakata H, Iida M. Helicobacter pylori status and esophagogastroduodenal mucosal lesions in patients with end-stage renal failure on maintenance hemodialysis. </w:t>
      </w:r>
      <w:r>
        <w:rPr>
          <w:i/>
          <w:iCs/>
        </w:rPr>
        <w:t>J Gastroenterol</w:t>
      </w:r>
      <w:r>
        <w:t xml:space="preserve"> 2010; </w:t>
      </w:r>
      <w:r>
        <w:rPr>
          <w:b/>
          <w:bCs/>
        </w:rPr>
        <w:t>45</w:t>
      </w:r>
      <w:r>
        <w:t>: 515-522 [PMID: 20084526 DOI: 10.1007/s00535-009-0196-6]</w:t>
      </w:r>
    </w:p>
    <w:p w:rsidR="00013E1A" w:rsidRDefault="00013E1A" w:rsidP="00013E1A">
      <w:pPr>
        <w:pStyle w:val="-1"/>
      </w:pPr>
      <w:r w:rsidRPr="003050C4">
        <w:t>43</w:t>
      </w:r>
      <w:r w:rsidRPr="003050C4">
        <w:tab/>
      </w:r>
      <w:r>
        <w:rPr>
          <w:b/>
          <w:bCs/>
        </w:rPr>
        <w:t>Ota K</w:t>
      </w:r>
      <w:r>
        <w:t xml:space="preserve">, Yamashita N, Suzuki T, Agishi T. Malignant tumours in dialysis patients: a nationwide survey. </w:t>
      </w:r>
      <w:r>
        <w:rPr>
          <w:i/>
          <w:iCs/>
        </w:rPr>
        <w:t>Proc Eur Dial Transplant Assoc</w:t>
      </w:r>
      <w:r>
        <w:t xml:space="preserve"> 1981; </w:t>
      </w:r>
      <w:r>
        <w:rPr>
          <w:b/>
          <w:bCs/>
        </w:rPr>
        <w:t>18</w:t>
      </w:r>
      <w:r>
        <w:t>: 724-730 [PMID: 7329999]</w:t>
      </w:r>
    </w:p>
    <w:p w:rsidR="00013E1A" w:rsidRDefault="00013E1A" w:rsidP="00013E1A">
      <w:pPr>
        <w:pStyle w:val="-1"/>
      </w:pPr>
      <w:r w:rsidRPr="003050C4">
        <w:t>44</w:t>
      </w:r>
      <w:r w:rsidRPr="003050C4">
        <w:tab/>
      </w:r>
      <w:r>
        <w:rPr>
          <w:b/>
          <w:bCs/>
        </w:rPr>
        <w:t>Uemura N</w:t>
      </w:r>
      <w:r>
        <w:t xml:space="preserve">, Okamoto S, Yamamoto S, Matsumura N, Yamaguchi S, Yamakido M, Taniyama K, Sasaki N, Schlemper RJ. Helicobacter pylori infection and the development of gastric cancer. </w:t>
      </w:r>
      <w:r>
        <w:rPr>
          <w:i/>
          <w:iCs/>
        </w:rPr>
        <w:t>N Engl J Med</w:t>
      </w:r>
      <w:r>
        <w:t xml:space="preserve"> 2001; </w:t>
      </w:r>
      <w:r>
        <w:rPr>
          <w:b/>
          <w:bCs/>
        </w:rPr>
        <w:t>345</w:t>
      </w:r>
      <w:r>
        <w:t>: 784-789 [PMID: 11556297]</w:t>
      </w:r>
    </w:p>
    <w:p w:rsidR="00013E1A" w:rsidRDefault="00013E1A" w:rsidP="00013E1A">
      <w:pPr>
        <w:pStyle w:val="-1"/>
      </w:pPr>
      <w:r w:rsidRPr="003050C4">
        <w:lastRenderedPageBreak/>
        <w:t>45</w:t>
      </w:r>
      <w:r w:rsidRPr="003050C4">
        <w:tab/>
      </w:r>
      <w:r>
        <w:rPr>
          <w:b/>
          <w:bCs/>
        </w:rPr>
        <w:t>Wong BC</w:t>
      </w:r>
      <w:r>
        <w:t xml:space="preserve">, Lam SK, Wong WM, Chen JS, Zheng TT, Feng RE, Lai KC, Hu WH, Yuen ST, Leung SY, Fong DY, Ho J, Ching CK, Chen JS; China Gastric Cancer Study Group. Helicobacter pylori eradication to prevent gastric cancer in a high-risk region of China: a randomized controlled trial. </w:t>
      </w:r>
      <w:r>
        <w:rPr>
          <w:i/>
          <w:iCs/>
        </w:rPr>
        <w:t>JAMA</w:t>
      </w:r>
      <w:r>
        <w:t xml:space="preserve"> 2004; </w:t>
      </w:r>
      <w:r>
        <w:rPr>
          <w:b/>
          <w:bCs/>
        </w:rPr>
        <w:t>291</w:t>
      </w:r>
      <w:r>
        <w:t>: 187-194 [PMID: 14722144]</w:t>
      </w:r>
    </w:p>
    <w:p w:rsidR="00013E1A" w:rsidRDefault="00013E1A" w:rsidP="00013E1A">
      <w:pPr>
        <w:pStyle w:val="-1"/>
      </w:pPr>
      <w:r w:rsidRPr="003050C4">
        <w:t>46</w:t>
      </w:r>
      <w:r w:rsidRPr="003050C4">
        <w:tab/>
      </w:r>
      <w:r>
        <w:rPr>
          <w:b/>
          <w:bCs/>
        </w:rPr>
        <w:t>Hopkins RJ</w:t>
      </w:r>
      <w:r>
        <w:t xml:space="preserve">, Girardi LS, Turney EA. Relationship between Helicobacter pylori eradication and reduced duodenal and gastric ulcer recurrence: a review. </w:t>
      </w:r>
      <w:r>
        <w:rPr>
          <w:i/>
          <w:iCs/>
        </w:rPr>
        <w:t>Gastroenterology</w:t>
      </w:r>
      <w:r>
        <w:t xml:space="preserve"> 1996; </w:t>
      </w:r>
      <w:r>
        <w:rPr>
          <w:b/>
          <w:bCs/>
        </w:rPr>
        <w:t>110</w:t>
      </w:r>
      <w:r>
        <w:t>: 1244-1252 [PMID: 8613015]</w:t>
      </w:r>
    </w:p>
    <w:p w:rsidR="00013E1A" w:rsidRDefault="00013E1A" w:rsidP="00013E1A">
      <w:pPr>
        <w:pStyle w:val="-1"/>
      </w:pPr>
      <w:r w:rsidRPr="003050C4">
        <w:t>47</w:t>
      </w:r>
      <w:r w:rsidRPr="003050C4">
        <w:tab/>
      </w:r>
      <w:r>
        <w:rPr>
          <w:b/>
          <w:bCs/>
        </w:rPr>
        <w:t>Uemura N</w:t>
      </w:r>
      <w:r>
        <w:t xml:space="preserve">, Mukai T, Okamoto S, Yamaguchi S, Mashiba H, Taniyama K, Sasaki N, Haruma K, Sumii K, Kajiyama G. Effect of Helicobacter pylori eradication on subsequent development of cancer after endoscopic resection of early gastric cancer. </w:t>
      </w:r>
      <w:r>
        <w:rPr>
          <w:i/>
          <w:iCs/>
        </w:rPr>
        <w:t>Cancer Epidemiol Biomarkers Prev</w:t>
      </w:r>
      <w:r>
        <w:t xml:space="preserve"> 1997; </w:t>
      </w:r>
      <w:r>
        <w:rPr>
          <w:b/>
          <w:bCs/>
        </w:rPr>
        <w:t>6</w:t>
      </w:r>
      <w:r>
        <w:t>: 639-642 [PMID: 9264278]</w:t>
      </w:r>
    </w:p>
    <w:p w:rsidR="00013E1A" w:rsidRDefault="00013E1A" w:rsidP="00013E1A">
      <w:pPr>
        <w:pStyle w:val="-1"/>
      </w:pPr>
      <w:r w:rsidRPr="003050C4">
        <w:t>48</w:t>
      </w:r>
      <w:r w:rsidRPr="003050C4">
        <w:tab/>
      </w:r>
      <w:r>
        <w:rPr>
          <w:b/>
          <w:bCs/>
        </w:rPr>
        <w:t>Wotherspoon AC</w:t>
      </w:r>
      <w:r>
        <w:t xml:space="preserve">, Doglioni C, de Boni M, Spencer J, Isaacson PG. Antibiotic treatment for low-grade gastric MALT lymphoma. </w:t>
      </w:r>
      <w:r>
        <w:rPr>
          <w:i/>
          <w:iCs/>
        </w:rPr>
        <w:t>Lancet</w:t>
      </w:r>
      <w:r>
        <w:t xml:space="preserve"> 1994; </w:t>
      </w:r>
      <w:r>
        <w:rPr>
          <w:b/>
          <w:bCs/>
        </w:rPr>
        <w:t>343</w:t>
      </w:r>
      <w:r>
        <w:t>: 1503 [PMID: 7911202]</w:t>
      </w:r>
    </w:p>
    <w:p w:rsidR="00013E1A" w:rsidRDefault="00013E1A" w:rsidP="00013E1A">
      <w:pPr>
        <w:pStyle w:val="-1"/>
      </w:pPr>
      <w:r w:rsidRPr="003050C4">
        <w:t>49</w:t>
      </w:r>
      <w:r w:rsidRPr="003050C4">
        <w:tab/>
      </w:r>
      <w:r>
        <w:rPr>
          <w:b/>
          <w:bCs/>
        </w:rPr>
        <w:t>Sugimoto M</w:t>
      </w:r>
      <w:r>
        <w:t xml:space="preserve">, Kajimura M, Shirai N, Furuta T, Kanaoka S, Ikuma M, Sato Y, Hishida A. Outcome of radiotherapy for gastric mucosa-associated lymphoid tissue lymphoma refractory to Helicobacter pylori eradication therapy. </w:t>
      </w:r>
      <w:r>
        <w:rPr>
          <w:i/>
          <w:iCs/>
        </w:rPr>
        <w:t>Intern Med</w:t>
      </w:r>
      <w:r>
        <w:t xml:space="preserve"> 2006; </w:t>
      </w:r>
      <w:r>
        <w:rPr>
          <w:b/>
          <w:bCs/>
        </w:rPr>
        <w:t>45</w:t>
      </w:r>
      <w:r>
        <w:t>: 405-409 [PMID: 16617193]</w:t>
      </w:r>
    </w:p>
    <w:p w:rsidR="00013E1A" w:rsidRDefault="00013E1A" w:rsidP="00013E1A">
      <w:pPr>
        <w:pStyle w:val="-1"/>
      </w:pPr>
      <w:r w:rsidRPr="003050C4">
        <w:t>50</w:t>
      </w:r>
      <w:r w:rsidRPr="003050C4">
        <w:tab/>
      </w:r>
      <w:r>
        <w:rPr>
          <w:b/>
          <w:bCs/>
        </w:rPr>
        <w:t>Asaka M</w:t>
      </w:r>
      <w:r>
        <w:t xml:space="preserve">, Sugiyama T, Kato M, Satoh K, Kuwayama H, Fukuda Y, Fujioka T, Takemoto T, Kimura K, Shimoyama T, Shimizu K, Kobayashi S. A multicenter, double-blind study on triple therapy with lansoprazole, amoxicillin and clarithromycin for eradication of Helicobacter pylori in Japanese peptic ulcer patients. </w:t>
      </w:r>
      <w:r>
        <w:rPr>
          <w:i/>
          <w:iCs/>
        </w:rPr>
        <w:t>Helicobacter</w:t>
      </w:r>
      <w:r>
        <w:t xml:space="preserve"> 2001; </w:t>
      </w:r>
      <w:r>
        <w:rPr>
          <w:b/>
          <w:bCs/>
        </w:rPr>
        <w:t>6</w:t>
      </w:r>
      <w:r>
        <w:t>: 254-261 [PMID: 11683930]</w:t>
      </w:r>
    </w:p>
    <w:p w:rsidR="00013E1A" w:rsidRDefault="00013E1A" w:rsidP="00013E1A">
      <w:pPr>
        <w:pStyle w:val="-1"/>
        <w:rPr>
          <w:spacing w:val="-2"/>
        </w:rPr>
      </w:pPr>
      <w:r w:rsidRPr="003050C4">
        <w:rPr>
          <w:spacing w:val="-2"/>
        </w:rPr>
        <w:t>51</w:t>
      </w:r>
      <w:r w:rsidRPr="003050C4">
        <w:rPr>
          <w:spacing w:val="-2"/>
        </w:rPr>
        <w:tab/>
      </w:r>
      <w:r>
        <w:rPr>
          <w:b/>
          <w:bCs/>
          <w:spacing w:val="-2"/>
        </w:rPr>
        <w:t>Murakami K</w:t>
      </w:r>
      <w:r>
        <w:rPr>
          <w:spacing w:val="-2"/>
        </w:rPr>
        <w:t xml:space="preserve">, Sato R, Okimoto T, Nasu M, Fujioka T, Kodama M, Kagawa J, Sato S, Abe H, Arita T. Eradication rates of clarithromycin-resistant Helicobacter pylori using either rabeprazole or lansoprazole plus amoxicillin and clarithromycin. </w:t>
      </w:r>
      <w:r>
        <w:rPr>
          <w:i/>
          <w:iCs/>
          <w:spacing w:val="-2"/>
        </w:rPr>
        <w:t>Aliment Pharmacol Ther</w:t>
      </w:r>
      <w:r>
        <w:rPr>
          <w:spacing w:val="-2"/>
        </w:rPr>
        <w:t xml:space="preserve"> 2002; </w:t>
      </w:r>
      <w:r>
        <w:rPr>
          <w:b/>
          <w:bCs/>
          <w:spacing w:val="-2"/>
        </w:rPr>
        <w:t>16</w:t>
      </w:r>
      <w:r>
        <w:rPr>
          <w:spacing w:val="-2"/>
        </w:rPr>
        <w:t>: 1933-1938 [PMID: 12390102]</w:t>
      </w:r>
    </w:p>
    <w:p w:rsidR="00013E1A" w:rsidRDefault="00013E1A" w:rsidP="00013E1A">
      <w:pPr>
        <w:pStyle w:val="-1"/>
      </w:pPr>
      <w:r w:rsidRPr="003050C4">
        <w:t>52</w:t>
      </w:r>
      <w:r w:rsidRPr="003050C4">
        <w:tab/>
      </w:r>
      <w:r>
        <w:rPr>
          <w:b/>
          <w:bCs/>
        </w:rPr>
        <w:t>Sugimoto M</w:t>
      </w:r>
      <w:r>
        <w:t xml:space="preserve">, Uotani T, Sahara S, Ichikawa H, Yamade M, Sugimoto K, Furuta T. Efficacy of tailored Helicobacter pylori eradication treatment based on clarithromycin susceptibility and maintenance of acid secretion. </w:t>
      </w:r>
      <w:r>
        <w:rPr>
          <w:i/>
          <w:iCs/>
        </w:rPr>
        <w:t>Helicobacter</w:t>
      </w:r>
      <w:r>
        <w:t xml:space="preserve"> 2014; </w:t>
      </w:r>
      <w:r>
        <w:rPr>
          <w:b/>
          <w:bCs/>
        </w:rPr>
        <w:t>19</w:t>
      </w:r>
      <w:r>
        <w:t>: 312-318 [PMID: 24690010 DOI: 10.1111/hel.12128]</w:t>
      </w:r>
    </w:p>
    <w:p w:rsidR="00013E1A" w:rsidRDefault="00013E1A" w:rsidP="00013E1A">
      <w:pPr>
        <w:pStyle w:val="-1"/>
      </w:pPr>
      <w:r w:rsidRPr="003050C4">
        <w:t>53</w:t>
      </w:r>
      <w:r w:rsidRPr="003050C4">
        <w:tab/>
      </w:r>
      <w:r>
        <w:rPr>
          <w:b/>
          <w:bCs/>
        </w:rPr>
        <w:t>Sugimoto M</w:t>
      </w:r>
      <w:r>
        <w:t xml:space="preserve">, Sahara S, Ichikawa H, Kagami T, Ban H, Otsuka T, Andoh A, Furuta T. Four-times-daily Dosing of Rabeprazole with Sitafloxacin, High-Dose Amoxicillin, or Both for Metronidazole-Resistant Infection with Helicobacter pylori in Japan. </w:t>
      </w:r>
      <w:r>
        <w:rPr>
          <w:i/>
          <w:iCs/>
        </w:rPr>
        <w:t>Helicobacter</w:t>
      </w:r>
      <w:r>
        <w:t xml:space="preserve"> 2017; </w:t>
      </w:r>
      <w:r>
        <w:rPr>
          <w:b/>
          <w:bCs/>
        </w:rPr>
        <w:t>22</w:t>
      </w:r>
      <w:r>
        <w:t xml:space="preserve"> [PMID: 27213463 DOI: 10.1111/hel.12319]</w:t>
      </w:r>
    </w:p>
    <w:p w:rsidR="00013E1A" w:rsidRDefault="00013E1A" w:rsidP="00013E1A">
      <w:pPr>
        <w:pStyle w:val="-1"/>
      </w:pPr>
      <w:r w:rsidRPr="003050C4">
        <w:t>54</w:t>
      </w:r>
      <w:r w:rsidRPr="003050C4">
        <w:tab/>
      </w:r>
      <w:r>
        <w:rPr>
          <w:b/>
          <w:bCs/>
        </w:rPr>
        <w:t>Aydemir S</w:t>
      </w:r>
      <w:r>
        <w:t xml:space="preserve">, Boyacioglu S, Gur G, Demirbilek M, Can FK, Korkmaz M, Yilmaz U. Helicobacter pylori infection in hemodialysis patients: susceptibility to amoxicillin and clarithromycin. </w:t>
      </w:r>
      <w:r>
        <w:rPr>
          <w:i/>
          <w:iCs/>
        </w:rPr>
        <w:t>World J Gastroenterol</w:t>
      </w:r>
      <w:r>
        <w:t xml:space="preserve"> 2005; </w:t>
      </w:r>
      <w:r>
        <w:rPr>
          <w:b/>
          <w:bCs/>
        </w:rPr>
        <w:t>11</w:t>
      </w:r>
      <w:r>
        <w:t>: 842-845 [PMID: 15682477]</w:t>
      </w:r>
    </w:p>
    <w:p w:rsidR="00013E1A" w:rsidRPr="003050C4" w:rsidRDefault="00013E1A" w:rsidP="00013E1A">
      <w:pPr>
        <w:pStyle w:val="-1"/>
      </w:pPr>
      <w:r w:rsidRPr="003050C4">
        <w:t>55</w:t>
      </w:r>
      <w:r w:rsidRPr="003050C4">
        <w:tab/>
      </w:r>
      <w:r>
        <w:rPr>
          <w:b/>
          <w:bCs/>
        </w:rPr>
        <w:t>Sahara S,</w:t>
      </w:r>
      <w:r>
        <w:t xml:space="preserve"> Sugimoto M, Ichikawa H, Kagami T, Sakao Y, Ohashi N, Horio Y, Sugimoto K, Kato A, Furuta T, Yasuda H. Efficacy of reduced dosage of amoxicillin in an eradication therapy for Helicobacter pylori infection in patients on hemodialysis: a randomized controlled trial. </w:t>
      </w:r>
      <w:r>
        <w:rPr>
          <w:i/>
          <w:iCs/>
        </w:rPr>
        <w:t>Digestion</w:t>
      </w:r>
      <w:r w:rsidRPr="003050C4">
        <w:t xml:space="preserve"> 2018; </w:t>
      </w:r>
      <w:r w:rsidRPr="003050C4">
        <w:rPr>
          <w:b/>
          <w:bCs/>
        </w:rPr>
        <w:t xml:space="preserve">97: </w:t>
      </w:r>
      <w:r w:rsidRPr="003050C4">
        <w:t>163-169[</w:t>
      </w:r>
      <w:r>
        <w:t>PMID: 29310119 DOI: 10.1159/000484981</w:t>
      </w:r>
      <w:r w:rsidRPr="003050C4">
        <w:t>]</w:t>
      </w:r>
    </w:p>
    <w:p w:rsidR="00013E1A" w:rsidRDefault="00013E1A" w:rsidP="00013E1A">
      <w:pPr>
        <w:pStyle w:val="-1"/>
      </w:pPr>
      <w:r w:rsidRPr="003050C4">
        <w:t>56</w:t>
      </w:r>
      <w:r w:rsidRPr="003050C4">
        <w:tab/>
      </w:r>
      <w:r>
        <w:rPr>
          <w:b/>
          <w:bCs/>
        </w:rPr>
        <w:t>Sharara AI</w:t>
      </w:r>
      <w:r>
        <w:t xml:space="preserve">, Chaar HF, Aoun E, Abdul-Baki H, Araj GF, Kanj SS. Efficacy and safety of rabeprazole, amoxicillin, and gatifloxacin after treatment failure of initial Helicobacter pylori eradication. </w:t>
      </w:r>
      <w:r>
        <w:rPr>
          <w:i/>
          <w:iCs/>
        </w:rPr>
        <w:t>Helicobacter</w:t>
      </w:r>
      <w:r>
        <w:t xml:space="preserve"> 2006; </w:t>
      </w:r>
      <w:r>
        <w:rPr>
          <w:b/>
          <w:bCs/>
        </w:rPr>
        <w:t>11</w:t>
      </w:r>
      <w:r>
        <w:t>: 231-236 [PMID: 16882325]</w:t>
      </w:r>
    </w:p>
    <w:p w:rsidR="00013E1A" w:rsidRDefault="00013E1A" w:rsidP="00013E1A">
      <w:pPr>
        <w:pStyle w:val="-1"/>
      </w:pPr>
      <w:r w:rsidRPr="003050C4">
        <w:t>57</w:t>
      </w:r>
      <w:r w:rsidRPr="003050C4">
        <w:tab/>
      </w:r>
      <w:r>
        <w:rPr>
          <w:b/>
          <w:bCs/>
        </w:rPr>
        <w:t>Murakami K</w:t>
      </w:r>
      <w:r>
        <w:t xml:space="preserve">, Sato R, Okimoto T, Nasu M, Fujioka T, Kodama M, Kagawa J. Efficacy of triple therapy comprising rabeprazole, amoxicillin and metronidazole for second-line Helicobacter pylori eradication in Japan, and the influence of metronidazole resistance. </w:t>
      </w:r>
      <w:r>
        <w:rPr>
          <w:i/>
          <w:iCs/>
        </w:rPr>
        <w:t>Aliment Pharmacol Ther</w:t>
      </w:r>
      <w:r>
        <w:t xml:space="preserve"> 2003; </w:t>
      </w:r>
      <w:r>
        <w:rPr>
          <w:b/>
          <w:bCs/>
        </w:rPr>
        <w:t>17</w:t>
      </w:r>
      <w:r>
        <w:t>: 119-123 [PMID: 12492740]</w:t>
      </w:r>
    </w:p>
    <w:p w:rsidR="00013E1A" w:rsidRDefault="00013E1A" w:rsidP="00013E1A">
      <w:pPr>
        <w:pStyle w:val="-1"/>
      </w:pPr>
      <w:r w:rsidRPr="003050C4">
        <w:t>58</w:t>
      </w:r>
      <w:r w:rsidRPr="003050C4">
        <w:tab/>
      </w:r>
      <w:r>
        <w:rPr>
          <w:b/>
          <w:bCs/>
        </w:rPr>
        <w:t>Kawakami E</w:t>
      </w:r>
      <w:r>
        <w:t xml:space="preserve">, Machado RS, Ogata SK, Langner M, Fukushima E, Carelli AP, Bonucci VC, Patricio FR. Furazolidone-based triple therapy for H pylori gastritis in children. </w:t>
      </w:r>
      <w:r>
        <w:rPr>
          <w:i/>
          <w:iCs/>
        </w:rPr>
        <w:t>World J Gastroenterol</w:t>
      </w:r>
      <w:r>
        <w:t xml:space="preserve"> 2006; </w:t>
      </w:r>
      <w:r>
        <w:rPr>
          <w:b/>
          <w:bCs/>
        </w:rPr>
        <w:t>12</w:t>
      </w:r>
      <w:r>
        <w:t>: 5544-5549 [PMID: 17006997]</w:t>
      </w:r>
    </w:p>
    <w:p w:rsidR="00013E1A" w:rsidRDefault="00013E1A" w:rsidP="00013E1A">
      <w:pPr>
        <w:pStyle w:val="-1"/>
      </w:pPr>
      <w:r w:rsidRPr="003050C4">
        <w:t>59</w:t>
      </w:r>
      <w:r w:rsidRPr="003050C4">
        <w:tab/>
      </w:r>
      <w:r>
        <w:rPr>
          <w:b/>
          <w:bCs/>
        </w:rPr>
        <w:t>Sugimoto M</w:t>
      </w:r>
      <w:r>
        <w:t xml:space="preserve">, Sahara S, Ichikawa H, Kagami T, Uotani T, Furuta T. High Helicobacter pylori cure rate with sitafloxacin-based triple therapy. </w:t>
      </w:r>
      <w:r>
        <w:rPr>
          <w:i/>
          <w:iCs/>
        </w:rPr>
        <w:t>Aliment Pharmacol Ther</w:t>
      </w:r>
      <w:r>
        <w:t xml:space="preserve"> 2015; </w:t>
      </w:r>
      <w:r>
        <w:rPr>
          <w:b/>
          <w:bCs/>
        </w:rPr>
        <w:t>42</w:t>
      </w:r>
      <w:r>
        <w:t>: 477-483 [PMID: 26075959 DOI: 10.1111/apt.13280]</w:t>
      </w:r>
    </w:p>
    <w:p w:rsidR="00013E1A" w:rsidRDefault="00013E1A" w:rsidP="00013E1A">
      <w:pPr>
        <w:pStyle w:val="-1"/>
      </w:pPr>
      <w:r w:rsidRPr="003050C4">
        <w:lastRenderedPageBreak/>
        <w:t>60</w:t>
      </w:r>
      <w:r w:rsidRPr="003050C4">
        <w:tab/>
      </w:r>
      <w:r>
        <w:rPr>
          <w:b/>
          <w:bCs/>
        </w:rPr>
        <w:t>Siddique O</w:t>
      </w:r>
      <w:r>
        <w:t xml:space="preserve">, Ovalle A, Siddique AS, Moss SF. Helicobacter pylori Infection: an Update for the Internist in the Age of Increasing Global Antibiotic Resistance. </w:t>
      </w:r>
      <w:r>
        <w:rPr>
          <w:i/>
          <w:iCs/>
        </w:rPr>
        <w:t>Am J Med</w:t>
      </w:r>
      <w:r>
        <w:t xml:space="preserve"> 2018; Epub ahead of print [PMID: 29353050 DOI: 10.1016/j.amjmed.2017.12.024]</w:t>
      </w:r>
    </w:p>
    <w:p w:rsidR="00013E1A" w:rsidRDefault="00013E1A" w:rsidP="00013E1A">
      <w:pPr>
        <w:pStyle w:val="-1"/>
      </w:pPr>
      <w:r w:rsidRPr="003050C4">
        <w:t>61</w:t>
      </w:r>
      <w:r w:rsidRPr="003050C4">
        <w:tab/>
      </w:r>
      <w:r>
        <w:rPr>
          <w:b/>
          <w:bCs/>
        </w:rPr>
        <w:t>Tamura H</w:t>
      </w:r>
      <w:r>
        <w:t xml:space="preserve">, Tokushima H, Murakawa M, Matsumura O, Itoyama S, Sekine S, Hirose H, Mitarai T, Isoda K. Eradication of Helicobacter pylori in patients with end-stage renal disease under dialysis treatment. </w:t>
      </w:r>
      <w:r>
        <w:rPr>
          <w:i/>
          <w:iCs/>
        </w:rPr>
        <w:t>Am J Kidney Dis</w:t>
      </w:r>
      <w:r>
        <w:t xml:space="preserve"> 1997; </w:t>
      </w:r>
      <w:r>
        <w:rPr>
          <w:b/>
          <w:bCs/>
        </w:rPr>
        <w:t>29</w:t>
      </w:r>
      <w:r>
        <w:t>: 86-90 [PMID: 9002534]</w:t>
      </w:r>
    </w:p>
    <w:p w:rsidR="00013E1A" w:rsidRDefault="00013E1A" w:rsidP="00013E1A">
      <w:pPr>
        <w:pStyle w:val="-1"/>
      </w:pPr>
      <w:r w:rsidRPr="003050C4">
        <w:t>62</w:t>
      </w:r>
      <w:r w:rsidRPr="003050C4">
        <w:tab/>
      </w:r>
      <w:r>
        <w:rPr>
          <w:b/>
          <w:bCs/>
        </w:rPr>
        <w:t>Tokushima H</w:t>
      </w:r>
      <w:r>
        <w:t xml:space="preserve">, Tamura H, Murakawa M, Matsumura O, Itakura Y, Itoyama S, Mitarai T, Isoda K. Eradication of Helicobacter pylori restores elevation of serum gastrin concentrations in patients with end-stage renal disease. </w:t>
      </w:r>
      <w:r>
        <w:rPr>
          <w:i/>
          <w:iCs/>
        </w:rPr>
        <w:t>Intern Med</w:t>
      </w:r>
      <w:r>
        <w:t xml:space="preserve"> 1998; </w:t>
      </w:r>
      <w:r>
        <w:rPr>
          <w:b/>
          <w:bCs/>
        </w:rPr>
        <w:t>37</w:t>
      </w:r>
      <w:r>
        <w:t>: 435-439 [PMID: 9652896]</w:t>
      </w:r>
    </w:p>
    <w:p w:rsidR="00013E1A" w:rsidRDefault="00013E1A" w:rsidP="00013E1A">
      <w:pPr>
        <w:pStyle w:val="-1"/>
      </w:pPr>
      <w:r w:rsidRPr="003050C4">
        <w:t>63</w:t>
      </w:r>
      <w:r w:rsidRPr="003050C4">
        <w:tab/>
      </w:r>
      <w:r>
        <w:rPr>
          <w:b/>
          <w:bCs/>
        </w:rPr>
        <w:t>Araki H</w:t>
      </w:r>
      <w:r>
        <w:t xml:space="preserve">, Miyazaki R, Matsuda T, Gejyo F, Koni I. Significance of serum pepsinogens and their relationship to Helicobacter pylori infection and histological gastritis in dialysis patients. </w:t>
      </w:r>
      <w:r>
        <w:rPr>
          <w:i/>
          <w:iCs/>
        </w:rPr>
        <w:t>Nephrol Dial Transplant</w:t>
      </w:r>
      <w:r>
        <w:t xml:space="preserve"> 1999; </w:t>
      </w:r>
      <w:r>
        <w:rPr>
          <w:b/>
          <w:bCs/>
        </w:rPr>
        <w:t>14</w:t>
      </w:r>
      <w:r>
        <w:t>: 2669-2675 [PMID: 10534510]</w:t>
      </w:r>
    </w:p>
    <w:p w:rsidR="00013E1A" w:rsidRDefault="00013E1A" w:rsidP="00013E1A">
      <w:pPr>
        <w:pStyle w:val="-1"/>
      </w:pPr>
      <w:r w:rsidRPr="003050C4">
        <w:t>64</w:t>
      </w:r>
      <w:r w:rsidRPr="003050C4">
        <w:tab/>
      </w:r>
      <w:r>
        <w:rPr>
          <w:b/>
          <w:bCs/>
        </w:rPr>
        <w:t>Wang YL</w:t>
      </w:r>
      <w:r>
        <w:t xml:space="preserve">, Sheu BS, Huang JJ, Yang HB. Noninvasive stool antigen assay can effectively screen Helicobacter pylori Infection and assess success of eradication therapy in hemodialysis patients. </w:t>
      </w:r>
      <w:r>
        <w:rPr>
          <w:i/>
          <w:iCs/>
        </w:rPr>
        <w:t>Am J Kidney Dis</w:t>
      </w:r>
      <w:r>
        <w:t xml:space="preserve"> 2001; </w:t>
      </w:r>
      <w:r>
        <w:rPr>
          <w:b/>
          <w:bCs/>
        </w:rPr>
        <w:t>38</w:t>
      </w:r>
      <w:r>
        <w:t>: 98-103 [PMID: 11431188]</w:t>
      </w:r>
    </w:p>
    <w:p w:rsidR="00013E1A" w:rsidRDefault="00013E1A" w:rsidP="00013E1A">
      <w:pPr>
        <w:pStyle w:val="-1"/>
      </w:pPr>
      <w:r w:rsidRPr="003050C4">
        <w:t>65</w:t>
      </w:r>
      <w:r w:rsidRPr="003050C4">
        <w:tab/>
      </w:r>
      <w:r>
        <w:rPr>
          <w:b/>
          <w:bCs/>
        </w:rPr>
        <w:t>Tsukada K</w:t>
      </w:r>
      <w:r>
        <w:t xml:space="preserve">, Miyazaki T, Katoh H, Masuda N, Ojima H, Fukai Y, Nakajima M, Manda R, Fukuchi M, Kuwano H, Tsukada O. Seven-day triple therapy with omeprazole, amoxycillin and clarithromycin for Helicobacter pylori infection in haemodialysis patients. </w:t>
      </w:r>
      <w:r>
        <w:rPr>
          <w:i/>
          <w:iCs/>
        </w:rPr>
        <w:t>Scand J Gastroenterol</w:t>
      </w:r>
      <w:r>
        <w:t xml:space="preserve"> 2002; </w:t>
      </w:r>
      <w:r>
        <w:rPr>
          <w:b/>
          <w:bCs/>
        </w:rPr>
        <w:t>37</w:t>
      </w:r>
      <w:r>
        <w:t>: 1265-1268 [PMID: 12465723]</w:t>
      </w:r>
    </w:p>
    <w:p w:rsidR="00013E1A" w:rsidRDefault="00013E1A" w:rsidP="00013E1A">
      <w:pPr>
        <w:pStyle w:val="-1"/>
      </w:pPr>
      <w:r w:rsidRPr="003050C4">
        <w:t>66</w:t>
      </w:r>
      <w:r w:rsidRPr="003050C4">
        <w:tab/>
      </w:r>
      <w:r>
        <w:rPr>
          <w:b/>
          <w:bCs/>
        </w:rPr>
        <w:t>Arancibia A</w:t>
      </w:r>
      <w:r>
        <w:t xml:space="preserve">, Drouguett MT, Fuentes G, González G, González C, Thambo S, Palombo G. Pharmacokinetics of amoxicillin in subjects with normal and impaired renal function. </w:t>
      </w:r>
      <w:r>
        <w:rPr>
          <w:i/>
          <w:iCs/>
        </w:rPr>
        <w:t>Int J Clin Pharmacol Ther Toxicol</w:t>
      </w:r>
      <w:r>
        <w:t xml:space="preserve"> 1982; </w:t>
      </w:r>
      <w:r>
        <w:rPr>
          <w:b/>
          <w:bCs/>
        </w:rPr>
        <w:t>20</w:t>
      </w:r>
      <w:r>
        <w:t>: 447-453 [PMID: 7141752]</w:t>
      </w:r>
    </w:p>
    <w:p w:rsidR="00013E1A" w:rsidRDefault="00013E1A" w:rsidP="00013E1A">
      <w:pPr>
        <w:pStyle w:val="-1"/>
      </w:pPr>
      <w:r w:rsidRPr="003050C4">
        <w:t>67</w:t>
      </w:r>
      <w:r w:rsidRPr="003050C4">
        <w:tab/>
      </w:r>
      <w:r>
        <w:rPr>
          <w:b/>
          <w:bCs/>
        </w:rPr>
        <w:t>Jones DP</w:t>
      </w:r>
      <w:r>
        <w:t xml:space="preserve">, Gaber L, Nilsson GR, Brewer ED, Stapleton FB. Acute renal failure following amoxicillin overdose. </w:t>
      </w:r>
      <w:r>
        <w:rPr>
          <w:i/>
          <w:iCs/>
        </w:rPr>
        <w:t xml:space="preserve">Clin Pediatr </w:t>
      </w:r>
      <w:r>
        <w:t xml:space="preserve">(Phila) 1993; </w:t>
      </w:r>
      <w:r>
        <w:rPr>
          <w:b/>
          <w:bCs/>
        </w:rPr>
        <w:t>32</w:t>
      </w:r>
      <w:r>
        <w:t>: 735-739 [PMID: 8275607]</w:t>
      </w:r>
    </w:p>
    <w:p w:rsidR="00013E1A" w:rsidRDefault="00013E1A" w:rsidP="00013E1A">
      <w:pPr>
        <w:pStyle w:val="-1"/>
      </w:pPr>
      <w:r w:rsidRPr="003050C4">
        <w:t>68</w:t>
      </w:r>
      <w:r w:rsidRPr="003050C4">
        <w:tab/>
      </w:r>
      <w:r>
        <w:rPr>
          <w:b/>
          <w:bCs/>
        </w:rPr>
        <w:t>Sheu BS</w:t>
      </w:r>
      <w:r>
        <w:t xml:space="preserve">, Huang JJ, Yang HB, Huang AH, Wu JJ. The selection of triple therapy for Helicobacter pylori eradication in chronic renal insufficiency. </w:t>
      </w:r>
      <w:r>
        <w:rPr>
          <w:i/>
          <w:iCs/>
        </w:rPr>
        <w:t>Aliment Pharmacol Ther</w:t>
      </w:r>
      <w:r>
        <w:t xml:space="preserve"> 2003; </w:t>
      </w:r>
      <w:r>
        <w:rPr>
          <w:b/>
          <w:bCs/>
        </w:rPr>
        <w:t>17</w:t>
      </w:r>
      <w:r>
        <w:t>: 1283-1290 [PMID: 12755841]</w:t>
      </w:r>
    </w:p>
    <w:p w:rsidR="00013E1A" w:rsidRDefault="00013E1A" w:rsidP="00013E1A">
      <w:pPr>
        <w:pStyle w:val="-1"/>
      </w:pPr>
      <w:r w:rsidRPr="003050C4">
        <w:t>69</w:t>
      </w:r>
      <w:r w:rsidRPr="003050C4">
        <w:tab/>
      </w:r>
      <w:r>
        <w:rPr>
          <w:b/>
          <w:bCs/>
        </w:rPr>
        <w:t>Itatsu T</w:t>
      </w:r>
      <w:r>
        <w:t xml:space="preserve">, Miwa H, Nagahara A, Kubota M, Miyazaki A, Sato N, Hayashida Y. Eradication of Helicobacter pylori in hemodialysis patients. </w:t>
      </w:r>
      <w:r>
        <w:rPr>
          <w:i/>
          <w:iCs/>
        </w:rPr>
        <w:t>Ren Fail</w:t>
      </w:r>
      <w:r>
        <w:t xml:space="preserve"> 2007; </w:t>
      </w:r>
      <w:r>
        <w:rPr>
          <w:b/>
          <w:bCs/>
        </w:rPr>
        <w:t>29</w:t>
      </w:r>
      <w:r>
        <w:t>: 97-102 [PMID: 17365917]</w:t>
      </w:r>
    </w:p>
    <w:p w:rsidR="00013E1A" w:rsidRDefault="00013E1A" w:rsidP="00013E1A">
      <w:pPr>
        <w:pStyle w:val="-1"/>
      </w:pPr>
      <w:r w:rsidRPr="003050C4">
        <w:t>70</w:t>
      </w:r>
      <w:r w:rsidRPr="003050C4">
        <w:tab/>
      </w:r>
      <w:r>
        <w:rPr>
          <w:b/>
          <w:bCs/>
        </w:rPr>
        <w:t>Chang WC</w:t>
      </w:r>
      <w:r>
        <w:t xml:space="preserve">, Jo YI, Park HS, Jegal J, Park JH, Lee JH, Jin CJ. Helicobacter pylori eradication with a 7-day low-dose triple therapy in hemodialysis patients. </w:t>
      </w:r>
      <w:r>
        <w:rPr>
          <w:i/>
          <w:iCs/>
        </w:rPr>
        <w:t>Clin Exp Nephrol</w:t>
      </w:r>
      <w:r>
        <w:t xml:space="preserve"> 2010; </w:t>
      </w:r>
      <w:r>
        <w:rPr>
          <w:b/>
          <w:bCs/>
        </w:rPr>
        <w:t>14</w:t>
      </w:r>
      <w:r>
        <w:t>: 469-473 [PMID: 20632062 DOI: 10.1007/s10157-010-0319-7]</w:t>
      </w:r>
    </w:p>
    <w:p w:rsidR="00013E1A" w:rsidRDefault="00013E1A" w:rsidP="00013E1A">
      <w:pPr>
        <w:pStyle w:val="-1"/>
      </w:pPr>
      <w:r w:rsidRPr="003050C4">
        <w:t>71</w:t>
      </w:r>
      <w:r w:rsidRPr="003050C4">
        <w:tab/>
      </w:r>
      <w:r>
        <w:rPr>
          <w:b/>
          <w:bCs/>
        </w:rPr>
        <w:t>Mak RH</w:t>
      </w:r>
      <w:r>
        <w:t xml:space="preserve">, Cheung WW. Is ghrelin a biomarker for mortality in end-stage renal disease? </w:t>
      </w:r>
      <w:r>
        <w:rPr>
          <w:i/>
          <w:iCs/>
        </w:rPr>
        <w:t>Kidney Int</w:t>
      </w:r>
      <w:r>
        <w:t xml:space="preserve"> 2011; </w:t>
      </w:r>
      <w:r>
        <w:rPr>
          <w:b/>
          <w:bCs/>
        </w:rPr>
        <w:t>79</w:t>
      </w:r>
      <w:r>
        <w:t>: 697-699 [PMID: 21403653 DOI: 10.1038/ki.2010.520]</w:t>
      </w:r>
    </w:p>
    <w:p w:rsidR="00013E1A" w:rsidRDefault="00013E1A" w:rsidP="00013E1A">
      <w:pPr>
        <w:pStyle w:val="-1"/>
      </w:pPr>
      <w:r w:rsidRPr="003050C4">
        <w:t>72</w:t>
      </w:r>
      <w:r w:rsidRPr="003050C4">
        <w:tab/>
      </w:r>
      <w:r>
        <w:rPr>
          <w:b/>
          <w:bCs/>
        </w:rPr>
        <w:t>Fouque D</w:t>
      </w:r>
      <w:r>
        <w:t xml:space="preserve">, Kalantar-Zadeh K, Kopple J, Cano N, Chauveau P, Cuppari L, Franch H, Guarnieri G, Ikizler TA, Kaysen G, Lindholm B, Massy Z, Mitch W, Pineda E, Stenvinkel P, Treviño-Becerra A, Wanner C. A proposed nomenclature and diagnostic criteria for protein-energy wasting in acute and chronic kidney disease. </w:t>
      </w:r>
      <w:r>
        <w:rPr>
          <w:i/>
          <w:iCs/>
        </w:rPr>
        <w:t>Kidney Int</w:t>
      </w:r>
      <w:r>
        <w:t xml:space="preserve"> 2008; </w:t>
      </w:r>
      <w:r>
        <w:rPr>
          <w:b/>
          <w:bCs/>
        </w:rPr>
        <w:t>73</w:t>
      </w:r>
      <w:r>
        <w:t>: 391-398 [PMID: 18094682 DOI: 10.1038/sj.ki.5002585]</w:t>
      </w:r>
    </w:p>
    <w:p w:rsidR="00013E1A" w:rsidRDefault="00013E1A" w:rsidP="00013E1A">
      <w:pPr>
        <w:pStyle w:val="-1"/>
      </w:pPr>
      <w:r w:rsidRPr="003050C4">
        <w:t>73</w:t>
      </w:r>
      <w:r w:rsidRPr="003050C4">
        <w:tab/>
      </w:r>
      <w:r>
        <w:rPr>
          <w:b/>
          <w:bCs/>
        </w:rPr>
        <w:t>Kojima M</w:t>
      </w:r>
      <w:r>
        <w:t xml:space="preserve">, Hosoda H, Date Y, Nakazato M, Matsuo H, Kangawa K. Ghrelin is a growth-hormone-releasing acylated peptide from stomach. </w:t>
      </w:r>
      <w:r>
        <w:rPr>
          <w:i/>
          <w:iCs/>
        </w:rPr>
        <w:t>Nature</w:t>
      </w:r>
      <w:r>
        <w:t xml:space="preserve"> 1999; </w:t>
      </w:r>
      <w:r>
        <w:rPr>
          <w:b/>
          <w:bCs/>
        </w:rPr>
        <w:t>402</w:t>
      </w:r>
      <w:r>
        <w:t>: 656-660 [PMID: 10604470 DOI: 10.1038/45230]</w:t>
      </w:r>
    </w:p>
    <w:p w:rsidR="00013E1A" w:rsidRDefault="00013E1A" w:rsidP="00013E1A">
      <w:pPr>
        <w:pStyle w:val="-1"/>
      </w:pPr>
      <w:r w:rsidRPr="003050C4">
        <w:t>74</w:t>
      </w:r>
      <w:r w:rsidRPr="003050C4">
        <w:tab/>
      </w:r>
      <w:r>
        <w:rPr>
          <w:b/>
          <w:bCs/>
        </w:rPr>
        <w:t>Carrero JJ</w:t>
      </w:r>
      <w:r>
        <w:t xml:space="preserve">, Nakashima A, Qureshi AR, Lindholm B, Heimbürger O, Bárány P, Stenvinkel P. Protein-energy wasting modifies the association of ghrelin with inflammation, leptin, and mortality in hemodialysis patients. </w:t>
      </w:r>
      <w:r>
        <w:rPr>
          <w:i/>
          <w:iCs/>
        </w:rPr>
        <w:t>Kidney Int</w:t>
      </w:r>
      <w:r>
        <w:t xml:space="preserve"> 2011; </w:t>
      </w:r>
      <w:r>
        <w:rPr>
          <w:b/>
          <w:bCs/>
        </w:rPr>
        <w:t>79</w:t>
      </w:r>
      <w:r>
        <w:t>: 749-756 [PMID: 21178976 DOI: 10.1038/ki.2010.487]</w:t>
      </w:r>
    </w:p>
    <w:p w:rsidR="00013E1A" w:rsidRDefault="00013E1A" w:rsidP="00013E1A">
      <w:pPr>
        <w:pStyle w:val="-1"/>
      </w:pPr>
      <w:r w:rsidRPr="003050C4">
        <w:t>75</w:t>
      </w:r>
      <w:r w:rsidRPr="003050C4">
        <w:tab/>
      </w:r>
      <w:r>
        <w:rPr>
          <w:b/>
          <w:bCs/>
        </w:rPr>
        <w:t>Pradhan G</w:t>
      </w:r>
      <w:r>
        <w:t xml:space="preserve">, Samson SL, Sun Y. Ghrelin: much more than a hunger hormone. </w:t>
      </w:r>
      <w:r>
        <w:rPr>
          <w:i/>
          <w:iCs/>
        </w:rPr>
        <w:t>Curr Opin Clin Nutr Metab Care</w:t>
      </w:r>
      <w:r>
        <w:t xml:space="preserve"> 2013; </w:t>
      </w:r>
      <w:r>
        <w:rPr>
          <w:b/>
          <w:bCs/>
        </w:rPr>
        <w:t>16</w:t>
      </w:r>
      <w:r>
        <w:t>: 619-624 [PMID: 24100676 DOI: 10.1097/MCO.0b013e328365b9be]</w:t>
      </w:r>
    </w:p>
    <w:p w:rsidR="00013E1A" w:rsidRDefault="00013E1A" w:rsidP="00013E1A">
      <w:pPr>
        <w:pStyle w:val="-1"/>
      </w:pPr>
      <w:r w:rsidRPr="003050C4">
        <w:t>76</w:t>
      </w:r>
      <w:r w:rsidRPr="003050C4">
        <w:tab/>
      </w:r>
      <w:r>
        <w:rPr>
          <w:b/>
          <w:bCs/>
        </w:rPr>
        <w:t>Akamizu T</w:t>
      </w:r>
      <w:r>
        <w:t xml:space="preserve">, Kangawa K. Ghrelin for cachexia. </w:t>
      </w:r>
      <w:r>
        <w:rPr>
          <w:i/>
          <w:iCs/>
        </w:rPr>
        <w:t>J Cachexia Sarcopenia Muscle</w:t>
      </w:r>
      <w:r>
        <w:t xml:space="preserve"> 2010; </w:t>
      </w:r>
      <w:r>
        <w:rPr>
          <w:b/>
          <w:bCs/>
        </w:rPr>
        <w:t>1</w:t>
      </w:r>
      <w:r>
        <w:t>: 169-176 [PMID: 21475698 DOI: 10.1007/s13539-010-0011-5]</w:t>
      </w:r>
    </w:p>
    <w:p w:rsidR="00013E1A" w:rsidRDefault="00013E1A" w:rsidP="00013E1A">
      <w:pPr>
        <w:pStyle w:val="-1"/>
      </w:pPr>
      <w:r w:rsidRPr="003050C4">
        <w:t>77</w:t>
      </w:r>
      <w:r w:rsidRPr="003050C4">
        <w:tab/>
      </w:r>
      <w:r>
        <w:rPr>
          <w:b/>
          <w:bCs/>
        </w:rPr>
        <w:t>Ariyasu H</w:t>
      </w:r>
      <w:r>
        <w:t xml:space="preserve">, Takaya K, Tagami T, Ogawa Y, Hosoda K, Akamizu T, Suda M, Koh T, Natsui K, Toyooka S, Shirakami G, Usui T, Shimatsu A, Doi K, Hosoda H, Kojima M, Kangawa K, Nakao K. Stomach is a major source of circulating ghrelin, and feeding state determines plasma </w:t>
      </w:r>
      <w:r>
        <w:lastRenderedPageBreak/>
        <w:t xml:space="preserve">ghrelin-like immunoreactivity levels in humans. </w:t>
      </w:r>
      <w:r>
        <w:rPr>
          <w:i/>
          <w:iCs/>
        </w:rPr>
        <w:t>J Clin Endocrinol Metab</w:t>
      </w:r>
      <w:r>
        <w:t xml:space="preserve"> 2001; </w:t>
      </w:r>
      <w:r>
        <w:rPr>
          <w:b/>
          <w:bCs/>
        </w:rPr>
        <w:t>86</w:t>
      </w:r>
      <w:r>
        <w:t>: 4753-4758 [PMID: 11600536 DOI: 10.1210/jcem.86.10.7885]</w:t>
      </w:r>
    </w:p>
    <w:p w:rsidR="00013E1A" w:rsidRDefault="00013E1A" w:rsidP="00013E1A">
      <w:pPr>
        <w:pStyle w:val="-1"/>
      </w:pPr>
      <w:r w:rsidRPr="003050C4">
        <w:t>78</w:t>
      </w:r>
      <w:r w:rsidRPr="003050C4">
        <w:tab/>
      </w:r>
      <w:r>
        <w:rPr>
          <w:b/>
          <w:bCs/>
        </w:rPr>
        <w:t>Chou CC</w:t>
      </w:r>
      <w:r>
        <w:t xml:space="preserve">, Bai CH, Tsai SC, Wu MS. Low serum acylated ghrelin levels are associated with the development of cardiovascular disease in hemodialysis patients. </w:t>
      </w:r>
      <w:r>
        <w:rPr>
          <w:i/>
          <w:iCs/>
        </w:rPr>
        <w:t>Intern Med</w:t>
      </w:r>
      <w:r>
        <w:t xml:space="preserve"> 2010; </w:t>
      </w:r>
      <w:r>
        <w:rPr>
          <w:b/>
          <w:bCs/>
        </w:rPr>
        <w:t>49</w:t>
      </w:r>
      <w:r>
        <w:t>: 2057-2064 [PMID: 20930430]</w:t>
      </w:r>
    </w:p>
    <w:p w:rsidR="00013E1A" w:rsidRDefault="00013E1A" w:rsidP="00013E1A">
      <w:pPr>
        <w:pStyle w:val="-1"/>
      </w:pPr>
      <w:r w:rsidRPr="003050C4">
        <w:t>79</w:t>
      </w:r>
      <w:r w:rsidRPr="003050C4">
        <w:tab/>
      </w:r>
      <w:r>
        <w:rPr>
          <w:b/>
          <w:bCs/>
        </w:rPr>
        <w:t>Osawa H</w:t>
      </w:r>
      <w:r>
        <w:t xml:space="preserve">, Nakazato M, Date Y, Kita H, Ohnishi H, Ueno H, Shiiya T, Satoh K, Ishino Y, Sugano K. Impaired production of gastric ghrelin in chronic gastritis associated with Helicobacter pylori. </w:t>
      </w:r>
      <w:r>
        <w:rPr>
          <w:i/>
          <w:iCs/>
        </w:rPr>
        <w:t>J Clin Endocrinol Metab</w:t>
      </w:r>
      <w:r>
        <w:t xml:space="preserve"> 2005; </w:t>
      </w:r>
      <w:r>
        <w:rPr>
          <w:b/>
          <w:bCs/>
        </w:rPr>
        <w:t>90</w:t>
      </w:r>
      <w:r>
        <w:t>: 10-16 [PMID: 15483107 DOI: 10.1210/jc.2004-1330]</w:t>
      </w:r>
    </w:p>
    <w:p w:rsidR="00013E1A" w:rsidRDefault="00013E1A" w:rsidP="00013E1A">
      <w:pPr>
        <w:pStyle w:val="-1"/>
      </w:pPr>
      <w:r w:rsidRPr="003050C4">
        <w:t>80</w:t>
      </w:r>
      <w:r w:rsidRPr="003050C4">
        <w:tab/>
      </w:r>
      <w:r>
        <w:rPr>
          <w:b/>
          <w:bCs/>
        </w:rPr>
        <w:t>Osawa H</w:t>
      </w:r>
      <w:r>
        <w:t xml:space="preserve">, Kita H, Ohnishi H, Nakazato M, Date Y, Bowlus CL, Ishino Y, Watanabe E, Shiiya T, Ueno H, Hoshino H, Satoh K, Sugano K. Changes in plasma ghrelin levels, gastric ghrelin production, and body weight after Helicobacter pylori cure. </w:t>
      </w:r>
      <w:r>
        <w:rPr>
          <w:i/>
          <w:iCs/>
        </w:rPr>
        <w:t>J Gastroenterol</w:t>
      </w:r>
      <w:r>
        <w:t xml:space="preserve"> 2006; </w:t>
      </w:r>
      <w:r>
        <w:rPr>
          <w:b/>
          <w:bCs/>
        </w:rPr>
        <w:t>41</w:t>
      </w:r>
      <w:r>
        <w:t>: 954-961 [PMID: 17096064 DOI: 10.1007/s00535-006-1880-4]</w:t>
      </w:r>
    </w:p>
    <w:p w:rsidR="00013E1A" w:rsidRDefault="00013E1A" w:rsidP="00013E1A">
      <w:pPr>
        <w:pStyle w:val="-1"/>
      </w:pPr>
      <w:r w:rsidRPr="003050C4">
        <w:t>81</w:t>
      </w:r>
      <w:r w:rsidRPr="003050C4">
        <w:tab/>
      </w:r>
      <w:r>
        <w:rPr>
          <w:b/>
          <w:bCs/>
        </w:rPr>
        <w:t>Suzuki H</w:t>
      </w:r>
      <w:r>
        <w:t xml:space="preserve">, Masaoka T, Hosoda H, Ota T, Minegishi Y, Nomura S, Kangawa K, Ishii H. Helicobacter pylori infection modifies gastric and plasma ghrelin dynamics in Mongolian gerbils. </w:t>
      </w:r>
      <w:r>
        <w:rPr>
          <w:i/>
          <w:iCs/>
        </w:rPr>
        <w:t>Gut</w:t>
      </w:r>
      <w:r>
        <w:t xml:space="preserve"> 2004; </w:t>
      </w:r>
      <w:r>
        <w:rPr>
          <w:b/>
          <w:bCs/>
        </w:rPr>
        <w:t>53</w:t>
      </w:r>
      <w:r>
        <w:t>: 187-194 [PMID: 14724148]</w:t>
      </w:r>
    </w:p>
    <w:p w:rsidR="00013E1A" w:rsidRDefault="00013E1A" w:rsidP="00013E1A">
      <w:pPr>
        <w:pStyle w:val="-1"/>
      </w:pPr>
      <w:r w:rsidRPr="003050C4">
        <w:t>82</w:t>
      </w:r>
      <w:r w:rsidRPr="003050C4">
        <w:tab/>
      </w:r>
      <w:r>
        <w:rPr>
          <w:b/>
          <w:bCs/>
        </w:rPr>
        <w:t>Furuta T</w:t>
      </w:r>
      <w:r>
        <w:t xml:space="preserve">, Shirai N, Xiao F, Takashima M, Hanai H. Effect of Helicobacter pylori infection and its eradication on nutrition. </w:t>
      </w:r>
      <w:r>
        <w:rPr>
          <w:i/>
          <w:iCs/>
        </w:rPr>
        <w:t>Aliment Pharmacol Ther</w:t>
      </w:r>
      <w:r>
        <w:t xml:space="preserve"> 2002; </w:t>
      </w:r>
      <w:r>
        <w:rPr>
          <w:b/>
          <w:bCs/>
        </w:rPr>
        <w:t>16</w:t>
      </w:r>
      <w:r>
        <w:t>: 799-806 [PMID: 11929399]</w:t>
      </w:r>
    </w:p>
    <w:p w:rsidR="00013E1A" w:rsidRDefault="00013E1A" w:rsidP="00013E1A">
      <w:pPr>
        <w:pStyle w:val="-1"/>
      </w:pPr>
      <w:r w:rsidRPr="003050C4">
        <w:t>83</w:t>
      </w:r>
      <w:r w:rsidRPr="003050C4">
        <w:tab/>
      </w:r>
      <w:r>
        <w:rPr>
          <w:b/>
          <w:bCs/>
        </w:rPr>
        <w:t>Jang EJ</w:t>
      </w:r>
      <w:r>
        <w:t xml:space="preserve">, Park SW, Park JS, Park SJ, Hahm KB, Paik SY, Sin MK, Lee ES, Oh SW, Park CY, Baik HW. The influence of the eradication of Helicobacter pylori on gastric ghrelin, appetite, and body mass index in patients with peptic ulcer disease. </w:t>
      </w:r>
      <w:r>
        <w:rPr>
          <w:i/>
          <w:iCs/>
        </w:rPr>
        <w:t>J Gastroenterol Hepatol</w:t>
      </w:r>
      <w:r>
        <w:t xml:space="preserve"> 2008; </w:t>
      </w:r>
      <w:r>
        <w:rPr>
          <w:b/>
          <w:bCs/>
        </w:rPr>
        <w:t xml:space="preserve">23 </w:t>
      </w:r>
      <w:r>
        <w:t>Suppl 2: S278-S285 [PMID: 19120912 DOI: 10.1111/j.1440-1746.2008.05415.x]</w:t>
      </w:r>
    </w:p>
    <w:p w:rsidR="00013E1A" w:rsidRDefault="00013E1A" w:rsidP="00013E1A">
      <w:pPr>
        <w:pStyle w:val="-1"/>
      </w:pPr>
      <w:r w:rsidRPr="003050C4">
        <w:t>84</w:t>
      </w:r>
      <w:r w:rsidRPr="003050C4">
        <w:tab/>
      </w:r>
      <w:r>
        <w:rPr>
          <w:b/>
          <w:bCs/>
        </w:rPr>
        <w:t>Kawashima J</w:t>
      </w:r>
      <w:r>
        <w:t xml:space="preserve">, Ohno S, Sakurada T, Takabayashi H, Kudo M, Ro S, Kato S, Yakabi K. Circulating acylated ghrelin level decreases in accordance with the extent of atrophic gastritis. </w:t>
      </w:r>
      <w:r>
        <w:rPr>
          <w:i/>
          <w:iCs/>
        </w:rPr>
        <w:t>J Gastroenterol</w:t>
      </w:r>
      <w:r>
        <w:t xml:space="preserve"> 2009; </w:t>
      </w:r>
      <w:r>
        <w:rPr>
          <w:b/>
          <w:bCs/>
        </w:rPr>
        <w:t>44</w:t>
      </w:r>
      <w:r>
        <w:t>: 1046-1054 [PMID: 19701601 DOI: 10.1007/s00535-009-0120-0]</w:t>
      </w:r>
    </w:p>
    <w:p w:rsidR="00013E1A" w:rsidRDefault="00013E1A" w:rsidP="00013E1A">
      <w:pPr>
        <w:pStyle w:val="-1"/>
      </w:pPr>
      <w:r w:rsidRPr="003050C4">
        <w:t>85</w:t>
      </w:r>
      <w:r w:rsidRPr="003050C4">
        <w:tab/>
      </w:r>
      <w:r>
        <w:rPr>
          <w:b/>
          <w:bCs/>
        </w:rPr>
        <w:t>Aguilera A</w:t>
      </w:r>
      <w:r>
        <w:t xml:space="preserve">, Codoceo R, Bajo MA, Diéz JJ, del Peso G, Pavone M, Ortiz J, Valdez J, Cirugeda A, Fernández-Perpén A, Sánchez-Tomero JA, Selgas R. Helicobacter pylori infection: a new cause of anorexia in peritoneal dialysis patients. </w:t>
      </w:r>
      <w:r>
        <w:rPr>
          <w:i/>
          <w:iCs/>
        </w:rPr>
        <w:t>Perit Dial Int</w:t>
      </w:r>
      <w:r>
        <w:t xml:space="preserve"> 2001; </w:t>
      </w:r>
      <w:r>
        <w:rPr>
          <w:b/>
          <w:bCs/>
        </w:rPr>
        <w:t xml:space="preserve">21 </w:t>
      </w:r>
      <w:r>
        <w:t>Suppl 3: S152-S156 [PMID: 11887811]</w:t>
      </w:r>
    </w:p>
    <w:p w:rsidR="00013E1A" w:rsidRDefault="00013E1A" w:rsidP="00013E1A">
      <w:pPr>
        <w:pStyle w:val="-1"/>
      </w:pPr>
      <w:r w:rsidRPr="003050C4">
        <w:t>86</w:t>
      </w:r>
      <w:r w:rsidRPr="003050C4">
        <w:tab/>
      </w:r>
      <w:r>
        <w:rPr>
          <w:b/>
          <w:bCs/>
        </w:rPr>
        <w:t>Zhang CL</w:t>
      </w:r>
      <w:r>
        <w:t xml:space="preserve">, Geng CH, Yang ZW, Li YL, Tong LQ, Gao P, Gao YQ. Changes in patients’ symptoms and gastric emptying after Helicobacter pylori treatment. </w:t>
      </w:r>
      <w:r>
        <w:rPr>
          <w:i/>
          <w:iCs/>
        </w:rPr>
        <w:t>World J Gastroenterol</w:t>
      </w:r>
      <w:r>
        <w:t xml:space="preserve"> 2016; </w:t>
      </w:r>
      <w:r>
        <w:rPr>
          <w:b/>
          <w:bCs/>
        </w:rPr>
        <w:t>22</w:t>
      </w:r>
      <w:r>
        <w:t>: 4585-4593 [PMID: 27182168 DOI: 10.3748/wjg.v22.i18.4585]</w:t>
      </w:r>
    </w:p>
    <w:p w:rsidR="00013E1A" w:rsidRDefault="00013E1A" w:rsidP="00013E1A">
      <w:pPr>
        <w:pStyle w:val="-1"/>
      </w:pPr>
      <w:r w:rsidRPr="003050C4">
        <w:t>87</w:t>
      </w:r>
      <w:r w:rsidRPr="003050C4">
        <w:tab/>
      </w:r>
      <w:r>
        <w:rPr>
          <w:b/>
          <w:bCs/>
        </w:rPr>
        <w:t>Betrapally NS</w:t>
      </w:r>
      <w:r>
        <w:t xml:space="preserve">, Gillevet PM, Bajaj JS. Changes in the Intestinal Microbiome and Alcoholic and Nonalcoholic Liver Diseases: Causes or Effects? </w:t>
      </w:r>
      <w:r>
        <w:rPr>
          <w:i/>
          <w:iCs/>
        </w:rPr>
        <w:t>Gastroenterology</w:t>
      </w:r>
      <w:r>
        <w:t xml:space="preserve"> 2016; </w:t>
      </w:r>
      <w:r>
        <w:rPr>
          <w:b/>
          <w:bCs/>
        </w:rPr>
        <w:t>150</w:t>
      </w:r>
      <w:r>
        <w:t>: 1745-1755.e3 [PMID: 26948887 DOI: 10.1053/j.gastro.2016.02.073]</w:t>
      </w:r>
    </w:p>
    <w:p w:rsidR="00013E1A" w:rsidRDefault="00013E1A" w:rsidP="00013E1A">
      <w:pPr>
        <w:pStyle w:val="-1"/>
      </w:pPr>
      <w:r w:rsidRPr="003050C4">
        <w:t>88</w:t>
      </w:r>
      <w:r w:rsidRPr="003050C4">
        <w:tab/>
      </w:r>
      <w:r>
        <w:rPr>
          <w:b/>
          <w:bCs/>
        </w:rPr>
        <w:t>Serin E</w:t>
      </w:r>
      <w:r>
        <w:t xml:space="preserve">, Gümürdülü Y, Ozer B, Kayaselçuk F, Yilmaz U, Koçak R. Impact of Helicobacter pylori on the development of vitamin B12 deficiency in the absence of gastric atrophy. </w:t>
      </w:r>
      <w:r>
        <w:rPr>
          <w:i/>
          <w:iCs/>
        </w:rPr>
        <w:t>Helicobacter</w:t>
      </w:r>
      <w:r>
        <w:t xml:space="preserve"> 2002; </w:t>
      </w:r>
      <w:r>
        <w:rPr>
          <w:b/>
          <w:bCs/>
        </w:rPr>
        <w:t>7</w:t>
      </w:r>
      <w:r>
        <w:t>: 337-341 [PMID: 12485119]</w:t>
      </w:r>
    </w:p>
    <w:p w:rsidR="00013E1A" w:rsidRDefault="00013E1A" w:rsidP="00013E1A">
      <w:pPr>
        <w:pStyle w:val="-1"/>
      </w:pPr>
      <w:r w:rsidRPr="003050C4">
        <w:t>89</w:t>
      </w:r>
      <w:r w:rsidRPr="003050C4">
        <w:tab/>
      </w:r>
      <w:r>
        <w:rPr>
          <w:b/>
          <w:bCs/>
        </w:rPr>
        <w:t>Li L</w:t>
      </w:r>
      <w:r>
        <w:t xml:space="preserve">, Zhou X, Xiao S, Ye F, Zhang G. The Effect of Helicobacter pylori Eradication on the Gastrointestinal Microbiota in Patients with Duodenal Ulcer. </w:t>
      </w:r>
      <w:r>
        <w:rPr>
          <w:i/>
          <w:iCs/>
        </w:rPr>
        <w:t>J Gastrointestin Liver Dis</w:t>
      </w:r>
      <w:r>
        <w:t xml:space="preserve"> 2016; </w:t>
      </w:r>
      <w:r>
        <w:rPr>
          <w:b/>
          <w:bCs/>
        </w:rPr>
        <w:t>25</w:t>
      </w:r>
      <w:r>
        <w:t>: 139-146 [PMID: 27308643 DOI: 10.15403/jgld.2014.1121.252.hpe]</w:t>
      </w:r>
    </w:p>
    <w:p w:rsidR="00013E1A" w:rsidRDefault="00013E1A" w:rsidP="00013E1A">
      <w:pPr>
        <w:pStyle w:val="-1"/>
      </w:pPr>
      <w:r w:rsidRPr="003050C4">
        <w:t>90</w:t>
      </w:r>
      <w:r w:rsidRPr="003050C4">
        <w:tab/>
      </w:r>
      <w:r>
        <w:rPr>
          <w:b/>
          <w:bCs/>
        </w:rPr>
        <w:t>Trimarchi H</w:t>
      </w:r>
      <w:r>
        <w:t xml:space="preserve">, Forrester M, Schropp J, Pereyra H, Freixas EA. Low initial vitamin B12 levels in Helicobacter pylori--positive patients on chronic hemodialysis. </w:t>
      </w:r>
      <w:r>
        <w:rPr>
          <w:i/>
          <w:iCs/>
        </w:rPr>
        <w:t>Nephron Clin Pract</w:t>
      </w:r>
      <w:r>
        <w:t xml:space="preserve"> 2004; </w:t>
      </w:r>
      <w:r>
        <w:rPr>
          <w:b/>
          <w:bCs/>
        </w:rPr>
        <w:t>96</w:t>
      </w:r>
      <w:r>
        <w:t>: c28-c32 [PMID: 14752251 DOI: 10.1159/000075569]</w:t>
      </w:r>
    </w:p>
    <w:p w:rsidR="00013E1A" w:rsidRDefault="00013E1A" w:rsidP="00013E1A">
      <w:pPr>
        <w:pStyle w:val="-1"/>
      </w:pPr>
      <w:r w:rsidRPr="003050C4">
        <w:t>91</w:t>
      </w:r>
      <w:r w:rsidRPr="003050C4">
        <w:tab/>
      </w:r>
      <w:r>
        <w:rPr>
          <w:b/>
          <w:bCs/>
        </w:rPr>
        <w:t>Mak SK</w:t>
      </w:r>
      <w:r>
        <w:t xml:space="preserve">, Loo CK, Wong AM, Wong PN, Lo KY, Tong GM, Lam EK, Wong AK. Efficacy of a 1-week course of proton-pump inhibitor-based triple therapy for eradicating Helicobacter pylori in patients with and without chronic renal failure. </w:t>
      </w:r>
      <w:r>
        <w:rPr>
          <w:i/>
          <w:iCs/>
        </w:rPr>
        <w:t>Am J Kidney Dis</w:t>
      </w:r>
      <w:r>
        <w:t xml:space="preserve"> 2002; </w:t>
      </w:r>
      <w:r>
        <w:rPr>
          <w:b/>
          <w:bCs/>
        </w:rPr>
        <w:t>40</w:t>
      </w:r>
      <w:r>
        <w:t>: 576-581 [PMID: 12200810]</w:t>
      </w:r>
    </w:p>
    <w:p w:rsidR="00013E1A" w:rsidRDefault="00013E1A" w:rsidP="00013E1A">
      <w:pPr>
        <w:pStyle w:val="-1"/>
        <w:rPr>
          <w:spacing w:val="-2"/>
        </w:rPr>
      </w:pPr>
      <w:r w:rsidRPr="003050C4">
        <w:rPr>
          <w:spacing w:val="-2"/>
        </w:rPr>
        <w:t>92</w:t>
      </w:r>
      <w:r w:rsidRPr="003050C4">
        <w:rPr>
          <w:spacing w:val="-2"/>
        </w:rPr>
        <w:tab/>
      </w:r>
      <w:r>
        <w:rPr>
          <w:b/>
          <w:bCs/>
          <w:spacing w:val="-2"/>
        </w:rPr>
        <w:t>Mak SK</w:t>
      </w:r>
      <w:r>
        <w:rPr>
          <w:spacing w:val="-2"/>
        </w:rPr>
        <w:t xml:space="preserve">, Loo CK, Wong PN, Lo KY, Tong GM, Lam EK, Wong AK. A retrospective study on efficacy of proton-pump inhibitor-based triple therapy for eradication of Helicobacter pylori in patients with chronic renal failure. </w:t>
      </w:r>
      <w:r>
        <w:rPr>
          <w:i/>
          <w:iCs/>
          <w:spacing w:val="-2"/>
        </w:rPr>
        <w:t>Singapore Med J</w:t>
      </w:r>
      <w:r>
        <w:rPr>
          <w:spacing w:val="-2"/>
        </w:rPr>
        <w:t xml:space="preserve"> 2003; </w:t>
      </w:r>
      <w:r>
        <w:rPr>
          <w:b/>
          <w:bCs/>
          <w:spacing w:val="-2"/>
        </w:rPr>
        <w:t>44</w:t>
      </w:r>
      <w:r>
        <w:rPr>
          <w:spacing w:val="-2"/>
        </w:rPr>
        <w:t>: 74-78 [PMID: 14503780]</w:t>
      </w:r>
    </w:p>
    <w:p w:rsidR="00013E1A" w:rsidRDefault="00013E1A" w:rsidP="00013E1A">
      <w:pPr>
        <w:pStyle w:val="-1"/>
      </w:pPr>
      <w:r w:rsidRPr="003050C4">
        <w:t>93</w:t>
      </w:r>
      <w:r w:rsidRPr="003050C4">
        <w:tab/>
      </w:r>
      <w:r>
        <w:rPr>
          <w:b/>
          <w:bCs/>
        </w:rPr>
        <w:t>Tseng GY</w:t>
      </w:r>
      <w:r>
        <w:t xml:space="preserve">, Lin HJ, Fang CT, Yang HB, Tseng GC, Wang PC, Hung TL, Deng YC, Cheng YT, Huang CH. Recurrence of peptic ulcer in uraemic and non-uraemic patients after Helicobacter pylori eradication: a 2-year study. </w:t>
      </w:r>
      <w:r>
        <w:rPr>
          <w:i/>
          <w:iCs/>
        </w:rPr>
        <w:t>Aliment Pharmacol Ther</w:t>
      </w:r>
      <w:r>
        <w:t xml:space="preserve"> 2007; </w:t>
      </w:r>
      <w:r>
        <w:rPr>
          <w:b/>
          <w:bCs/>
        </w:rPr>
        <w:t>26</w:t>
      </w:r>
      <w:r>
        <w:t>: 925-933 [PMID: 17767477]</w:t>
      </w:r>
    </w:p>
    <w:p w:rsidR="00013E1A" w:rsidRDefault="00013E1A" w:rsidP="00013E1A">
      <w:pPr>
        <w:pStyle w:val="-1"/>
      </w:pPr>
      <w:r w:rsidRPr="003050C4">
        <w:lastRenderedPageBreak/>
        <w:t>94</w:t>
      </w:r>
      <w:r w:rsidRPr="003050C4">
        <w:tab/>
      </w:r>
      <w:r>
        <w:rPr>
          <w:b/>
          <w:bCs/>
        </w:rPr>
        <w:t>Jalalzadeh M</w:t>
      </w:r>
      <w:r>
        <w:t xml:space="preserve">, Saber HR, Vafaeimanesh J, Mirzamohammadi F, Falaknazi K. Association of Helicobacter pylori infection and serum albumin in patients on hemodialysis. </w:t>
      </w:r>
      <w:r>
        <w:rPr>
          <w:i/>
          <w:iCs/>
        </w:rPr>
        <w:t>Iran J Kidney Dis</w:t>
      </w:r>
      <w:r>
        <w:t xml:space="preserve"> 2010; </w:t>
      </w:r>
      <w:r>
        <w:rPr>
          <w:b/>
          <w:bCs/>
        </w:rPr>
        <w:t>4</w:t>
      </w:r>
      <w:r>
        <w:t>: 312-316 [PMID: 20852373]</w:t>
      </w:r>
    </w:p>
    <w:p w:rsidR="00013E1A" w:rsidRDefault="00013E1A" w:rsidP="00013E1A">
      <w:pPr>
        <w:pStyle w:val="-1"/>
        <w:rPr>
          <w:spacing w:val="-2"/>
        </w:rPr>
      </w:pPr>
      <w:r w:rsidRPr="003050C4">
        <w:rPr>
          <w:spacing w:val="-2"/>
        </w:rPr>
        <w:t>95</w:t>
      </w:r>
      <w:r w:rsidRPr="003050C4">
        <w:rPr>
          <w:spacing w:val="-2"/>
        </w:rPr>
        <w:tab/>
      </w:r>
      <w:r>
        <w:rPr>
          <w:b/>
          <w:bCs/>
          <w:spacing w:val="-2"/>
        </w:rPr>
        <w:t>Falaknazi K</w:t>
      </w:r>
      <w:r>
        <w:rPr>
          <w:spacing w:val="-2"/>
        </w:rPr>
        <w:t xml:space="preserve">, Jalalzadeh M, Vafaeimanesh J. Noninvasive stool antigen assay for screening of Helicobacter pylori infection and assessing success of eradication therapy in patients on hemodialysis. </w:t>
      </w:r>
      <w:r>
        <w:rPr>
          <w:i/>
          <w:iCs/>
          <w:spacing w:val="-2"/>
        </w:rPr>
        <w:t>Iran J Kidney Dis</w:t>
      </w:r>
      <w:r>
        <w:rPr>
          <w:spacing w:val="-2"/>
        </w:rPr>
        <w:t xml:space="preserve"> 2010; </w:t>
      </w:r>
      <w:r>
        <w:rPr>
          <w:b/>
          <w:bCs/>
          <w:spacing w:val="-2"/>
        </w:rPr>
        <w:t>4</w:t>
      </w:r>
      <w:r>
        <w:rPr>
          <w:spacing w:val="-2"/>
        </w:rPr>
        <w:t>: 317-321 [PMID: 20852374]</w:t>
      </w:r>
    </w:p>
    <w:p w:rsidR="00013E1A" w:rsidRDefault="00013E1A" w:rsidP="00013E1A">
      <w:pPr>
        <w:pStyle w:val="-1"/>
      </w:pPr>
      <w:r w:rsidRPr="003050C4">
        <w:t>96</w:t>
      </w:r>
      <w:r w:rsidRPr="003050C4">
        <w:tab/>
      </w:r>
      <w:r>
        <w:rPr>
          <w:b/>
          <w:bCs/>
        </w:rPr>
        <w:t>Seyyedmajidi M</w:t>
      </w:r>
      <w:r>
        <w:t xml:space="preserve">, Falaknazi K, Mirsattari D, Zojaji H, Roshani M, Lahmi F, Orimi PG, Hadizadeh M, Zali M. Correlation between creatinine clearance and Helicobacter pylori infection eradication with sequential and triple therapeutic regimens: A randomised clinical trial. </w:t>
      </w:r>
      <w:r>
        <w:rPr>
          <w:i/>
          <w:iCs/>
        </w:rPr>
        <w:t>Arab J Gastroenterol</w:t>
      </w:r>
      <w:r>
        <w:t xml:space="preserve"> 2011; </w:t>
      </w:r>
      <w:r>
        <w:rPr>
          <w:b/>
          <w:bCs/>
        </w:rPr>
        <w:t>12</w:t>
      </w:r>
      <w:r>
        <w:t>: 150-153 [PMID: 22055594 DOI: 10.1016/j.ajg.2011.07.004]</w:t>
      </w:r>
    </w:p>
    <w:p w:rsidR="00013E1A" w:rsidRDefault="00013E1A" w:rsidP="00013E1A">
      <w:pPr>
        <w:pStyle w:val="-1"/>
      </w:pPr>
      <w:r w:rsidRPr="003050C4">
        <w:t>97</w:t>
      </w:r>
      <w:r w:rsidRPr="003050C4">
        <w:tab/>
      </w:r>
      <w:r>
        <w:rPr>
          <w:b/>
          <w:bCs/>
        </w:rPr>
        <w:t>Jalalzadeh M</w:t>
      </w:r>
      <w:r>
        <w:t xml:space="preserve">, Ghadiani MH, Mousavinasab N. Association between helicobacter pylori infection and body mass index, before and after eradication of infection in hemodialysis batients. </w:t>
      </w:r>
      <w:r>
        <w:rPr>
          <w:i/>
          <w:iCs/>
        </w:rPr>
        <w:t>J Nephropathol</w:t>
      </w:r>
      <w:r>
        <w:t xml:space="preserve"> 2012; </w:t>
      </w:r>
      <w:r>
        <w:rPr>
          <w:b/>
          <w:bCs/>
        </w:rPr>
        <w:t>1</w:t>
      </w:r>
      <w:r>
        <w:t>: 170-176 [PMID: 24475411 DOI: 10.5812/nephropathol.8115]</w:t>
      </w:r>
    </w:p>
    <w:p w:rsidR="00013E1A" w:rsidRDefault="00013E1A" w:rsidP="00013E1A">
      <w:pPr>
        <w:pStyle w:val="-1"/>
      </w:pPr>
      <w:r w:rsidRPr="003050C4">
        <w:t>98</w:t>
      </w:r>
      <w:r w:rsidRPr="003050C4">
        <w:tab/>
      </w:r>
      <w:r>
        <w:rPr>
          <w:b/>
          <w:bCs/>
        </w:rPr>
        <w:t>Jalalzadeh M</w:t>
      </w:r>
      <w:r>
        <w:t xml:space="preserve">, Nazarian M, Vafaeimanesh J, Mirzamohammadi F. Comparison of azithromycin and clarithromycin triple therapy regimens for helicobacter pylori eradication in hemodialysis patients. </w:t>
      </w:r>
      <w:r>
        <w:rPr>
          <w:i/>
          <w:iCs/>
        </w:rPr>
        <w:t>Nephrourol Mon</w:t>
      </w:r>
      <w:r>
        <w:t xml:space="preserve"> 2012; </w:t>
      </w:r>
      <w:r>
        <w:rPr>
          <w:b/>
          <w:bCs/>
        </w:rPr>
        <w:t>4</w:t>
      </w:r>
      <w:r>
        <w:t>: 571-577 [PMID: 23573488 DOI: 10.5812/numonthly.2794]</w:t>
      </w:r>
    </w:p>
    <w:p w:rsidR="00013E1A" w:rsidRDefault="00013E1A" w:rsidP="00013E1A">
      <w:pPr>
        <w:pStyle w:val="-1"/>
      </w:pPr>
      <w:r w:rsidRPr="003050C4">
        <w:t>99</w:t>
      </w:r>
      <w:r w:rsidRPr="003050C4">
        <w:tab/>
      </w:r>
      <w:r>
        <w:rPr>
          <w:b/>
          <w:bCs/>
        </w:rPr>
        <w:t>Vafaeimanesh J</w:t>
      </w:r>
      <w:r>
        <w:t xml:space="preserve">, Jalalzadeh M, Nazarian M. Expression comparison of azithromycin and clarithromycin in triple-therapy regimens for eradication of Helicobacter pylori in hemodialysis patients. </w:t>
      </w:r>
      <w:r>
        <w:rPr>
          <w:i/>
          <w:iCs/>
        </w:rPr>
        <w:t>Saudi J Kidney Dis Transpl</w:t>
      </w:r>
      <w:r>
        <w:t xml:space="preserve"> 2014; </w:t>
      </w:r>
      <w:r>
        <w:rPr>
          <w:b/>
          <w:bCs/>
        </w:rPr>
        <w:t>25</w:t>
      </w:r>
      <w:r>
        <w:t>: 53-57 [PMID: 24434382]</w:t>
      </w:r>
    </w:p>
    <w:p w:rsidR="00013E1A" w:rsidRDefault="00013E1A" w:rsidP="00013E1A">
      <w:pPr>
        <w:pStyle w:val="-1"/>
        <w:rPr>
          <w:spacing w:val="-2"/>
        </w:rPr>
      </w:pPr>
      <w:r w:rsidRPr="003050C4">
        <w:rPr>
          <w:spacing w:val="-2"/>
        </w:rPr>
        <w:t>100</w:t>
      </w:r>
      <w:r w:rsidRPr="003050C4">
        <w:rPr>
          <w:spacing w:val="-2"/>
        </w:rPr>
        <w:tab/>
      </w:r>
      <w:r>
        <w:rPr>
          <w:b/>
          <w:bCs/>
          <w:spacing w:val="-2"/>
        </w:rPr>
        <w:t>Makhlough A</w:t>
      </w:r>
      <w:r>
        <w:rPr>
          <w:spacing w:val="-2"/>
        </w:rPr>
        <w:t xml:space="preserve">, Fakheri H, Farkhani AR, Seddighi O, Hossieni SV, Khademloo M, Bari Z. A comparison between standard triple therapy and sequential therapy on eradication of Helicobacter pylori in uremic patients: A randomized clinical trial. </w:t>
      </w:r>
      <w:r>
        <w:rPr>
          <w:i/>
          <w:iCs/>
          <w:spacing w:val="-2"/>
        </w:rPr>
        <w:t>Adv Biomed Res</w:t>
      </w:r>
      <w:r>
        <w:rPr>
          <w:spacing w:val="-2"/>
        </w:rPr>
        <w:t xml:space="preserve"> 2014; </w:t>
      </w:r>
      <w:r>
        <w:rPr>
          <w:b/>
          <w:bCs/>
          <w:spacing w:val="-2"/>
        </w:rPr>
        <w:t>3</w:t>
      </w:r>
      <w:r>
        <w:rPr>
          <w:spacing w:val="-2"/>
        </w:rPr>
        <w:t>: 248 [PMID: 25590026 DOI: 10.4103/2277-9175.146372]</w:t>
      </w:r>
    </w:p>
    <w:p w:rsidR="00013E1A" w:rsidRPr="003050C4" w:rsidRDefault="00013E1A" w:rsidP="00013E1A">
      <w:pPr>
        <w:pStyle w:val="-1"/>
      </w:pPr>
      <w:r w:rsidRPr="003050C4">
        <w:t>101</w:t>
      </w:r>
      <w:r w:rsidRPr="003050C4">
        <w:tab/>
      </w:r>
      <w:r>
        <w:rPr>
          <w:b/>
          <w:bCs/>
        </w:rPr>
        <w:t>Makhlough A</w:t>
      </w:r>
      <w:r>
        <w:t xml:space="preserve">, Fakheri H, Hojati S, Hosseini V, Bari Z. A Comparison between Hybrid Therapy and Standard Triple Therapy for Helicobacter pylori Eradication in Patients with Uremia: A Randomized Clinical Trial. </w:t>
      </w:r>
      <w:r>
        <w:rPr>
          <w:i/>
          <w:iCs/>
        </w:rPr>
        <w:t>Middle East J Dig Dis</w:t>
      </w:r>
      <w:r>
        <w:t xml:space="preserve"> 2016; </w:t>
      </w:r>
      <w:r>
        <w:rPr>
          <w:b/>
          <w:bCs/>
        </w:rPr>
        <w:t>8</w:t>
      </w:r>
      <w:r>
        <w:t>: 39-43 [PMID: 26933480 DOI: 10.15171/mejdd.2016.05]</w:t>
      </w:r>
    </w:p>
    <w:p w:rsidR="00013E1A" w:rsidRDefault="00013E1A" w:rsidP="00013E1A">
      <w:pPr>
        <w:pStyle w:val="-1"/>
      </w:pPr>
    </w:p>
    <w:p w:rsidR="00013E1A" w:rsidRPr="003050C4" w:rsidRDefault="00013E1A" w:rsidP="00013E1A">
      <w:pPr>
        <w:rPr>
          <w:rFonts w:hint="eastAsia"/>
        </w:rPr>
      </w:pPr>
    </w:p>
    <w:p w:rsidR="00013E1A" w:rsidRDefault="00013E1A" w:rsidP="00013E1A"/>
    <w:p w:rsidR="00013E1A" w:rsidRDefault="00013E1A" w:rsidP="00013E1A"/>
    <w:p w:rsidR="00013E1A" w:rsidRDefault="00013E1A" w:rsidP="00013E1A">
      <w:pPr>
        <w:rPr>
          <w:rFonts w:hint="eastAsia"/>
        </w:rPr>
      </w:pPr>
      <w:r>
        <w:t>Footnotes</w:t>
      </w:r>
    </w:p>
    <w:p w:rsidR="00013E1A" w:rsidRPr="003050C4" w:rsidRDefault="00013E1A" w:rsidP="00013E1A">
      <w:pPr>
        <w:pStyle w:val="af6"/>
      </w:pPr>
      <w:r>
        <w:rPr>
          <w:rFonts w:ascii="Tahoma" w:hAnsi="Tahoma" w:cs="Tahoma"/>
        </w:rPr>
        <w:t>Manuscript source:</w:t>
      </w:r>
      <w:r>
        <w:t xml:space="preserve"> Invited manuscript</w:t>
      </w:r>
    </w:p>
    <w:p w:rsidR="00013E1A" w:rsidRPr="003050C4" w:rsidRDefault="00013E1A" w:rsidP="00013E1A">
      <w:pPr>
        <w:rPr>
          <w:b/>
        </w:rPr>
      </w:pPr>
      <w:r w:rsidRPr="003050C4">
        <w:rPr>
          <w:b/>
        </w:rPr>
        <w:t xml:space="preserve">Specialty type: </w:t>
      </w:r>
      <w:r w:rsidRPr="003050C4">
        <w:t>Gastroenterology and</w:t>
      </w:r>
      <w:r w:rsidRPr="003050C4">
        <w:rPr>
          <w:rFonts w:hint="eastAsia"/>
        </w:rPr>
        <w:t xml:space="preserve"> </w:t>
      </w:r>
      <w:r w:rsidRPr="003050C4">
        <w:t>hepatology</w:t>
      </w:r>
    </w:p>
    <w:p w:rsidR="00013E1A" w:rsidRPr="003050C4" w:rsidRDefault="00013E1A" w:rsidP="00013E1A">
      <w:pPr>
        <w:rPr>
          <w:b/>
        </w:rPr>
      </w:pPr>
      <w:r w:rsidRPr="003050C4">
        <w:rPr>
          <w:b/>
        </w:rPr>
        <w:t xml:space="preserve">Country of origin: </w:t>
      </w:r>
      <w:r w:rsidRPr="003050C4">
        <w:t>Japan</w:t>
      </w:r>
    </w:p>
    <w:p w:rsidR="00013E1A" w:rsidRPr="003050C4" w:rsidRDefault="00013E1A" w:rsidP="00013E1A">
      <w:pPr>
        <w:rPr>
          <w:b/>
        </w:rPr>
      </w:pPr>
      <w:r w:rsidRPr="003050C4">
        <w:rPr>
          <w:b/>
        </w:rPr>
        <w:t>Peer-review report classification</w:t>
      </w:r>
    </w:p>
    <w:p w:rsidR="00013E1A" w:rsidRPr="003050C4" w:rsidRDefault="00013E1A" w:rsidP="00013E1A">
      <w:r w:rsidRPr="003050C4">
        <w:t xml:space="preserve">Grade A (Excellent): </w:t>
      </w:r>
      <w:r w:rsidRPr="003050C4">
        <w:rPr>
          <w:rFonts w:hint="eastAsia"/>
        </w:rPr>
        <w:t>A</w:t>
      </w:r>
    </w:p>
    <w:p w:rsidR="00013E1A" w:rsidRPr="003050C4" w:rsidRDefault="00013E1A" w:rsidP="00013E1A">
      <w:r w:rsidRPr="003050C4">
        <w:t>Grade B (Very good):</w:t>
      </w:r>
      <w:r w:rsidRPr="003050C4">
        <w:rPr>
          <w:rFonts w:hint="eastAsia"/>
        </w:rPr>
        <w:t xml:space="preserve"> B</w:t>
      </w:r>
    </w:p>
    <w:p w:rsidR="00013E1A" w:rsidRPr="003050C4" w:rsidRDefault="00013E1A" w:rsidP="00013E1A">
      <w:r w:rsidRPr="003050C4">
        <w:t xml:space="preserve">Grade C (Good): </w:t>
      </w:r>
      <w:r w:rsidRPr="003050C4">
        <w:rPr>
          <w:rFonts w:hint="eastAsia"/>
        </w:rPr>
        <w:t>C, C</w:t>
      </w:r>
    </w:p>
    <w:p w:rsidR="00013E1A" w:rsidRPr="003050C4" w:rsidRDefault="00013E1A" w:rsidP="00013E1A">
      <w:r w:rsidRPr="003050C4">
        <w:t xml:space="preserve">Grade D (Fair): </w:t>
      </w:r>
      <w:r w:rsidRPr="003050C4">
        <w:rPr>
          <w:rFonts w:hint="eastAsia"/>
        </w:rPr>
        <w:t>0</w:t>
      </w:r>
    </w:p>
    <w:p w:rsidR="00013E1A" w:rsidRPr="003050C4" w:rsidRDefault="00013E1A" w:rsidP="00013E1A">
      <w:r w:rsidRPr="003050C4">
        <w:t xml:space="preserve">Grade E (Poor): </w:t>
      </w:r>
      <w:r w:rsidRPr="003050C4">
        <w:rPr>
          <w:rFonts w:hint="eastAsia"/>
        </w:rPr>
        <w:t>0</w:t>
      </w:r>
    </w:p>
    <w:p w:rsidR="00013E1A" w:rsidRDefault="00013E1A" w:rsidP="00013E1A">
      <w:pPr>
        <w:pStyle w:val="af6"/>
      </w:pPr>
      <w:r>
        <w:rPr>
          <w:rFonts w:ascii="Tahoma" w:hAnsi="Tahoma" w:cs="Tahoma"/>
          <w:lang w:val="it-IT"/>
        </w:rPr>
        <w:t>Conflict-of-interest statement</w:t>
      </w:r>
      <w:r w:rsidRPr="003050C4">
        <w:rPr>
          <w:rFonts w:ascii="Tahoma" w:hAnsi="Tahoma" w:cs="Tahoma"/>
        </w:rPr>
        <w:t>:</w:t>
      </w:r>
      <w:r>
        <w:t xml:space="preserve"> No potential conflicts of interest.</w:t>
      </w:r>
    </w:p>
    <w:p w:rsidR="00013E1A" w:rsidRDefault="00013E1A" w:rsidP="00013E1A">
      <w:pPr>
        <w:pStyle w:val="af6"/>
      </w:pPr>
      <w:r>
        <w:rPr>
          <w:rFonts w:ascii="Tahoma" w:hAnsi="Tahoma" w:cs="Tahoma"/>
        </w:rPr>
        <w:t>Open-Access:</w:t>
      </w:r>
      <w: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13E1A" w:rsidRPr="003050C4" w:rsidRDefault="00013E1A" w:rsidP="00013E1A">
      <w:pPr>
        <w:pStyle w:val="af6"/>
      </w:pPr>
      <w:r>
        <w:rPr>
          <w:rFonts w:ascii="Tahoma" w:hAnsi="Tahoma" w:cs="Tahoma"/>
        </w:rPr>
        <w:t>Peer-review started:</w:t>
      </w:r>
      <w:r w:rsidRPr="003050C4">
        <w:t xml:space="preserve"> February 23, 2018</w:t>
      </w:r>
    </w:p>
    <w:p w:rsidR="00013E1A" w:rsidRPr="003050C4" w:rsidRDefault="00013E1A" w:rsidP="00013E1A">
      <w:pPr>
        <w:pStyle w:val="af6"/>
      </w:pPr>
      <w:r>
        <w:rPr>
          <w:rFonts w:ascii="Tahoma" w:hAnsi="Tahoma" w:cs="Tahoma"/>
        </w:rPr>
        <w:lastRenderedPageBreak/>
        <w:t>First decision:</w:t>
      </w:r>
      <w:r w:rsidRPr="003050C4">
        <w:t xml:space="preserve"> March 15, 2018</w:t>
      </w:r>
    </w:p>
    <w:p w:rsidR="00013E1A" w:rsidRDefault="00013E1A" w:rsidP="00013E1A">
      <w:pPr>
        <w:pStyle w:val="af6"/>
      </w:pPr>
      <w:r>
        <w:rPr>
          <w:rFonts w:ascii="Tahoma" w:hAnsi="Tahoma" w:cs="Tahoma"/>
        </w:rPr>
        <w:t>Article in press:</w:t>
      </w:r>
      <w:r>
        <w:t xml:space="preserve"> March 25, 2018</w:t>
      </w:r>
    </w:p>
    <w:p w:rsidR="00013E1A" w:rsidRDefault="00013E1A" w:rsidP="00013E1A">
      <w:pPr>
        <w:pStyle w:val="af9"/>
      </w:pPr>
      <w:r>
        <w:rPr>
          <w:rFonts w:ascii="Times New Roman" w:hAnsi="Times New Roman" w:cs="Times New Roman"/>
          <w:b/>
          <w:bCs/>
          <w:spacing w:val="-1"/>
        </w:rPr>
        <w:t>P- Reviewer</w:t>
      </w:r>
      <w:r>
        <w:rPr>
          <w:rFonts w:ascii="Times New Roman" w:hAnsi="Times New Roman" w:cs="Times New Roman"/>
        </w:rPr>
        <w:t>:</w:t>
      </w:r>
      <w:r>
        <w:rPr>
          <w:rFonts w:ascii="Times New Roman" w:hAnsi="Times New Roman" w:cs="Times New Roman"/>
          <w:spacing w:val="-1"/>
        </w:rPr>
        <w:t xml:space="preserve"> Papamichail K, Paoluzi OA, Pellicano R, Slomiany BL    </w:t>
      </w:r>
      <w:r>
        <w:rPr>
          <w:rFonts w:ascii="Times New Roman" w:hAnsi="Times New Roman" w:cs="Times New Roman"/>
          <w:b/>
          <w:bCs/>
        </w:rPr>
        <w:t>S- Editor</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spacing w:val="-1"/>
        </w:rPr>
        <w:t>Wang XJ</w:t>
      </w:r>
      <w:r>
        <w:rPr>
          <w:rFonts w:ascii="Times New Roman" w:hAnsi="Times New Roman" w:cs="Times New Roman"/>
        </w:rPr>
        <w:t xml:space="preserve">    </w:t>
      </w:r>
      <w:r>
        <w:rPr>
          <w:rFonts w:ascii="Times New Roman" w:hAnsi="Times New Roman" w:cs="Times New Roman"/>
          <w:b/>
          <w:bCs/>
        </w:rPr>
        <w:t>L- Editor</w:t>
      </w:r>
      <w:r>
        <w:rPr>
          <w:rFonts w:ascii="Times New Roman" w:hAnsi="Times New Roman" w:cs="Times New Roman"/>
        </w:rPr>
        <w:t xml:space="preserve">: A    </w:t>
      </w:r>
      <w:r>
        <w:rPr>
          <w:rFonts w:ascii="Times New Roman" w:hAnsi="Times New Roman" w:cs="Times New Roman"/>
          <w:b/>
          <w:bCs/>
        </w:rPr>
        <w:t>E- Editor</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Huang Y</w:t>
      </w: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b/>
          <w:bCs/>
        </w:rPr>
      </w:pPr>
    </w:p>
    <w:p w:rsidR="00013E1A" w:rsidRDefault="00013E1A" w:rsidP="00013E1A">
      <w:pPr>
        <w:rPr>
          <w:rFonts w:hint="eastAsia"/>
          <w:b/>
          <w:bCs/>
        </w:rPr>
      </w:pPr>
    </w:p>
    <w:p w:rsidR="00013E1A" w:rsidRDefault="00013E1A" w:rsidP="00013E1A">
      <w:pPr>
        <w:rPr>
          <w:rFonts w:hint="eastAsia"/>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83835" cy="2089150"/>
                <wp:effectExtent l="9525" t="9525" r="12065" b="6350"/>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2089150"/>
                        </a:xfrm>
                        <a:prstGeom prst="rect">
                          <a:avLst/>
                        </a:prstGeom>
                        <a:solidFill>
                          <a:srgbClr val="FFFFFF"/>
                        </a:solidFill>
                        <a:ln w="9525">
                          <a:solidFill>
                            <a:srgbClr val="000000"/>
                          </a:solidFill>
                          <a:miter lim="800000"/>
                          <a:headEnd/>
                          <a:tailEnd/>
                        </a:ln>
                      </wps:spPr>
                      <wps:txbx>
                        <w:txbxContent>
                          <w:p w:rsidR="00013E1A" w:rsidRPr="003050C4" w:rsidRDefault="00013E1A" w:rsidP="00013E1A">
                            <w:pPr>
                              <w:rPr>
                                <w:b/>
                                <w:bCs/>
                              </w:rPr>
                            </w:pPr>
                            <w:r w:rsidRPr="003050C4">
                              <w:rPr>
                                <w:b/>
                                <w:bCs/>
                              </w:rPr>
                              <w:t xml:space="preserve">Table 1  Hemodialysis treatment duration and </w:t>
                            </w:r>
                            <w:r w:rsidRPr="003050C4">
                              <w:rPr>
                                <w:b/>
                                <w:bCs/>
                                <w:i/>
                                <w:iCs/>
                              </w:rPr>
                              <w:t>Helicobacter pylori</w:t>
                            </w:r>
                            <w:r w:rsidRPr="003050C4">
                              <w:rPr>
                                <w:b/>
                                <w:bCs/>
                              </w:rPr>
                              <w:t xml:space="preserve"> infection status in hemodialysis patients</w:t>
                            </w:r>
                            <w:r w:rsidRPr="003050C4">
                              <w:rPr>
                                <w:b/>
                                <w:bCs/>
                                <w:vertAlign w:val="superscript"/>
                              </w:rPr>
                              <w:t>[27]</w:t>
                            </w:r>
                            <w:r w:rsidRPr="003050C4">
                              <w:rPr>
                                <w:b/>
                                <w:bCs/>
                              </w:rPr>
                              <w:t>, %</w:t>
                            </w:r>
                          </w:p>
                          <w:tbl>
                            <w:tblPr>
                              <w:tblW w:w="0" w:type="auto"/>
                              <w:tblInd w:w="8" w:type="dxa"/>
                              <w:tblBorders>
                                <w:top w:val="single" w:sz="6" w:space="0" w:color="000000"/>
                              </w:tblBorders>
                              <w:tblLayout w:type="fixed"/>
                              <w:tblCellMar>
                                <w:left w:w="0" w:type="dxa"/>
                                <w:right w:w="0" w:type="dxa"/>
                              </w:tblCellMar>
                              <w:tblLook w:val="0000" w:firstRow="0" w:lastRow="0" w:firstColumn="0" w:lastColumn="0" w:noHBand="0" w:noVBand="0"/>
                            </w:tblPr>
                            <w:tblGrid>
                              <w:gridCol w:w="2219"/>
                              <w:gridCol w:w="1456"/>
                              <w:gridCol w:w="1457"/>
                              <w:gridCol w:w="1457"/>
                              <w:gridCol w:w="1457"/>
                              <w:gridCol w:w="1457"/>
                            </w:tblGrid>
                            <w:tr w:rsidR="00013E1A" w:rsidRPr="003050C4">
                              <w:tblPrEx>
                                <w:tblCellMar>
                                  <w:top w:w="0" w:type="dxa"/>
                                  <w:left w:w="0" w:type="dxa"/>
                                  <w:bottom w:w="0" w:type="dxa"/>
                                  <w:right w:w="0" w:type="dxa"/>
                                </w:tblCellMar>
                              </w:tblPrEx>
                              <w:trPr>
                                <w:trHeight w:val="266"/>
                              </w:trPr>
                              <w:tc>
                                <w:tcPr>
                                  <w:tcW w:w="2219"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pPr>
                                    <w:pStyle w:val="Noparagraphstyle"/>
                                    <w:spacing w:line="240" w:lineRule="auto"/>
                                    <w:jc w:val="left"/>
                                    <w:textAlignment w:val="auto"/>
                                    <w:rPr>
                                      <w:b/>
                                      <w:color w:val="auto"/>
                                      <w:lang w:val="en-US"/>
                                    </w:rPr>
                                  </w:pPr>
                                </w:p>
                              </w:tc>
                              <w:tc>
                                <w:tcPr>
                                  <w:tcW w:w="1456"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pPr>
                                    <w:pStyle w:val="afa"/>
                                    <w:jc w:val="center"/>
                                  </w:pPr>
                                  <w:r w:rsidRPr="003050C4">
                                    <w:t>&lt; 1 yr</w:t>
                                  </w:r>
                                </w:p>
                                <w:p w:rsidR="00013E1A" w:rsidRPr="003050C4" w:rsidRDefault="00013E1A">
                                  <w:pPr>
                                    <w:pStyle w:val="afa"/>
                                    <w:jc w:val="center"/>
                                  </w:pPr>
                                </w:p>
                              </w:tc>
                              <w:tc>
                                <w:tcPr>
                                  <w:tcW w:w="1457"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pPr>
                                    <w:pStyle w:val="afa"/>
                                    <w:jc w:val="center"/>
                                  </w:pPr>
                                  <w:r w:rsidRPr="003050C4">
                                    <w:t>1-3 yr</w:t>
                                  </w:r>
                                </w:p>
                                <w:p w:rsidR="00013E1A" w:rsidRPr="003050C4" w:rsidRDefault="00013E1A">
                                  <w:pPr>
                                    <w:pStyle w:val="afa"/>
                                    <w:jc w:val="center"/>
                                  </w:pPr>
                                </w:p>
                              </w:tc>
                              <w:tc>
                                <w:tcPr>
                                  <w:tcW w:w="1457"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pPr>
                                    <w:pStyle w:val="afa"/>
                                    <w:jc w:val="center"/>
                                  </w:pPr>
                                  <w:r w:rsidRPr="003050C4">
                                    <w:t>3-10 yr</w:t>
                                  </w:r>
                                </w:p>
                                <w:p w:rsidR="00013E1A" w:rsidRPr="003050C4" w:rsidRDefault="00013E1A">
                                  <w:pPr>
                                    <w:pStyle w:val="afa"/>
                                    <w:jc w:val="center"/>
                                  </w:pPr>
                                </w:p>
                              </w:tc>
                              <w:tc>
                                <w:tcPr>
                                  <w:tcW w:w="1457"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pPr>
                                    <w:pStyle w:val="afa"/>
                                    <w:jc w:val="center"/>
                                  </w:pPr>
                                  <w:r w:rsidRPr="003050C4">
                                    <w:t>&gt; 10 yr</w:t>
                                  </w:r>
                                </w:p>
                                <w:p w:rsidR="00013E1A" w:rsidRPr="003050C4" w:rsidRDefault="00013E1A">
                                  <w:pPr>
                                    <w:pStyle w:val="afa"/>
                                    <w:jc w:val="center"/>
                                  </w:pPr>
                                </w:p>
                              </w:tc>
                              <w:tc>
                                <w:tcPr>
                                  <w:tcW w:w="1457"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pPr>
                                    <w:pStyle w:val="afa"/>
                                    <w:jc w:val="center"/>
                                  </w:pPr>
                                  <w:r w:rsidRPr="003050C4">
                                    <w:rPr>
                                      <w:rFonts w:ascii="Albertus Bold Italic" w:hAnsi="Albertus Bold Italic" w:cs="Albertus Bold Italic"/>
                                      <w:i/>
                                      <w:iCs/>
                                    </w:rPr>
                                    <w:t>P</w:t>
                                  </w:r>
                                  <w:r w:rsidRPr="003050C4">
                                    <w:t xml:space="preserve"> value</w:t>
                                  </w:r>
                                </w:p>
                                <w:p w:rsidR="00013E1A" w:rsidRPr="003050C4" w:rsidRDefault="00013E1A">
                                  <w:pPr>
                                    <w:pStyle w:val="afa"/>
                                    <w:jc w:val="center"/>
                                  </w:pPr>
                                </w:p>
                              </w:tc>
                            </w:tr>
                            <w:tr w:rsidR="00013E1A" w:rsidRPr="003050C4">
                              <w:tblPrEx>
                                <w:tblCellMar>
                                  <w:top w:w="0" w:type="dxa"/>
                                  <w:left w:w="0" w:type="dxa"/>
                                  <w:bottom w:w="0" w:type="dxa"/>
                                  <w:right w:w="0" w:type="dxa"/>
                                </w:tblCellMar>
                              </w:tblPrEx>
                              <w:trPr>
                                <w:trHeight w:val="196"/>
                              </w:trPr>
                              <w:tc>
                                <w:tcPr>
                                  <w:tcW w:w="2219" w:type="dxa"/>
                                  <w:tcBorders>
                                    <w:top w:val="single" w:sz="6" w:space="0" w:color="000000"/>
                                  </w:tcBorders>
                                  <w:tcMar>
                                    <w:top w:w="28" w:type="dxa"/>
                                    <w:left w:w="0" w:type="dxa"/>
                                    <w:bottom w:w="28" w:type="dxa"/>
                                    <w:right w:w="0" w:type="dxa"/>
                                  </w:tcMar>
                                  <w:vAlign w:val="center"/>
                                </w:tcPr>
                                <w:p w:rsidR="00013E1A" w:rsidRPr="003050C4" w:rsidRDefault="00013E1A">
                                  <w:pPr>
                                    <w:pStyle w:val="afb"/>
                                    <w:rPr>
                                      <w:b w:val="0"/>
                                    </w:rPr>
                                  </w:pPr>
                                  <w:r w:rsidRPr="003050C4">
                                    <w:rPr>
                                      <w:b w:val="0"/>
                                      <w:bCs w:val="0"/>
                                      <w:i/>
                                      <w:iCs/>
                                    </w:rPr>
                                    <w:t xml:space="preserve">H. pylori </w:t>
                                  </w:r>
                                  <w:r w:rsidRPr="003050C4">
                                    <w:rPr>
                                      <w:b w:val="0"/>
                                    </w:rPr>
                                    <w:t>infection rate</w:t>
                                  </w:r>
                                </w:p>
                                <w:p w:rsidR="00013E1A" w:rsidRPr="003050C4" w:rsidRDefault="00013E1A">
                                  <w:pPr>
                                    <w:pStyle w:val="afb"/>
                                    <w:rPr>
                                      <w:b w:val="0"/>
                                    </w:rPr>
                                  </w:pPr>
                                </w:p>
                              </w:tc>
                              <w:tc>
                                <w:tcPr>
                                  <w:tcW w:w="1456" w:type="dxa"/>
                                  <w:tcBorders>
                                    <w:top w:val="single" w:sz="6" w:space="0" w:color="000000"/>
                                  </w:tcBorders>
                                  <w:tcMar>
                                    <w:top w:w="28" w:type="dxa"/>
                                    <w:left w:w="0" w:type="dxa"/>
                                    <w:bottom w:w="28" w:type="dxa"/>
                                    <w:right w:w="0" w:type="dxa"/>
                                  </w:tcMar>
                                  <w:vAlign w:val="center"/>
                                </w:tcPr>
                                <w:p w:rsidR="00013E1A" w:rsidRPr="003050C4" w:rsidRDefault="00013E1A">
                                  <w:pPr>
                                    <w:pStyle w:val="afb"/>
                                    <w:jc w:val="center"/>
                                    <w:rPr>
                                      <w:b w:val="0"/>
                                    </w:rPr>
                                  </w:pPr>
                                  <w:r w:rsidRPr="003050C4">
                                    <w:rPr>
                                      <w:b w:val="0"/>
                                    </w:rPr>
                                    <w:t>23.8 (15/63)</w:t>
                                  </w:r>
                                </w:p>
                                <w:p w:rsidR="00013E1A" w:rsidRPr="003050C4" w:rsidRDefault="00013E1A">
                                  <w:pPr>
                                    <w:pStyle w:val="afb"/>
                                    <w:jc w:val="center"/>
                                    <w:rPr>
                                      <w:b w:val="0"/>
                                    </w:rPr>
                                  </w:pPr>
                                </w:p>
                              </w:tc>
                              <w:tc>
                                <w:tcPr>
                                  <w:tcW w:w="1457" w:type="dxa"/>
                                  <w:tcBorders>
                                    <w:top w:val="single" w:sz="6" w:space="0" w:color="000000"/>
                                  </w:tcBorders>
                                  <w:tcMar>
                                    <w:top w:w="28" w:type="dxa"/>
                                    <w:left w:w="0" w:type="dxa"/>
                                    <w:bottom w:w="28" w:type="dxa"/>
                                    <w:right w:w="0" w:type="dxa"/>
                                  </w:tcMar>
                                  <w:vAlign w:val="center"/>
                                </w:tcPr>
                                <w:p w:rsidR="00013E1A" w:rsidRPr="003050C4" w:rsidRDefault="00013E1A">
                                  <w:pPr>
                                    <w:pStyle w:val="afb"/>
                                    <w:jc w:val="center"/>
                                    <w:rPr>
                                      <w:b w:val="0"/>
                                    </w:rPr>
                                  </w:pPr>
                                  <w:r w:rsidRPr="003050C4">
                                    <w:rPr>
                                      <w:b w:val="0"/>
                                    </w:rPr>
                                    <w:t>16.7 (18/108)</w:t>
                                  </w:r>
                                </w:p>
                                <w:p w:rsidR="00013E1A" w:rsidRPr="003050C4" w:rsidRDefault="00013E1A">
                                  <w:pPr>
                                    <w:pStyle w:val="afb"/>
                                    <w:jc w:val="center"/>
                                    <w:rPr>
                                      <w:b w:val="0"/>
                                    </w:rPr>
                                  </w:pPr>
                                </w:p>
                              </w:tc>
                              <w:tc>
                                <w:tcPr>
                                  <w:tcW w:w="1457" w:type="dxa"/>
                                  <w:tcBorders>
                                    <w:top w:val="single" w:sz="6" w:space="0" w:color="000000"/>
                                  </w:tcBorders>
                                  <w:tcMar>
                                    <w:top w:w="28" w:type="dxa"/>
                                    <w:left w:w="0" w:type="dxa"/>
                                    <w:bottom w:w="28" w:type="dxa"/>
                                    <w:right w:w="0" w:type="dxa"/>
                                  </w:tcMar>
                                  <w:vAlign w:val="center"/>
                                </w:tcPr>
                                <w:p w:rsidR="00013E1A" w:rsidRPr="003050C4" w:rsidRDefault="00013E1A">
                                  <w:pPr>
                                    <w:pStyle w:val="afb"/>
                                    <w:jc w:val="center"/>
                                    <w:rPr>
                                      <w:b w:val="0"/>
                                    </w:rPr>
                                  </w:pPr>
                                  <w:r w:rsidRPr="003050C4">
                                    <w:rPr>
                                      <w:b w:val="0"/>
                                    </w:rPr>
                                    <w:t>15.0 (34/226)</w:t>
                                  </w:r>
                                </w:p>
                                <w:p w:rsidR="00013E1A" w:rsidRPr="003050C4" w:rsidRDefault="00013E1A">
                                  <w:pPr>
                                    <w:pStyle w:val="afb"/>
                                    <w:jc w:val="center"/>
                                    <w:rPr>
                                      <w:b w:val="0"/>
                                    </w:rPr>
                                  </w:pPr>
                                </w:p>
                              </w:tc>
                              <w:tc>
                                <w:tcPr>
                                  <w:tcW w:w="1457" w:type="dxa"/>
                                  <w:tcBorders>
                                    <w:top w:val="single" w:sz="6" w:space="0" w:color="000000"/>
                                  </w:tcBorders>
                                  <w:tcMar>
                                    <w:top w:w="28" w:type="dxa"/>
                                    <w:left w:w="0" w:type="dxa"/>
                                    <w:bottom w:w="28" w:type="dxa"/>
                                    <w:right w:w="0" w:type="dxa"/>
                                  </w:tcMar>
                                  <w:vAlign w:val="center"/>
                                </w:tcPr>
                                <w:p w:rsidR="00013E1A" w:rsidRPr="003050C4" w:rsidRDefault="00013E1A">
                                  <w:pPr>
                                    <w:pStyle w:val="afb"/>
                                    <w:jc w:val="center"/>
                                    <w:rPr>
                                      <w:b w:val="0"/>
                                    </w:rPr>
                                  </w:pPr>
                                  <w:r w:rsidRPr="003050C4">
                                    <w:rPr>
                                      <w:b w:val="0"/>
                                    </w:rPr>
                                    <w:t>7.8 (8/13)</w:t>
                                  </w:r>
                                </w:p>
                                <w:p w:rsidR="00013E1A" w:rsidRPr="003050C4" w:rsidRDefault="00013E1A">
                                  <w:pPr>
                                    <w:pStyle w:val="afb"/>
                                    <w:jc w:val="center"/>
                                    <w:rPr>
                                      <w:b w:val="0"/>
                                    </w:rPr>
                                  </w:pPr>
                                </w:p>
                              </w:tc>
                              <w:tc>
                                <w:tcPr>
                                  <w:tcW w:w="1457" w:type="dxa"/>
                                  <w:tcBorders>
                                    <w:top w:val="single" w:sz="6" w:space="0" w:color="000000"/>
                                  </w:tcBorders>
                                  <w:tcMar>
                                    <w:top w:w="28" w:type="dxa"/>
                                    <w:left w:w="0" w:type="dxa"/>
                                    <w:bottom w:w="28" w:type="dxa"/>
                                    <w:right w:w="0" w:type="dxa"/>
                                  </w:tcMar>
                                  <w:vAlign w:val="center"/>
                                </w:tcPr>
                                <w:p w:rsidR="00013E1A" w:rsidRPr="003050C4" w:rsidRDefault="00013E1A">
                                  <w:pPr>
                                    <w:pStyle w:val="afb"/>
                                    <w:jc w:val="center"/>
                                    <w:rPr>
                                      <w:b w:val="0"/>
                                    </w:rPr>
                                  </w:pPr>
                                  <w:r w:rsidRPr="003050C4">
                                    <w:rPr>
                                      <w:b w:val="0"/>
                                    </w:rPr>
                                    <w:t>0.043</w:t>
                                  </w:r>
                                </w:p>
                                <w:p w:rsidR="00013E1A" w:rsidRPr="003050C4" w:rsidRDefault="00013E1A">
                                  <w:pPr>
                                    <w:pStyle w:val="afb"/>
                                    <w:jc w:val="center"/>
                                    <w:rPr>
                                      <w:b w:val="0"/>
                                    </w:rPr>
                                  </w:pPr>
                                </w:p>
                              </w:tc>
                            </w:tr>
                            <w:tr w:rsidR="00013E1A" w:rsidRPr="003050C4">
                              <w:tblPrEx>
                                <w:tblCellMar>
                                  <w:top w:w="0" w:type="dxa"/>
                                  <w:left w:w="0" w:type="dxa"/>
                                  <w:bottom w:w="0" w:type="dxa"/>
                                  <w:right w:w="0" w:type="dxa"/>
                                </w:tblCellMar>
                              </w:tblPrEx>
                              <w:trPr>
                                <w:trHeight w:val="196"/>
                              </w:trPr>
                              <w:tc>
                                <w:tcPr>
                                  <w:tcW w:w="2219" w:type="dxa"/>
                                  <w:tcMar>
                                    <w:top w:w="28" w:type="dxa"/>
                                    <w:left w:w="0" w:type="dxa"/>
                                    <w:bottom w:w="28" w:type="dxa"/>
                                    <w:right w:w="0" w:type="dxa"/>
                                  </w:tcMar>
                                  <w:vAlign w:val="center"/>
                                </w:tcPr>
                                <w:p w:rsidR="00013E1A" w:rsidRPr="003050C4" w:rsidRDefault="00013E1A">
                                  <w:pPr>
                                    <w:pStyle w:val="afb"/>
                                    <w:rPr>
                                      <w:b w:val="0"/>
                                    </w:rPr>
                                  </w:pPr>
                                  <w:r w:rsidRPr="003050C4">
                                    <w:rPr>
                                      <w:b w:val="0"/>
                                    </w:rPr>
                                    <w:t xml:space="preserve">Rate of </w:t>
                                  </w:r>
                                  <w:r w:rsidRPr="003050C4">
                                    <w:rPr>
                                      <w:b w:val="0"/>
                                      <w:bCs w:val="0"/>
                                      <w:i/>
                                      <w:iCs/>
                                    </w:rPr>
                                    <w:t>H. pylori</w:t>
                                  </w:r>
                                  <w:r w:rsidRPr="003050C4">
                                    <w:rPr>
                                      <w:b w:val="0"/>
                                    </w:rPr>
                                    <w:t xml:space="preserve"> negatives</w:t>
                                  </w:r>
                                </w:p>
                                <w:p w:rsidR="00013E1A" w:rsidRPr="003050C4" w:rsidRDefault="00013E1A">
                                  <w:pPr>
                                    <w:pStyle w:val="afb"/>
                                    <w:rPr>
                                      <w:b w:val="0"/>
                                    </w:rPr>
                                  </w:pPr>
                                </w:p>
                              </w:tc>
                              <w:tc>
                                <w:tcPr>
                                  <w:tcW w:w="1456" w:type="dxa"/>
                                  <w:tcMar>
                                    <w:top w:w="28" w:type="dxa"/>
                                    <w:left w:w="0" w:type="dxa"/>
                                    <w:bottom w:w="28" w:type="dxa"/>
                                    <w:right w:w="0" w:type="dxa"/>
                                  </w:tcMar>
                                  <w:vAlign w:val="center"/>
                                </w:tcPr>
                                <w:p w:rsidR="00013E1A" w:rsidRPr="003050C4" w:rsidRDefault="00013E1A">
                                  <w:pPr>
                                    <w:pStyle w:val="afb"/>
                                    <w:jc w:val="center"/>
                                    <w:rPr>
                                      <w:b w:val="0"/>
                                    </w:rPr>
                                  </w:pPr>
                                  <w:r w:rsidRPr="003050C4">
                                    <w:rPr>
                                      <w:b w:val="0"/>
                                    </w:rPr>
                                    <w:t>55.5 (35/63)</w:t>
                                  </w:r>
                                </w:p>
                                <w:p w:rsidR="00013E1A" w:rsidRPr="003050C4" w:rsidRDefault="00013E1A">
                                  <w:pPr>
                                    <w:pStyle w:val="afb"/>
                                    <w:jc w:val="center"/>
                                    <w:rPr>
                                      <w:b w:val="0"/>
                                    </w:rPr>
                                  </w:pPr>
                                </w:p>
                              </w:tc>
                              <w:tc>
                                <w:tcPr>
                                  <w:tcW w:w="1457" w:type="dxa"/>
                                  <w:tcMar>
                                    <w:top w:w="28" w:type="dxa"/>
                                    <w:left w:w="0" w:type="dxa"/>
                                    <w:bottom w:w="28" w:type="dxa"/>
                                    <w:right w:w="0" w:type="dxa"/>
                                  </w:tcMar>
                                  <w:vAlign w:val="center"/>
                                </w:tcPr>
                                <w:p w:rsidR="00013E1A" w:rsidRPr="003050C4" w:rsidRDefault="00013E1A">
                                  <w:pPr>
                                    <w:pStyle w:val="afb"/>
                                    <w:jc w:val="center"/>
                                    <w:rPr>
                                      <w:b w:val="0"/>
                                    </w:rPr>
                                  </w:pPr>
                                  <w:r w:rsidRPr="003050C4">
                                    <w:rPr>
                                      <w:b w:val="0"/>
                                    </w:rPr>
                                    <w:t>62.0 (67/108)</w:t>
                                  </w:r>
                                </w:p>
                                <w:p w:rsidR="00013E1A" w:rsidRPr="003050C4" w:rsidRDefault="00013E1A">
                                  <w:pPr>
                                    <w:pStyle w:val="afb"/>
                                    <w:jc w:val="center"/>
                                    <w:rPr>
                                      <w:b w:val="0"/>
                                    </w:rPr>
                                  </w:pPr>
                                </w:p>
                              </w:tc>
                              <w:tc>
                                <w:tcPr>
                                  <w:tcW w:w="1457" w:type="dxa"/>
                                  <w:tcMar>
                                    <w:top w:w="28" w:type="dxa"/>
                                    <w:left w:w="0" w:type="dxa"/>
                                    <w:bottom w:w="28" w:type="dxa"/>
                                    <w:right w:w="0" w:type="dxa"/>
                                  </w:tcMar>
                                  <w:vAlign w:val="center"/>
                                </w:tcPr>
                                <w:p w:rsidR="00013E1A" w:rsidRPr="003050C4" w:rsidRDefault="00013E1A">
                                  <w:pPr>
                                    <w:pStyle w:val="afb"/>
                                    <w:jc w:val="center"/>
                                    <w:rPr>
                                      <w:b w:val="0"/>
                                    </w:rPr>
                                  </w:pPr>
                                  <w:r w:rsidRPr="003050C4">
                                    <w:rPr>
                                      <w:b w:val="0"/>
                                    </w:rPr>
                                    <w:t>68.1 (154/226)</w:t>
                                  </w:r>
                                </w:p>
                                <w:p w:rsidR="00013E1A" w:rsidRPr="003050C4" w:rsidRDefault="00013E1A">
                                  <w:pPr>
                                    <w:pStyle w:val="afb"/>
                                    <w:jc w:val="center"/>
                                    <w:rPr>
                                      <w:b w:val="0"/>
                                    </w:rPr>
                                  </w:pPr>
                                </w:p>
                              </w:tc>
                              <w:tc>
                                <w:tcPr>
                                  <w:tcW w:w="1457" w:type="dxa"/>
                                  <w:tcMar>
                                    <w:top w:w="28" w:type="dxa"/>
                                    <w:left w:w="0" w:type="dxa"/>
                                    <w:bottom w:w="28" w:type="dxa"/>
                                    <w:right w:w="0" w:type="dxa"/>
                                  </w:tcMar>
                                  <w:vAlign w:val="center"/>
                                </w:tcPr>
                                <w:p w:rsidR="00013E1A" w:rsidRPr="003050C4" w:rsidRDefault="00013E1A">
                                  <w:pPr>
                                    <w:pStyle w:val="afb"/>
                                    <w:jc w:val="center"/>
                                    <w:rPr>
                                      <w:b w:val="0"/>
                                    </w:rPr>
                                  </w:pPr>
                                  <w:r w:rsidRPr="003050C4">
                                    <w:rPr>
                                      <w:b w:val="0"/>
                                    </w:rPr>
                                    <w:t>68.9 (71/103)</w:t>
                                  </w:r>
                                </w:p>
                                <w:p w:rsidR="00013E1A" w:rsidRPr="003050C4" w:rsidRDefault="00013E1A">
                                  <w:pPr>
                                    <w:pStyle w:val="afb"/>
                                    <w:jc w:val="center"/>
                                    <w:rPr>
                                      <w:b w:val="0"/>
                                    </w:rPr>
                                  </w:pPr>
                                </w:p>
                              </w:tc>
                              <w:tc>
                                <w:tcPr>
                                  <w:tcW w:w="1457" w:type="dxa"/>
                                  <w:tcMar>
                                    <w:top w:w="28" w:type="dxa"/>
                                    <w:left w:w="0" w:type="dxa"/>
                                    <w:bottom w:w="28" w:type="dxa"/>
                                    <w:right w:w="0" w:type="dxa"/>
                                  </w:tcMar>
                                  <w:vAlign w:val="center"/>
                                </w:tcPr>
                                <w:p w:rsidR="00013E1A" w:rsidRPr="003050C4" w:rsidRDefault="00013E1A">
                                  <w:pPr>
                                    <w:pStyle w:val="afb"/>
                                    <w:jc w:val="center"/>
                                    <w:rPr>
                                      <w:b w:val="0"/>
                                    </w:rPr>
                                  </w:pPr>
                                  <w:r w:rsidRPr="003050C4">
                                    <w:rPr>
                                      <w:b w:val="0"/>
                                    </w:rPr>
                                    <w:t>&gt; 0.05</w:t>
                                  </w:r>
                                </w:p>
                                <w:p w:rsidR="00013E1A" w:rsidRPr="003050C4" w:rsidRDefault="00013E1A">
                                  <w:pPr>
                                    <w:pStyle w:val="afb"/>
                                    <w:jc w:val="center"/>
                                    <w:rPr>
                                      <w:b w:val="0"/>
                                    </w:rPr>
                                  </w:pPr>
                                </w:p>
                              </w:tc>
                            </w:tr>
                          </w:tbl>
                          <w:p w:rsidR="00013E1A" w:rsidRDefault="00013E1A" w:rsidP="00013E1A">
                            <w:pPr>
                              <w:widowControl/>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416.05pt;height:16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">
                <v:textbox style="mso-fit-shape-to-text:t">
                  <w:txbxContent>
                    <w:p w:rsidR="00013E1A" w:rsidRPr="003050C4" w:rsidRDefault="00013E1A" w:rsidP="00013E1A">
                      <w:pPr>
                        <w:rPr>
                          <w:b/>
                          <w:bCs/>
                        </w:rPr>
                      </w:pPr>
                      <w:r w:rsidRPr="003050C4">
                        <w:rPr>
                          <w:b/>
                          <w:bCs/>
                        </w:rPr>
                        <w:t xml:space="preserve">Table 1  Hemodialysis treatment duration and </w:t>
                      </w:r>
                      <w:r w:rsidRPr="003050C4">
                        <w:rPr>
                          <w:b/>
                          <w:bCs/>
                          <w:i/>
                          <w:iCs/>
                        </w:rPr>
                        <w:t>Helicobacter pylori</w:t>
                      </w:r>
                      <w:r w:rsidRPr="003050C4">
                        <w:rPr>
                          <w:b/>
                          <w:bCs/>
                        </w:rPr>
                        <w:t xml:space="preserve"> infection status in hemodialysis patients</w:t>
                      </w:r>
                      <w:r w:rsidRPr="003050C4">
                        <w:rPr>
                          <w:b/>
                          <w:bCs/>
                          <w:vertAlign w:val="superscript"/>
                        </w:rPr>
                        <w:t>[27]</w:t>
                      </w:r>
                      <w:r w:rsidRPr="003050C4">
                        <w:rPr>
                          <w:b/>
                          <w:bCs/>
                        </w:rPr>
                        <w:t>, %</w:t>
                      </w:r>
                    </w:p>
                    <w:tbl>
                      <w:tblPr>
                        <w:tblW w:w="0" w:type="auto"/>
                        <w:tblInd w:w="8" w:type="dxa"/>
                        <w:tblBorders>
                          <w:top w:val="single" w:sz="6" w:space="0" w:color="000000"/>
                        </w:tblBorders>
                        <w:tblLayout w:type="fixed"/>
                        <w:tblCellMar>
                          <w:left w:w="0" w:type="dxa"/>
                          <w:right w:w="0" w:type="dxa"/>
                        </w:tblCellMar>
                        <w:tblLook w:val="0000" w:firstRow="0" w:lastRow="0" w:firstColumn="0" w:lastColumn="0" w:noHBand="0" w:noVBand="0"/>
                      </w:tblPr>
                      <w:tblGrid>
                        <w:gridCol w:w="2219"/>
                        <w:gridCol w:w="1456"/>
                        <w:gridCol w:w="1457"/>
                        <w:gridCol w:w="1457"/>
                        <w:gridCol w:w="1457"/>
                        <w:gridCol w:w="1457"/>
                      </w:tblGrid>
                      <w:tr w:rsidR="00013E1A" w:rsidRPr="003050C4">
                        <w:tblPrEx>
                          <w:tblCellMar>
                            <w:top w:w="0" w:type="dxa"/>
                            <w:left w:w="0" w:type="dxa"/>
                            <w:bottom w:w="0" w:type="dxa"/>
                            <w:right w:w="0" w:type="dxa"/>
                          </w:tblCellMar>
                        </w:tblPrEx>
                        <w:trPr>
                          <w:trHeight w:val="266"/>
                        </w:trPr>
                        <w:tc>
                          <w:tcPr>
                            <w:tcW w:w="2219"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pPr>
                              <w:pStyle w:val="Noparagraphstyle"/>
                              <w:spacing w:line="240" w:lineRule="auto"/>
                              <w:jc w:val="left"/>
                              <w:textAlignment w:val="auto"/>
                              <w:rPr>
                                <w:b/>
                                <w:color w:val="auto"/>
                                <w:lang w:val="en-US"/>
                              </w:rPr>
                            </w:pPr>
                          </w:p>
                        </w:tc>
                        <w:tc>
                          <w:tcPr>
                            <w:tcW w:w="1456"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pPr>
                              <w:pStyle w:val="afa"/>
                              <w:jc w:val="center"/>
                            </w:pPr>
                            <w:r w:rsidRPr="003050C4">
                              <w:t>&lt; 1 yr</w:t>
                            </w:r>
                          </w:p>
                          <w:p w:rsidR="00013E1A" w:rsidRPr="003050C4" w:rsidRDefault="00013E1A">
                            <w:pPr>
                              <w:pStyle w:val="afa"/>
                              <w:jc w:val="center"/>
                            </w:pPr>
                          </w:p>
                        </w:tc>
                        <w:tc>
                          <w:tcPr>
                            <w:tcW w:w="1457"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pPr>
                              <w:pStyle w:val="afa"/>
                              <w:jc w:val="center"/>
                            </w:pPr>
                            <w:r w:rsidRPr="003050C4">
                              <w:t>1-3 yr</w:t>
                            </w:r>
                          </w:p>
                          <w:p w:rsidR="00013E1A" w:rsidRPr="003050C4" w:rsidRDefault="00013E1A">
                            <w:pPr>
                              <w:pStyle w:val="afa"/>
                              <w:jc w:val="center"/>
                            </w:pPr>
                          </w:p>
                        </w:tc>
                        <w:tc>
                          <w:tcPr>
                            <w:tcW w:w="1457"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pPr>
                              <w:pStyle w:val="afa"/>
                              <w:jc w:val="center"/>
                            </w:pPr>
                            <w:r w:rsidRPr="003050C4">
                              <w:t>3-10 yr</w:t>
                            </w:r>
                          </w:p>
                          <w:p w:rsidR="00013E1A" w:rsidRPr="003050C4" w:rsidRDefault="00013E1A">
                            <w:pPr>
                              <w:pStyle w:val="afa"/>
                              <w:jc w:val="center"/>
                            </w:pPr>
                          </w:p>
                        </w:tc>
                        <w:tc>
                          <w:tcPr>
                            <w:tcW w:w="1457"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pPr>
                              <w:pStyle w:val="afa"/>
                              <w:jc w:val="center"/>
                            </w:pPr>
                            <w:r w:rsidRPr="003050C4">
                              <w:t>&gt; 10 yr</w:t>
                            </w:r>
                          </w:p>
                          <w:p w:rsidR="00013E1A" w:rsidRPr="003050C4" w:rsidRDefault="00013E1A">
                            <w:pPr>
                              <w:pStyle w:val="afa"/>
                              <w:jc w:val="center"/>
                            </w:pPr>
                          </w:p>
                        </w:tc>
                        <w:tc>
                          <w:tcPr>
                            <w:tcW w:w="1457"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pPr>
                              <w:pStyle w:val="afa"/>
                              <w:jc w:val="center"/>
                            </w:pPr>
                            <w:r w:rsidRPr="003050C4">
                              <w:rPr>
                                <w:rFonts w:ascii="Albertus Bold Italic" w:hAnsi="Albertus Bold Italic" w:cs="Albertus Bold Italic"/>
                                <w:i/>
                                <w:iCs/>
                              </w:rPr>
                              <w:t>P</w:t>
                            </w:r>
                            <w:r w:rsidRPr="003050C4">
                              <w:t xml:space="preserve"> value</w:t>
                            </w:r>
                          </w:p>
                          <w:p w:rsidR="00013E1A" w:rsidRPr="003050C4" w:rsidRDefault="00013E1A">
                            <w:pPr>
                              <w:pStyle w:val="afa"/>
                              <w:jc w:val="center"/>
                            </w:pPr>
                          </w:p>
                        </w:tc>
                      </w:tr>
                      <w:tr w:rsidR="00013E1A" w:rsidRPr="003050C4">
                        <w:tblPrEx>
                          <w:tblCellMar>
                            <w:top w:w="0" w:type="dxa"/>
                            <w:left w:w="0" w:type="dxa"/>
                            <w:bottom w:w="0" w:type="dxa"/>
                            <w:right w:w="0" w:type="dxa"/>
                          </w:tblCellMar>
                        </w:tblPrEx>
                        <w:trPr>
                          <w:trHeight w:val="196"/>
                        </w:trPr>
                        <w:tc>
                          <w:tcPr>
                            <w:tcW w:w="2219" w:type="dxa"/>
                            <w:tcBorders>
                              <w:top w:val="single" w:sz="6" w:space="0" w:color="000000"/>
                            </w:tcBorders>
                            <w:tcMar>
                              <w:top w:w="28" w:type="dxa"/>
                              <w:left w:w="0" w:type="dxa"/>
                              <w:bottom w:w="28" w:type="dxa"/>
                              <w:right w:w="0" w:type="dxa"/>
                            </w:tcMar>
                            <w:vAlign w:val="center"/>
                          </w:tcPr>
                          <w:p w:rsidR="00013E1A" w:rsidRPr="003050C4" w:rsidRDefault="00013E1A">
                            <w:pPr>
                              <w:pStyle w:val="afb"/>
                              <w:rPr>
                                <w:b w:val="0"/>
                              </w:rPr>
                            </w:pPr>
                            <w:r w:rsidRPr="003050C4">
                              <w:rPr>
                                <w:b w:val="0"/>
                                <w:bCs w:val="0"/>
                                <w:i/>
                                <w:iCs/>
                              </w:rPr>
                              <w:t xml:space="preserve">H. pylori </w:t>
                            </w:r>
                            <w:r w:rsidRPr="003050C4">
                              <w:rPr>
                                <w:b w:val="0"/>
                              </w:rPr>
                              <w:t>infection rate</w:t>
                            </w:r>
                          </w:p>
                          <w:p w:rsidR="00013E1A" w:rsidRPr="003050C4" w:rsidRDefault="00013E1A">
                            <w:pPr>
                              <w:pStyle w:val="afb"/>
                              <w:rPr>
                                <w:b w:val="0"/>
                              </w:rPr>
                            </w:pPr>
                          </w:p>
                        </w:tc>
                        <w:tc>
                          <w:tcPr>
                            <w:tcW w:w="1456" w:type="dxa"/>
                            <w:tcBorders>
                              <w:top w:val="single" w:sz="6" w:space="0" w:color="000000"/>
                            </w:tcBorders>
                            <w:tcMar>
                              <w:top w:w="28" w:type="dxa"/>
                              <w:left w:w="0" w:type="dxa"/>
                              <w:bottom w:w="28" w:type="dxa"/>
                              <w:right w:w="0" w:type="dxa"/>
                            </w:tcMar>
                            <w:vAlign w:val="center"/>
                          </w:tcPr>
                          <w:p w:rsidR="00013E1A" w:rsidRPr="003050C4" w:rsidRDefault="00013E1A">
                            <w:pPr>
                              <w:pStyle w:val="afb"/>
                              <w:jc w:val="center"/>
                              <w:rPr>
                                <w:b w:val="0"/>
                              </w:rPr>
                            </w:pPr>
                            <w:r w:rsidRPr="003050C4">
                              <w:rPr>
                                <w:b w:val="0"/>
                              </w:rPr>
                              <w:t>23.8 (15/63)</w:t>
                            </w:r>
                          </w:p>
                          <w:p w:rsidR="00013E1A" w:rsidRPr="003050C4" w:rsidRDefault="00013E1A">
                            <w:pPr>
                              <w:pStyle w:val="afb"/>
                              <w:jc w:val="center"/>
                              <w:rPr>
                                <w:b w:val="0"/>
                              </w:rPr>
                            </w:pPr>
                          </w:p>
                        </w:tc>
                        <w:tc>
                          <w:tcPr>
                            <w:tcW w:w="1457" w:type="dxa"/>
                            <w:tcBorders>
                              <w:top w:val="single" w:sz="6" w:space="0" w:color="000000"/>
                            </w:tcBorders>
                            <w:tcMar>
                              <w:top w:w="28" w:type="dxa"/>
                              <w:left w:w="0" w:type="dxa"/>
                              <w:bottom w:w="28" w:type="dxa"/>
                              <w:right w:w="0" w:type="dxa"/>
                            </w:tcMar>
                            <w:vAlign w:val="center"/>
                          </w:tcPr>
                          <w:p w:rsidR="00013E1A" w:rsidRPr="003050C4" w:rsidRDefault="00013E1A">
                            <w:pPr>
                              <w:pStyle w:val="afb"/>
                              <w:jc w:val="center"/>
                              <w:rPr>
                                <w:b w:val="0"/>
                              </w:rPr>
                            </w:pPr>
                            <w:r w:rsidRPr="003050C4">
                              <w:rPr>
                                <w:b w:val="0"/>
                              </w:rPr>
                              <w:t>16.7 (18/108)</w:t>
                            </w:r>
                          </w:p>
                          <w:p w:rsidR="00013E1A" w:rsidRPr="003050C4" w:rsidRDefault="00013E1A">
                            <w:pPr>
                              <w:pStyle w:val="afb"/>
                              <w:jc w:val="center"/>
                              <w:rPr>
                                <w:b w:val="0"/>
                              </w:rPr>
                            </w:pPr>
                          </w:p>
                        </w:tc>
                        <w:tc>
                          <w:tcPr>
                            <w:tcW w:w="1457" w:type="dxa"/>
                            <w:tcBorders>
                              <w:top w:val="single" w:sz="6" w:space="0" w:color="000000"/>
                            </w:tcBorders>
                            <w:tcMar>
                              <w:top w:w="28" w:type="dxa"/>
                              <w:left w:w="0" w:type="dxa"/>
                              <w:bottom w:w="28" w:type="dxa"/>
                              <w:right w:w="0" w:type="dxa"/>
                            </w:tcMar>
                            <w:vAlign w:val="center"/>
                          </w:tcPr>
                          <w:p w:rsidR="00013E1A" w:rsidRPr="003050C4" w:rsidRDefault="00013E1A">
                            <w:pPr>
                              <w:pStyle w:val="afb"/>
                              <w:jc w:val="center"/>
                              <w:rPr>
                                <w:b w:val="0"/>
                              </w:rPr>
                            </w:pPr>
                            <w:r w:rsidRPr="003050C4">
                              <w:rPr>
                                <w:b w:val="0"/>
                              </w:rPr>
                              <w:t>15.0 (34/226)</w:t>
                            </w:r>
                          </w:p>
                          <w:p w:rsidR="00013E1A" w:rsidRPr="003050C4" w:rsidRDefault="00013E1A">
                            <w:pPr>
                              <w:pStyle w:val="afb"/>
                              <w:jc w:val="center"/>
                              <w:rPr>
                                <w:b w:val="0"/>
                              </w:rPr>
                            </w:pPr>
                          </w:p>
                        </w:tc>
                        <w:tc>
                          <w:tcPr>
                            <w:tcW w:w="1457" w:type="dxa"/>
                            <w:tcBorders>
                              <w:top w:val="single" w:sz="6" w:space="0" w:color="000000"/>
                            </w:tcBorders>
                            <w:tcMar>
                              <w:top w:w="28" w:type="dxa"/>
                              <w:left w:w="0" w:type="dxa"/>
                              <w:bottom w:w="28" w:type="dxa"/>
                              <w:right w:w="0" w:type="dxa"/>
                            </w:tcMar>
                            <w:vAlign w:val="center"/>
                          </w:tcPr>
                          <w:p w:rsidR="00013E1A" w:rsidRPr="003050C4" w:rsidRDefault="00013E1A">
                            <w:pPr>
                              <w:pStyle w:val="afb"/>
                              <w:jc w:val="center"/>
                              <w:rPr>
                                <w:b w:val="0"/>
                              </w:rPr>
                            </w:pPr>
                            <w:r w:rsidRPr="003050C4">
                              <w:rPr>
                                <w:b w:val="0"/>
                              </w:rPr>
                              <w:t>7.8 (8/13)</w:t>
                            </w:r>
                          </w:p>
                          <w:p w:rsidR="00013E1A" w:rsidRPr="003050C4" w:rsidRDefault="00013E1A">
                            <w:pPr>
                              <w:pStyle w:val="afb"/>
                              <w:jc w:val="center"/>
                              <w:rPr>
                                <w:b w:val="0"/>
                              </w:rPr>
                            </w:pPr>
                          </w:p>
                        </w:tc>
                        <w:tc>
                          <w:tcPr>
                            <w:tcW w:w="1457" w:type="dxa"/>
                            <w:tcBorders>
                              <w:top w:val="single" w:sz="6" w:space="0" w:color="000000"/>
                            </w:tcBorders>
                            <w:tcMar>
                              <w:top w:w="28" w:type="dxa"/>
                              <w:left w:w="0" w:type="dxa"/>
                              <w:bottom w:w="28" w:type="dxa"/>
                              <w:right w:w="0" w:type="dxa"/>
                            </w:tcMar>
                            <w:vAlign w:val="center"/>
                          </w:tcPr>
                          <w:p w:rsidR="00013E1A" w:rsidRPr="003050C4" w:rsidRDefault="00013E1A">
                            <w:pPr>
                              <w:pStyle w:val="afb"/>
                              <w:jc w:val="center"/>
                              <w:rPr>
                                <w:b w:val="0"/>
                              </w:rPr>
                            </w:pPr>
                            <w:r w:rsidRPr="003050C4">
                              <w:rPr>
                                <w:b w:val="0"/>
                              </w:rPr>
                              <w:t>0.043</w:t>
                            </w:r>
                          </w:p>
                          <w:p w:rsidR="00013E1A" w:rsidRPr="003050C4" w:rsidRDefault="00013E1A">
                            <w:pPr>
                              <w:pStyle w:val="afb"/>
                              <w:jc w:val="center"/>
                              <w:rPr>
                                <w:b w:val="0"/>
                              </w:rPr>
                            </w:pPr>
                          </w:p>
                        </w:tc>
                      </w:tr>
                      <w:tr w:rsidR="00013E1A" w:rsidRPr="003050C4">
                        <w:tblPrEx>
                          <w:tblCellMar>
                            <w:top w:w="0" w:type="dxa"/>
                            <w:left w:w="0" w:type="dxa"/>
                            <w:bottom w:w="0" w:type="dxa"/>
                            <w:right w:w="0" w:type="dxa"/>
                          </w:tblCellMar>
                        </w:tblPrEx>
                        <w:trPr>
                          <w:trHeight w:val="196"/>
                        </w:trPr>
                        <w:tc>
                          <w:tcPr>
                            <w:tcW w:w="2219" w:type="dxa"/>
                            <w:tcMar>
                              <w:top w:w="28" w:type="dxa"/>
                              <w:left w:w="0" w:type="dxa"/>
                              <w:bottom w:w="28" w:type="dxa"/>
                              <w:right w:w="0" w:type="dxa"/>
                            </w:tcMar>
                            <w:vAlign w:val="center"/>
                          </w:tcPr>
                          <w:p w:rsidR="00013E1A" w:rsidRPr="003050C4" w:rsidRDefault="00013E1A">
                            <w:pPr>
                              <w:pStyle w:val="afb"/>
                              <w:rPr>
                                <w:b w:val="0"/>
                              </w:rPr>
                            </w:pPr>
                            <w:r w:rsidRPr="003050C4">
                              <w:rPr>
                                <w:b w:val="0"/>
                              </w:rPr>
                              <w:t xml:space="preserve">Rate of </w:t>
                            </w:r>
                            <w:r w:rsidRPr="003050C4">
                              <w:rPr>
                                <w:b w:val="0"/>
                                <w:bCs w:val="0"/>
                                <w:i/>
                                <w:iCs/>
                              </w:rPr>
                              <w:t>H. pylori</w:t>
                            </w:r>
                            <w:r w:rsidRPr="003050C4">
                              <w:rPr>
                                <w:b w:val="0"/>
                              </w:rPr>
                              <w:t xml:space="preserve"> negatives</w:t>
                            </w:r>
                          </w:p>
                          <w:p w:rsidR="00013E1A" w:rsidRPr="003050C4" w:rsidRDefault="00013E1A">
                            <w:pPr>
                              <w:pStyle w:val="afb"/>
                              <w:rPr>
                                <w:b w:val="0"/>
                              </w:rPr>
                            </w:pPr>
                          </w:p>
                        </w:tc>
                        <w:tc>
                          <w:tcPr>
                            <w:tcW w:w="1456" w:type="dxa"/>
                            <w:tcMar>
                              <w:top w:w="28" w:type="dxa"/>
                              <w:left w:w="0" w:type="dxa"/>
                              <w:bottom w:w="28" w:type="dxa"/>
                              <w:right w:w="0" w:type="dxa"/>
                            </w:tcMar>
                            <w:vAlign w:val="center"/>
                          </w:tcPr>
                          <w:p w:rsidR="00013E1A" w:rsidRPr="003050C4" w:rsidRDefault="00013E1A">
                            <w:pPr>
                              <w:pStyle w:val="afb"/>
                              <w:jc w:val="center"/>
                              <w:rPr>
                                <w:b w:val="0"/>
                              </w:rPr>
                            </w:pPr>
                            <w:r w:rsidRPr="003050C4">
                              <w:rPr>
                                <w:b w:val="0"/>
                              </w:rPr>
                              <w:t>55.5 (35/63)</w:t>
                            </w:r>
                          </w:p>
                          <w:p w:rsidR="00013E1A" w:rsidRPr="003050C4" w:rsidRDefault="00013E1A">
                            <w:pPr>
                              <w:pStyle w:val="afb"/>
                              <w:jc w:val="center"/>
                              <w:rPr>
                                <w:b w:val="0"/>
                              </w:rPr>
                            </w:pPr>
                          </w:p>
                        </w:tc>
                        <w:tc>
                          <w:tcPr>
                            <w:tcW w:w="1457" w:type="dxa"/>
                            <w:tcMar>
                              <w:top w:w="28" w:type="dxa"/>
                              <w:left w:w="0" w:type="dxa"/>
                              <w:bottom w:w="28" w:type="dxa"/>
                              <w:right w:w="0" w:type="dxa"/>
                            </w:tcMar>
                            <w:vAlign w:val="center"/>
                          </w:tcPr>
                          <w:p w:rsidR="00013E1A" w:rsidRPr="003050C4" w:rsidRDefault="00013E1A">
                            <w:pPr>
                              <w:pStyle w:val="afb"/>
                              <w:jc w:val="center"/>
                              <w:rPr>
                                <w:b w:val="0"/>
                              </w:rPr>
                            </w:pPr>
                            <w:r w:rsidRPr="003050C4">
                              <w:rPr>
                                <w:b w:val="0"/>
                              </w:rPr>
                              <w:t>62.0 (67/108)</w:t>
                            </w:r>
                          </w:p>
                          <w:p w:rsidR="00013E1A" w:rsidRPr="003050C4" w:rsidRDefault="00013E1A">
                            <w:pPr>
                              <w:pStyle w:val="afb"/>
                              <w:jc w:val="center"/>
                              <w:rPr>
                                <w:b w:val="0"/>
                              </w:rPr>
                            </w:pPr>
                          </w:p>
                        </w:tc>
                        <w:tc>
                          <w:tcPr>
                            <w:tcW w:w="1457" w:type="dxa"/>
                            <w:tcMar>
                              <w:top w:w="28" w:type="dxa"/>
                              <w:left w:w="0" w:type="dxa"/>
                              <w:bottom w:w="28" w:type="dxa"/>
                              <w:right w:w="0" w:type="dxa"/>
                            </w:tcMar>
                            <w:vAlign w:val="center"/>
                          </w:tcPr>
                          <w:p w:rsidR="00013E1A" w:rsidRPr="003050C4" w:rsidRDefault="00013E1A">
                            <w:pPr>
                              <w:pStyle w:val="afb"/>
                              <w:jc w:val="center"/>
                              <w:rPr>
                                <w:b w:val="0"/>
                              </w:rPr>
                            </w:pPr>
                            <w:r w:rsidRPr="003050C4">
                              <w:rPr>
                                <w:b w:val="0"/>
                              </w:rPr>
                              <w:t>68.1 (154/226)</w:t>
                            </w:r>
                          </w:p>
                          <w:p w:rsidR="00013E1A" w:rsidRPr="003050C4" w:rsidRDefault="00013E1A">
                            <w:pPr>
                              <w:pStyle w:val="afb"/>
                              <w:jc w:val="center"/>
                              <w:rPr>
                                <w:b w:val="0"/>
                              </w:rPr>
                            </w:pPr>
                          </w:p>
                        </w:tc>
                        <w:tc>
                          <w:tcPr>
                            <w:tcW w:w="1457" w:type="dxa"/>
                            <w:tcMar>
                              <w:top w:w="28" w:type="dxa"/>
                              <w:left w:w="0" w:type="dxa"/>
                              <w:bottom w:w="28" w:type="dxa"/>
                              <w:right w:w="0" w:type="dxa"/>
                            </w:tcMar>
                            <w:vAlign w:val="center"/>
                          </w:tcPr>
                          <w:p w:rsidR="00013E1A" w:rsidRPr="003050C4" w:rsidRDefault="00013E1A">
                            <w:pPr>
                              <w:pStyle w:val="afb"/>
                              <w:jc w:val="center"/>
                              <w:rPr>
                                <w:b w:val="0"/>
                              </w:rPr>
                            </w:pPr>
                            <w:r w:rsidRPr="003050C4">
                              <w:rPr>
                                <w:b w:val="0"/>
                              </w:rPr>
                              <w:t>68.9 (71/103)</w:t>
                            </w:r>
                          </w:p>
                          <w:p w:rsidR="00013E1A" w:rsidRPr="003050C4" w:rsidRDefault="00013E1A">
                            <w:pPr>
                              <w:pStyle w:val="afb"/>
                              <w:jc w:val="center"/>
                              <w:rPr>
                                <w:b w:val="0"/>
                              </w:rPr>
                            </w:pPr>
                          </w:p>
                        </w:tc>
                        <w:tc>
                          <w:tcPr>
                            <w:tcW w:w="1457" w:type="dxa"/>
                            <w:tcMar>
                              <w:top w:w="28" w:type="dxa"/>
                              <w:left w:w="0" w:type="dxa"/>
                              <w:bottom w:w="28" w:type="dxa"/>
                              <w:right w:w="0" w:type="dxa"/>
                            </w:tcMar>
                            <w:vAlign w:val="center"/>
                          </w:tcPr>
                          <w:p w:rsidR="00013E1A" w:rsidRPr="003050C4" w:rsidRDefault="00013E1A">
                            <w:pPr>
                              <w:pStyle w:val="afb"/>
                              <w:jc w:val="center"/>
                              <w:rPr>
                                <w:b w:val="0"/>
                              </w:rPr>
                            </w:pPr>
                            <w:r w:rsidRPr="003050C4">
                              <w:rPr>
                                <w:b w:val="0"/>
                              </w:rPr>
                              <w:t>&gt; 0.05</w:t>
                            </w:r>
                          </w:p>
                          <w:p w:rsidR="00013E1A" w:rsidRPr="003050C4" w:rsidRDefault="00013E1A">
                            <w:pPr>
                              <w:pStyle w:val="afb"/>
                              <w:jc w:val="center"/>
                              <w:rPr>
                                <w:b w:val="0"/>
                              </w:rPr>
                            </w:pPr>
                          </w:p>
                        </w:tc>
                      </w:tr>
                    </w:tbl>
                    <w:p w:rsidR="00013E1A" w:rsidRDefault="00013E1A" w:rsidP="00013E1A">
                      <w:pPr>
                        <w:widowControl/>
                        <w:jc w:val="left"/>
                      </w:pPr>
                    </w:p>
                  </w:txbxContent>
                </v:textbox>
                <w10:wrap type="square"/>
              </v:shape>
            </w:pict>
          </mc:Fallback>
        </mc:AlternateContent>
      </w: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83835" cy="16138525"/>
                <wp:effectExtent l="9525" t="9525" r="12065" b="6350"/>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16138525"/>
                        </a:xfrm>
                        <a:prstGeom prst="rect">
                          <a:avLst/>
                        </a:prstGeom>
                        <a:solidFill>
                          <a:srgbClr val="FFFFFF"/>
                        </a:solidFill>
                        <a:ln w="9525">
                          <a:solidFill>
                            <a:srgbClr val="000000"/>
                          </a:solidFill>
                          <a:miter lim="800000"/>
                          <a:headEnd/>
                          <a:tailEnd/>
                        </a:ln>
                      </wps:spPr>
                      <wps:txbx>
                        <w:txbxContent>
                          <w:p w:rsidR="00013E1A" w:rsidRPr="003050C4" w:rsidRDefault="00013E1A" w:rsidP="00013E1A">
                            <w:pPr>
                              <w:rPr>
                                <w:b/>
                                <w:bCs/>
                              </w:rPr>
                            </w:pPr>
                            <w:r w:rsidRPr="003050C4">
                              <w:rPr>
                                <w:b/>
                                <w:bCs/>
                              </w:rPr>
                              <w:t xml:space="preserve">Table 2  </w:t>
                            </w:r>
                            <w:r w:rsidRPr="003050C4">
                              <w:rPr>
                                <w:b/>
                                <w:bCs/>
                                <w:i/>
                                <w:iCs/>
                              </w:rPr>
                              <w:t>Helicobacter pylori</w:t>
                            </w:r>
                            <w:r w:rsidRPr="003050C4">
                              <w:rPr>
                                <w:b/>
                                <w:bCs/>
                              </w:rPr>
                              <w:t xml:space="preserve"> eradication therapy for chronic renal failure patients</w:t>
                            </w:r>
                          </w:p>
                          <w:tbl>
                            <w:tblPr>
                              <w:tblW w:w="9522"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490"/>
                              <w:gridCol w:w="1712"/>
                              <w:gridCol w:w="638"/>
                              <w:gridCol w:w="677"/>
                              <w:gridCol w:w="2868"/>
                              <w:gridCol w:w="801"/>
                              <w:gridCol w:w="803"/>
                              <w:gridCol w:w="1533"/>
                            </w:tblGrid>
                            <w:tr w:rsidR="00013E1A" w:rsidRPr="003050C4">
                              <w:tblPrEx>
                                <w:tblCellMar>
                                  <w:top w:w="0" w:type="dxa"/>
                                  <w:left w:w="0" w:type="dxa"/>
                                  <w:bottom w:w="0" w:type="dxa"/>
                                  <w:right w:w="0" w:type="dxa"/>
                                </w:tblCellMar>
                              </w:tblPrEx>
                              <w:trPr>
                                <w:trHeight w:val="436"/>
                              </w:trPr>
                              <w:tc>
                                <w:tcPr>
                                  <w:tcW w:w="490" w:type="dxa"/>
                                  <w:tcBorders>
                                    <w:top w:val="single" w:sz="6" w:space="0" w:color="000000"/>
                                    <w:bottom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Year</w:t>
                                  </w:r>
                                </w:p>
                                <w:p w:rsidR="00013E1A" w:rsidRPr="003050C4" w:rsidRDefault="00013E1A" w:rsidP="003050C4">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712" w:type="dxa"/>
                                  <w:tcBorders>
                                    <w:top w:val="single" w:sz="6" w:space="0" w:color="000000"/>
                                    <w:bottom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Author</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638" w:type="dxa"/>
                                  <w:tcBorders>
                                    <w:top w:val="single" w:sz="6" w:space="0" w:color="000000"/>
                                    <w:bottom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Country</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677" w:type="dxa"/>
                                  <w:tcBorders>
                                    <w:top w:val="single" w:sz="6" w:space="0" w:color="000000"/>
                                    <w:bottom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88" w:lineRule="auto"/>
                                    <w:jc w:val="center"/>
                                    <w:textAlignment w:val="center"/>
                                    <w:rPr>
                                      <w:rFonts w:ascii="Albertus Bold Italic" w:hAnsi="Albertus Bold Italic" w:cs="Albertus Bold Italic"/>
                                      <w:b/>
                                      <w:bCs/>
                                      <w:i/>
                                      <w:iCs/>
                                      <w:color w:val="000000"/>
                                      <w:kern w:val="0"/>
                                      <w:sz w:val="14"/>
                                      <w:szCs w:val="14"/>
                                      <w:lang w:val="zh-CN"/>
                                    </w:rPr>
                                  </w:pPr>
                                  <w:r w:rsidRPr="003050C4">
                                    <w:rPr>
                                      <w:rFonts w:ascii="Albertus Bold Italic" w:hAnsi="Albertus Bold Italic" w:cs="Albertus Bold Italic"/>
                                      <w:b/>
                                      <w:bCs/>
                                      <w:i/>
                                      <w:iCs/>
                                      <w:color w:val="000000"/>
                                      <w:kern w:val="0"/>
                                      <w:sz w:val="14"/>
                                      <w:szCs w:val="14"/>
                                      <w:lang w:val="zh-CN"/>
                                    </w:rPr>
                                    <w:t>n</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868" w:type="dxa"/>
                                  <w:tcBorders>
                                    <w:top w:val="single" w:sz="6" w:space="0" w:color="000000"/>
                                    <w:bottom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Regimen</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801" w:type="dxa"/>
                                  <w:tcBorders>
                                    <w:top w:val="single" w:sz="6" w:space="0" w:color="000000"/>
                                    <w:bottom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Treatment period</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803" w:type="dxa"/>
                                  <w:tcBorders>
                                    <w:top w:val="single" w:sz="6" w:space="0" w:color="000000"/>
                                    <w:bottom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Eradication rate (%)</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33" w:type="dxa"/>
                                  <w:tcBorders>
                                    <w:top w:val="single" w:sz="6" w:space="0" w:color="000000"/>
                                    <w:bottom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Analytic methods</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tcBorders>
                                    <w:top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1997</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Borders>
                                    <w:top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Tamura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[61]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tcBorders>
                                    <w:top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Japan</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Borders>
                                    <w:top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14</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Borders>
                                    <w:top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LPZ (30) oid/ 8 wk, AMPC (500) oid/ 3 wk, plaunotol (80) tid/ 24 wk</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801" w:type="dxa"/>
                                  <w:tcBorders>
                                    <w:top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21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Borders>
                                    <w:top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78.6</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Borders>
                                    <w:top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RUT, Culture, Histology</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1998</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rPr>
                                  </w:pPr>
                                  <w:r w:rsidRPr="003050C4">
                                    <w:rPr>
                                      <w:rFonts w:ascii="Book Antiqua" w:hAnsi="Book Antiqua" w:cs="Book Antiqua"/>
                                      <w:bCs/>
                                      <w:color w:val="000000"/>
                                      <w:kern w:val="0"/>
                                      <w:sz w:val="14"/>
                                      <w:szCs w:val="14"/>
                                    </w:rPr>
                                    <w:t xml:space="preserve">Munos de Bustillo E </w:t>
                                  </w:r>
                                  <w:r w:rsidRPr="003050C4">
                                    <w:rPr>
                                      <w:rFonts w:ascii="Book Antiqua" w:hAnsi="Book Antiqua" w:cs="Book Antiqua"/>
                                      <w:i/>
                                      <w:iCs/>
                                      <w:color w:val="000000"/>
                                      <w:kern w:val="0"/>
                                      <w:sz w:val="14"/>
                                      <w:szCs w:val="14"/>
                                    </w:rPr>
                                    <w:t>et al</w:t>
                                  </w:r>
                                  <w:r w:rsidRPr="003050C4">
                                    <w:rPr>
                                      <w:rFonts w:ascii="Book Antiqua" w:hAnsi="Book Antiqua" w:cs="Book Antiqua"/>
                                      <w:bCs/>
                                      <w:color w:val="000000"/>
                                      <w:kern w:val="0"/>
                                      <w:sz w:val="14"/>
                                      <w:szCs w:val="14"/>
                                      <w:vertAlign w:val="superscript"/>
                                    </w:rPr>
                                    <w:t>[30]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638"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Spain</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OPZ (20) bid, AMPC (500) tid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14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60.8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UBT</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1712"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38"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plus OPZ (20) bid, CAM (500)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14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82.6</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autoSpaceDE w:val="0"/>
                                    <w:autoSpaceDN w:val="0"/>
                                    <w:adjustRightInd w:val="0"/>
                                    <w:jc w:val="left"/>
                                    <w:rPr>
                                      <w:rFonts w:ascii="Albertus Bold Italic" w:hAnsi="Albertus Bold Italic"/>
                                      <w:kern w:val="0"/>
                                      <w:sz w:val="24"/>
                                    </w:rPr>
                                  </w:pPr>
                                </w:p>
                              </w:tc>
                            </w:tr>
                            <w:tr w:rsidR="00013E1A" w:rsidRPr="003050C4">
                              <w:tblPrEx>
                                <w:tblCellMar>
                                  <w:top w:w="0" w:type="dxa"/>
                                  <w:left w:w="0" w:type="dxa"/>
                                  <w:bottom w:w="0" w:type="dxa"/>
                                  <w:right w:w="0" w:type="dxa"/>
                                </w:tblCellMar>
                              </w:tblPrEx>
                              <w:trPr>
                                <w:trHeight w:val="60"/>
                              </w:trPr>
                              <w:tc>
                                <w:tcPr>
                                  <w:tcW w:w="490"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1998</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Tokushima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[62]</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Japan</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LPZ (30) oid/ 8 wk, AMPC (500)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21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76.5</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RUT, Culture, Histology</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1712"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38"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LPZ (30) oid, AMPC (250), MNZ (250)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90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autoSpaceDE w:val="0"/>
                                    <w:autoSpaceDN w:val="0"/>
                                    <w:adjustRightInd w:val="0"/>
                                    <w:jc w:val="left"/>
                                    <w:rPr>
                                      <w:rFonts w:ascii="Albertus Bold Italic" w:hAnsi="Albertus Bold Italic"/>
                                      <w:kern w:val="0"/>
                                      <w:sz w:val="24"/>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1999</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Araki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[63]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Japan</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OPZ (20) oid/ 8 wk, AMPC (250) oid, CAM (200) oid/ 3 wk, polaprizinc (0.5) bid/ 24 wk</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21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88.2</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IgG, Histology</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1999</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Gur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[11]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Turkey</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25</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FAM (40) oid, CAM (500) bid, MNZ (250)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15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80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Histology, RUT</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2001</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Wang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[64]</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China</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OPZ (20), AMPC (1000), CAM (500)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86.8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Stool</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2002</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Mak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[91]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China</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21 (CRF)</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OPZ (20), AMPC (1000), CAM (500)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90.5</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RUT</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2002</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Tsukada</w:t>
                                  </w:r>
                                  <w:r w:rsidRPr="003050C4">
                                    <w:rPr>
                                      <w:rFonts w:ascii="Book Antiqua" w:hAnsi="Book Antiqua" w:cs="Book Antiqua"/>
                                      <w:i/>
                                      <w:iCs/>
                                      <w:color w:val="000000"/>
                                      <w:kern w:val="0"/>
                                      <w:sz w:val="14"/>
                                      <w:szCs w:val="14"/>
                                      <w:lang w:val="zh-CN"/>
                                    </w:rPr>
                                    <w:t xml:space="preserve"> et al</w:t>
                                  </w:r>
                                  <w:r w:rsidRPr="003050C4">
                                    <w:rPr>
                                      <w:rFonts w:ascii="Book Antiqua" w:hAnsi="Book Antiqua" w:cs="Book Antiqua"/>
                                      <w:bCs/>
                                      <w:color w:val="000000"/>
                                      <w:kern w:val="0"/>
                                      <w:sz w:val="14"/>
                                      <w:szCs w:val="14"/>
                                      <w:vertAlign w:val="superscript"/>
                                      <w:lang w:val="zh-CN"/>
                                    </w:rPr>
                                    <w:t>[65]</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Japan</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39</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OPZ (30) bid, AMPC (500) tid, CAM (400)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82.1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UBT</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2003</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Mak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[92]</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China</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25 (CRF)</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OPZ (20) or LPZ (30), AMPC (1000), CAM (500)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96</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Histology</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2003</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Sheu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[67]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China</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38 (CRF)</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LPZ (30), AMPC (750), CAM (500)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76.3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autoSpaceDE w:val="0"/>
                                    <w:autoSpaceDN w:val="0"/>
                                    <w:adjustRightInd w:val="0"/>
                                    <w:jc w:val="left"/>
                                    <w:rPr>
                                      <w:rFonts w:ascii="Albertus Bold Italic" w:hAnsi="Albertus Bold Italic"/>
                                      <w:kern w:val="0"/>
                                      <w:sz w:val="24"/>
                                    </w:rPr>
                                  </w:pPr>
                                </w:p>
                              </w:tc>
                            </w:tr>
                            <w:tr w:rsidR="00013E1A" w:rsidRPr="003050C4">
                              <w:tblPrEx>
                                <w:tblCellMar>
                                  <w:top w:w="0" w:type="dxa"/>
                                  <w:left w:w="0" w:type="dxa"/>
                                  <w:bottom w:w="0" w:type="dxa"/>
                                  <w:right w:w="0" w:type="dxa"/>
                                </w:tblCellMar>
                              </w:tblPrEx>
                              <w:trPr>
                                <w:trHeight w:val="60"/>
                              </w:trPr>
                              <w:tc>
                                <w:tcPr>
                                  <w:tcW w:w="490"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1712"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38"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40 (CRF)</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LPZ (30), CAM (500), MNZ (500)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92.5</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Stool</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2004</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Sezer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[4]</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Turkey</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OPZ (20), AMPC (1000), CAM (500)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14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94.1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Endoscopy</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2007</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Tseng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[93]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China</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34 (CRF)</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ESO (40) or OPZ (20) bid, AMPC (1000) bid, CAM (500)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94.1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UBT</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2007</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Itatsu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[69]</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Japan</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LPZ (60), AMPC (750), CAM (400)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72.7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RUT</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1712" w:type="dxa"/>
                                  <w:tcMar>
                                    <w:top w:w="28" w:type="dxa"/>
                                    <w:left w:w="28" w:type="dxa"/>
                                    <w:bottom w:w="28" w:type="dxa"/>
                                    <w:right w:w="28" w:type="dxa"/>
                                  </w:tcMar>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38" w:type="dxa"/>
                                  <w:tcMar>
                                    <w:top w:w="28" w:type="dxa"/>
                                    <w:left w:w="28" w:type="dxa"/>
                                    <w:bottom w:w="28" w:type="dxa"/>
                                    <w:right w:w="28" w:type="dxa"/>
                                  </w:tcMar>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9</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LPZ (60), CAM (400)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33.3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autoSpaceDE w:val="0"/>
                                    <w:autoSpaceDN w:val="0"/>
                                    <w:adjustRightInd w:val="0"/>
                                    <w:jc w:val="left"/>
                                    <w:rPr>
                                      <w:rFonts w:ascii="Albertus Bold Italic" w:hAnsi="Albertus Bold Italic"/>
                                      <w:kern w:val="0"/>
                                      <w:sz w:val="24"/>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2010</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Change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[70]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Korea</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12</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OPZ (20), AMPC (250), CAM (250),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83.4</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RUT, Histology</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2010</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rPr>
                                  </w:pPr>
                                  <w:r w:rsidRPr="003050C4">
                                    <w:rPr>
                                      <w:rFonts w:ascii="Book Antiqua" w:hAnsi="Book Antiqua" w:cs="Book Antiqua"/>
                                      <w:bCs/>
                                      <w:color w:val="000000"/>
                                      <w:kern w:val="0"/>
                                      <w:sz w:val="14"/>
                                      <w:szCs w:val="14"/>
                                    </w:rPr>
                                    <w:t xml:space="preserve">Jalalzadeh </w:t>
                                  </w:r>
                                  <w:r w:rsidRPr="003050C4">
                                    <w:rPr>
                                      <w:rFonts w:ascii="Book Antiqua" w:hAnsi="Book Antiqua" w:cs="Book Antiqua"/>
                                      <w:i/>
                                      <w:iCs/>
                                      <w:color w:val="000000"/>
                                      <w:kern w:val="0"/>
                                      <w:sz w:val="14"/>
                                      <w:szCs w:val="14"/>
                                    </w:rPr>
                                    <w:t>et al</w:t>
                                  </w:r>
                                  <w:r w:rsidRPr="003050C4">
                                    <w:rPr>
                                      <w:rFonts w:ascii="Book Antiqua" w:hAnsi="Book Antiqua" w:cs="Book Antiqua"/>
                                      <w:bCs/>
                                      <w:color w:val="000000"/>
                                      <w:kern w:val="0"/>
                                      <w:sz w:val="14"/>
                                      <w:szCs w:val="14"/>
                                      <w:vertAlign w:val="superscript"/>
                                    </w:rPr>
                                    <w:t>[94]</w:t>
                                  </w:r>
                                  <w:r w:rsidRPr="003050C4">
                                    <w:rPr>
                                      <w:rFonts w:ascii="Book Antiqua" w:hAnsi="Book Antiqua" w:cs="Book Antiqua"/>
                                      <w:bCs/>
                                      <w:color w:val="000000"/>
                                      <w:kern w:val="0"/>
                                      <w:sz w:val="14"/>
                                      <w:szCs w:val="14"/>
                                    </w:rPr>
                                    <w:t xml:space="preserve">, Falaknazi </w:t>
                                  </w:r>
                                  <w:r w:rsidRPr="003050C4">
                                    <w:rPr>
                                      <w:rFonts w:ascii="Book Antiqua" w:hAnsi="Book Antiqua" w:cs="Book Antiqua"/>
                                      <w:i/>
                                      <w:iCs/>
                                      <w:color w:val="000000"/>
                                      <w:kern w:val="0"/>
                                      <w:sz w:val="14"/>
                                      <w:szCs w:val="14"/>
                                    </w:rPr>
                                    <w:t>et al</w:t>
                                  </w:r>
                                  <w:r w:rsidRPr="003050C4">
                                    <w:rPr>
                                      <w:rFonts w:ascii="Book Antiqua" w:hAnsi="Book Antiqua" w:cs="Book Antiqua"/>
                                      <w:bCs/>
                                      <w:color w:val="000000"/>
                                      <w:kern w:val="0"/>
                                      <w:sz w:val="14"/>
                                      <w:szCs w:val="14"/>
                                      <w:vertAlign w:val="superscript"/>
                                    </w:rPr>
                                    <w:t>[95]</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63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Iran</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OPZ (20), AMPC (1000), CAM (250),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14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81.1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IgG, UBT, Stool</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2012</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rPr>
                                  </w:pPr>
                                  <w:r w:rsidRPr="003050C4">
                                    <w:rPr>
                                      <w:rFonts w:ascii="Book Antiqua" w:hAnsi="Book Antiqua" w:cs="Book Antiqua"/>
                                      <w:bCs/>
                                      <w:color w:val="000000"/>
                                      <w:kern w:val="0"/>
                                      <w:sz w:val="14"/>
                                      <w:szCs w:val="14"/>
                                    </w:rPr>
                                    <w:t xml:space="preserve">Seyyedmajidi </w:t>
                                  </w:r>
                                  <w:r w:rsidRPr="003050C4">
                                    <w:rPr>
                                      <w:rFonts w:ascii="Book Antiqua" w:hAnsi="Book Antiqua" w:cs="Book Antiqua"/>
                                      <w:i/>
                                      <w:iCs/>
                                      <w:color w:val="000000"/>
                                      <w:kern w:val="0"/>
                                      <w:sz w:val="14"/>
                                      <w:szCs w:val="14"/>
                                    </w:rPr>
                                    <w:t>et al</w:t>
                                  </w:r>
                                  <w:r w:rsidRPr="003050C4">
                                    <w:rPr>
                                      <w:rFonts w:ascii="Book Antiqua" w:hAnsi="Book Antiqua" w:cs="Book Antiqua"/>
                                      <w:bCs/>
                                      <w:color w:val="000000"/>
                                      <w:kern w:val="0"/>
                                      <w:sz w:val="14"/>
                                      <w:szCs w:val="14"/>
                                      <w:vertAlign w:val="superscript"/>
                                    </w:rPr>
                                    <w:t>[96]</w:t>
                                  </w:r>
                                  <w:r w:rsidRPr="003050C4">
                                    <w:rPr>
                                      <w:rFonts w:ascii="Book Antiqua" w:hAnsi="Book Antiqua" w:cs="Book Antiqua"/>
                                      <w:bCs/>
                                      <w:color w:val="000000"/>
                                      <w:kern w:val="0"/>
                                      <w:sz w:val="14"/>
                                      <w:szCs w:val="14"/>
                                    </w:rPr>
                                    <w:t xml:space="preserve">, Jalalzadeh </w:t>
                                  </w:r>
                                  <w:r w:rsidRPr="003050C4">
                                    <w:rPr>
                                      <w:rFonts w:ascii="Book Antiqua" w:hAnsi="Book Antiqua" w:cs="Book Antiqua"/>
                                      <w:i/>
                                      <w:iCs/>
                                      <w:color w:val="000000"/>
                                      <w:kern w:val="0"/>
                                      <w:sz w:val="14"/>
                                      <w:szCs w:val="14"/>
                                    </w:rPr>
                                    <w:t>et al</w:t>
                                  </w:r>
                                  <w:r w:rsidRPr="003050C4">
                                    <w:rPr>
                                      <w:rFonts w:ascii="Book Antiqua" w:hAnsi="Book Antiqua" w:cs="Book Antiqua"/>
                                      <w:bCs/>
                                      <w:color w:val="000000"/>
                                      <w:kern w:val="0"/>
                                      <w:sz w:val="14"/>
                                      <w:szCs w:val="14"/>
                                      <w:vertAlign w:val="superscript"/>
                                    </w:rPr>
                                    <w:t>[97,98]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638"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Iran</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OPZ (20), AMPC (500), CAM (250),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14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82.4</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UBT, Stool</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312"/>
                              </w:trPr>
                              <w:tc>
                                <w:tcPr>
                                  <w:tcW w:w="490"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1712"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Vafaeimanesh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[99]</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77"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2868"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801"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803"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1533"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r>
                            <w:tr w:rsidR="00013E1A" w:rsidRPr="003050C4">
                              <w:tblPrEx>
                                <w:tblCellMar>
                                  <w:top w:w="0" w:type="dxa"/>
                                  <w:left w:w="0" w:type="dxa"/>
                                  <w:bottom w:w="0" w:type="dxa"/>
                                  <w:right w:w="0" w:type="dxa"/>
                                </w:tblCellMar>
                              </w:tblPrEx>
                              <w:trPr>
                                <w:trHeight w:val="60"/>
                              </w:trPr>
                              <w:tc>
                                <w:tcPr>
                                  <w:tcW w:w="490"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1712"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38"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OPZ (40), AMPC (500), azithromycin (250),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14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80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autoSpaceDE w:val="0"/>
                                    <w:autoSpaceDN w:val="0"/>
                                    <w:adjustRightInd w:val="0"/>
                                    <w:jc w:val="left"/>
                                    <w:rPr>
                                      <w:rFonts w:ascii="Albertus Bold Italic" w:hAnsi="Albertus Bold Italic"/>
                                      <w:kern w:val="0"/>
                                      <w:sz w:val="24"/>
                                    </w:rPr>
                                  </w:pPr>
                                </w:p>
                              </w:tc>
                            </w:tr>
                            <w:tr w:rsidR="00013E1A" w:rsidRPr="003050C4">
                              <w:tblPrEx>
                                <w:tblCellMar>
                                  <w:top w:w="0" w:type="dxa"/>
                                  <w:left w:w="0" w:type="dxa"/>
                                  <w:bottom w:w="0" w:type="dxa"/>
                                  <w:right w:w="0" w:type="dxa"/>
                                </w:tblCellMar>
                              </w:tblPrEx>
                              <w:trPr>
                                <w:trHeight w:val="60"/>
                              </w:trPr>
                              <w:tc>
                                <w:tcPr>
                                  <w:tcW w:w="490"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2014</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Makhlough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[100]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Iran</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PPZ (40), AMPC (500), CAM (250),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14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66.7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RUT, Histology</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1712"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38"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24</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Sequential therapy (PPT [40] 10 d, AMPC (500) bid, 5 d and CAM (250), tinidazole (500), bid, 5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10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84</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autoSpaceDE w:val="0"/>
                                    <w:autoSpaceDN w:val="0"/>
                                    <w:adjustRightInd w:val="0"/>
                                    <w:jc w:val="left"/>
                                    <w:rPr>
                                      <w:rFonts w:ascii="Albertus Bold Italic" w:hAnsi="Albertus Bold Italic"/>
                                      <w:kern w:val="0"/>
                                      <w:sz w:val="24"/>
                                    </w:rPr>
                                  </w:pPr>
                                </w:p>
                              </w:tc>
                            </w:tr>
                            <w:tr w:rsidR="00013E1A" w:rsidRPr="003050C4">
                              <w:tblPrEx>
                                <w:tblCellMar>
                                  <w:top w:w="0" w:type="dxa"/>
                                  <w:left w:w="0" w:type="dxa"/>
                                  <w:bottom w:w="0" w:type="dxa"/>
                                  <w:right w:w="0" w:type="dxa"/>
                                </w:tblCellMar>
                              </w:tblPrEx>
                              <w:trPr>
                                <w:trHeight w:val="60"/>
                              </w:trPr>
                              <w:tc>
                                <w:tcPr>
                                  <w:tcW w:w="490"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2016</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Makhlough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[101]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Iran</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PPZ (40), AMPC (500), CAM (500),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14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RUT, Stool</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1712"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38"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Hybrid regimen PPZ (40), AMPC (500), bid, 7 d + PPZ (40), AMPC (500), CAM (500), tinidazole (500), bid, 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14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100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autoSpaceDE w:val="0"/>
                                    <w:autoSpaceDN w:val="0"/>
                                    <w:adjustRightInd w:val="0"/>
                                    <w:jc w:val="left"/>
                                    <w:rPr>
                                      <w:rFonts w:ascii="Albertus Bold Italic" w:hAnsi="Albertus Bold Italic"/>
                                      <w:kern w:val="0"/>
                                      <w:sz w:val="24"/>
                                    </w:rPr>
                                  </w:pPr>
                                </w:p>
                              </w:tc>
                            </w:tr>
                            <w:tr w:rsidR="00013E1A" w:rsidRPr="003050C4">
                              <w:tblPrEx>
                                <w:tblCellMar>
                                  <w:top w:w="0" w:type="dxa"/>
                                  <w:left w:w="0" w:type="dxa"/>
                                  <w:bottom w:w="0" w:type="dxa"/>
                                  <w:right w:w="0" w:type="dxa"/>
                                </w:tblCellMar>
                              </w:tblPrEx>
                              <w:trPr>
                                <w:trHeight w:val="60"/>
                              </w:trPr>
                              <w:tc>
                                <w:tcPr>
                                  <w:tcW w:w="490"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2018</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Sahara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[55]</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Japan</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ESO (20), AMPC (750), CAM (200)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77.8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IgG</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1712"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38"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19</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ESO (20), AMPC (250), CAM (200)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84.2</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autoSpaceDE w:val="0"/>
                                    <w:autoSpaceDN w:val="0"/>
                                    <w:adjustRightInd w:val="0"/>
                                    <w:jc w:val="left"/>
                                    <w:rPr>
                                      <w:rFonts w:ascii="Albertus Bold Italic" w:hAnsi="Albertus Bold Italic"/>
                                      <w:kern w:val="0"/>
                                      <w:sz w:val="24"/>
                                    </w:rPr>
                                  </w:pPr>
                                </w:p>
                              </w:tc>
                            </w:tr>
                          </w:tbl>
                          <w:p w:rsidR="00013E1A" w:rsidRPr="00184035" w:rsidRDefault="00013E1A" w:rsidP="00013E1A">
                            <w:pPr>
                              <w:pStyle w:val="afc"/>
                            </w:pPr>
                            <w:r w:rsidRPr="003050C4">
                              <w:rPr>
                                <w:b w:val="0"/>
                              </w:rPr>
                              <w:t>AMPC: Amoxicillin; CAM: Clarithromycin; ESO: Esomeprazole; FAM: Famotidine; LPZ: Lansoprazole; MNZ: Metronidazole; NA: Not available; OPZ: Omeprazole; PPZ: Pantoprazole; RUT: Rapid urease test; UBT: Urea breath test; bid: Twice-daily dosing; tid: Three-times-daily dosing.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 o:spid="_x0000_s1027" type="#_x0000_t202" style="position:absolute;left:0;text-align:left;margin-left:0;margin-top:0;width:416.05pt;height:1270.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">
                <v:textbox style="mso-fit-shape-to-text:t">
                  <w:txbxContent>
                    <w:p w:rsidR="00013E1A" w:rsidRPr="003050C4" w:rsidRDefault="00013E1A" w:rsidP="00013E1A">
                      <w:pPr>
                        <w:rPr>
                          <w:b/>
                          <w:bCs/>
                        </w:rPr>
                      </w:pPr>
                      <w:r w:rsidRPr="003050C4">
                        <w:rPr>
                          <w:b/>
                          <w:bCs/>
                        </w:rPr>
                        <w:t xml:space="preserve">Table 2  </w:t>
                      </w:r>
                      <w:r w:rsidRPr="003050C4">
                        <w:rPr>
                          <w:b/>
                          <w:bCs/>
                          <w:i/>
                          <w:iCs/>
                        </w:rPr>
                        <w:t>Helicobacter pylori</w:t>
                      </w:r>
                      <w:r w:rsidRPr="003050C4">
                        <w:rPr>
                          <w:b/>
                          <w:bCs/>
                        </w:rPr>
                        <w:t xml:space="preserve"> eradication therapy for chronic renal failure patients</w:t>
                      </w:r>
                    </w:p>
                    <w:tbl>
                      <w:tblPr>
                        <w:tblW w:w="9522"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490"/>
                        <w:gridCol w:w="1712"/>
                        <w:gridCol w:w="638"/>
                        <w:gridCol w:w="677"/>
                        <w:gridCol w:w="2868"/>
                        <w:gridCol w:w="801"/>
                        <w:gridCol w:w="803"/>
                        <w:gridCol w:w="1533"/>
                      </w:tblGrid>
                      <w:tr w:rsidR="00013E1A" w:rsidRPr="003050C4">
                        <w:tblPrEx>
                          <w:tblCellMar>
                            <w:top w:w="0" w:type="dxa"/>
                            <w:left w:w="0" w:type="dxa"/>
                            <w:bottom w:w="0" w:type="dxa"/>
                            <w:right w:w="0" w:type="dxa"/>
                          </w:tblCellMar>
                        </w:tblPrEx>
                        <w:trPr>
                          <w:trHeight w:val="436"/>
                        </w:trPr>
                        <w:tc>
                          <w:tcPr>
                            <w:tcW w:w="490" w:type="dxa"/>
                            <w:tcBorders>
                              <w:top w:val="single" w:sz="6" w:space="0" w:color="000000"/>
                              <w:bottom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Year</w:t>
                            </w:r>
                          </w:p>
                          <w:p w:rsidR="00013E1A" w:rsidRPr="003050C4" w:rsidRDefault="00013E1A" w:rsidP="003050C4">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712" w:type="dxa"/>
                            <w:tcBorders>
                              <w:top w:val="single" w:sz="6" w:space="0" w:color="000000"/>
                              <w:bottom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Author</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638" w:type="dxa"/>
                            <w:tcBorders>
                              <w:top w:val="single" w:sz="6" w:space="0" w:color="000000"/>
                              <w:bottom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Country</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677" w:type="dxa"/>
                            <w:tcBorders>
                              <w:top w:val="single" w:sz="6" w:space="0" w:color="000000"/>
                              <w:bottom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88" w:lineRule="auto"/>
                              <w:jc w:val="center"/>
                              <w:textAlignment w:val="center"/>
                              <w:rPr>
                                <w:rFonts w:ascii="Albertus Bold Italic" w:hAnsi="Albertus Bold Italic" w:cs="Albertus Bold Italic"/>
                                <w:b/>
                                <w:bCs/>
                                <w:i/>
                                <w:iCs/>
                                <w:color w:val="000000"/>
                                <w:kern w:val="0"/>
                                <w:sz w:val="14"/>
                                <w:szCs w:val="14"/>
                                <w:lang w:val="zh-CN"/>
                              </w:rPr>
                            </w:pPr>
                            <w:r w:rsidRPr="003050C4">
                              <w:rPr>
                                <w:rFonts w:ascii="Albertus Bold Italic" w:hAnsi="Albertus Bold Italic" w:cs="Albertus Bold Italic"/>
                                <w:b/>
                                <w:bCs/>
                                <w:i/>
                                <w:iCs/>
                                <w:color w:val="000000"/>
                                <w:kern w:val="0"/>
                                <w:sz w:val="14"/>
                                <w:szCs w:val="14"/>
                                <w:lang w:val="zh-CN"/>
                              </w:rPr>
                              <w:t>n</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868" w:type="dxa"/>
                            <w:tcBorders>
                              <w:top w:val="single" w:sz="6" w:space="0" w:color="000000"/>
                              <w:bottom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Regimen</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801" w:type="dxa"/>
                            <w:tcBorders>
                              <w:top w:val="single" w:sz="6" w:space="0" w:color="000000"/>
                              <w:bottom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Treatment period</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803" w:type="dxa"/>
                            <w:tcBorders>
                              <w:top w:val="single" w:sz="6" w:space="0" w:color="000000"/>
                              <w:bottom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Eradication rate (%)</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33" w:type="dxa"/>
                            <w:tcBorders>
                              <w:top w:val="single" w:sz="6" w:space="0" w:color="000000"/>
                              <w:bottom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Analytic methods</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tcBorders>
                              <w:top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1997</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Borders>
                              <w:top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Tamura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[61]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tcBorders>
                              <w:top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Japan</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Borders>
                              <w:top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14</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Borders>
                              <w:top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LPZ (30) oid/ 8 wk, AMPC (500) oid/ 3 wk, plaunotol (80) tid/ 24 wk</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801" w:type="dxa"/>
                            <w:tcBorders>
                              <w:top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21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Borders>
                              <w:top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78.6</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Borders>
                              <w:top w:val="single" w:sz="6" w:space="0" w:color="000000"/>
                            </w:tcBorders>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RUT, Culture, Histology</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1998</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rPr>
                            </w:pPr>
                            <w:r w:rsidRPr="003050C4">
                              <w:rPr>
                                <w:rFonts w:ascii="Book Antiqua" w:hAnsi="Book Antiqua" w:cs="Book Antiqua"/>
                                <w:bCs/>
                                <w:color w:val="000000"/>
                                <w:kern w:val="0"/>
                                <w:sz w:val="14"/>
                                <w:szCs w:val="14"/>
                              </w:rPr>
                              <w:t xml:space="preserve">Munos de Bustillo E </w:t>
                            </w:r>
                            <w:r w:rsidRPr="003050C4">
                              <w:rPr>
                                <w:rFonts w:ascii="Book Antiqua" w:hAnsi="Book Antiqua" w:cs="Book Antiqua"/>
                                <w:i/>
                                <w:iCs/>
                                <w:color w:val="000000"/>
                                <w:kern w:val="0"/>
                                <w:sz w:val="14"/>
                                <w:szCs w:val="14"/>
                              </w:rPr>
                              <w:t>et al</w:t>
                            </w:r>
                            <w:r w:rsidRPr="003050C4">
                              <w:rPr>
                                <w:rFonts w:ascii="Book Antiqua" w:hAnsi="Book Antiqua" w:cs="Book Antiqua"/>
                                <w:bCs/>
                                <w:color w:val="000000"/>
                                <w:kern w:val="0"/>
                                <w:sz w:val="14"/>
                                <w:szCs w:val="14"/>
                                <w:vertAlign w:val="superscript"/>
                              </w:rPr>
                              <w:t>[30]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638"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Spain</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OPZ (20) bid, AMPC (500) tid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14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60.8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UBT</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1712"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38"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plus OPZ (20) bid, CAM (500)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14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82.6</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autoSpaceDE w:val="0"/>
                              <w:autoSpaceDN w:val="0"/>
                              <w:adjustRightInd w:val="0"/>
                              <w:jc w:val="left"/>
                              <w:rPr>
                                <w:rFonts w:ascii="Albertus Bold Italic" w:hAnsi="Albertus Bold Italic"/>
                                <w:kern w:val="0"/>
                                <w:sz w:val="24"/>
                              </w:rPr>
                            </w:pPr>
                          </w:p>
                        </w:tc>
                      </w:tr>
                      <w:tr w:rsidR="00013E1A" w:rsidRPr="003050C4">
                        <w:tblPrEx>
                          <w:tblCellMar>
                            <w:top w:w="0" w:type="dxa"/>
                            <w:left w:w="0" w:type="dxa"/>
                            <w:bottom w:w="0" w:type="dxa"/>
                            <w:right w:w="0" w:type="dxa"/>
                          </w:tblCellMar>
                        </w:tblPrEx>
                        <w:trPr>
                          <w:trHeight w:val="60"/>
                        </w:trPr>
                        <w:tc>
                          <w:tcPr>
                            <w:tcW w:w="490"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1998</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Tokushima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[62]</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Japan</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LPZ (30) oid/ 8 wk, AMPC (500)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21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76.5</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RUT, Culture, Histology</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1712"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38"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LPZ (30) oid, AMPC (250), MNZ (250)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90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autoSpaceDE w:val="0"/>
                              <w:autoSpaceDN w:val="0"/>
                              <w:adjustRightInd w:val="0"/>
                              <w:jc w:val="left"/>
                              <w:rPr>
                                <w:rFonts w:ascii="Albertus Bold Italic" w:hAnsi="Albertus Bold Italic"/>
                                <w:kern w:val="0"/>
                                <w:sz w:val="24"/>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1999</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Araki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[63]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Japan</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OPZ (20) oid/ 8 wk, AMPC (250) oid, CAM (200) oid/ 3 wk, polaprizinc (0.5) bid/ 24 wk</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21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88.2</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IgG, Histology</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1999</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Gur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[11]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Turkey</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25</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FAM (40) oid, CAM (500) bid, MNZ (250)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15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80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Histology, RUT</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2001</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Wang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[64]</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China</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OPZ (20), AMPC (1000), CAM (500)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86.8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Stool</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2002</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Mak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[91]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China</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21 (CRF)</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OPZ (20), AMPC (1000), CAM (500)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90.5</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RUT</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2002</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Tsukada</w:t>
                            </w:r>
                            <w:r w:rsidRPr="003050C4">
                              <w:rPr>
                                <w:rFonts w:ascii="Book Antiqua" w:hAnsi="Book Antiqua" w:cs="Book Antiqua"/>
                                <w:i/>
                                <w:iCs/>
                                <w:color w:val="000000"/>
                                <w:kern w:val="0"/>
                                <w:sz w:val="14"/>
                                <w:szCs w:val="14"/>
                                <w:lang w:val="zh-CN"/>
                              </w:rPr>
                              <w:t xml:space="preserve"> et al</w:t>
                            </w:r>
                            <w:r w:rsidRPr="003050C4">
                              <w:rPr>
                                <w:rFonts w:ascii="Book Antiqua" w:hAnsi="Book Antiqua" w:cs="Book Antiqua"/>
                                <w:bCs/>
                                <w:color w:val="000000"/>
                                <w:kern w:val="0"/>
                                <w:sz w:val="14"/>
                                <w:szCs w:val="14"/>
                                <w:vertAlign w:val="superscript"/>
                                <w:lang w:val="zh-CN"/>
                              </w:rPr>
                              <w:t>[65]</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Japan</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39</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OPZ (30) bid, AMPC (500) tid, CAM (400)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82.1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UBT</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2003</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Mak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[92]</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China</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25 (CRF)</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OPZ (20) or LPZ (30), AMPC (1000), CAM (500)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96</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Histology</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2003</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Sheu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[67]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China</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38 (CRF)</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LPZ (30), AMPC (750), CAM (500)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76.3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autoSpaceDE w:val="0"/>
                              <w:autoSpaceDN w:val="0"/>
                              <w:adjustRightInd w:val="0"/>
                              <w:jc w:val="left"/>
                              <w:rPr>
                                <w:rFonts w:ascii="Albertus Bold Italic" w:hAnsi="Albertus Bold Italic"/>
                                <w:kern w:val="0"/>
                                <w:sz w:val="24"/>
                              </w:rPr>
                            </w:pPr>
                          </w:p>
                        </w:tc>
                      </w:tr>
                      <w:tr w:rsidR="00013E1A" w:rsidRPr="003050C4">
                        <w:tblPrEx>
                          <w:tblCellMar>
                            <w:top w:w="0" w:type="dxa"/>
                            <w:left w:w="0" w:type="dxa"/>
                            <w:bottom w:w="0" w:type="dxa"/>
                            <w:right w:w="0" w:type="dxa"/>
                          </w:tblCellMar>
                        </w:tblPrEx>
                        <w:trPr>
                          <w:trHeight w:val="60"/>
                        </w:trPr>
                        <w:tc>
                          <w:tcPr>
                            <w:tcW w:w="490"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1712"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38"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40 (CRF)</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LPZ (30), CAM (500), MNZ (500)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92.5</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Stool</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2004</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Sezer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[4]</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Turkey</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OPZ (20), AMPC (1000), CAM (500)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14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94.1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Endoscopy</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2007</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Tseng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[93]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China</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34 (CRF)</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ESO (40) or OPZ (20) bid, AMPC (1000) bid, CAM (500)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94.1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UBT</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2007</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Itatsu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[69]</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Japan</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LPZ (60), AMPC (750), CAM (400)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72.7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RUT</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1712" w:type="dxa"/>
                            <w:tcMar>
                              <w:top w:w="28" w:type="dxa"/>
                              <w:left w:w="28" w:type="dxa"/>
                              <w:bottom w:w="28" w:type="dxa"/>
                              <w:right w:w="28" w:type="dxa"/>
                            </w:tcMar>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38" w:type="dxa"/>
                            <w:tcMar>
                              <w:top w:w="28" w:type="dxa"/>
                              <w:left w:w="28" w:type="dxa"/>
                              <w:bottom w:w="28" w:type="dxa"/>
                              <w:right w:w="28" w:type="dxa"/>
                            </w:tcMar>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9</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LPZ (60), CAM (400)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33.3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autoSpaceDE w:val="0"/>
                              <w:autoSpaceDN w:val="0"/>
                              <w:adjustRightInd w:val="0"/>
                              <w:jc w:val="left"/>
                              <w:rPr>
                                <w:rFonts w:ascii="Albertus Bold Italic" w:hAnsi="Albertus Bold Italic"/>
                                <w:kern w:val="0"/>
                                <w:sz w:val="24"/>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2010</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Change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[70]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Korea</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12</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OPZ (20), AMPC (250), CAM (250),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83.4</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RUT, Histology</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2010</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rPr>
                            </w:pPr>
                            <w:r w:rsidRPr="003050C4">
                              <w:rPr>
                                <w:rFonts w:ascii="Book Antiqua" w:hAnsi="Book Antiqua" w:cs="Book Antiqua"/>
                                <w:bCs/>
                                <w:color w:val="000000"/>
                                <w:kern w:val="0"/>
                                <w:sz w:val="14"/>
                                <w:szCs w:val="14"/>
                              </w:rPr>
                              <w:t xml:space="preserve">Jalalzadeh </w:t>
                            </w:r>
                            <w:r w:rsidRPr="003050C4">
                              <w:rPr>
                                <w:rFonts w:ascii="Book Antiqua" w:hAnsi="Book Antiqua" w:cs="Book Antiqua"/>
                                <w:i/>
                                <w:iCs/>
                                <w:color w:val="000000"/>
                                <w:kern w:val="0"/>
                                <w:sz w:val="14"/>
                                <w:szCs w:val="14"/>
                              </w:rPr>
                              <w:t>et al</w:t>
                            </w:r>
                            <w:r w:rsidRPr="003050C4">
                              <w:rPr>
                                <w:rFonts w:ascii="Book Antiqua" w:hAnsi="Book Antiqua" w:cs="Book Antiqua"/>
                                <w:bCs/>
                                <w:color w:val="000000"/>
                                <w:kern w:val="0"/>
                                <w:sz w:val="14"/>
                                <w:szCs w:val="14"/>
                                <w:vertAlign w:val="superscript"/>
                              </w:rPr>
                              <w:t>[94]</w:t>
                            </w:r>
                            <w:r w:rsidRPr="003050C4">
                              <w:rPr>
                                <w:rFonts w:ascii="Book Antiqua" w:hAnsi="Book Antiqua" w:cs="Book Antiqua"/>
                                <w:bCs/>
                                <w:color w:val="000000"/>
                                <w:kern w:val="0"/>
                                <w:sz w:val="14"/>
                                <w:szCs w:val="14"/>
                              </w:rPr>
                              <w:t xml:space="preserve">, Falaknazi </w:t>
                            </w:r>
                            <w:r w:rsidRPr="003050C4">
                              <w:rPr>
                                <w:rFonts w:ascii="Book Antiqua" w:hAnsi="Book Antiqua" w:cs="Book Antiqua"/>
                                <w:i/>
                                <w:iCs/>
                                <w:color w:val="000000"/>
                                <w:kern w:val="0"/>
                                <w:sz w:val="14"/>
                                <w:szCs w:val="14"/>
                              </w:rPr>
                              <w:t>et al</w:t>
                            </w:r>
                            <w:r w:rsidRPr="003050C4">
                              <w:rPr>
                                <w:rFonts w:ascii="Book Antiqua" w:hAnsi="Book Antiqua" w:cs="Book Antiqua"/>
                                <w:bCs/>
                                <w:color w:val="000000"/>
                                <w:kern w:val="0"/>
                                <w:sz w:val="14"/>
                                <w:szCs w:val="14"/>
                                <w:vertAlign w:val="superscript"/>
                              </w:rPr>
                              <w:t>[95]</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63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Iran</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OPZ (20), AMPC (1000), CAM (250),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14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81.1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IgG, UBT, Stool</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2012</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rPr>
                            </w:pPr>
                            <w:r w:rsidRPr="003050C4">
                              <w:rPr>
                                <w:rFonts w:ascii="Book Antiqua" w:hAnsi="Book Antiqua" w:cs="Book Antiqua"/>
                                <w:bCs/>
                                <w:color w:val="000000"/>
                                <w:kern w:val="0"/>
                                <w:sz w:val="14"/>
                                <w:szCs w:val="14"/>
                              </w:rPr>
                              <w:t xml:space="preserve">Seyyedmajidi </w:t>
                            </w:r>
                            <w:r w:rsidRPr="003050C4">
                              <w:rPr>
                                <w:rFonts w:ascii="Book Antiqua" w:hAnsi="Book Antiqua" w:cs="Book Antiqua"/>
                                <w:i/>
                                <w:iCs/>
                                <w:color w:val="000000"/>
                                <w:kern w:val="0"/>
                                <w:sz w:val="14"/>
                                <w:szCs w:val="14"/>
                              </w:rPr>
                              <w:t>et al</w:t>
                            </w:r>
                            <w:r w:rsidRPr="003050C4">
                              <w:rPr>
                                <w:rFonts w:ascii="Book Antiqua" w:hAnsi="Book Antiqua" w:cs="Book Antiqua"/>
                                <w:bCs/>
                                <w:color w:val="000000"/>
                                <w:kern w:val="0"/>
                                <w:sz w:val="14"/>
                                <w:szCs w:val="14"/>
                                <w:vertAlign w:val="superscript"/>
                              </w:rPr>
                              <w:t>[96]</w:t>
                            </w:r>
                            <w:r w:rsidRPr="003050C4">
                              <w:rPr>
                                <w:rFonts w:ascii="Book Antiqua" w:hAnsi="Book Antiqua" w:cs="Book Antiqua"/>
                                <w:bCs/>
                                <w:color w:val="000000"/>
                                <w:kern w:val="0"/>
                                <w:sz w:val="14"/>
                                <w:szCs w:val="14"/>
                              </w:rPr>
                              <w:t xml:space="preserve">, Jalalzadeh </w:t>
                            </w:r>
                            <w:r w:rsidRPr="003050C4">
                              <w:rPr>
                                <w:rFonts w:ascii="Book Antiqua" w:hAnsi="Book Antiqua" w:cs="Book Antiqua"/>
                                <w:i/>
                                <w:iCs/>
                                <w:color w:val="000000"/>
                                <w:kern w:val="0"/>
                                <w:sz w:val="14"/>
                                <w:szCs w:val="14"/>
                              </w:rPr>
                              <w:t>et al</w:t>
                            </w:r>
                            <w:r w:rsidRPr="003050C4">
                              <w:rPr>
                                <w:rFonts w:ascii="Book Antiqua" w:hAnsi="Book Antiqua" w:cs="Book Antiqua"/>
                                <w:bCs/>
                                <w:color w:val="000000"/>
                                <w:kern w:val="0"/>
                                <w:sz w:val="14"/>
                                <w:szCs w:val="14"/>
                                <w:vertAlign w:val="superscript"/>
                              </w:rPr>
                              <w:t>[97,98]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638"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Iran</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OPZ (20), AMPC (500), CAM (250),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14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82.4</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UBT, Stool</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312"/>
                        </w:trPr>
                        <w:tc>
                          <w:tcPr>
                            <w:tcW w:w="490"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1712"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Vafaeimanesh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[99]</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77"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2868"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801"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803"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1533"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r>
                      <w:tr w:rsidR="00013E1A" w:rsidRPr="003050C4">
                        <w:tblPrEx>
                          <w:tblCellMar>
                            <w:top w:w="0" w:type="dxa"/>
                            <w:left w:w="0" w:type="dxa"/>
                            <w:bottom w:w="0" w:type="dxa"/>
                            <w:right w:w="0" w:type="dxa"/>
                          </w:tblCellMar>
                        </w:tblPrEx>
                        <w:trPr>
                          <w:trHeight w:val="60"/>
                        </w:trPr>
                        <w:tc>
                          <w:tcPr>
                            <w:tcW w:w="490"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1712"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38"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OPZ (40), AMPC (500), azithromycin (250),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14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80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autoSpaceDE w:val="0"/>
                              <w:autoSpaceDN w:val="0"/>
                              <w:adjustRightInd w:val="0"/>
                              <w:jc w:val="left"/>
                              <w:rPr>
                                <w:rFonts w:ascii="Albertus Bold Italic" w:hAnsi="Albertus Bold Italic"/>
                                <w:kern w:val="0"/>
                                <w:sz w:val="24"/>
                              </w:rPr>
                            </w:pPr>
                          </w:p>
                        </w:tc>
                      </w:tr>
                      <w:tr w:rsidR="00013E1A" w:rsidRPr="003050C4">
                        <w:tblPrEx>
                          <w:tblCellMar>
                            <w:top w:w="0" w:type="dxa"/>
                            <w:left w:w="0" w:type="dxa"/>
                            <w:bottom w:w="0" w:type="dxa"/>
                            <w:right w:w="0" w:type="dxa"/>
                          </w:tblCellMar>
                        </w:tblPrEx>
                        <w:trPr>
                          <w:trHeight w:val="60"/>
                        </w:trPr>
                        <w:tc>
                          <w:tcPr>
                            <w:tcW w:w="490"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2014</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Makhlough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[100]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Iran</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PPZ (40), AMPC (500), CAM (250),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14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66.7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RUT, Histology</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1712"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38"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24</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Sequential therapy (PPT [40] 10 d, AMPC (500) bid, 5 d and CAM (250), tinidazole (500), bid, 5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10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84</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autoSpaceDE w:val="0"/>
                              <w:autoSpaceDN w:val="0"/>
                              <w:adjustRightInd w:val="0"/>
                              <w:jc w:val="left"/>
                              <w:rPr>
                                <w:rFonts w:ascii="Albertus Bold Italic" w:hAnsi="Albertus Bold Italic"/>
                                <w:kern w:val="0"/>
                                <w:sz w:val="24"/>
                              </w:rPr>
                            </w:pPr>
                          </w:p>
                        </w:tc>
                      </w:tr>
                      <w:tr w:rsidR="00013E1A" w:rsidRPr="003050C4">
                        <w:tblPrEx>
                          <w:tblCellMar>
                            <w:top w:w="0" w:type="dxa"/>
                            <w:left w:w="0" w:type="dxa"/>
                            <w:bottom w:w="0" w:type="dxa"/>
                            <w:right w:w="0" w:type="dxa"/>
                          </w:tblCellMar>
                        </w:tblPrEx>
                        <w:trPr>
                          <w:trHeight w:val="60"/>
                        </w:trPr>
                        <w:tc>
                          <w:tcPr>
                            <w:tcW w:w="490"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2016</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Makhlough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[101]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Iran</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PPZ (40), AMPC (500), CAM (500),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14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RUT, Stool</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1712"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38"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Hybrid regimen PPZ (40), AMPC (500), bid, 7 d + PPZ (40), AMPC (500), CAM (500), tinidazole (500), bid, 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14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100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autoSpaceDE w:val="0"/>
                              <w:autoSpaceDN w:val="0"/>
                              <w:adjustRightInd w:val="0"/>
                              <w:jc w:val="left"/>
                              <w:rPr>
                                <w:rFonts w:ascii="Albertus Bold Italic" w:hAnsi="Albertus Bold Italic"/>
                                <w:kern w:val="0"/>
                                <w:sz w:val="24"/>
                              </w:rPr>
                            </w:pPr>
                          </w:p>
                        </w:tc>
                      </w:tr>
                      <w:tr w:rsidR="00013E1A" w:rsidRPr="003050C4">
                        <w:tblPrEx>
                          <w:tblCellMar>
                            <w:top w:w="0" w:type="dxa"/>
                            <w:left w:w="0" w:type="dxa"/>
                            <w:bottom w:w="0" w:type="dxa"/>
                            <w:right w:w="0" w:type="dxa"/>
                          </w:tblCellMar>
                        </w:tblPrEx>
                        <w:trPr>
                          <w:trHeight w:val="60"/>
                        </w:trPr>
                        <w:tc>
                          <w:tcPr>
                            <w:tcW w:w="490"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2018</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712"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 xml:space="preserve">Sahara </w:t>
                            </w:r>
                            <w:r w:rsidRPr="003050C4">
                              <w:rPr>
                                <w:rFonts w:ascii="Book Antiqua" w:hAnsi="Book Antiqua" w:cs="Book Antiqua"/>
                                <w:i/>
                                <w:iCs/>
                                <w:color w:val="000000"/>
                                <w:kern w:val="0"/>
                                <w:sz w:val="14"/>
                                <w:szCs w:val="14"/>
                                <w:lang w:val="zh-CN"/>
                              </w:rPr>
                              <w:t>et al</w:t>
                            </w:r>
                            <w:r w:rsidRPr="003050C4">
                              <w:rPr>
                                <w:rFonts w:ascii="Book Antiqua" w:hAnsi="Book Antiqua" w:cs="Book Antiqua"/>
                                <w:bCs/>
                                <w:color w:val="000000"/>
                                <w:kern w:val="0"/>
                                <w:sz w:val="14"/>
                                <w:szCs w:val="14"/>
                                <w:vertAlign w:val="superscript"/>
                                <w:lang w:val="zh-CN"/>
                              </w:rPr>
                              <w:t>[55]</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38" w:type="dxa"/>
                            <w:vMerge w:val="restart"/>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Japan</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ESO (20), AMPC (750), CAM (200)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77.8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IgG</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60"/>
                        </w:trPr>
                        <w:tc>
                          <w:tcPr>
                            <w:tcW w:w="490"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1712"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38" w:type="dxa"/>
                            <w:vMerge/>
                          </w:tcPr>
                          <w:p w:rsidR="00013E1A" w:rsidRPr="003050C4" w:rsidRDefault="00013E1A" w:rsidP="003050C4">
                            <w:pPr>
                              <w:autoSpaceDE w:val="0"/>
                              <w:autoSpaceDN w:val="0"/>
                              <w:adjustRightInd w:val="0"/>
                              <w:jc w:val="left"/>
                              <w:rPr>
                                <w:rFonts w:ascii="Albertus Bold Italic" w:hAnsi="Albertus Bold Italic"/>
                                <w:kern w:val="0"/>
                                <w:sz w:val="24"/>
                              </w:rPr>
                            </w:pPr>
                          </w:p>
                        </w:tc>
                        <w:tc>
                          <w:tcPr>
                            <w:tcW w:w="677"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19</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868"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ESO (20), AMPC (250), CAM (200) bid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1"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 d</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03" w:type="dxa"/>
                            <w:tcMar>
                              <w:top w:w="28" w:type="dxa"/>
                              <w:left w:w="28" w:type="dxa"/>
                              <w:bottom w:w="28" w:type="dxa"/>
                              <w:right w:w="28" w:type="dxa"/>
                            </w:tcMa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84.2</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3" w:type="dxa"/>
                            <w:tcMar>
                              <w:top w:w="28" w:type="dxa"/>
                              <w:left w:w="28" w:type="dxa"/>
                              <w:bottom w:w="28" w:type="dxa"/>
                              <w:right w:w="28" w:type="dxa"/>
                            </w:tcMar>
                          </w:tcPr>
                          <w:p w:rsidR="00013E1A" w:rsidRPr="003050C4" w:rsidRDefault="00013E1A" w:rsidP="003050C4">
                            <w:pPr>
                              <w:autoSpaceDE w:val="0"/>
                              <w:autoSpaceDN w:val="0"/>
                              <w:adjustRightInd w:val="0"/>
                              <w:jc w:val="left"/>
                              <w:rPr>
                                <w:rFonts w:ascii="Albertus Bold Italic" w:hAnsi="Albertus Bold Italic"/>
                                <w:kern w:val="0"/>
                                <w:sz w:val="24"/>
                              </w:rPr>
                            </w:pPr>
                          </w:p>
                        </w:tc>
                      </w:tr>
                    </w:tbl>
                    <w:p w:rsidR="00013E1A" w:rsidRPr="00184035" w:rsidRDefault="00013E1A" w:rsidP="00013E1A">
                      <w:pPr>
                        <w:pStyle w:val="afc"/>
                      </w:pPr>
                      <w:r w:rsidRPr="003050C4">
                        <w:rPr>
                          <w:b w:val="0"/>
                        </w:rPr>
                        <w:t>AMPC: Amoxicillin; CAM: Clarithromycin; ESO: Esomeprazole; FAM: Famotidine; LPZ: Lansoprazole; MNZ: Metronidazole; NA: Not available; OPZ: Omeprazole; PPZ: Pantoprazole; RUT: Rapid urease test; UBT: Urea breath test; bid: Twice-daily dosing; tid: Three-times-daily dosing.</w:t>
                      </w:r>
                    </w:p>
                  </w:txbxContent>
                </v:textbox>
                <w10:wrap type="square"/>
              </v:shape>
            </w:pict>
          </mc:Fallback>
        </mc:AlternateContent>
      </w: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283835" cy="7910195"/>
                <wp:effectExtent l="9525" t="9525" r="12065" b="508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7910195"/>
                        </a:xfrm>
                        <a:prstGeom prst="rect">
                          <a:avLst/>
                        </a:prstGeom>
                        <a:solidFill>
                          <a:srgbClr val="FFFFFF"/>
                        </a:solidFill>
                        <a:ln w="9525">
                          <a:solidFill>
                            <a:srgbClr val="000000"/>
                          </a:solidFill>
                          <a:miter lim="800000"/>
                          <a:headEnd/>
                          <a:tailEnd/>
                        </a:ln>
                      </wps:spPr>
                      <wps:txbx>
                        <w:txbxContent>
                          <w:p w:rsidR="00013E1A" w:rsidRPr="003050C4" w:rsidRDefault="00013E1A" w:rsidP="00013E1A">
                            <w:pPr>
                              <w:rPr>
                                <w:b/>
                                <w:bCs/>
                                <w:vertAlign w:val="superscript"/>
                              </w:rPr>
                            </w:pPr>
                            <w:r w:rsidRPr="003050C4">
                              <w:rPr>
                                <w:b/>
                                <w:bCs/>
                              </w:rPr>
                              <w:t>Table 3  Clinical characteristics in hemodialysis patients between patients with and without gastric mucosal atrophy</w:t>
                            </w:r>
                            <w:r w:rsidRPr="003050C4">
                              <w:rPr>
                                <w:b/>
                                <w:bCs/>
                                <w:vertAlign w:val="superscript"/>
                              </w:rPr>
                              <w:t>[19]</w:t>
                            </w:r>
                          </w:p>
                          <w:tbl>
                            <w:tblPr>
                              <w:tblW w:w="9531" w:type="dxa"/>
                              <w:tblInd w:w="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232"/>
                              <w:gridCol w:w="2433"/>
                              <w:gridCol w:w="2433"/>
                              <w:gridCol w:w="2433"/>
                            </w:tblGrid>
                            <w:tr w:rsidR="00013E1A" w:rsidRPr="003050C4">
                              <w:tblPrEx>
                                <w:tblCellMar>
                                  <w:top w:w="0" w:type="dxa"/>
                                  <w:left w:w="0" w:type="dxa"/>
                                  <w:bottom w:w="0" w:type="dxa"/>
                                  <w:right w:w="0" w:type="dxa"/>
                                </w:tblCellMar>
                              </w:tblPrEx>
                              <w:trPr>
                                <w:trHeight w:val="266"/>
                              </w:trPr>
                              <w:tc>
                                <w:tcPr>
                                  <w:tcW w:w="2232" w:type="dxa"/>
                                  <w:tcBorders>
                                    <w:top w:val="single" w:sz="6" w:space="0" w:color="000000"/>
                                    <w:bottom w:val="single" w:sz="6" w:space="0" w:color="000000"/>
                                  </w:tcBorders>
                                  <w:tcMar>
                                    <w:top w:w="28" w:type="dxa"/>
                                    <w:left w:w="0" w:type="dxa"/>
                                    <w:bottom w:w="28" w:type="dxa"/>
                                    <w:right w:w="0" w:type="dxa"/>
                                  </w:tcMar>
                                </w:tcPr>
                                <w:p w:rsidR="00013E1A" w:rsidRPr="003050C4" w:rsidRDefault="00013E1A" w:rsidP="003050C4">
                                  <w:pPr>
                                    <w:autoSpaceDE w:val="0"/>
                                    <w:autoSpaceDN w:val="0"/>
                                    <w:adjustRightInd w:val="0"/>
                                    <w:jc w:val="left"/>
                                    <w:rPr>
                                      <w:rFonts w:ascii="Albertus Bold Italic" w:hAnsi="Albertus Bold Italic"/>
                                      <w:b/>
                                      <w:kern w:val="0"/>
                                      <w:sz w:val="24"/>
                                    </w:rPr>
                                  </w:pPr>
                                </w:p>
                              </w:tc>
                              <w:tc>
                                <w:tcPr>
                                  <w:tcW w:w="2433"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Atrophy (-)</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433"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Atrophy (+)</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433"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Bold Italic" w:hAnsi="Albertus Bold Italic" w:cs="Albertus Bold Italic"/>
                                      <w:b/>
                                      <w:bCs/>
                                      <w:i/>
                                      <w:iCs/>
                                      <w:color w:val="000000"/>
                                      <w:kern w:val="0"/>
                                      <w:sz w:val="14"/>
                                      <w:szCs w:val="14"/>
                                      <w:lang w:val="zh-CN"/>
                                    </w:rPr>
                                    <w:t>P</w:t>
                                  </w:r>
                                  <w:r w:rsidRPr="003050C4">
                                    <w:rPr>
                                      <w:rFonts w:ascii="Albertus" w:hAnsi="Albertus" w:cs="Albertus"/>
                                      <w:b/>
                                      <w:bCs/>
                                      <w:color w:val="000000"/>
                                      <w:kern w:val="0"/>
                                      <w:sz w:val="14"/>
                                      <w:szCs w:val="14"/>
                                      <w:lang w:val="zh-CN"/>
                                    </w:rPr>
                                    <w:t>-value</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Borders>
                                    <w:top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N (Male/Female)</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Borders>
                                    <w:top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28 (17/11)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Borders>
                                    <w:top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50 (33/17)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Borders>
                                    <w:top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 xml:space="preserve">Age </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67.7 ± 12.3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71.6 ± 11.0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0.155</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Dialysis periods (yr)</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7.5 (2.4-16.8)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7.7 (3.1-12.7)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0.681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Acyl-ghrelin</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38.0 (23.5-57.0)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18.0 (12.0-26.3)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&lt; 0.001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Desacyl-ghrelin</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303 (248-533)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200 (137-277)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&lt; 0.001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BMI (kg/m</w:t>
                                  </w:r>
                                  <w:r w:rsidRPr="003050C4">
                                    <w:rPr>
                                      <w:rFonts w:ascii="Book Antiqua" w:hAnsi="Book Antiqua" w:cs="Book Antiqua"/>
                                      <w:bCs/>
                                      <w:color w:val="000000"/>
                                      <w:kern w:val="0"/>
                                      <w:sz w:val="14"/>
                                      <w:szCs w:val="14"/>
                                      <w:vertAlign w:val="superscript"/>
                                      <w:lang w:val="zh-CN"/>
                                    </w:rPr>
                                    <w:t>2</w:t>
                                  </w:r>
                                  <w:r w:rsidRPr="003050C4">
                                    <w:rPr>
                                      <w:rFonts w:ascii="Book Antiqua" w:hAnsi="Book Antiqua" w:cs="Book Antiqua"/>
                                      <w:bCs/>
                                      <w:color w:val="000000"/>
                                      <w:kern w:val="0"/>
                                      <w:sz w:val="14"/>
                                      <w:szCs w:val="14"/>
                                      <w:lang w:val="zh-CN"/>
                                    </w:rPr>
                                    <w:t>)</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19.8 ± 3.2</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19.6 ± 2.8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0.773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Albumin (g/dL)</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3.5 ± 0.3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3.4 ± 0.4</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0.273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Total cholesterol (mg/dL)</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166 ± 37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154 ± 36</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0.165</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Cholinesterase (U/L)</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245 ± 111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219 ± 68.7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0.205</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Intact PTH (pg/mL)</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351 ± 294</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247 ± 192</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0.062</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Ferritin (ng/mL)</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128 ± 118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128 ± 221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0.989</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PG</w:t>
                                  </w:r>
                                  <w:r w:rsidRPr="003050C4">
                                    <w:rPr>
                                      <w:rFonts w:ascii="MS Mincho" w:eastAsia="MS Mincho" w:hAnsi="MS Mincho" w:cs="MS Mincho"/>
                                      <w:bCs/>
                                      <w:color w:val="000000"/>
                                      <w:kern w:val="0"/>
                                      <w:sz w:val="14"/>
                                      <w:szCs w:val="14"/>
                                      <w:lang w:val="zh-CN"/>
                                    </w:rPr>
                                    <w:t> </w:t>
                                  </w:r>
                                  <w:r w:rsidRPr="003050C4">
                                    <w:rPr>
                                      <w:rFonts w:ascii="KozMinPro-Regular" w:eastAsia="KozMinPro-Regular" w:hAnsi="Book Antiqua" w:cs="KozMinPro-Regular" w:hint="eastAsia"/>
                                      <w:color w:val="000000"/>
                                      <w:kern w:val="0"/>
                                      <w:sz w:val="14"/>
                                      <w:szCs w:val="14"/>
                                    </w:rPr>
                                    <w:t>Ⅰ</w:t>
                                  </w:r>
                                  <w:r w:rsidRPr="003050C4">
                                    <w:rPr>
                                      <w:rFonts w:ascii="Book Antiqua" w:hAnsi="Book Antiqua" w:cs="Book Antiqua"/>
                                      <w:bCs/>
                                      <w:color w:val="000000"/>
                                      <w:kern w:val="0"/>
                                      <w:sz w:val="14"/>
                                      <w:szCs w:val="14"/>
                                      <w:lang w:val="zh-CN"/>
                                    </w:rPr>
                                    <w:t xml:space="preserve"> (ng/mL)</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416.2 (314.2-783.7)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196.0 (73.8-358.8)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&lt; 0.001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 xml:space="preserve">PG </w:t>
                                  </w:r>
                                  <w:r w:rsidRPr="003050C4">
                                    <w:rPr>
                                      <w:rFonts w:ascii="KozMinPro-Regular" w:eastAsia="KozMinPro-Regular" w:hAnsi="Book Antiqua" w:cs="KozMinPro-Regular" w:hint="eastAsia"/>
                                      <w:color w:val="000000"/>
                                      <w:kern w:val="0"/>
                                      <w:sz w:val="14"/>
                                      <w:szCs w:val="14"/>
                                    </w:rPr>
                                    <w:t>Ⅱ</w:t>
                                  </w:r>
                                  <w:r w:rsidRPr="003050C4">
                                    <w:rPr>
                                      <w:rFonts w:ascii="Book Antiqua" w:hAnsi="Book Antiqua" w:cs="Book Antiqua"/>
                                      <w:bCs/>
                                      <w:color w:val="000000"/>
                                      <w:kern w:val="0"/>
                                      <w:sz w:val="14"/>
                                      <w:szCs w:val="14"/>
                                      <w:lang w:val="zh-CN"/>
                                    </w:rPr>
                                    <w:t xml:space="preserve"> (ng/mL)</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42.3 (31.6-60.0)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28.4 (16.8-45.7)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0.003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PG</w:t>
                                  </w:r>
                                  <w:r w:rsidRPr="003050C4">
                                    <w:rPr>
                                      <w:rFonts w:ascii="MS Mincho" w:eastAsia="MS Mincho" w:hAnsi="MS Mincho" w:cs="MS Mincho"/>
                                      <w:bCs/>
                                      <w:color w:val="000000"/>
                                      <w:kern w:val="0"/>
                                      <w:sz w:val="14"/>
                                      <w:szCs w:val="14"/>
                                      <w:lang w:val="zh-CN"/>
                                    </w:rPr>
                                    <w:t> </w:t>
                                  </w:r>
                                  <w:r w:rsidRPr="003050C4">
                                    <w:rPr>
                                      <w:rFonts w:ascii="KozMinPro-Regular" w:eastAsia="KozMinPro-Regular" w:hAnsi="Book Antiqua" w:cs="KozMinPro-Regular" w:hint="eastAsia"/>
                                      <w:color w:val="000000"/>
                                      <w:kern w:val="0"/>
                                      <w:sz w:val="14"/>
                                      <w:szCs w:val="14"/>
                                    </w:rPr>
                                    <w:t>Ⅰ</w:t>
                                  </w:r>
                                  <w:r w:rsidRPr="003050C4">
                                    <w:rPr>
                                      <w:rFonts w:ascii="Book Antiqua" w:hAnsi="Book Antiqua" w:cs="Book Antiqua"/>
                                      <w:bCs/>
                                      <w:color w:val="000000"/>
                                      <w:kern w:val="0"/>
                                      <w:sz w:val="14"/>
                                      <w:szCs w:val="14"/>
                                      <w:lang w:val="zh-CN"/>
                                    </w:rPr>
                                    <w:t>/</w:t>
                                  </w:r>
                                  <w:r w:rsidRPr="003050C4">
                                    <w:rPr>
                                      <w:rFonts w:ascii="KozMinPro-Regular" w:eastAsia="KozMinPro-Regular" w:hAnsi="Book Antiqua" w:cs="KozMinPro-Regular" w:hint="eastAsia"/>
                                      <w:color w:val="000000"/>
                                      <w:kern w:val="0"/>
                                      <w:sz w:val="14"/>
                                      <w:szCs w:val="14"/>
                                    </w:rPr>
                                    <w:t>Ⅱ</w:t>
                                  </w:r>
                                  <w:r w:rsidRPr="003050C4">
                                    <w:rPr>
                                      <w:rFonts w:ascii="Book Antiqua" w:hAnsi="Book Antiqua" w:cs="Book Antiqua"/>
                                      <w:bCs/>
                                      <w:color w:val="000000"/>
                                      <w:kern w:val="0"/>
                                      <w:sz w:val="14"/>
                                      <w:szCs w:val="14"/>
                                      <w:lang w:val="zh-CN"/>
                                    </w:rPr>
                                    <w:t xml:space="preserve"> ratio</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10.89 (9.11-13.38)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7.31 (4.17-11.08)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0.001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nPCR (g/kg/d)</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0.94 ± 0.14</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0.85 ± 0.16</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0.022</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013E1A" w:rsidRPr="00CE3E55" w:rsidRDefault="00013E1A" w:rsidP="00013E1A">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BMI: Body mass index; BUN: Blood urea nitrogen; PTH: Parathyroid hormone; CRP: C-reactive protein; PG: Pepsinogen; ABI: Ankle-brachial pressure index; nPCR: Normalized protein catabolic rate.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 o:spid="_x0000_s1028" type="#_x0000_t202" style="position:absolute;left:0;text-align:left;margin-left:0;margin-top:0;width:416.05pt;height:622.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">
                <v:textbox style="mso-fit-shape-to-text:t">
                  <w:txbxContent>
                    <w:p w:rsidR="00013E1A" w:rsidRPr="003050C4" w:rsidRDefault="00013E1A" w:rsidP="00013E1A">
                      <w:pPr>
                        <w:rPr>
                          <w:b/>
                          <w:bCs/>
                          <w:vertAlign w:val="superscript"/>
                        </w:rPr>
                      </w:pPr>
                      <w:r w:rsidRPr="003050C4">
                        <w:rPr>
                          <w:b/>
                          <w:bCs/>
                        </w:rPr>
                        <w:t>Table 3  Clinical characteristics in hemodialysis patients between patients with and without gastric mucosal atrophy</w:t>
                      </w:r>
                      <w:r w:rsidRPr="003050C4">
                        <w:rPr>
                          <w:b/>
                          <w:bCs/>
                          <w:vertAlign w:val="superscript"/>
                        </w:rPr>
                        <w:t>[19]</w:t>
                      </w:r>
                    </w:p>
                    <w:tbl>
                      <w:tblPr>
                        <w:tblW w:w="9531" w:type="dxa"/>
                        <w:tblInd w:w="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232"/>
                        <w:gridCol w:w="2433"/>
                        <w:gridCol w:w="2433"/>
                        <w:gridCol w:w="2433"/>
                      </w:tblGrid>
                      <w:tr w:rsidR="00013E1A" w:rsidRPr="003050C4">
                        <w:tblPrEx>
                          <w:tblCellMar>
                            <w:top w:w="0" w:type="dxa"/>
                            <w:left w:w="0" w:type="dxa"/>
                            <w:bottom w:w="0" w:type="dxa"/>
                            <w:right w:w="0" w:type="dxa"/>
                          </w:tblCellMar>
                        </w:tblPrEx>
                        <w:trPr>
                          <w:trHeight w:val="266"/>
                        </w:trPr>
                        <w:tc>
                          <w:tcPr>
                            <w:tcW w:w="2232" w:type="dxa"/>
                            <w:tcBorders>
                              <w:top w:val="single" w:sz="6" w:space="0" w:color="000000"/>
                              <w:bottom w:val="single" w:sz="6" w:space="0" w:color="000000"/>
                            </w:tcBorders>
                            <w:tcMar>
                              <w:top w:w="28" w:type="dxa"/>
                              <w:left w:w="0" w:type="dxa"/>
                              <w:bottom w:w="28" w:type="dxa"/>
                              <w:right w:w="0" w:type="dxa"/>
                            </w:tcMar>
                          </w:tcPr>
                          <w:p w:rsidR="00013E1A" w:rsidRPr="003050C4" w:rsidRDefault="00013E1A" w:rsidP="003050C4">
                            <w:pPr>
                              <w:autoSpaceDE w:val="0"/>
                              <w:autoSpaceDN w:val="0"/>
                              <w:adjustRightInd w:val="0"/>
                              <w:jc w:val="left"/>
                              <w:rPr>
                                <w:rFonts w:ascii="Albertus Bold Italic" w:hAnsi="Albertus Bold Italic"/>
                                <w:b/>
                                <w:kern w:val="0"/>
                                <w:sz w:val="24"/>
                              </w:rPr>
                            </w:pPr>
                          </w:p>
                        </w:tc>
                        <w:tc>
                          <w:tcPr>
                            <w:tcW w:w="2433"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Atrophy (-)</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433"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Atrophy (+)</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433"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Bold Italic" w:hAnsi="Albertus Bold Italic" w:cs="Albertus Bold Italic"/>
                                <w:b/>
                                <w:bCs/>
                                <w:i/>
                                <w:iCs/>
                                <w:color w:val="000000"/>
                                <w:kern w:val="0"/>
                                <w:sz w:val="14"/>
                                <w:szCs w:val="14"/>
                                <w:lang w:val="zh-CN"/>
                              </w:rPr>
                              <w:t>P</w:t>
                            </w:r>
                            <w:r w:rsidRPr="003050C4">
                              <w:rPr>
                                <w:rFonts w:ascii="Albertus" w:hAnsi="Albertus" w:cs="Albertus"/>
                                <w:b/>
                                <w:bCs/>
                                <w:color w:val="000000"/>
                                <w:kern w:val="0"/>
                                <w:sz w:val="14"/>
                                <w:szCs w:val="14"/>
                                <w:lang w:val="zh-CN"/>
                              </w:rPr>
                              <w:t>-value</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Borders>
                              <w:top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N (Male/Female)</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Borders>
                              <w:top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28 (17/11)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Borders>
                              <w:top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50 (33/17)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Borders>
                              <w:top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 xml:space="preserve">Age </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67.7 ± 12.3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71.6 ± 11.0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0.155</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Dialysis periods (yr)</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7.5 (2.4-16.8)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7.7 (3.1-12.7)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0.681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Acyl-ghrelin</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38.0 (23.5-57.0)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18.0 (12.0-26.3)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&lt; 0.001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Desacyl-ghrelin</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303 (248-533)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200 (137-277)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&lt; 0.001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BMI (kg/m</w:t>
                            </w:r>
                            <w:r w:rsidRPr="003050C4">
                              <w:rPr>
                                <w:rFonts w:ascii="Book Antiqua" w:hAnsi="Book Antiqua" w:cs="Book Antiqua"/>
                                <w:bCs/>
                                <w:color w:val="000000"/>
                                <w:kern w:val="0"/>
                                <w:sz w:val="14"/>
                                <w:szCs w:val="14"/>
                                <w:vertAlign w:val="superscript"/>
                                <w:lang w:val="zh-CN"/>
                              </w:rPr>
                              <w:t>2</w:t>
                            </w:r>
                            <w:r w:rsidRPr="003050C4">
                              <w:rPr>
                                <w:rFonts w:ascii="Book Antiqua" w:hAnsi="Book Antiqua" w:cs="Book Antiqua"/>
                                <w:bCs/>
                                <w:color w:val="000000"/>
                                <w:kern w:val="0"/>
                                <w:sz w:val="14"/>
                                <w:szCs w:val="14"/>
                                <w:lang w:val="zh-CN"/>
                              </w:rPr>
                              <w:t>)</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19.8 ± 3.2</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19.6 ± 2.8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0.773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Albumin (g/dL)</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3.5 ± 0.3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3.4 ± 0.4</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0.273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Total cholesterol (mg/dL)</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166 ± 37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154 ± 36</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0.165</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Cholinesterase (U/L)</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245 ± 111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219 ± 68.7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0.205</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Intact PTH (pg/mL)</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351 ± 294</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247 ± 192</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0.062</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Ferritin (ng/mL)</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128 ± 118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128 ± 221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0.989</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PG</w:t>
                            </w:r>
                            <w:r w:rsidRPr="003050C4">
                              <w:rPr>
                                <w:rFonts w:ascii="MS Mincho" w:eastAsia="MS Mincho" w:hAnsi="MS Mincho" w:cs="MS Mincho"/>
                                <w:bCs/>
                                <w:color w:val="000000"/>
                                <w:kern w:val="0"/>
                                <w:sz w:val="14"/>
                                <w:szCs w:val="14"/>
                                <w:lang w:val="zh-CN"/>
                              </w:rPr>
                              <w:t> </w:t>
                            </w:r>
                            <w:r w:rsidRPr="003050C4">
                              <w:rPr>
                                <w:rFonts w:ascii="KozMinPro-Regular" w:eastAsia="KozMinPro-Regular" w:hAnsi="Book Antiqua" w:cs="KozMinPro-Regular" w:hint="eastAsia"/>
                                <w:color w:val="000000"/>
                                <w:kern w:val="0"/>
                                <w:sz w:val="14"/>
                                <w:szCs w:val="14"/>
                              </w:rPr>
                              <w:t>Ⅰ</w:t>
                            </w:r>
                            <w:r w:rsidRPr="003050C4">
                              <w:rPr>
                                <w:rFonts w:ascii="Book Antiqua" w:hAnsi="Book Antiqua" w:cs="Book Antiqua"/>
                                <w:bCs/>
                                <w:color w:val="000000"/>
                                <w:kern w:val="0"/>
                                <w:sz w:val="14"/>
                                <w:szCs w:val="14"/>
                                <w:lang w:val="zh-CN"/>
                              </w:rPr>
                              <w:t xml:space="preserve"> (ng/mL)</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416.2 (314.2-783.7)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196.0 (73.8-358.8)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&lt; 0.001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 xml:space="preserve">PG </w:t>
                            </w:r>
                            <w:r w:rsidRPr="003050C4">
                              <w:rPr>
                                <w:rFonts w:ascii="KozMinPro-Regular" w:eastAsia="KozMinPro-Regular" w:hAnsi="Book Antiqua" w:cs="KozMinPro-Regular" w:hint="eastAsia"/>
                                <w:color w:val="000000"/>
                                <w:kern w:val="0"/>
                                <w:sz w:val="14"/>
                                <w:szCs w:val="14"/>
                              </w:rPr>
                              <w:t>Ⅱ</w:t>
                            </w:r>
                            <w:r w:rsidRPr="003050C4">
                              <w:rPr>
                                <w:rFonts w:ascii="Book Antiqua" w:hAnsi="Book Antiqua" w:cs="Book Antiqua"/>
                                <w:bCs/>
                                <w:color w:val="000000"/>
                                <w:kern w:val="0"/>
                                <w:sz w:val="14"/>
                                <w:szCs w:val="14"/>
                                <w:lang w:val="zh-CN"/>
                              </w:rPr>
                              <w:t xml:space="preserve"> (ng/mL)</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42.3 (31.6-60.0)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28.4 (16.8-45.7)</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0.003</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PG</w:t>
                            </w:r>
                            <w:r w:rsidRPr="003050C4">
                              <w:rPr>
                                <w:rFonts w:ascii="MS Mincho" w:eastAsia="MS Mincho" w:hAnsi="MS Mincho" w:cs="MS Mincho"/>
                                <w:bCs/>
                                <w:color w:val="000000"/>
                                <w:kern w:val="0"/>
                                <w:sz w:val="14"/>
                                <w:szCs w:val="14"/>
                                <w:lang w:val="zh-CN"/>
                              </w:rPr>
                              <w:t> </w:t>
                            </w:r>
                            <w:r w:rsidRPr="003050C4">
                              <w:rPr>
                                <w:rFonts w:ascii="KozMinPro-Regular" w:eastAsia="KozMinPro-Regular" w:hAnsi="Book Antiqua" w:cs="KozMinPro-Regular" w:hint="eastAsia"/>
                                <w:color w:val="000000"/>
                                <w:kern w:val="0"/>
                                <w:sz w:val="14"/>
                                <w:szCs w:val="14"/>
                              </w:rPr>
                              <w:t>Ⅰ</w:t>
                            </w:r>
                            <w:r w:rsidRPr="003050C4">
                              <w:rPr>
                                <w:rFonts w:ascii="Book Antiqua" w:hAnsi="Book Antiqua" w:cs="Book Antiqua"/>
                                <w:bCs/>
                                <w:color w:val="000000"/>
                                <w:kern w:val="0"/>
                                <w:sz w:val="14"/>
                                <w:szCs w:val="14"/>
                                <w:lang w:val="zh-CN"/>
                              </w:rPr>
                              <w:t>/</w:t>
                            </w:r>
                            <w:r w:rsidRPr="003050C4">
                              <w:rPr>
                                <w:rFonts w:ascii="KozMinPro-Regular" w:eastAsia="KozMinPro-Regular" w:hAnsi="Book Antiqua" w:cs="KozMinPro-Regular" w:hint="eastAsia"/>
                                <w:color w:val="000000"/>
                                <w:kern w:val="0"/>
                                <w:sz w:val="14"/>
                                <w:szCs w:val="14"/>
                              </w:rPr>
                              <w:t>Ⅱ</w:t>
                            </w:r>
                            <w:r w:rsidRPr="003050C4">
                              <w:rPr>
                                <w:rFonts w:ascii="Book Antiqua" w:hAnsi="Book Antiqua" w:cs="Book Antiqua"/>
                                <w:bCs/>
                                <w:color w:val="000000"/>
                                <w:kern w:val="0"/>
                                <w:sz w:val="14"/>
                                <w:szCs w:val="14"/>
                                <w:lang w:val="zh-CN"/>
                              </w:rPr>
                              <w:t xml:space="preserve"> ratio</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10.89 (9.11-13.38)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7.31 (4.17-11.08)</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0.001</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232"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nPCR (g/kg/d)</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0.94 ± 0.14</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0.85 ± 0.16</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433"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0.022</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013E1A" w:rsidRPr="00CE3E55" w:rsidRDefault="00013E1A" w:rsidP="00013E1A">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BMI: Body mass index; BUN: Blood urea nitrogen; PTH: Parathyroid hormone; CRP: C-reactive protein; PG: Pepsinogen; ABI: Ankle-brachial pressure index; nPCR: Normalized protein catabolic rate.</w:t>
                      </w:r>
                    </w:p>
                  </w:txbxContent>
                </v:textbox>
                <w10:wrap type="square"/>
              </v:shape>
            </w:pict>
          </mc:Fallback>
        </mc:AlternateContent>
      </w: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Default="00013E1A" w:rsidP="00013E1A">
      <w:pPr>
        <w:rPr>
          <w:rFonts w:hint="eastAsia"/>
        </w:rPr>
      </w:pPr>
    </w:p>
    <w:p w:rsidR="00013E1A" w:rsidRPr="003050C4" w:rsidRDefault="00013E1A" w:rsidP="00013E1A">
      <w:pPr>
        <w:rPr>
          <w:rFonts w:hint="eastAsia"/>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283835" cy="2098675"/>
                <wp:effectExtent l="9525" t="7620" r="12065" b="825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2098675"/>
                        </a:xfrm>
                        <a:prstGeom prst="rect">
                          <a:avLst/>
                        </a:prstGeom>
                        <a:solidFill>
                          <a:srgbClr val="FFFFFF"/>
                        </a:solidFill>
                        <a:ln w="9525">
                          <a:solidFill>
                            <a:srgbClr val="000000"/>
                          </a:solidFill>
                          <a:miter lim="800000"/>
                          <a:headEnd/>
                          <a:tailEnd/>
                        </a:ln>
                      </wps:spPr>
                      <wps:txbx>
                        <w:txbxContent>
                          <w:p w:rsidR="00013E1A" w:rsidRPr="003050C4" w:rsidRDefault="00013E1A" w:rsidP="00013E1A">
                            <w:pPr>
                              <w:rPr>
                                <w:b/>
                                <w:bCs/>
                                <w:vertAlign w:val="superscript"/>
                              </w:rPr>
                            </w:pPr>
                            <w:r w:rsidRPr="003050C4">
                              <w:rPr>
                                <w:b/>
                                <w:bCs/>
                              </w:rPr>
                              <w:t xml:space="preserve">Table 4  Plasma acyl-ghrelin and desacyl-ghrelin levels according to </w:t>
                            </w:r>
                            <w:r w:rsidRPr="003050C4">
                              <w:rPr>
                                <w:b/>
                                <w:bCs/>
                                <w:i/>
                                <w:iCs/>
                              </w:rPr>
                              <w:t>Helicobacter pylori</w:t>
                            </w:r>
                            <w:r w:rsidRPr="003050C4">
                              <w:rPr>
                                <w:b/>
                                <w:bCs/>
                              </w:rPr>
                              <w:t xml:space="preserve"> status in hemodialysis patients</w:t>
                            </w:r>
                            <w:r w:rsidRPr="003050C4">
                              <w:rPr>
                                <w:b/>
                                <w:bCs/>
                                <w:vertAlign w:val="superscript"/>
                              </w:rPr>
                              <w:t>[18]</w:t>
                            </w:r>
                          </w:p>
                          <w:tbl>
                            <w:tblPr>
                              <w:tblW w:w="9509" w:type="dxa"/>
                              <w:tblInd w:w="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377"/>
                              <w:gridCol w:w="2377"/>
                              <w:gridCol w:w="2377"/>
                              <w:gridCol w:w="2378"/>
                            </w:tblGrid>
                            <w:tr w:rsidR="00013E1A" w:rsidRPr="003050C4">
                              <w:tblPrEx>
                                <w:tblCellMar>
                                  <w:top w:w="0" w:type="dxa"/>
                                  <w:left w:w="0" w:type="dxa"/>
                                  <w:bottom w:w="0" w:type="dxa"/>
                                  <w:right w:w="0" w:type="dxa"/>
                                </w:tblCellMar>
                              </w:tblPrEx>
                              <w:trPr>
                                <w:trHeight w:val="266"/>
                              </w:trPr>
                              <w:tc>
                                <w:tcPr>
                                  <w:tcW w:w="2377"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rsidP="003050C4">
                                  <w:pPr>
                                    <w:autoSpaceDE w:val="0"/>
                                    <w:autoSpaceDN w:val="0"/>
                                    <w:adjustRightInd w:val="0"/>
                                    <w:jc w:val="left"/>
                                    <w:rPr>
                                      <w:rFonts w:ascii="Albertus Bold Italic" w:hAnsi="Albertus Bold Italic"/>
                                      <w:b/>
                                      <w:kern w:val="0"/>
                                      <w:sz w:val="24"/>
                                    </w:rPr>
                                  </w:pPr>
                                </w:p>
                              </w:tc>
                              <w:tc>
                                <w:tcPr>
                                  <w:tcW w:w="2377"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Non-infection (</w:t>
                                  </w:r>
                                  <w:r w:rsidRPr="003050C4">
                                    <w:rPr>
                                      <w:rFonts w:ascii="Albertus Bold Italic" w:hAnsi="Albertus Bold Italic" w:cs="Albertus Bold Italic"/>
                                      <w:b/>
                                      <w:bCs/>
                                      <w:i/>
                                      <w:iCs/>
                                      <w:color w:val="000000"/>
                                      <w:kern w:val="0"/>
                                      <w:sz w:val="14"/>
                                      <w:szCs w:val="14"/>
                                      <w:lang w:val="zh-CN"/>
                                    </w:rPr>
                                    <w:t>n</w:t>
                                  </w:r>
                                  <w:r w:rsidRPr="003050C4">
                                    <w:rPr>
                                      <w:rFonts w:ascii="Albertus" w:hAnsi="Albertus" w:cs="Albertus"/>
                                      <w:b/>
                                      <w:bCs/>
                                      <w:color w:val="000000"/>
                                      <w:kern w:val="0"/>
                                      <w:sz w:val="14"/>
                                      <w:szCs w:val="14"/>
                                      <w:lang w:val="zh-CN"/>
                                    </w:rPr>
                                    <w:t xml:space="preserve"> = 29)</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77"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Past-infection (</w:t>
                                  </w:r>
                                  <w:r w:rsidRPr="003050C4">
                                    <w:rPr>
                                      <w:rFonts w:ascii="Albertus Bold Italic" w:hAnsi="Albertus Bold Italic" w:cs="Albertus Bold Italic"/>
                                      <w:b/>
                                      <w:bCs/>
                                      <w:i/>
                                      <w:iCs/>
                                      <w:color w:val="000000"/>
                                      <w:kern w:val="0"/>
                                      <w:sz w:val="14"/>
                                      <w:szCs w:val="14"/>
                                      <w:lang w:val="zh-CN"/>
                                    </w:rPr>
                                    <w:t>n</w:t>
                                  </w:r>
                                  <w:r w:rsidRPr="003050C4">
                                    <w:rPr>
                                      <w:rFonts w:ascii="Albertus" w:hAnsi="Albertus" w:cs="Albertus"/>
                                      <w:b/>
                                      <w:bCs/>
                                      <w:color w:val="000000"/>
                                      <w:kern w:val="0"/>
                                      <w:sz w:val="14"/>
                                      <w:szCs w:val="14"/>
                                      <w:lang w:val="zh-CN"/>
                                    </w:rPr>
                                    <w:t xml:space="preserve"> = 27)</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78"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Present infection (</w:t>
                                  </w:r>
                                  <w:r w:rsidRPr="003050C4">
                                    <w:rPr>
                                      <w:rFonts w:ascii="Albertus Bold Italic" w:hAnsi="Albertus Bold Italic" w:cs="Albertus Bold Italic"/>
                                      <w:b/>
                                      <w:bCs/>
                                      <w:i/>
                                      <w:iCs/>
                                      <w:color w:val="000000"/>
                                      <w:kern w:val="0"/>
                                      <w:sz w:val="14"/>
                                      <w:szCs w:val="14"/>
                                      <w:lang w:val="zh-CN"/>
                                    </w:rPr>
                                    <w:t>n</w:t>
                                  </w:r>
                                  <w:r w:rsidRPr="003050C4">
                                    <w:rPr>
                                      <w:rFonts w:ascii="Albertus" w:hAnsi="Albertus" w:cs="Albertus"/>
                                      <w:b/>
                                      <w:bCs/>
                                      <w:color w:val="000000"/>
                                      <w:kern w:val="0"/>
                                      <w:sz w:val="14"/>
                                      <w:szCs w:val="14"/>
                                      <w:lang w:val="zh-CN"/>
                                    </w:rPr>
                                    <w:t xml:space="preserve"> = 17)</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377" w:type="dxa"/>
                                  <w:tcBorders>
                                    <w:top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Plasma acyl-ghrelin (fmol/mL)</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2377" w:type="dxa"/>
                                  <w:tcBorders>
                                    <w:top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39.4 ± 23.0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77" w:type="dxa"/>
                                  <w:tcBorders>
                                    <w:top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23.4 ± 19.9</w:t>
                                  </w:r>
                                  <w:r w:rsidRPr="003050C4">
                                    <w:rPr>
                                      <w:rFonts w:ascii="Book Antiqua" w:hAnsi="Book Antiqua" w:cs="Book Antiqua"/>
                                      <w:bCs/>
                                      <w:color w:val="000000"/>
                                      <w:kern w:val="0"/>
                                      <w:sz w:val="14"/>
                                      <w:szCs w:val="14"/>
                                      <w:vertAlign w:val="superscript"/>
                                      <w:lang w:val="zh-CN"/>
                                    </w:rPr>
                                    <w:t>a</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78" w:type="dxa"/>
                                  <w:tcBorders>
                                    <w:top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24.6 ± 17.5</w:t>
                                  </w:r>
                                  <w:r w:rsidRPr="003050C4">
                                    <w:rPr>
                                      <w:rFonts w:ascii="Book Antiqua" w:hAnsi="Book Antiqua" w:cs="Book Antiqua"/>
                                      <w:bCs/>
                                      <w:color w:val="000000"/>
                                      <w:kern w:val="0"/>
                                      <w:sz w:val="14"/>
                                      <w:szCs w:val="14"/>
                                      <w:vertAlign w:val="superscript"/>
                                      <w:lang w:val="zh-CN"/>
                                    </w:rPr>
                                    <w:t>a</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377"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Plasma desacyl-ghrelin (fmol/mL)</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2377"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353.2 ± 190.2</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77"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242.1 ± 139.6</w:t>
                                  </w:r>
                                  <w:r w:rsidRPr="003050C4">
                                    <w:rPr>
                                      <w:rFonts w:ascii="Book Antiqua" w:hAnsi="Book Antiqua" w:cs="Book Antiqua"/>
                                      <w:bCs/>
                                      <w:color w:val="000000"/>
                                      <w:kern w:val="0"/>
                                      <w:sz w:val="14"/>
                                      <w:szCs w:val="14"/>
                                      <w:vertAlign w:val="superscript"/>
                                      <w:lang w:val="zh-CN"/>
                                    </w:rPr>
                                    <w:t>a</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78"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236.3 ± 143.6</w:t>
                                  </w:r>
                                  <w:r w:rsidRPr="003050C4">
                                    <w:rPr>
                                      <w:rFonts w:ascii="Book Antiqua" w:hAnsi="Book Antiqua" w:cs="Book Antiqua"/>
                                      <w:bCs/>
                                      <w:color w:val="000000"/>
                                      <w:kern w:val="0"/>
                                      <w:sz w:val="14"/>
                                      <w:szCs w:val="14"/>
                                      <w:vertAlign w:val="superscript"/>
                                      <w:lang w:val="zh-CN"/>
                                    </w:rPr>
                                    <w:t>a</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013E1A" w:rsidRPr="001904B7" w:rsidRDefault="00013E1A" w:rsidP="00013E1A">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3050C4">
                              <w:rPr>
                                <w:rFonts w:ascii="Book Antiqua" w:hAnsi="Book Antiqua" w:cs="Book Antiqua"/>
                                <w:bCs/>
                                <w:color w:val="000000"/>
                                <w:kern w:val="0"/>
                                <w:sz w:val="14"/>
                                <w:szCs w:val="14"/>
                                <w:vertAlign w:val="superscript"/>
                              </w:rPr>
                              <w:t>a</w:t>
                            </w:r>
                            <w:r w:rsidRPr="003050C4">
                              <w:rPr>
                                <w:rFonts w:ascii="Book Antiqua" w:hAnsi="Book Antiqua" w:cs="Book Antiqua"/>
                                <w:i/>
                                <w:iCs/>
                                <w:color w:val="000000"/>
                                <w:kern w:val="0"/>
                                <w:sz w:val="14"/>
                                <w:szCs w:val="14"/>
                              </w:rPr>
                              <w:t>P</w:t>
                            </w:r>
                            <w:r w:rsidRPr="003050C4">
                              <w:rPr>
                                <w:rFonts w:ascii="Book Antiqua" w:hAnsi="Book Antiqua" w:cs="Book Antiqua"/>
                                <w:bCs/>
                                <w:color w:val="000000"/>
                                <w:kern w:val="0"/>
                                <w:sz w:val="14"/>
                                <w:szCs w:val="14"/>
                              </w:rPr>
                              <w:t xml:space="preserve"> &lt; 0.05 </w:t>
                            </w:r>
                            <w:r w:rsidRPr="003050C4">
                              <w:rPr>
                                <w:rFonts w:ascii="Book Antiqua" w:hAnsi="Book Antiqua" w:cs="Book Antiqua"/>
                                <w:i/>
                                <w:iCs/>
                                <w:color w:val="000000"/>
                                <w:kern w:val="0"/>
                                <w:sz w:val="14"/>
                                <w:szCs w:val="14"/>
                              </w:rPr>
                              <w:t>vs</w:t>
                            </w:r>
                            <w:r w:rsidRPr="003050C4">
                              <w:rPr>
                                <w:rFonts w:ascii="Book Antiqua" w:hAnsi="Book Antiqua" w:cs="Book Antiqua"/>
                                <w:bCs/>
                                <w:color w:val="000000"/>
                                <w:kern w:val="0"/>
                                <w:sz w:val="14"/>
                                <w:szCs w:val="14"/>
                              </w:rPr>
                              <w:t xml:space="preserve"> Non-infection group.</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29" type="#_x0000_t202" style="position:absolute;left:0;text-align:left;margin-left:0;margin-top:0;width:416.05pt;height:165.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">
                <v:textbox style="mso-fit-shape-to-text:t">
                  <w:txbxContent>
                    <w:p w:rsidR="00013E1A" w:rsidRPr="003050C4" w:rsidRDefault="00013E1A" w:rsidP="00013E1A">
                      <w:pPr>
                        <w:rPr>
                          <w:b/>
                          <w:bCs/>
                          <w:vertAlign w:val="superscript"/>
                        </w:rPr>
                      </w:pPr>
                      <w:r w:rsidRPr="003050C4">
                        <w:rPr>
                          <w:b/>
                          <w:bCs/>
                        </w:rPr>
                        <w:t xml:space="preserve">Table 4  Plasma acyl-ghrelin and desacyl-ghrelin levels according to </w:t>
                      </w:r>
                      <w:r w:rsidRPr="003050C4">
                        <w:rPr>
                          <w:b/>
                          <w:bCs/>
                          <w:i/>
                          <w:iCs/>
                        </w:rPr>
                        <w:t>Helicobacter pylori</w:t>
                      </w:r>
                      <w:r w:rsidRPr="003050C4">
                        <w:rPr>
                          <w:b/>
                          <w:bCs/>
                        </w:rPr>
                        <w:t xml:space="preserve"> status in hemodialysis patients</w:t>
                      </w:r>
                      <w:r w:rsidRPr="003050C4">
                        <w:rPr>
                          <w:b/>
                          <w:bCs/>
                          <w:vertAlign w:val="superscript"/>
                        </w:rPr>
                        <w:t>[18]</w:t>
                      </w:r>
                    </w:p>
                    <w:tbl>
                      <w:tblPr>
                        <w:tblW w:w="9509" w:type="dxa"/>
                        <w:tblInd w:w="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377"/>
                        <w:gridCol w:w="2377"/>
                        <w:gridCol w:w="2377"/>
                        <w:gridCol w:w="2378"/>
                      </w:tblGrid>
                      <w:tr w:rsidR="00013E1A" w:rsidRPr="003050C4">
                        <w:tblPrEx>
                          <w:tblCellMar>
                            <w:top w:w="0" w:type="dxa"/>
                            <w:left w:w="0" w:type="dxa"/>
                            <w:bottom w:w="0" w:type="dxa"/>
                            <w:right w:w="0" w:type="dxa"/>
                          </w:tblCellMar>
                        </w:tblPrEx>
                        <w:trPr>
                          <w:trHeight w:val="266"/>
                        </w:trPr>
                        <w:tc>
                          <w:tcPr>
                            <w:tcW w:w="2377"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rsidP="003050C4">
                            <w:pPr>
                              <w:autoSpaceDE w:val="0"/>
                              <w:autoSpaceDN w:val="0"/>
                              <w:adjustRightInd w:val="0"/>
                              <w:jc w:val="left"/>
                              <w:rPr>
                                <w:rFonts w:ascii="Albertus Bold Italic" w:hAnsi="Albertus Bold Italic"/>
                                <w:b/>
                                <w:kern w:val="0"/>
                                <w:sz w:val="24"/>
                              </w:rPr>
                            </w:pPr>
                          </w:p>
                        </w:tc>
                        <w:tc>
                          <w:tcPr>
                            <w:tcW w:w="2377"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Non-infection (</w:t>
                            </w:r>
                            <w:r w:rsidRPr="003050C4">
                              <w:rPr>
                                <w:rFonts w:ascii="Albertus Bold Italic" w:hAnsi="Albertus Bold Italic" w:cs="Albertus Bold Italic"/>
                                <w:b/>
                                <w:bCs/>
                                <w:i/>
                                <w:iCs/>
                                <w:color w:val="000000"/>
                                <w:kern w:val="0"/>
                                <w:sz w:val="14"/>
                                <w:szCs w:val="14"/>
                                <w:lang w:val="zh-CN"/>
                              </w:rPr>
                              <w:t>n</w:t>
                            </w:r>
                            <w:r w:rsidRPr="003050C4">
                              <w:rPr>
                                <w:rFonts w:ascii="Albertus" w:hAnsi="Albertus" w:cs="Albertus"/>
                                <w:b/>
                                <w:bCs/>
                                <w:color w:val="000000"/>
                                <w:kern w:val="0"/>
                                <w:sz w:val="14"/>
                                <w:szCs w:val="14"/>
                                <w:lang w:val="zh-CN"/>
                              </w:rPr>
                              <w:t xml:space="preserve"> = 29)</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77"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Past-infection (</w:t>
                            </w:r>
                            <w:r w:rsidRPr="003050C4">
                              <w:rPr>
                                <w:rFonts w:ascii="Albertus Bold Italic" w:hAnsi="Albertus Bold Italic" w:cs="Albertus Bold Italic"/>
                                <w:b/>
                                <w:bCs/>
                                <w:i/>
                                <w:iCs/>
                                <w:color w:val="000000"/>
                                <w:kern w:val="0"/>
                                <w:sz w:val="14"/>
                                <w:szCs w:val="14"/>
                                <w:lang w:val="zh-CN"/>
                              </w:rPr>
                              <w:t>n</w:t>
                            </w:r>
                            <w:r w:rsidRPr="003050C4">
                              <w:rPr>
                                <w:rFonts w:ascii="Albertus" w:hAnsi="Albertus" w:cs="Albertus"/>
                                <w:b/>
                                <w:bCs/>
                                <w:color w:val="000000"/>
                                <w:kern w:val="0"/>
                                <w:sz w:val="14"/>
                                <w:szCs w:val="14"/>
                                <w:lang w:val="zh-CN"/>
                              </w:rPr>
                              <w:t xml:space="preserve"> = 27)</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78" w:type="dxa"/>
                            <w:tcBorders>
                              <w:top w:val="single" w:sz="6" w:space="0" w:color="000000"/>
                              <w:bottom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3050C4">
                              <w:rPr>
                                <w:rFonts w:ascii="Albertus" w:hAnsi="Albertus" w:cs="Albertus"/>
                                <w:b/>
                                <w:bCs/>
                                <w:color w:val="000000"/>
                                <w:kern w:val="0"/>
                                <w:sz w:val="14"/>
                                <w:szCs w:val="14"/>
                                <w:lang w:val="zh-CN"/>
                              </w:rPr>
                              <w:t>Present infection (</w:t>
                            </w:r>
                            <w:r w:rsidRPr="003050C4">
                              <w:rPr>
                                <w:rFonts w:ascii="Albertus Bold Italic" w:hAnsi="Albertus Bold Italic" w:cs="Albertus Bold Italic"/>
                                <w:b/>
                                <w:bCs/>
                                <w:i/>
                                <w:iCs/>
                                <w:color w:val="000000"/>
                                <w:kern w:val="0"/>
                                <w:sz w:val="14"/>
                                <w:szCs w:val="14"/>
                                <w:lang w:val="zh-CN"/>
                              </w:rPr>
                              <w:t>n</w:t>
                            </w:r>
                            <w:r w:rsidRPr="003050C4">
                              <w:rPr>
                                <w:rFonts w:ascii="Albertus" w:hAnsi="Albertus" w:cs="Albertus"/>
                                <w:b/>
                                <w:bCs/>
                                <w:color w:val="000000"/>
                                <w:kern w:val="0"/>
                                <w:sz w:val="14"/>
                                <w:szCs w:val="14"/>
                                <w:lang w:val="zh-CN"/>
                              </w:rPr>
                              <w:t xml:space="preserve"> = 17)</w:t>
                            </w:r>
                          </w:p>
                          <w:p w:rsidR="00013E1A" w:rsidRPr="003050C4" w:rsidRDefault="00013E1A" w:rsidP="003050C4">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377" w:type="dxa"/>
                            <w:tcBorders>
                              <w:top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Plasma acyl-ghrelin (fmol/mL)</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2377" w:type="dxa"/>
                            <w:tcBorders>
                              <w:top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39.4 ± 23.0</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77" w:type="dxa"/>
                            <w:tcBorders>
                              <w:top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23.4 ± 19.9</w:t>
                            </w:r>
                            <w:r w:rsidRPr="003050C4">
                              <w:rPr>
                                <w:rFonts w:ascii="Book Antiqua" w:hAnsi="Book Antiqua" w:cs="Book Antiqua"/>
                                <w:bCs/>
                                <w:color w:val="000000"/>
                                <w:kern w:val="0"/>
                                <w:sz w:val="14"/>
                                <w:szCs w:val="14"/>
                                <w:vertAlign w:val="superscript"/>
                                <w:lang w:val="zh-CN"/>
                              </w:rPr>
                              <w:t>a</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78" w:type="dxa"/>
                            <w:tcBorders>
                              <w:top w:val="single" w:sz="6" w:space="0" w:color="000000"/>
                            </w:tcBorders>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24.6 ± 17.5</w:t>
                            </w:r>
                            <w:r w:rsidRPr="003050C4">
                              <w:rPr>
                                <w:rFonts w:ascii="Book Antiqua" w:hAnsi="Book Antiqua" w:cs="Book Antiqua"/>
                                <w:bCs/>
                                <w:color w:val="000000"/>
                                <w:kern w:val="0"/>
                                <w:sz w:val="14"/>
                                <w:szCs w:val="14"/>
                                <w:vertAlign w:val="superscript"/>
                                <w:lang w:val="zh-CN"/>
                              </w:rPr>
                              <w:t>a</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013E1A" w:rsidRPr="003050C4">
                        <w:tblPrEx>
                          <w:tblCellMar>
                            <w:top w:w="0" w:type="dxa"/>
                            <w:left w:w="0" w:type="dxa"/>
                            <w:bottom w:w="0" w:type="dxa"/>
                            <w:right w:w="0" w:type="dxa"/>
                          </w:tblCellMar>
                        </w:tblPrEx>
                        <w:trPr>
                          <w:trHeight w:val="196"/>
                        </w:trPr>
                        <w:tc>
                          <w:tcPr>
                            <w:tcW w:w="2377"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3050C4">
                              <w:rPr>
                                <w:rFonts w:ascii="Book Antiqua" w:hAnsi="Book Antiqua" w:cs="Book Antiqua"/>
                                <w:bCs/>
                                <w:color w:val="000000"/>
                                <w:kern w:val="0"/>
                                <w:sz w:val="14"/>
                                <w:szCs w:val="14"/>
                              </w:rPr>
                              <w:t>Plasma desacyl-ghrelin (fmol/mL)</w:t>
                            </w:r>
                          </w:p>
                          <w:p w:rsidR="00013E1A" w:rsidRPr="003050C4" w:rsidRDefault="00013E1A" w:rsidP="003050C4">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2377"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050C4">
                              <w:rPr>
                                <w:rFonts w:ascii="Book Antiqua" w:hAnsi="Book Antiqua" w:cs="Book Antiqua"/>
                                <w:bCs/>
                                <w:color w:val="000000"/>
                                <w:kern w:val="0"/>
                                <w:sz w:val="14"/>
                                <w:szCs w:val="14"/>
                                <w:lang w:val="zh-CN"/>
                              </w:rPr>
                              <w:t>353.2 ± 190.2</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77"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242.1 ± 139.6</w:t>
                            </w:r>
                            <w:r w:rsidRPr="003050C4">
                              <w:rPr>
                                <w:rFonts w:ascii="Book Antiqua" w:hAnsi="Book Antiqua" w:cs="Book Antiqua"/>
                                <w:bCs/>
                                <w:color w:val="000000"/>
                                <w:kern w:val="0"/>
                                <w:sz w:val="14"/>
                                <w:szCs w:val="14"/>
                                <w:vertAlign w:val="superscript"/>
                                <w:lang w:val="zh-CN"/>
                              </w:rPr>
                              <w:t>a</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78" w:type="dxa"/>
                            <w:tcMar>
                              <w:top w:w="28" w:type="dxa"/>
                              <w:left w:w="0" w:type="dxa"/>
                              <w:bottom w:w="28" w:type="dxa"/>
                              <w:right w:w="0" w:type="dxa"/>
                            </w:tcMar>
                            <w:vAlign w:val="center"/>
                          </w:tcPr>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3050C4">
                              <w:rPr>
                                <w:rFonts w:ascii="Book Antiqua" w:hAnsi="Book Antiqua" w:cs="Book Antiqua"/>
                                <w:bCs/>
                                <w:color w:val="000000"/>
                                <w:kern w:val="0"/>
                                <w:sz w:val="14"/>
                                <w:szCs w:val="14"/>
                                <w:lang w:val="zh-CN"/>
                              </w:rPr>
                              <w:t>236.3 ± 143.6</w:t>
                            </w:r>
                            <w:r w:rsidRPr="003050C4">
                              <w:rPr>
                                <w:rFonts w:ascii="Book Antiqua" w:hAnsi="Book Antiqua" w:cs="Book Antiqua"/>
                                <w:bCs/>
                                <w:color w:val="000000"/>
                                <w:kern w:val="0"/>
                                <w:sz w:val="14"/>
                                <w:szCs w:val="14"/>
                                <w:vertAlign w:val="superscript"/>
                                <w:lang w:val="zh-CN"/>
                              </w:rPr>
                              <w:t>a</w:t>
                            </w:r>
                          </w:p>
                          <w:p w:rsidR="00013E1A" w:rsidRPr="003050C4" w:rsidRDefault="00013E1A" w:rsidP="003050C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013E1A" w:rsidRPr="001904B7" w:rsidRDefault="00013E1A" w:rsidP="00013E1A">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3050C4">
                        <w:rPr>
                          <w:rFonts w:ascii="Book Antiqua" w:hAnsi="Book Antiqua" w:cs="Book Antiqua"/>
                          <w:bCs/>
                          <w:color w:val="000000"/>
                          <w:kern w:val="0"/>
                          <w:sz w:val="14"/>
                          <w:szCs w:val="14"/>
                          <w:vertAlign w:val="superscript"/>
                        </w:rPr>
                        <w:t>a</w:t>
                      </w:r>
                      <w:r w:rsidRPr="003050C4">
                        <w:rPr>
                          <w:rFonts w:ascii="Book Antiqua" w:hAnsi="Book Antiqua" w:cs="Book Antiqua"/>
                          <w:i/>
                          <w:iCs/>
                          <w:color w:val="000000"/>
                          <w:kern w:val="0"/>
                          <w:sz w:val="14"/>
                          <w:szCs w:val="14"/>
                        </w:rPr>
                        <w:t>P</w:t>
                      </w:r>
                      <w:r w:rsidRPr="003050C4">
                        <w:rPr>
                          <w:rFonts w:ascii="Book Antiqua" w:hAnsi="Book Antiqua" w:cs="Book Antiqua"/>
                          <w:bCs/>
                          <w:color w:val="000000"/>
                          <w:kern w:val="0"/>
                          <w:sz w:val="14"/>
                          <w:szCs w:val="14"/>
                        </w:rPr>
                        <w:t xml:space="preserve"> &lt; 0.05 </w:t>
                      </w:r>
                      <w:r w:rsidRPr="003050C4">
                        <w:rPr>
                          <w:rFonts w:ascii="Book Antiqua" w:hAnsi="Book Antiqua" w:cs="Book Antiqua"/>
                          <w:i/>
                          <w:iCs/>
                          <w:color w:val="000000"/>
                          <w:kern w:val="0"/>
                          <w:sz w:val="14"/>
                          <w:szCs w:val="14"/>
                        </w:rPr>
                        <w:t>vs</w:t>
                      </w:r>
                      <w:r w:rsidRPr="003050C4">
                        <w:rPr>
                          <w:rFonts w:ascii="Book Antiqua" w:hAnsi="Book Antiqua" w:cs="Book Antiqua"/>
                          <w:bCs/>
                          <w:color w:val="000000"/>
                          <w:kern w:val="0"/>
                          <w:sz w:val="14"/>
                          <w:szCs w:val="14"/>
                        </w:rPr>
                        <w:t xml:space="preserve"> Non-infection group.</w:t>
                      </w:r>
                    </w:p>
                  </w:txbxContent>
                </v:textbox>
                <w10:wrap type="square"/>
              </v:shape>
            </w:pict>
          </mc:Fallback>
        </mc:AlternateContent>
      </w:r>
    </w:p>
    <w:p w:rsidR="00013E1A" w:rsidRPr="00013E1A" w:rsidRDefault="00013E1A" w:rsidP="00B657F9">
      <w:bookmarkStart w:id="0" w:name="_GoBack"/>
      <w:bookmarkEnd w:id="0"/>
    </w:p>
    <w:sectPr w:rsidR="00013E1A" w:rsidRPr="00013E1A" w:rsidSect="00A21CED">
      <w:headerReference w:type="default" r:id="rId9"/>
      <w:footerReference w:type="default"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9A" w:rsidRDefault="003B099A">
      <w:r>
        <w:separator/>
      </w:r>
    </w:p>
  </w:endnote>
  <w:endnote w:type="continuationSeparator" w:id="0">
    <w:p w:rsidR="003B099A" w:rsidRDefault="003B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lbertus Bold Italic">
    <w:altName w:val="Times New Roman"/>
    <w:panose1 w:val="00000000000000000000"/>
    <w:charset w:val="00"/>
    <w:family w:val="auto"/>
    <w:notTrueType/>
    <w:pitch w:val="default"/>
    <w:sig w:usb0="00000003" w:usb1="00000000" w:usb2="00000000" w:usb3="00000000" w:csb0="00000001" w:csb1="00000000"/>
  </w:font>
  <w:font w:name="Albertus">
    <w:panose1 w:val="020E0702040304020204"/>
    <w:charset w:val="00"/>
    <w:family w:val="swiss"/>
    <w:pitch w:val="variable"/>
    <w:sig w:usb0="00000007" w:usb1="00000000" w:usb2="00000000" w:usb3="00000000" w:csb0="00000093"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Bold Italic">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KozMinPro-Regular">
    <w:altName w:val="MS Mincho"/>
    <w:panose1 w:val="00000000000000000000"/>
    <w:charset w:val="80"/>
    <w:family w:val="auto"/>
    <w:notTrueType/>
    <w:pitch w:val="default"/>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013E1A">
          <w:rPr>
            <w:noProof/>
          </w:rPr>
          <w:t>22</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9A" w:rsidRDefault="003B099A">
      <w:r>
        <w:separator/>
      </w:r>
    </w:p>
  </w:footnote>
  <w:footnote w:type="continuationSeparator" w:id="0">
    <w:p w:rsidR="003B099A" w:rsidRDefault="003B0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13E1A"/>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099A"/>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9191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af5">
    <w:name w:val="作者"/>
    <w:basedOn w:val="a"/>
    <w:rsid w:val="00013E1A"/>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rsid w:val="00013E1A"/>
    <w:pPr>
      <w:autoSpaceDE w:val="0"/>
      <w:autoSpaceDN w:val="0"/>
      <w:adjustRightInd w:val="0"/>
      <w:spacing w:line="288" w:lineRule="auto"/>
      <w:textAlignment w:val="center"/>
    </w:pPr>
    <w:rPr>
      <w:rFonts w:ascii="宋体" w:hAnsi="Tahoma Italic" w:cs="宋体"/>
      <w:color w:val="000000"/>
      <w:kern w:val="0"/>
      <w:sz w:val="24"/>
      <w:szCs w:val="24"/>
      <w:lang w:val="zh-CN"/>
    </w:rPr>
  </w:style>
  <w:style w:type="paragraph" w:customStyle="1" w:styleId="af6">
    <w:name w:val="嶌幰怣"/>
    <w:basedOn w:val="NormalParagraphStyle"/>
    <w:rsid w:val="00013E1A"/>
    <w:pPr>
      <w:suppressAutoHyphens/>
      <w:spacing w:line="210" w:lineRule="atLeast"/>
    </w:pPr>
    <w:rPr>
      <w:rFonts w:ascii="Times New Roman" w:hAnsi="Times New Roman" w:cs="Times New Roman"/>
      <w:spacing w:val="-2"/>
      <w:sz w:val="18"/>
      <w:szCs w:val="18"/>
      <w:lang w:val="en-US"/>
    </w:rPr>
  </w:style>
  <w:style w:type="paragraph" w:customStyle="1" w:styleId="af7">
    <w:name w:val="一级标题"/>
    <w:basedOn w:val="NormalParagraphStyle"/>
    <w:rsid w:val="00013E1A"/>
    <w:pPr>
      <w:suppressAutoHyphens/>
      <w:spacing w:line="360" w:lineRule="atLeast"/>
      <w:jc w:val="left"/>
    </w:pPr>
    <w:rPr>
      <w:rFonts w:ascii="Univers" w:hAnsi="Univers" w:cs="Univers"/>
      <w:b/>
      <w:bCs/>
      <w:spacing w:val="-2"/>
    </w:rPr>
  </w:style>
  <w:style w:type="paragraph" w:customStyle="1" w:styleId="af8">
    <w:name w:val="惓暥暥_"/>
    <w:basedOn w:val="NormalParagraphStyle"/>
    <w:rsid w:val="00013E1A"/>
    <w:pPr>
      <w:suppressAutoHyphens/>
    </w:pPr>
    <w:rPr>
      <w:rFonts w:ascii="Verdana" w:hAnsi="Verdana" w:cs="Verdana"/>
      <w:spacing w:val="-7"/>
      <w:sz w:val="18"/>
      <w:szCs w:val="18"/>
      <w:lang w:val="en-US"/>
    </w:rPr>
  </w:style>
  <w:style w:type="paragraph" w:customStyle="1" w:styleId="10">
    <w:name w:val="惓暥暥_1"/>
    <w:basedOn w:val="NormalParagraphStyle"/>
    <w:rsid w:val="00013E1A"/>
    <w:pPr>
      <w:suppressAutoHyphens/>
      <w:ind w:firstLine="283"/>
    </w:pPr>
    <w:rPr>
      <w:rFonts w:ascii="Verdana" w:hAnsi="Verdana" w:cs="Verdana"/>
      <w:spacing w:val="-7"/>
      <w:sz w:val="18"/>
      <w:szCs w:val="18"/>
      <w:lang w:val="en-US"/>
    </w:rPr>
  </w:style>
  <w:style w:type="paragraph" w:customStyle="1" w:styleId="-1">
    <w:name w:val="嶲峫暥專-1"/>
    <w:basedOn w:val="NormalParagraphStyle"/>
    <w:rsid w:val="00013E1A"/>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9">
    <w:name w:val="参考文献正文"/>
    <w:basedOn w:val="a"/>
    <w:rsid w:val="00013E1A"/>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Noparagraphstyle">
    <w:name w:val="[No paragraph style]"/>
    <w:rsid w:val="00013E1A"/>
    <w:pPr>
      <w:widowControl w:val="0"/>
      <w:autoSpaceDE w:val="0"/>
      <w:autoSpaceDN w:val="0"/>
      <w:adjustRightInd w:val="0"/>
      <w:spacing w:line="288" w:lineRule="auto"/>
      <w:jc w:val="both"/>
      <w:textAlignment w:val="center"/>
    </w:pPr>
    <w:rPr>
      <w:rFonts w:ascii="Albertus Bold Italic" w:hAnsi="Albertus Bold Italic"/>
      <w:color w:val="000000"/>
      <w:sz w:val="24"/>
      <w:szCs w:val="24"/>
      <w:lang w:val="zh-CN"/>
    </w:rPr>
  </w:style>
  <w:style w:type="paragraph" w:customStyle="1" w:styleId="afa">
    <w:name w:val="表头"/>
    <w:basedOn w:val="NormalParagraphStyle"/>
    <w:rsid w:val="00013E1A"/>
    <w:pPr>
      <w:suppressAutoHyphens/>
    </w:pPr>
    <w:rPr>
      <w:rFonts w:ascii="Albertus" w:hAnsi="Albertus" w:cs="Albertus"/>
      <w:b/>
      <w:bCs/>
      <w:sz w:val="14"/>
      <w:szCs w:val="14"/>
    </w:rPr>
  </w:style>
  <w:style w:type="paragraph" w:customStyle="1" w:styleId="afb">
    <w:name w:val="表格中文字"/>
    <w:basedOn w:val="a"/>
    <w:rsid w:val="00013E1A"/>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c">
    <w:name w:val="表注"/>
    <w:basedOn w:val="afb"/>
    <w:rsid w:val="00013E1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af5">
    <w:name w:val="作者"/>
    <w:basedOn w:val="a"/>
    <w:rsid w:val="00013E1A"/>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rsid w:val="00013E1A"/>
    <w:pPr>
      <w:autoSpaceDE w:val="0"/>
      <w:autoSpaceDN w:val="0"/>
      <w:adjustRightInd w:val="0"/>
      <w:spacing w:line="288" w:lineRule="auto"/>
      <w:textAlignment w:val="center"/>
    </w:pPr>
    <w:rPr>
      <w:rFonts w:ascii="宋体" w:hAnsi="Tahoma Italic" w:cs="宋体"/>
      <w:color w:val="000000"/>
      <w:kern w:val="0"/>
      <w:sz w:val="24"/>
      <w:szCs w:val="24"/>
      <w:lang w:val="zh-CN"/>
    </w:rPr>
  </w:style>
  <w:style w:type="paragraph" w:customStyle="1" w:styleId="af6">
    <w:name w:val="嶌幰怣"/>
    <w:basedOn w:val="NormalParagraphStyle"/>
    <w:rsid w:val="00013E1A"/>
    <w:pPr>
      <w:suppressAutoHyphens/>
      <w:spacing w:line="210" w:lineRule="atLeast"/>
    </w:pPr>
    <w:rPr>
      <w:rFonts w:ascii="Times New Roman" w:hAnsi="Times New Roman" w:cs="Times New Roman"/>
      <w:spacing w:val="-2"/>
      <w:sz w:val="18"/>
      <w:szCs w:val="18"/>
      <w:lang w:val="en-US"/>
    </w:rPr>
  </w:style>
  <w:style w:type="paragraph" w:customStyle="1" w:styleId="af7">
    <w:name w:val="一级标题"/>
    <w:basedOn w:val="NormalParagraphStyle"/>
    <w:rsid w:val="00013E1A"/>
    <w:pPr>
      <w:suppressAutoHyphens/>
      <w:spacing w:line="360" w:lineRule="atLeast"/>
      <w:jc w:val="left"/>
    </w:pPr>
    <w:rPr>
      <w:rFonts w:ascii="Univers" w:hAnsi="Univers" w:cs="Univers"/>
      <w:b/>
      <w:bCs/>
      <w:spacing w:val="-2"/>
    </w:rPr>
  </w:style>
  <w:style w:type="paragraph" w:customStyle="1" w:styleId="af8">
    <w:name w:val="惓暥暥_"/>
    <w:basedOn w:val="NormalParagraphStyle"/>
    <w:rsid w:val="00013E1A"/>
    <w:pPr>
      <w:suppressAutoHyphens/>
    </w:pPr>
    <w:rPr>
      <w:rFonts w:ascii="Verdana" w:hAnsi="Verdana" w:cs="Verdana"/>
      <w:spacing w:val="-7"/>
      <w:sz w:val="18"/>
      <w:szCs w:val="18"/>
      <w:lang w:val="en-US"/>
    </w:rPr>
  </w:style>
  <w:style w:type="paragraph" w:customStyle="1" w:styleId="10">
    <w:name w:val="惓暥暥_1"/>
    <w:basedOn w:val="NormalParagraphStyle"/>
    <w:rsid w:val="00013E1A"/>
    <w:pPr>
      <w:suppressAutoHyphens/>
      <w:ind w:firstLine="283"/>
    </w:pPr>
    <w:rPr>
      <w:rFonts w:ascii="Verdana" w:hAnsi="Verdana" w:cs="Verdana"/>
      <w:spacing w:val="-7"/>
      <w:sz w:val="18"/>
      <w:szCs w:val="18"/>
      <w:lang w:val="en-US"/>
    </w:rPr>
  </w:style>
  <w:style w:type="paragraph" w:customStyle="1" w:styleId="-1">
    <w:name w:val="嶲峫暥專-1"/>
    <w:basedOn w:val="NormalParagraphStyle"/>
    <w:rsid w:val="00013E1A"/>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9">
    <w:name w:val="参考文献正文"/>
    <w:basedOn w:val="a"/>
    <w:rsid w:val="00013E1A"/>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Noparagraphstyle">
    <w:name w:val="[No paragraph style]"/>
    <w:rsid w:val="00013E1A"/>
    <w:pPr>
      <w:widowControl w:val="0"/>
      <w:autoSpaceDE w:val="0"/>
      <w:autoSpaceDN w:val="0"/>
      <w:adjustRightInd w:val="0"/>
      <w:spacing w:line="288" w:lineRule="auto"/>
      <w:jc w:val="both"/>
      <w:textAlignment w:val="center"/>
    </w:pPr>
    <w:rPr>
      <w:rFonts w:ascii="Albertus Bold Italic" w:hAnsi="Albertus Bold Italic"/>
      <w:color w:val="000000"/>
      <w:sz w:val="24"/>
      <w:szCs w:val="24"/>
      <w:lang w:val="zh-CN"/>
    </w:rPr>
  </w:style>
  <w:style w:type="paragraph" w:customStyle="1" w:styleId="afa">
    <w:name w:val="表头"/>
    <w:basedOn w:val="NormalParagraphStyle"/>
    <w:rsid w:val="00013E1A"/>
    <w:pPr>
      <w:suppressAutoHyphens/>
    </w:pPr>
    <w:rPr>
      <w:rFonts w:ascii="Albertus" w:hAnsi="Albertus" w:cs="Albertus"/>
      <w:b/>
      <w:bCs/>
      <w:sz w:val="14"/>
      <w:szCs w:val="14"/>
    </w:rPr>
  </w:style>
  <w:style w:type="paragraph" w:customStyle="1" w:styleId="afb">
    <w:name w:val="表格中文字"/>
    <w:basedOn w:val="a"/>
    <w:rsid w:val="00013E1A"/>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c">
    <w:name w:val="表注"/>
    <w:basedOn w:val="afb"/>
    <w:rsid w:val="00013E1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1B4F8-60C8-4C4B-A413-D118CD4F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23</Pages>
  <Words>8089</Words>
  <Characters>46109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54090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Shuai Ma</cp:lastModifiedBy>
  <cp:revision>111</cp:revision>
  <cp:lastPrinted>2017-07-31T17:15:00Z</cp:lastPrinted>
  <dcterms:created xsi:type="dcterms:W3CDTF">2017-06-13T15:12:00Z</dcterms:created>
  <dcterms:modified xsi:type="dcterms:W3CDTF">2018-04-19T07:29:00Z</dcterms:modified>
</cp:coreProperties>
</file>