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2D61C5" w:rsidRDefault="00B612C7">
            <w:pPr>
              <w:spacing w:line="360" w:lineRule="auto"/>
              <w:rPr>
                <w:rFonts w:ascii="Book Antiqua" w:hAnsi="Book Antiqua"/>
                <w:color w:val="000000"/>
                <w:sz w:val="24"/>
                <w:szCs w:val="24"/>
              </w:rPr>
            </w:pPr>
            <w:r>
              <w:rPr>
                <w:rFonts w:ascii="Book Antiqua" w:hAnsi="Book Antiqua"/>
                <w:color w:val="000000"/>
                <w:sz w:val="24"/>
                <w:szCs w:val="24"/>
              </w:rPr>
              <w:t>Evaluation of safety for hepatectomy in a novel mouse model with nonalcoholic-steatohepatitis</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2D61C5" w:rsidRDefault="00B612C7">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Pr>
                <w:rFonts w:ascii="Book Antiqua" w:hAnsi="Book Antiqua" w:cs="Book Antiqua"/>
                <w:color w:val="000000"/>
                <w:sz w:val="24"/>
                <w:szCs w:val="24"/>
              </w:rPr>
              <w:t>Yusuke Ozawa, Takafumi Tamura, Yohei Owada, Yoshio Shimizu, Akira Kemmochi, Katsuji Hisakura, Takashi Matsuzaka, Hitoshi Shimano, Hiroko Isoda and Nobuhiro Ohkohchi</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2D61C5" w:rsidRDefault="00B612C7">
            <w:pPr>
              <w:pStyle w:val="af4"/>
              <w:spacing w:line="360" w:lineRule="auto"/>
              <w:rPr>
                <w:rFonts w:ascii="Book Antiqua" w:hAnsi="Book Antiqua"/>
                <w:sz w:val="24"/>
                <w:szCs w:val="24"/>
                <w:lang w:val="zh-CN"/>
              </w:rPr>
            </w:pPr>
            <w:r w:rsidRPr="005E5023">
              <w:rPr>
                <w:rFonts w:ascii="Book Antiqua" w:hAnsi="Book Antiqua"/>
                <w:sz w:val="24"/>
                <w:szCs w:val="24"/>
              </w:rPr>
              <w:t xml:space="preserve">Ozawa Y, Tamura T, Owada Y, Shimizu Y, Kemmochi A, Hisakura K, Matsuzaka T, Shimano H, Isoda H, Ohkohchi N. Evaluation of safety for hepatectomy in a novel mouse model with nonalcoholic-steatohepatitis. </w:t>
            </w:r>
            <w:r>
              <w:rPr>
                <w:rFonts w:ascii="Book Antiqua" w:hAnsi="Book Antiqua"/>
                <w:sz w:val="24"/>
                <w:szCs w:val="24"/>
                <w:lang w:val="zh-CN"/>
              </w:rPr>
              <w:t>World J Gastroenterol 2018; 24(15): 1622-1631</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2D61C5" w:rsidRDefault="00B612C7">
            <w:pPr>
              <w:pStyle w:val="af3"/>
              <w:spacing w:line="360" w:lineRule="auto"/>
              <w:rPr>
                <w:rFonts w:ascii="Book Antiqua" w:hAnsi="Book Antiqua"/>
                <w:b w:val="0"/>
                <w:bCs w:val="0"/>
                <w:sz w:val="24"/>
                <w:szCs w:val="24"/>
                <w:lang w:val="en-US"/>
              </w:rPr>
            </w:pPr>
            <w:r w:rsidRPr="005E5023">
              <w:rPr>
                <w:rFonts w:ascii="Book Antiqua" w:hAnsi="Book Antiqua"/>
                <w:b w:val="0"/>
                <w:sz w:val="24"/>
                <w:szCs w:val="24"/>
                <w:lang w:val="en-US"/>
              </w:rPr>
              <w:t>http://www.wjgnet.com/1007-9327/full/v24/i15/1622.htm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2D61C5" w:rsidRDefault="00B612C7">
            <w:pPr>
              <w:pStyle w:val="af3"/>
              <w:spacing w:line="360" w:lineRule="auto"/>
              <w:rPr>
                <w:rFonts w:ascii="Book Antiqua" w:hAnsi="Book Antiqua"/>
                <w:b w:val="0"/>
                <w:bCs w:val="0"/>
                <w:sz w:val="24"/>
                <w:szCs w:val="24"/>
                <w:lang w:val="en-US"/>
              </w:rPr>
            </w:pPr>
            <w:r w:rsidRPr="005E5023">
              <w:rPr>
                <w:rFonts w:ascii="Book Antiqua" w:hAnsi="Book Antiqua"/>
                <w:b w:val="0"/>
                <w:sz w:val="24"/>
                <w:szCs w:val="24"/>
                <w:lang w:val="en-US"/>
              </w:rPr>
              <w:t>http://dx.doi.org/10.3748/wjg.v24.i15.1622</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2D61C5" w:rsidRDefault="00B612C7">
            <w:pPr>
              <w:pStyle w:val="ad"/>
              <w:spacing w:line="360" w:lineRule="auto"/>
              <w:rPr>
                <w:rFonts w:ascii="Book Antiqua" w:hAnsi="Book Antiqua"/>
                <w:color w:val="000000"/>
                <w:sz w:val="24"/>
                <w:szCs w:val="24"/>
                <w:lang w:val="zh-CN"/>
              </w:rPr>
            </w:pPr>
            <w:r w:rsidRPr="005E5023">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 xml:space="preserve">See: </w:t>
            </w:r>
            <w:r>
              <w:rPr>
                <w:rFonts w:ascii="Book Antiqua" w:hAnsi="Book Antiqua"/>
                <w:color w:val="000000"/>
                <w:sz w:val="24"/>
                <w:szCs w:val="24"/>
                <w:lang w:val="zh-CN"/>
              </w:rPr>
              <w:lastRenderedPageBreak/>
              <w:t>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2D61C5" w:rsidRDefault="00B612C7">
            <w:pPr>
              <w:pStyle w:val="E-1"/>
              <w:spacing w:line="360" w:lineRule="auto"/>
              <w:rPr>
                <w:rFonts w:ascii="Book Antiqua" w:hAnsi="Book Antiqua"/>
                <w:bCs/>
                <w:sz w:val="24"/>
                <w:szCs w:val="24"/>
              </w:rPr>
            </w:pPr>
            <w:r>
              <w:rPr>
                <w:rFonts w:ascii="Book Antiqua" w:hAnsi="Book Antiqua"/>
                <w:sz w:val="24"/>
                <w:szCs w:val="24"/>
              </w:rPr>
              <w:t>We report whether the liver resection volume in the nonalcoholic steatohepatitis (NASH) model influences surgical outcome. The population of patients with NASH has been increasing. However, few animal models fully reflect both the histopathology and pathophysiology of NASH in humans. We established a novel experimental NASH model that exhibited the same characteristics as NASH in humans. This study elucidates the metabolism of the residual liver after a hepatectomy with NASH. Compared with normal liver, the residual NASH liver function is impaired, especially its regenerative ability. Therefore, a larger residual volume is required to maintain liver function in NASH liver after partial hepatectomy.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2D61C5" w:rsidRDefault="00B612C7">
            <w:pPr>
              <w:pStyle w:val="E-1"/>
              <w:spacing w:line="360" w:lineRule="auto"/>
              <w:rPr>
                <w:rFonts w:ascii="Book Antiqua" w:hAnsi="Book Antiqua"/>
                <w:spacing w:val="-4"/>
                <w:sz w:val="24"/>
                <w:szCs w:val="24"/>
              </w:rPr>
            </w:pPr>
            <w:r>
              <w:rPr>
                <w:rFonts w:ascii="Book Antiqua" w:hAnsi="Book Antiqua"/>
                <w:sz w:val="24"/>
                <w:szCs w:val="24"/>
              </w:rPr>
              <w:t>Hepatectomy, Liver regeneration, Residual liver, Liver proliferation,  and Nonalcoholic steatohepatitis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2D61C5" w:rsidRDefault="00B612C7">
            <w:pPr>
              <w:pStyle w:val="af3"/>
              <w:spacing w:line="360" w:lineRule="auto"/>
              <w:rPr>
                <w:rFonts w:ascii="Book Antiqua" w:hAnsi="Book Antiqua"/>
                <w:b w:val="0"/>
                <w:sz w:val="24"/>
                <w:szCs w:val="24"/>
                <w:lang w:val="en-US"/>
              </w:rPr>
            </w:pPr>
            <w:r>
              <w:rPr>
                <w:rFonts w:ascii="Book Antiqua" w:hAnsi="Book Antiqua"/>
                <w:b w:val="0"/>
                <w:sz w:val="24"/>
                <w:szCs w:val="24"/>
                <w:lang w:val="en-US"/>
              </w:rPr>
              <w:t>© The Author(s) 2018. Published by Baishideng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2D61C5" w:rsidRDefault="00B612C7">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2D61C5" w:rsidRDefault="00B612C7">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2D61C5" w:rsidRDefault="00B612C7">
            <w:pPr>
              <w:spacing w:line="360" w:lineRule="auto"/>
              <w:rPr>
                <w:rFonts w:ascii="Book Antiqua" w:hAnsi="Book Antiqua"/>
                <w:color w:val="000000"/>
                <w:sz w:val="24"/>
                <w:szCs w:val="24"/>
              </w:rPr>
            </w:pPr>
            <w:r>
              <w:rPr>
                <w:rFonts w:ascii="Book Antiqua" w:hAnsi="Book Antiqua"/>
                <w:color w:val="000000"/>
                <w:sz w:val="24"/>
                <w:szCs w:val="24"/>
              </w:rPr>
              <w:t>Baishideng Publishing Group Inc, 7901 Stoneridge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2D61C5" w:rsidRDefault="00B612C7">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5E5023" w:rsidRPr="00F261B5" w:rsidRDefault="005E5023" w:rsidP="005E5023">
      <w:pPr>
        <w:rPr>
          <w:b/>
          <w:bCs/>
        </w:rPr>
      </w:pPr>
      <w:r>
        <w:lastRenderedPageBreak/>
        <w:t xml:space="preserve">Ms. wjg/20XX                                                    </w:t>
      </w:r>
      <w:r w:rsidRPr="00F261B5">
        <w:rPr>
          <w:b/>
          <w:bCs/>
        </w:rPr>
        <w:t>Basic Study</w:t>
      </w:r>
    </w:p>
    <w:p w:rsidR="005E5023" w:rsidRDefault="005E5023" w:rsidP="005E5023"/>
    <w:p w:rsidR="005E5023" w:rsidRPr="00F261B5" w:rsidRDefault="005E5023" w:rsidP="005E5023">
      <w:pPr>
        <w:pStyle w:val="af3"/>
        <w:rPr>
          <w:lang w:val="en-US"/>
        </w:rPr>
      </w:pPr>
      <w:r w:rsidRPr="00F261B5">
        <w:rPr>
          <w:lang w:val="en-US"/>
        </w:rPr>
        <w:t>Evaluation of safety for hepatectomy in a novel mouse model with nonalcoholic-steatohepatitis</w:t>
      </w:r>
    </w:p>
    <w:p w:rsidR="005E5023" w:rsidRDefault="005E5023" w:rsidP="005E5023"/>
    <w:p w:rsidR="005E5023" w:rsidRPr="00F261B5" w:rsidRDefault="005E5023" w:rsidP="005E5023">
      <w:pPr>
        <w:pStyle w:val="af5"/>
        <w:rPr>
          <w:lang w:val="en-US"/>
        </w:rPr>
      </w:pPr>
      <w:r w:rsidRPr="00F261B5">
        <w:rPr>
          <w:lang w:val="en-US"/>
        </w:rPr>
        <w:t>Yusuke Ozawa, Takafumi Tamura, Yohei Owada, Yoshio Shimizu, Akira Kemmochi, Katsuji Hisakura, Takashi Matsuzaka, Hitoshi Shimano, Hiroko Isoda, Nobuhiro Ohkohchi</w:t>
      </w:r>
    </w:p>
    <w:p w:rsidR="005E5023" w:rsidRDefault="005E5023" w:rsidP="005E5023"/>
    <w:p w:rsidR="005E5023" w:rsidRDefault="005E5023" w:rsidP="005E5023">
      <w:pPr>
        <w:pStyle w:val="af6"/>
      </w:pPr>
      <w:r>
        <w:rPr>
          <w:rFonts w:ascii="Tahoma" w:hAnsi="Tahoma" w:cs="Tahoma"/>
        </w:rPr>
        <w:t>Yusuke Ozawa,</w:t>
      </w:r>
      <w:r>
        <w:rPr>
          <w:rFonts w:ascii="Tahoma" w:hAnsi="Tahoma" w:cs="Tahoma"/>
          <w:vertAlign w:val="superscript"/>
        </w:rPr>
        <w:t xml:space="preserve"> </w:t>
      </w:r>
      <w:r>
        <w:rPr>
          <w:rFonts w:ascii="Tahoma" w:hAnsi="Tahoma" w:cs="Tahoma"/>
        </w:rPr>
        <w:t>Takafumi Tamura, Yohei Owada, Yoshio Shimizu, Akira Kemmochi, Katsuji Hisakura, Nobuhiro Ohkohchi,</w:t>
      </w:r>
      <w:r>
        <w:rPr>
          <w:rFonts w:ascii="Tahoma" w:hAnsi="Tahoma" w:cs="Tahoma"/>
          <w:vertAlign w:val="superscript"/>
        </w:rPr>
        <w:t xml:space="preserve"> </w:t>
      </w:r>
      <w:r>
        <w:t>Department of Gastrointestinal and Hepato-Biliary-Pancreatic Surgery, Faculty of Medicine, University of Tsukuba,</w:t>
      </w:r>
      <w:r w:rsidRPr="00F261B5">
        <w:t xml:space="preserve"> </w:t>
      </w:r>
      <w:r>
        <w:t>Tsukuba 305-8575, Japan</w:t>
      </w:r>
    </w:p>
    <w:p w:rsidR="005E5023" w:rsidRDefault="005E5023" w:rsidP="005E5023">
      <w:pPr>
        <w:pStyle w:val="af6"/>
        <w:rPr>
          <w:vertAlign w:val="superscript"/>
        </w:rPr>
      </w:pPr>
      <w:r>
        <w:rPr>
          <w:rFonts w:ascii="Tahoma" w:hAnsi="Tahoma" w:cs="Tahoma"/>
        </w:rPr>
        <w:t>Takashi Matsuzaka, Hitoshi Shimano,</w:t>
      </w:r>
      <w:r w:rsidRPr="00F261B5">
        <w:rPr>
          <w:b/>
          <w:bCs/>
        </w:rPr>
        <w:t xml:space="preserve"> </w:t>
      </w:r>
      <w:r>
        <w:t>Department of Endocrinology and Metabolism, Faculty of Medicine, University of Tsukuba,</w:t>
      </w:r>
      <w:r w:rsidRPr="00F261B5">
        <w:t xml:space="preserve"> </w:t>
      </w:r>
      <w:r>
        <w:t>Tsukuba 305-8575, Japan</w:t>
      </w:r>
    </w:p>
    <w:p w:rsidR="005E5023" w:rsidRDefault="005E5023" w:rsidP="005E5023">
      <w:pPr>
        <w:pStyle w:val="af6"/>
      </w:pPr>
      <w:r>
        <w:rPr>
          <w:rFonts w:ascii="Tahoma" w:hAnsi="Tahoma" w:cs="Tahoma"/>
        </w:rPr>
        <w:t>Hiroko Isoda,</w:t>
      </w:r>
      <w:r>
        <w:t xml:space="preserve"> Faculty of Life and Environmental Sciences, University of Tsukuba,</w:t>
      </w:r>
      <w:r w:rsidRPr="00F261B5">
        <w:t xml:space="preserve"> </w:t>
      </w:r>
      <w:r>
        <w:t>Tsukuba 305-8572, Japan</w:t>
      </w:r>
    </w:p>
    <w:p w:rsidR="005E5023" w:rsidRDefault="005E5023" w:rsidP="005E5023">
      <w:pPr>
        <w:pStyle w:val="af6"/>
      </w:pPr>
      <w:r w:rsidRPr="00F261B5">
        <w:rPr>
          <w:rFonts w:ascii="Tahoma" w:hAnsi="Tahoma" w:cs="Tahoma"/>
          <w:spacing w:val="0"/>
        </w:rPr>
        <w:t xml:space="preserve">Author contributions: </w:t>
      </w:r>
      <w:r>
        <w:t>Ozawa Y and Tamura T designed the study and wrote the initial draft of the manuscript</w:t>
      </w:r>
      <w:r w:rsidRPr="00F261B5">
        <w:t>;</w:t>
      </w:r>
      <w:r>
        <w:t xml:space="preserve"> Ozawa Y, Owada Y, Shimizu Y and Kemmochi A performed the animal experiments, the biochemical analysis and gene expression analysis</w:t>
      </w:r>
      <w:r w:rsidRPr="00F261B5">
        <w:t>;</w:t>
      </w:r>
      <w:r>
        <w:t xml:space="preserve"> Ozawa Y, Tamura T, Matsuzaka T and Shimano H contributed to the analysis and interpretation of the data</w:t>
      </w:r>
      <w:r w:rsidRPr="00F261B5">
        <w:t>;</w:t>
      </w:r>
      <w:r>
        <w:t xml:space="preserve"> all of the other authors have critically reviewed the manuscript</w:t>
      </w:r>
      <w:r w:rsidRPr="00F261B5">
        <w:t>;</w:t>
      </w:r>
      <w:r>
        <w:t xml:space="preserve"> the final version of the manuscript was approved by all of the authors.</w:t>
      </w:r>
    </w:p>
    <w:p w:rsidR="005E5023" w:rsidRPr="00F261B5" w:rsidRDefault="005E5023" w:rsidP="005E5023">
      <w:pPr>
        <w:pStyle w:val="af6"/>
      </w:pPr>
      <w:r w:rsidRPr="00F261B5">
        <w:rPr>
          <w:rFonts w:ascii="Tahoma" w:hAnsi="Tahoma" w:cs="Tahoma"/>
          <w:spacing w:val="-4"/>
        </w:rPr>
        <w:t>Correspondence to:</w:t>
      </w:r>
      <w:r>
        <w:rPr>
          <w:rFonts w:ascii="Tahoma" w:hAnsi="Tahoma" w:cs="Tahoma"/>
          <w:spacing w:val="-4"/>
        </w:rPr>
        <w:t xml:space="preserve"> Nobuhiro Ohkohchi, MD, PhD, </w:t>
      </w:r>
      <w:r>
        <w:rPr>
          <w:rFonts w:ascii="Tahoma" w:hAnsi="Tahoma" w:cs="Tahoma"/>
        </w:rPr>
        <w:t>Professor, Surgeon</w:t>
      </w:r>
      <w:r w:rsidRPr="00F261B5">
        <w:rPr>
          <w:rFonts w:ascii="Tahoma" w:hAnsi="Tahoma" w:cs="Tahoma"/>
        </w:rPr>
        <w:t xml:space="preserve">, </w:t>
      </w:r>
      <w:r>
        <w:t>Department of Gastrointestinal and Hepato-Biliary-Pancreatic Surgery, Faculty of Medicine, University of Tsukuba</w:t>
      </w:r>
      <w:r w:rsidRPr="00F261B5">
        <w:t xml:space="preserve">, </w:t>
      </w:r>
      <w:r>
        <w:t>1-1-1 Tennodai, Tsukuba 305-8575, Japan. nokochi3@md.tsukuba.ac.jp</w:t>
      </w:r>
    </w:p>
    <w:p w:rsidR="005E5023" w:rsidRDefault="005E5023" w:rsidP="005E5023">
      <w:pPr>
        <w:pStyle w:val="af6"/>
      </w:pPr>
      <w:r w:rsidRPr="00F261B5">
        <w:rPr>
          <w:rFonts w:ascii="Tahoma" w:hAnsi="Tahoma" w:cs="Tahoma"/>
          <w:spacing w:val="0"/>
        </w:rPr>
        <w:t>Telephone:</w:t>
      </w:r>
      <w:r>
        <w:rPr>
          <w:b/>
          <w:bCs/>
        </w:rPr>
        <w:t xml:space="preserve"> </w:t>
      </w:r>
      <w:r>
        <w:t>+81-29-8533221</w:t>
      </w:r>
      <w:r>
        <w:rPr>
          <w:rFonts w:hint="eastAsia"/>
        </w:rPr>
        <w:t xml:space="preserve">    </w:t>
      </w:r>
      <w:r w:rsidRPr="00F261B5">
        <w:rPr>
          <w:rFonts w:ascii="Tahoma" w:hAnsi="Tahoma" w:cs="Tahoma"/>
          <w:spacing w:val="0"/>
        </w:rPr>
        <w:t>Fax:</w:t>
      </w:r>
      <w:r>
        <w:t xml:space="preserve"> +81-29-8533222</w:t>
      </w:r>
    </w:p>
    <w:p w:rsidR="005E5023" w:rsidRPr="00F261B5" w:rsidRDefault="005E5023" w:rsidP="005E5023">
      <w:pPr>
        <w:pStyle w:val="af6"/>
        <w:rPr>
          <w:b/>
          <w:bCs/>
        </w:rPr>
      </w:pPr>
      <w:r>
        <w:rPr>
          <w:rFonts w:ascii="Tahoma" w:hAnsi="Tahoma" w:cs="Tahoma"/>
        </w:rPr>
        <w:t>Received:</w:t>
      </w:r>
      <w:r w:rsidRPr="00F261B5">
        <w:rPr>
          <w:b/>
          <w:bCs/>
        </w:rPr>
        <w:t xml:space="preserve"> </w:t>
      </w:r>
      <w:r w:rsidRPr="00F261B5">
        <w:t>February 14, 2018</w:t>
      </w:r>
      <w:r>
        <w:rPr>
          <w:rFonts w:hint="eastAsia"/>
          <w:b/>
          <w:bCs/>
        </w:rPr>
        <w:t xml:space="preserve">   </w:t>
      </w:r>
      <w:r>
        <w:rPr>
          <w:rFonts w:ascii="Tahoma" w:hAnsi="Tahoma" w:cs="Tahoma"/>
        </w:rPr>
        <w:t>Revised:</w:t>
      </w:r>
      <w:r w:rsidRPr="00F261B5">
        <w:rPr>
          <w:b/>
          <w:bCs/>
        </w:rPr>
        <w:t xml:space="preserve"> </w:t>
      </w:r>
      <w:r w:rsidRPr="00F261B5">
        <w:t>March 16, 2018</w:t>
      </w:r>
      <w:r>
        <w:rPr>
          <w:rFonts w:hint="eastAsia"/>
          <w:b/>
          <w:bCs/>
        </w:rPr>
        <w:t xml:space="preserve">   </w:t>
      </w:r>
      <w:r>
        <w:rPr>
          <w:rFonts w:ascii="Tahoma" w:hAnsi="Tahoma" w:cs="Tahoma"/>
        </w:rPr>
        <w:t>Accepted:</w:t>
      </w:r>
      <w:r>
        <w:t xml:space="preserve"> </w:t>
      </w:r>
      <w:r w:rsidRPr="00F261B5">
        <w:rPr>
          <w:spacing w:val="0"/>
        </w:rPr>
        <w:t>March 25</w:t>
      </w:r>
      <w:proofErr w:type="gramStart"/>
      <w:r w:rsidRPr="00F261B5">
        <w:rPr>
          <w:spacing w:val="0"/>
        </w:rPr>
        <w:t>,2018</w:t>
      </w:r>
      <w:proofErr w:type="gramEnd"/>
      <w:r w:rsidRPr="00F261B5">
        <w:rPr>
          <w:spacing w:val="0"/>
        </w:rPr>
        <w:t xml:space="preserve"> </w:t>
      </w:r>
    </w:p>
    <w:p w:rsidR="005E5023" w:rsidRDefault="005E5023" w:rsidP="005E5023">
      <w:pPr>
        <w:pStyle w:val="af6"/>
        <w:rPr>
          <w:rFonts w:ascii="Book Antiqua" w:hAnsi="Book Antiqua" w:cs="Book Antiqua"/>
          <w:b/>
          <w:bCs/>
        </w:rPr>
      </w:pPr>
      <w:r>
        <w:rPr>
          <w:rFonts w:ascii="Tahoma" w:hAnsi="Tahoma" w:cs="Tahoma"/>
        </w:rPr>
        <w:t xml:space="preserve">Published online: </w:t>
      </w:r>
      <w:r w:rsidRPr="00F261B5">
        <w:rPr>
          <w:spacing w:val="0"/>
        </w:rPr>
        <w:t>April 21, 2018</w:t>
      </w:r>
    </w:p>
    <w:p w:rsidR="005E5023" w:rsidRPr="00F261B5" w:rsidRDefault="005E5023" w:rsidP="005E5023">
      <w:pPr>
        <w:pStyle w:val="NormalParagraphStyle"/>
        <w:rPr>
          <w:rFonts w:ascii="Century Gothic" w:hAnsi="Century Gothic" w:cs="Century Gothic"/>
          <w:b/>
          <w:bCs/>
          <w:spacing w:val="12"/>
          <w:lang w:val="en-US"/>
        </w:rPr>
      </w:pPr>
    </w:p>
    <w:p w:rsidR="005E5023" w:rsidRPr="00F261B5" w:rsidRDefault="005E5023" w:rsidP="005E5023">
      <w:pPr>
        <w:pStyle w:val="NormalParagraphStyle"/>
        <w:rPr>
          <w:rFonts w:ascii="Century Gothic" w:hAnsi="Century Gothic" w:cs="Century Gothic"/>
          <w:b/>
          <w:bCs/>
          <w:spacing w:val="12"/>
          <w:lang w:val="en-US"/>
        </w:rPr>
      </w:pPr>
    </w:p>
    <w:p w:rsidR="005E5023" w:rsidRPr="00F261B5" w:rsidRDefault="005E5023" w:rsidP="005E5023">
      <w:pPr>
        <w:pStyle w:val="NormalParagraphStyle"/>
        <w:rPr>
          <w:rFonts w:ascii="Book Antiqua" w:hAnsi="Book Antiqua" w:cs="Book Antiqua"/>
          <w:b/>
          <w:bCs/>
          <w:lang w:val="en-US"/>
        </w:rPr>
      </w:pPr>
      <w:r w:rsidRPr="00F261B5">
        <w:rPr>
          <w:rFonts w:ascii="Century Gothic" w:hAnsi="Century Gothic" w:cs="Century Gothic"/>
          <w:b/>
          <w:bCs/>
          <w:spacing w:val="12"/>
          <w:lang w:val="en-US"/>
        </w:rPr>
        <w:t>Abstract</w:t>
      </w:r>
    </w:p>
    <w:p w:rsidR="005E5023" w:rsidRPr="00F261B5" w:rsidRDefault="005E5023" w:rsidP="005E5023">
      <w:pPr>
        <w:pStyle w:val="E-1"/>
        <w:rPr>
          <w:rFonts w:ascii="Times New Roman" w:hAnsi="Times New Roman" w:cs="Times New Roman"/>
          <w:b/>
          <w:bCs/>
          <w:iCs/>
        </w:rPr>
      </w:pPr>
      <w:r w:rsidRPr="00F261B5">
        <w:rPr>
          <w:rFonts w:ascii="Times New Roman" w:hAnsi="Times New Roman" w:cs="Times New Roman"/>
          <w:b/>
          <w:bCs/>
          <w:iCs/>
        </w:rPr>
        <w:t>AIM</w:t>
      </w:r>
    </w:p>
    <w:p w:rsidR="005E5023" w:rsidRDefault="005E5023" w:rsidP="005E5023">
      <w:pPr>
        <w:pStyle w:val="E-1"/>
      </w:pPr>
      <w:proofErr w:type="gramStart"/>
      <w:r>
        <w:t>To investigate whether the liver resection volume in a newly developed nonalcoholic steatohepatitis (NASH) model influences surgical outcome.</w:t>
      </w:r>
      <w:proofErr w:type="gramEnd"/>
    </w:p>
    <w:p w:rsidR="005E5023" w:rsidRPr="00F261B5" w:rsidRDefault="005E5023" w:rsidP="005E5023">
      <w:pPr>
        <w:pStyle w:val="E-1"/>
        <w:rPr>
          <w:rFonts w:ascii="Times New Roman" w:hAnsi="Times New Roman" w:cs="Times New Roman"/>
          <w:b/>
          <w:bCs/>
          <w:iCs/>
        </w:rPr>
      </w:pPr>
      <w:r w:rsidRPr="00F261B5">
        <w:rPr>
          <w:rFonts w:ascii="Times New Roman" w:hAnsi="Times New Roman" w:cs="Times New Roman"/>
          <w:b/>
          <w:bCs/>
          <w:iCs/>
        </w:rPr>
        <w:t>METHODS</w:t>
      </w:r>
    </w:p>
    <w:p w:rsidR="005E5023" w:rsidRDefault="005E5023" w:rsidP="005E5023">
      <w:pPr>
        <w:pStyle w:val="E-1"/>
      </w:pPr>
      <w:r>
        <w:t>For establishment of a NASH model, mice were fed a high-fat diet for 4 wk, administered CCl</w:t>
      </w:r>
      <w:r>
        <w:rPr>
          <w:vertAlign w:val="subscript"/>
        </w:rPr>
        <w:t>4</w:t>
      </w:r>
      <w:r>
        <w:t xml:space="preserve"> for the last 2 wk, and administered T0901317 for the last 5 d. We divided these mice into two groups: A 30% partial hepatectomy (PH) of NASH liver group and a 70% PH of NASH liver group. In addition, a 70% PH of normal liver group served as the control. Each group was evaluated for survival rate, regeneration, apoptosis, necrosis and DNA expression after PH.</w:t>
      </w:r>
    </w:p>
    <w:p w:rsidR="005E5023" w:rsidRPr="00F261B5" w:rsidRDefault="005E5023" w:rsidP="005E5023">
      <w:pPr>
        <w:pStyle w:val="E-1"/>
        <w:rPr>
          <w:rFonts w:ascii="Times New Roman" w:hAnsi="Times New Roman" w:cs="Times New Roman"/>
          <w:b/>
          <w:bCs/>
          <w:iCs/>
        </w:rPr>
      </w:pPr>
      <w:r w:rsidRPr="00F261B5">
        <w:rPr>
          <w:rFonts w:ascii="Times New Roman" w:hAnsi="Times New Roman" w:cs="Times New Roman"/>
          <w:b/>
          <w:bCs/>
          <w:iCs/>
        </w:rPr>
        <w:t>RESULTS</w:t>
      </w:r>
    </w:p>
    <w:p w:rsidR="005E5023" w:rsidRDefault="005E5023" w:rsidP="005E5023">
      <w:pPr>
        <w:pStyle w:val="E-1"/>
        <w:rPr>
          <w:spacing w:val="-2"/>
        </w:rPr>
      </w:pPr>
      <w:r>
        <w:rPr>
          <w:spacing w:val="-2"/>
        </w:rPr>
        <w:lastRenderedPageBreak/>
        <w:t>In the 70% PH of NASH group, the survival rate was significantly decreased compared with that in the control and 30% PH of NASH groups (</w:t>
      </w:r>
      <w:r>
        <w:rPr>
          <w:rFonts w:ascii="Tahoma Italic" w:hAnsi="Tahoma Italic" w:cs="Tahoma Italic"/>
          <w:i/>
          <w:iCs/>
          <w:spacing w:val="-2"/>
        </w:rPr>
        <w:t>P</w:t>
      </w:r>
      <w:r>
        <w:rPr>
          <w:spacing w:val="-2"/>
        </w:rPr>
        <w:t xml:space="preserve"> &lt; 0.01). 10 of 32 mice in the NASH 70% PH group died within 48 h after PH. Serum aspartate aminotransferase (AST) levels and total bilirubin (T-Bil) in the NASH 70% PH group were significantly higher than the levels in the other two groups (AST: </w:t>
      </w:r>
      <w:r>
        <w:rPr>
          <w:rFonts w:ascii="Tahoma Italic" w:hAnsi="Tahoma Italic" w:cs="Tahoma Italic"/>
          <w:i/>
          <w:iCs/>
          <w:spacing w:val="-2"/>
        </w:rPr>
        <w:t>P</w:t>
      </w:r>
      <w:r>
        <w:rPr>
          <w:spacing w:val="-2"/>
        </w:rPr>
        <w:t xml:space="preserve"> &lt; 0.05, T-Bil: </w:t>
      </w:r>
      <w:r>
        <w:rPr>
          <w:rFonts w:ascii="Tahoma Italic" w:hAnsi="Tahoma Italic" w:cs="Tahoma Italic"/>
          <w:i/>
          <w:iCs/>
          <w:spacing w:val="-2"/>
        </w:rPr>
        <w:t>P</w:t>
      </w:r>
      <w:r>
        <w:rPr>
          <w:spacing w:val="-2"/>
        </w:rPr>
        <w:t xml:space="preserve"> &lt; 0.01). In both PH of NASH groups, signaling proteins involved in regeneration were expressed at lower levels than those in the control group (</w:t>
      </w:r>
      <w:r>
        <w:rPr>
          <w:rFonts w:ascii="Tahoma Italic" w:hAnsi="Tahoma Italic" w:cs="Tahoma Italic"/>
          <w:i/>
          <w:iCs/>
          <w:spacing w:val="-2"/>
        </w:rPr>
        <w:t>P</w:t>
      </w:r>
      <w:r>
        <w:rPr>
          <w:spacing w:val="-2"/>
        </w:rPr>
        <w:t xml:space="preserve"> &lt; 0.01). The 70% PH of NASH group also exhibited a lower number of Ki-67-positive cells and higher rates of apoptosis and necrosis than the NASH 30% PH group (</w:t>
      </w:r>
      <w:r>
        <w:rPr>
          <w:rFonts w:ascii="Tahoma Italic" w:hAnsi="Tahoma Italic" w:cs="Tahoma Italic"/>
          <w:i/>
          <w:iCs/>
          <w:spacing w:val="-2"/>
        </w:rPr>
        <w:t>P</w:t>
      </w:r>
      <w:r>
        <w:rPr>
          <w:spacing w:val="-2"/>
        </w:rPr>
        <w:t xml:space="preserve"> &lt; 0.01). In addition, DNA microarray assays showed differences in gene expression associated with cell cycle arrest and apoptosis.</w:t>
      </w:r>
    </w:p>
    <w:p w:rsidR="005E5023" w:rsidRPr="00F261B5" w:rsidRDefault="005E5023" w:rsidP="005E5023">
      <w:pPr>
        <w:pStyle w:val="E-1"/>
        <w:rPr>
          <w:rFonts w:ascii="Times New Roman" w:hAnsi="Times New Roman" w:cs="Times New Roman"/>
          <w:b/>
          <w:bCs/>
          <w:iCs/>
        </w:rPr>
      </w:pPr>
      <w:r w:rsidRPr="00F261B5">
        <w:rPr>
          <w:rFonts w:ascii="Times New Roman" w:hAnsi="Times New Roman" w:cs="Times New Roman"/>
          <w:b/>
          <w:bCs/>
          <w:iCs/>
        </w:rPr>
        <w:t>CONCLUSION</w:t>
      </w:r>
    </w:p>
    <w:p w:rsidR="005E5023" w:rsidRDefault="005E5023" w:rsidP="005E5023">
      <w:pPr>
        <w:pStyle w:val="E-1"/>
      </w:pPr>
      <w:r>
        <w:t>The function of the residual liver is impaired in fatty liver compared to normal liver. A larger residual volume is required to maintain liver functions in mice with NASH.</w:t>
      </w:r>
    </w:p>
    <w:p w:rsidR="005E5023" w:rsidRDefault="005E5023" w:rsidP="005E5023">
      <w:pPr>
        <w:pStyle w:val="E-1"/>
        <w:rPr>
          <w:b/>
          <w:bCs/>
        </w:rPr>
      </w:pPr>
    </w:p>
    <w:p w:rsidR="005E5023" w:rsidRDefault="005E5023" w:rsidP="005E5023">
      <w:pPr>
        <w:pStyle w:val="E-1"/>
      </w:pPr>
      <w:r>
        <w:rPr>
          <w:rFonts w:ascii="Times New Roman" w:hAnsi="Times New Roman" w:cs="Times New Roman"/>
          <w:b/>
          <w:bCs/>
        </w:rPr>
        <w:t xml:space="preserve">Key words: </w:t>
      </w:r>
      <w:r>
        <w:t>Hepatectomy; Liver regeneration; Residual liver; Liver proliferation; Nonalcoholic steatohepatitis</w:t>
      </w:r>
    </w:p>
    <w:p w:rsidR="005E5023" w:rsidRDefault="005E5023" w:rsidP="005E5023">
      <w:pPr>
        <w:pStyle w:val="E-1"/>
        <w:rPr>
          <w:b/>
          <w:bCs/>
          <w:sz w:val="17"/>
          <w:szCs w:val="17"/>
        </w:rPr>
      </w:pPr>
    </w:p>
    <w:p w:rsidR="005E5023" w:rsidRDefault="005E5023" w:rsidP="005E5023">
      <w:pPr>
        <w:pStyle w:val="af4"/>
      </w:pPr>
      <w:r>
        <w:rPr>
          <w:lang w:val="pl-PL"/>
        </w:rPr>
        <w:t xml:space="preserve">Ozawa Y, Tamura T, Owada Y, Shimizu Y, Kemmochi A, Hisakura K, Matsuzaka T, Shimano H, Isoda H, Ohkohchi N. </w:t>
      </w:r>
      <w:proofErr w:type="gramStart"/>
      <w:r>
        <w:t>Evaluation of safety for hepatectomy in a novel mouse model with nonalcoholic-steatohepatitis.</w:t>
      </w:r>
      <w:proofErr w:type="gramEnd"/>
      <w:r>
        <w:t xml:space="preserve"> </w:t>
      </w:r>
      <w:r>
        <w:rPr>
          <w:i/>
          <w:iCs/>
        </w:rPr>
        <w:t>World J Gastroenterol</w:t>
      </w:r>
      <w:r>
        <w:t xml:space="preserve"> 2018; 24(15): 1622-</w:t>
      </w:r>
      <w:proofErr w:type="gramStart"/>
      <w:r>
        <w:t>1631  Available</w:t>
      </w:r>
      <w:proofErr w:type="gramEnd"/>
      <w:r>
        <w:t xml:space="preserve"> from: URL: http://www.wjgnet.com/1007-9327/full/v24/i15/1622.htm  DOI: http://dx.doi.org/10.3748/wjg.v24.i15.1622</w:t>
      </w:r>
    </w:p>
    <w:p w:rsidR="005E5023" w:rsidRPr="00F261B5" w:rsidRDefault="005E5023" w:rsidP="005E5023">
      <w:pPr>
        <w:pStyle w:val="E-1"/>
        <w:rPr>
          <w:b/>
          <w:bCs/>
        </w:rPr>
      </w:pPr>
    </w:p>
    <w:p w:rsidR="005E5023" w:rsidRDefault="005E5023" w:rsidP="005E5023">
      <w:pPr>
        <w:pStyle w:val="E-1"/>
      </w:pPr>
      <w:r>
        <w:rPr>
          <w:rFonts w:ascii="Times New Roman" w:hAnsi="Times New Roman" w:cs="Times New Roman"/>
          <w:b/>
          <w:bCs/>
          <w:spacing w:val="-3"/>
        </w:rPr>
        <w:t>Core tip:</w:t>
      </w:r>
      <w:r>
        <w:rPr>
          <w:b/>
          <w:bCs/>
        </w:rPr>
        <w:t xml:space="preserve"> </w:t>
      </w:r>
      <w:r>
        <w:t>We report whether the liver resection volume in the nonalcoholic steatohepatitis (NASH) model influences surgical outcome. The population of patients with NASH has been increasing. However, few animal models fully reflect both the histopathology and pathophysiology of NASH in humans. We established a novel experimental NASH model that exhibited the same characteristics as NASH in humans. This study elucidates the metabolism of the residual liver after a hepatectomy with NASH. Compared with normal liver, the residual NASH liver function is impaired, especially its regenerative ability. Therefore, a larger residual volume is required to maintain liver function in NASH liver after partial hepatectomy.</w:t>
      </w:r>
    </w:p>
    <w:p w:rsidR="005E5023" w:rsidRDefault="005E5023" w:rsidP="005E5023">
      <w:pPr>
        <w:pStyle w:val="af4"/>
        <w:rPr>
          <w:b/>
          <w:bCs/>
          <w:lang w:val="pl-PL"/>
        </w:rPr>
      </w:pPr>
    </w:p>
    <w:p w:rsidR="005E5023" w:rsidRDefault="005E5023" w:rsidP="005E5023">
      <w:pPr>
        <w:pStyle w:val="af4"/>
        <w:rPr>
          <w:lang w:val="pl-PL"/>
        </w:rPr>
      </w:pPr>
    </w:p>
    <w:p w:rsidR="005E5023" w:rsidRPr="00F261B5" w:rsidRDefault="005E5023" w:rsidP="005E5023">
      <w:pPr>
        <w:pStyle w:val="af7"/>
        <w:ind w:left="5250"/>
        <w:rPr>
          <w:lang w:val="en-US"/>
        </w:rPr>
      </w:pPr>
    </w:p>
    <w:p w:rsidR="005E5023" w:rsidRPr="00F261B5" w:rsidRDefault="005E5023" w:rsidP="005E5023">
      <w:pPr>
        <w:pStyle w:val="af7"/>
        <w:ind w:left="5250"/>
        <w:rPr>
          <w:lang w:val="en-US"/>
        </w:rPr>
      </w:pPr>
    </w:p>
    <w:p w:rsidR="005E5023" w:rsidRPr="00F261B5" w:rsidRDefault="005E5023" w:rsidP="005E5023">
      <w:pPr>
        <w:pStyle w:val="af7"/>
        <w:ind w:left="5250"/>
        <w:rPr>
          <w:rFonts w:ascii="Book Antiqua" w:hAnsi="Book Antiqua" w:cs="Book Antiqua"/>
          <w:u w:val="single"/>
          <w:lang w:val="en-US"/>
        </w:rPr>
      </w:pPr>
      <w:r w:rsidRPr="00F261B5">
        <w:rPr>
          <w:u w:val="single"/>
          <w:lang w:val="en-US"/>
        </w:rPr>
        <w:t>INTRODUCTION</w:t>
      </w:r>
    </w:p>
    <w:p w:rsidR="005E5023" w:rsidRDefault="005E5023" w:rsidP="005E5023">
      <w:pPr>
        <w:pStyle w:val="af8"/>
        <w:rPr>
          <w:spacing w:val="-11"/>
        </w:rPr>
      </w:pPr>
      <w:r>
        <w:rPr>
          <w:spacing w:val="-11"/>
        </w:rPr>
        <w:t xml:space="preserve">Nonalcoholic fatty liver disease (NAFLD) is observed in 20%-40% of the general population, and its incidence continues to increase in industrialized </w:t>
      </w:r>
      <w:proofErr w:type="gramStart"/>
      <w:r>
        <w:rPr>
          <w:spacing w:val="-11"/>
        </w:rPr>
        <w:t>countries</w:t>
      </w:r>
      <w:r>
        <w:rPr>
          <w:spacing w:val="-11"/>
          <w:vertAlign w:val="superscript"/>
        </w:rPr>
        <w:t>[</w:t>
      </w:r>
      <w:proofErr w:type="gramEnd"/>
      <w:r>
        <w:rPr>
          <w:spacing w:val="-11"/>
          <w:vertAlign w:val="superscript"/>
        </w:rPr>
        <w:t>1,2]</w:t>
      </w:r>
      <w:r>
        <w:rPr>
          <w:spacing w:val="-11"/>
        </w:rPr>
        <w:t>. NAFLD includes several diseases, such as simple liver steatosis, nonalcoholic steatohepatitis (NASH), and cirrhosis. NASH is characterized by hepatic steatosis, lobular inflammation, and abnormal glucose tolerance. In NASH, continuous inflammation contributes to he</w:t>
      </w:r>
      <w:r>
        <w:rPr>
          <w:spacing w:val="-11"/>
        </w:rPr>
        <w:softHyphen/>
        <w:t>patocellular carcinoma (HCC</w:t>
      </w:r>
      <w:proofErr w:type="gramStart"/>
      <w:r>
        <w:rPr>
          <w:spacing w:val="-11"/>
        </w:rPr>
        <w:t>)</w:t>
      </w:r>
      <w:r>
        <w:rPr>
          <w:spacing w:val="-11"/>
          <w:vertAlign w:val="superscript"/>
        </w:rPr>
        <w:t>[</w:t>
      </w:r>
      <w:proofErr w:type="gramEnd"/>
      <w:r>
        <w:rPr>
          <w:spacing w:val="-11"/>
          <w:vertAlign w:val="superscript"/>
        </w:rPr>
        <w:t>3,4]</w:t>
      </w:r>
      <w:r>
        <w:rPr>
          <w:spacing w:val="-11"/>
        </w:rPr>
        <w:t xml:space="preserve">. The cause of HCC is frequently infection with hepatitis B virus and hepatitis C virus (HCV). New antiviral medications for hepatitis are currently being used in clinics; therefore, the number of patients with virus-related HCC is expected to decrease in the </w:t>
      </w:r>
      <w:proofErr w:type="gramStart"/>
      <w:r>
        <w:rPr>
          <w:spacing w:val="-11"/>
        </w:rPr>
        <w:t>future</w:t>
      </w:r>
      <w:r>
        <w:rPr>
          <w:spacing w:val="-11"/>
          <w:vertAlign w:val="superscript"/>
        </w:rPr>
        <w:t>[</w:t>
      </w:r>
      <w:proofErr w:type="gramEnd"/>
      <w:r>
        <w:rPr>
          <w:spacing w:val="-11"/>
          <w:vertAlign w:val="superscript"/>
        </w:rPr>
        <w:t>5-9]</w:t>
      </w:r>
      <w:r>
        <w:rPr>
          <w:spacing w:val="-11"/>
        </w:rPr>
        <w:t xml:space="preserve">. By contrast, the number of patients with NASH-related HCC has been increasing recently, and this trend is </w:t>
      </w:r>
      <w:r>
        <w:rPr>
          <w:spacing w:val="-11"/>
        </w:rPr>
        <w:lastRenderedPageBreak/>
        <w:t xml:space="preserve">expected to continue because no effective treatments are </w:t>
      </w:r>
      <w:proofErr w:type="gramStart"/>
      <w:r>
        <w:rPr>
          <w:spacing w:val="-11"/>
        </w:rPr>
        <w:t>available</w:t>
      </w:r>
      <w:r>
        <w:rPr>
          <w:spacing w:val="-11"/>
          <w:vertAlign w:val="superscript"/>
        </w:rPr>
        <w:t>[</w:t>
      </w:r>
      <w:proofErr w:type="gramEnd"/>
      <w:r>
        <w:rPr>
          <w:spacing w:val="-11"/>
          <w:vertAlign w:val="superscript"/>
        </w:rPr>
        <w:t>10]</w:t>
      </w:r>
      <w:r>
        <w:rPr>
          <w:spacing w:val="-11"/>
        </w:rPr>
        <w:t>.</w:t>
      </w:r>
    </w:p>
    <w:p w:rsidR="005E5023" w:rsidRDefault="005E5023" w:rsidP="005E5023">
      <w:pPr>
        <w:pStyle w:val="10"/>
        <w:rPr>
          <w:spacing w:val="-11"/>
        </w:rPr>
      </w:pPr>
      <w:r>
        <w:rPr>
          <w:spacing w:val="-11"/>
        </w:rPr>
        <w:t xml:space="preserve">Steatosis is a risk factor for postoperative liver </w:t>
      </w:r>
      <w:proofErr w:type="gramStart"/>
      <w:r>
        <w:rPr>
          <w:spacing w:val="-11"/>
        </w:rPr>
        <w:t>failure</w:t>
      </w:r>
      <w:r>
        <w:rPr>
          <w:spacing w:val="-11"/>
          <w:vertAlign w:val="superscript"/>
        </w:rPr>
        <w:t>[</w:t>
      </w:r>
      <w:proofErr w:type="gramEnd"/>
      <w:r>
        <w:rPr>
          <w:spacing w:val="-11"/>
          <w:vertAlign w:val="superscript"/>
        </w:rPr>
        <w:t>11,12]</w:t>
      </w:r>
      <w:r>
        <w:rPr>
          <w:spacing w:val="-11"/>
        </w:rPr>
        <w:t xml:space="preserve">. A number of clinical studies revealed that steatosis caused severe mortality and morbidity after liver resection compared with normal liver following liver </w:t>
      </w:r>
      <w:proofErr w:type="gramStart"/>
      <w:r>
        <w:rPr>
          <w:spacing w:val="-11"/>
        </w:rPr>
        <w:t>resection</w:t>
      </w:r>
      <w:r>
        <w:rPr>
          <w:spacing w:val="-11"/>
          <w:vertAlign w:val="superscript"/>
        </w:rPr>
        <w:t>[</w:t>
      </w:r>
      <w:proofErr w:type="gramEnd"/>
      <w:r>
        <w:rPr>
          <w:spacing w:val="-11"/>
          <w:vertAlign w:val="superscript"/>
        </w:rPr>
        <w:t>11,12]</w:t>
      </w:r>
      <w:r>
        <w:rPr>
          <w:spacing w:val="-11"/>
        </w:rPr>
        <w:t xml:space="preserve">. In experimental models, hepatectomy of fatty livers resulted in suppressed liver regeneration and survival </w:t>
      </w:r>
      <w:proofErr w:type="gramStart"/>
      <w:r>
        <w:rPr>
          <w:spacing w:val="-11"/>
        </w:rPr>
        <w:t>rates</w:t>
      </w:r>
      <w:r>
        <w:rPr>
          <w:spacing w:val="-11"/>
          <w:vertAlign w:val="superscript"/>
        </w:rPr>
        <w:t>[</w:t>
      </w:r>
      <w:proofErr w:type="gramEnd"/>
      <w:r>
        <w:rPr>
          <w:spacing w:val="-11"/>
          <w:vertAlign w:val="superscript"/>
        </w:rPr>
        <w:t>13-16]</w:t>
      </w:r>
      <w:r>
        <w:rPr>
          <w:spacing w:val="-11"/>
        </w:rPr>
        <w:t>. However, the influence of hepatectomy on NASH livers has not been extensively evaluated.</w:t>
      </w:r>
    </w:p>
    <w:p w:rsidR="005E5023" w:rsidRDefault="005E5023" w:rsidP="005E5023">
      <w:pPr>
        <w:pStyle w:val="10"/>
        <w:rPr>
          <w:spacing w:val="-11"/>
        </w:rPr>
      </w:pPr>
      <w:r>
        <w:rPr>
          <w:spacing w:val="-11"/>
        </w:rPr>
        <w:t xml:space="preserve">Hepatectomy is a standard and most effective therapy for HCC patients. Postoperative liver failure is a serious complication after hepatectomy, and its occurrence correlates with the volume and function of the residual </w:t>
      </w:r>
      <w:proofErr w:type="gramStart"/>
      <w:r>
        <w:rPr>
          <w:spacing w:val="-11"/>
        </w:rPr>
        <w:t>liver</w:t>
      </w:r>
      <w:r>
        <w:rPr>
          <w:spacing w:val="-11"/>
          <w:vertAlign w:val="superscript"/>
        </w:rPr>
        <w:t>[</w:t>
      </w:r>
      <w:proofErr w:type="gramEnd"/>
      <w:r>
        <w:rPr>
          <w:spacing w:val="-11"/>
          <w:vertAlign w:val="superscript"/>
        </w:rPr>
        <w:t>17-20]</w:t>
      </w:r>
      <w:r>
        <w:rPr>
          <w:spacing w:val="-11"/>
        </w:rPr>
        <w:t xml:space="preserve">. To prevent liver failure after hepatectomy, the liver resection volume is limited according to preoperative liver </w:t>
      </w:r>
      <w:proofErr w:type="gramStart"/>
      <w:r>
        <w:rPr>
          <w:spacing w:val="-11"/>
        </w:rPr>
        <w:t>function</w:t>
      </w:r>
      <w:r>
        <w:rPr>
          <w:spacing w:val="-11"/>
          <w:vertAlign w:val="superscript"/>
        </w:rPr>
        <w:t>[</w:t>
      </w:r>
      <w:proofErr w:type="gramEnd"/>
      <w:r>
        <w:rPr>
          <w:spacing w:val="-11"/>
          <w:vertAlign w:val="superscript"/>
        </w:rPr>
        <w:t>21-23]</w:t>
      </w:r>
      <w:r>
        <w:rPr>
          <w:spacing w:val="-11"/>
        </w:rPr>
        <w:t xml:space="preserve">. For promotion of regeneration and maintaining liver function preserving sufficient residual liver volume enables the prevention of liver </w:t>
      </w:r>
      <w:proofErr w:type="gramStart"/>
      <w:r>
        <w:rPr>
          <w:spacing w:val="-11"/>
        </w:rPr>
        <w:t>failure</w:t>
      </w:r>
      <w:r>
        <w:rPr>
          <w:spacing w:val="-11"/>
          <w:vertAlign w:val="superscript"/>
        </w:rPr>
        <w:t>[</w:t>
      </w:r>
      <w:proofErr w:type="gramEnd"/>
      <w:r>
        <w:rPr>
          <w:spacing w:val="-11"/>
          <w:vertAlign w:val="superscript"/>
        </w:rPr>
        <w:t>24,25]</w:t>
      </w:r>
      <w:r>
        <w:rPr>
          <w:spacing w:val="-11"/>
        </w:rPr>
        <w:t xml:space="preserve">. Thus, the degree of liver regeneration is dependent on the volume of the residual liver. Although several NASH models, such as the methionine- and choline-deficient (MCD) model and high-fat (HF) diet model, have been reported, few models completely reflect the histopathology and pathophysiology of NASH in </w:t>
      </w:r>
      <w:proofErr w:type="gramStart"/>
      <w:r>
        <w:rPr>
          <w:spacing w:val="-11"/>
        </w:rPr>
        <w:t>humans</w:t>
      </w:r>
      <w:r>
        <w:rPr>
          <w:spacing w:val="-11"/>
          <w:vertAlign w:val="superscript"/>
        </w:rPr>
        <w:t>[</w:t>
      </w:r>
      <w:proofErr w:type="gramEnd"/>
      <w:r>
        <w:rPr>
          <w:spacing w:val="-11"/>
          <w:vertAlign w:val="superscript"/>
        </w:rPr>
        <w:t>26,27]</w:t>
      </w:r>
      <w:r>
        <w:rPr>
          <w:spacing w:val="-11"/>
        </w:rPr>
        <w:t xml:space="preserve">. The disadvantages of the MCD model are that MCD mice exhibit severe body weight loss with the absence of insulin resistance. The HF diet model is not suitable for researching the pathogenesis of NASH because a longer period of time is required for presentation of NASH characteristics, and hepatic fibrosis is weaker than that observed in human NASH. Thus, the ability of regeneration in the NASH liver has not yet been assessed in an experimental model. For the same reasons, the effect of hepatectomy on NASH liver has not been clearly elucidated in previous reports. We established a novel experimental NASH model that indicates similar histopathological and pathophysiological characteristics as those of NASH in </w:t>
      </w:r>
      <w:proofErr w:type="gramStart"/>
      <w:r>
        <w:rPr>
          <w:spacing w:val="-11"/>
        </w:rPr>
        <w:t>humans</w:t>
      </w:r>
      <w:r>
        <w:rPr>
          <w:spacing w:val="-11"/>
          <w:vertAlign w:val="superscript"/>
        </w:rPr>
        <w:t>[</w:t>
      </w:r>
      <w:proofErr w:type="gramEnd"/>
      <w:r>
        <w:rPr>
          <w:spacing w:val="-11"/>
          <w:vertAlign w:val="superscript"/>
        </w:rPr>
        <w:t>28]</w:t>
      </w:r>
      <w:r>
        <w:rPr>
          <w:spacing w:val="-11"/>
        </w:rPr>
        <w:t>. The aim of this study was to investigate whether a difference in liver resection volume in a novel NASH model influences surgical outcomes.</w:t>
      </w:r>
    </w:p>
    <w:p w:rsidR="005E5023" w:rsidRPr="00F261B5" w:rsidRDefault="005E5023" w:rsidP="005E5023">
      <w:pPr>
        <w:pStyle w:val="af7"/>
        <w:ind w:left="5250"/>
        <w:rPr>
          <w:lang w:val="en-US"/>
        </w:rPr>
      </w:pPr>
    </w:p>
    <w:p w:rsidR="005E5023" w:rsidRPr="00F261B5" w:rsidRDefault="005E5023" w:rsidP="005E5023">
      <w:pPr>
        <w:pStyle w:val="af7"/>
        <w:ind w:left="5250"/>
        <w:rPr>
          <w:u w:val="single"/>
          <w:lang w:val="en-US"/>
        </w:rPr>
      </w:pPr>
      <w:r w:rsidRPr="00F261B5">
        <w:rPr>
          <w:u w:val="single"/>
          <w:lang w:val="en-US"/>
        </w:rPr>
        <w:t>MATERIALS AND METHODS</w:t>
      </w:r>
    </w:p>
    <w:p w:rsidR="005E5023" w:rsidRPr="00F261B5" w:rsidRDefault="005E5023" w:rsidP="005E5023">
      <w:pPr>
        <w:pStyle w:val="af9"/>
        <w:rPr>
          <w:lang w:val="en-US"/>
        </w:rPr>
      </w:pPr>
      <w:r w:rsidRPr="00F261B5">
        <w:rPr>
          <w:lang w:val="en-US"/>
        </w:rPr>
        <w:t>Animals</w:t>
      </w:r>
    </w:p>
    <w:p w:rsidR="005E5023" w:rsidRDefault="005E5023" w:rsidP="005E5023">
      <w:pPr>
        <w:pStyle w:val="af8"/>
        <w:rPr>
          <w:b/>
          <w:bCs/>
          <w:i/>
          <w:iCs/>
          <w:spacing w:val="-10"/>
        </w:rPr>
      </w:pPr>
      <w:r>
        <w:rPr>
          <w:spacing w:val="-10"/>
        </w:rPr>
        <w:t>Six-week-old male C57BL/6J mice were obtained from Charles River Laboratories Japan, Inc. (Kanagawa, Japan) and were acclimated for one week before the start of the experiment. Mice were maintained under a 12-h light-dark cycle and had free access to standard chow and tap water. The animal experiments were performed in a humane manner after receiving approval from the Institutional University Experiment Committee of the University of Tsukuba and in accordance with the Regulations for Animal Experiments at the university and Fundamental Guidelines for Proper Conduct of Animal Experiment and Related Activities in Academic Research Institutions under the jurisdiction of the Ministry of Education, Culture, Sports, Science, and Technology.</w:t>
      </w:r>
    </w:p>
    <w:p w:rsidR="005E5023" w:rsidRPr="00F261B5" w:rsidRDefault="005E5023" w:rsidP="005E5023">
      <w:pPr>
        <w:pStyle w:val="af9"/>
        <w:rPr>
          <w:lang w:val="en-US"/>
        </w:rPr>
      </w:pPr>
    </w:p>
    <w:p w:rsidR="005E5023" w:rsidRPr="00F261B5" w:rsidRDefault="005E5023" w:rsidP="005E5023">
      <w:pPr>
        <w:pStyle w:val="af9"/>
        <w:rPr>
          <w:lang w:val="en-US"/>
        </w:rPr>
      </w:pPr>
      <w:r w:rsidRPr="00F261B5">
        <w:rPr>
          <w:lang w:val="en-US"/>
        </w:rPr>
        <w:t>NASH mouse model protocol</w:t>
      </w:r>
    </w:p>
    <w:p w:rsidR="005E5023" w:rsidRDefault="005E5023" w:rsidP="005E5023">
      <w:pPr>
        <w:pStyle w:val="af8"/>
        <w:rPr>
          <w:spacing w:val="-9"/>
        </w:rPr>
      </w:pPr>
      <w:r>
        <w:rPr>
          <w:spacing w:val="-9"/>
        </w:rPr>
        <w:t xml:space="preserve">NASH mice were fed an HF diet (60 kcal% fat; D12492, Research Diets, Inc., New Brunswick, NJ, United States) for </w:t>
      </w:r>
      <w:r>
        <w:rPr>
          <w:spacing w:val="-9"/>
        </w:rPr>
        <w:lastRenderedPageBreak/>
        <w:t>4 wk, intraperitoneally injected with CCl</w:t>
      </w:r>
      <w:r>
        <w:rPr>
          <w:spacing w:val="-9"/>
          <w:vertAlign w:val="subscript"/>
        </w:rPr>
        <w:t>4</w:t>
      </w:r>
      <w:r>
        <w:rPr>
          <w:spacing w:val="-9"/>
        </w:rPr>
        <w:t xml:space="preserve"> (Wako Pure Chemical Industries, Ltd., Osaka, Japan) twice a week for the final 2 wk, and intraperitoneally injected with T0901317 (Cayman Chemical Co., Ann Arbor, MI, United States) solubilized in DMSO for the final 5 d. The CCl</w:t>
      </w:r>
      <w:r>
        <w:rPr>
          <w:spacing w:val="-9"/>
          <w:vertAlign w:val="subscript"/>
        </w:rPr>
        <w:t>4</w:t>
      </w:r>
      <w:r>
        <w:rPr>
          <w:spacing w:val="-9"/>
        </w:rPr>
        <w:t xml:space="preserve"> dose was 0.1 mL/kg, and the T0901317 dose was 2.5 mg/</w:t>
      </w:r>
      <w:proofErr w:type="gramStart"/>
      <w:r>
        <w:rPr>
          <w:spacing w:val="-9"/>
        </w:rPr>
        <w:t>kg</w:t>
      </w:r>
      <w:r>
        <w:rPr>
          <w:spacing w:val="-9"/>
          <w:vertAlign w:val="superscript"/>
        </w:rPr>
        <w:t>[</w:t>
      </w:r>
      <w:proofErr w:type="gramEnd"/>
      <w:r>
        <w:rPr>
          <w:spacing w:val="-9"/>
          <w:vertAlign w:val="superscript"/>
        </w:rPr>
        <w:t>28]</w:t>
      </w:r>
      <w:r>
        <w:rPr>
          <w:spacing w:val="-9"/>
        </w:rPr>
        <w:t>.</w:t>
      </w:r>
    </w:p>
    <w:p w:rsidR="005E5023" w:rsidRPr="00F261B5" w:rsidRDefault="005E5023" w:rsidP="005E5023">
      <w:pPr>
        <w:pStyle w:val="af9"/>
        <w:rPr>
          <w:lang w:val="en-US"/>
        </w:rPr>
      </w:pPr>
    </w:p>
    <w:p w:rsidR="005E5023" w:rsidRPr="00F261B5" w:rsidRDefault="005E5023" w:rsidP="005E5023">
      <w:pPr>
        <w:pStyle w:val="af9"/>
        <w:rPr>
          <w:lang w:val="en-US"/>
        </w:rPr>
      </w:pPr>
      <w:r w:rsidRPr="00F261B5">
        <w:rPr>
          <w:lang w:val="en-US"/>
        </w:rPr>
        <w:t>Surgical procedure and anesthesia</w:t>
      </w:r>
    </w:p>
    <w:p w:rsidR="005E5023" w:rsidRDefault="005E5023" w:rsidP="005E5023">
      <w:pPr>
        <w:pStyle w:val="af8"/>
        <w:rPr>
          <w:spacing w:val="-9"/>
        </w:rPr>
      </w:pPr>
      <w:r>
        <w:rPr>
          <w:spacing w:val="-9"/>
        </w:rPr>
        <w:t>We categorized the mice into three groups: (</w:t>
      </w:r>
      <w:r w:rsidRPr="00F261B5">
        <w:rPr>
          <w:spacing w:val="-9"/>
        </w:rPr>
        <w:t>1</w:t>
      </w:r>
      <w:r>
        <w:rPr>
          <w:spacing w:val="-9"/>
        </w:rPr>
        <w:t>) 70% partial hepatectomy (PH) of normal liver mice as the control</w:t>
      </w:r>
      <w:r w:rsidRPr="00F261B5">
        <w:rPr>
          <w:spacing w:val="-9"/>
        </w:rPr>
        <w:t>;</w:t>
      </w:r>
      <w:r>
        <w:rPr>
          <w:spacing w:val="-9"/>
        </w:rPr>
        <w:t xml:space="preserve"> (</w:t>
      </w:r>
      <w:r w:rsidRPr="00F261B5">
        <w:rPr>
          <w:spacing w:val="-9"/>
        </w:rPr>
        <w:t>2</w:t>
      </w:r>
      <w:r>
        <w:rPr>
          <w:spacing w:val="-9"/>
        </w:rPr>
        <w:t xml:space="preserve">) 30% PH of NASH liver group; </w:t>
      </w:r>
      <w:r w:rsidRPr="00F261B5">
        <w:rPr>
          <w:spacing w:val="-9"/>
        </w:rPr>
        <w:t xml:space="preserve">and </w:t>
      </w:r>
      <w:r>
        <w:rPr>
          <w:spacing w:val="-9"/>
        </w:rPr>
        <w:t>(</w:t>
      </w:r>
      <w:r w:rsidRPr="00F261B5">
        <w:rPr>
          <w:spacing w:val="-9"/>
        </w:rPr>
        <w:t>3</w:t>
      </w:r>
      <w:r>
        <w:rPr>
          <w:spacing w:val="-9"/>
        </w:rPr>
        <w:t>) 70% PH of NASH liver group. The normal liver mice have been not added any reagent and the histology and pathology have been not change. In 30% PH and 70% PH of the NASH liver group, liver specimens were evaluated by an experienced pathologist in a blinded fashion, the histology and pathology finding in the NASH severity of each groups have resulted in no difference in the NAFLD activity scores</w:t>
      </w:r>
      <w:r>
        <w:rPr>
          <w:spacing w:val="-9"/>
          <w:vertAlign w:val="superscript"/>
        </w:rPr>
        <w:t>[28]</w:t>
      </w:r>
      <w:r>
        <w:rPr>
          <w:spacing w:val="-9"/>
        </w:rPr>
        <w:t>. All mice received the hepatectomy 48 h after the final administration of CCl</w:t>
      </w:r>
      <w:r>
        <w:rPr>
          <w:spacing w:val="-9"/>
          <w:vertAlign w:val="subscript"/>
        </w:rPr>
        <w:t>4</w:t>
      </w:r>
      <w:r>
        <w:rPr>
          <w:spacing w:val="-9"/>
        </w:rPr>
        <w:t xml:space="preserve"> and T0901317. In the 70% PH groups, the left and middle lobes of the liver were removed by using a single ligature, whereas only the left lobe was removed in the 30% PH </w:t>
      </w:r>
      <w:proofErr w:type="gramStart"/>
      <w:r>
        <w:rPr>
          <w:spacing w:val="-9"/>
        </w:rPr>
        <w:t>group</w:t>
      </w:r>
      <w:r>
        <w:rPr>
          <w:spacing w:val="-9"/>
          <w:vertAlign w:val="superscript"/>
        </w:rPr>
        <w:t>[</w:t>
      </w:r>
      <w:proofErr w:type="gramEnd"/>
      <w:r>
        <w:rPr>
          <w:spacing w:val="-9"/>
          <w:vertAlign w:val="superscript"/>
        </w:rPr>
        <w:t>29]</w:t>
      </w:r>
      <w:r>
        <w:rPr>
          <w:spacing w:val="-9"/>
        </w:rPr>
        <w:t>. Hepatectomy was performed under ether anesthesia.</w:t>
      </w:r>
    </w:p>
    <w:p w:rsidR="005E5023" w:rsidRPr="00F261B5" w:rsidRDefault="005E5023" w:rsidP="005E5023">
      <w:pPr>
        <w:pStyle w:val="af9"/>
        <w:rPr>
          <w:lang w:val="en-US"/>
        </w:rPr>
      </w:pPr>
    </w:p>
    <w:p w:rsidR="005E5023" w:rsidRPr="00F261B5" w:rsidRDefault="005E5023" w:rsidP="005E5023">
      <w:pPr>
        <w:pStyle w:val="af9"/>
        <w:rPr>
          <w:lang w:val="en-US"/>
        </w:rPr>
      </w:pPr>
      <w:r w:rsidRPr="00F261B5">
        <w:rPr>
          <w:lang w:val="en-US"/>
        </w:rPr>
        <w:t>Liver tissue collection</w:t>
      </w:r>
    </w:p>
    <w:p w:rsidR="005E5023" w:rsidRDefault="005E5023" w:rsidP="005E5023">
      <w:pPr>
        <w:pStyle w:val="af8"/>
        <w:rPr>
          <w:spacing w:val="-8"/>
        </w:rPr>
      </w:pPr>
      <w:r>
        <w:rPr>
          <w:spacing w:val="-8"/>
        </w:rPr>
        <w:t>Blood samples were collected from the orbital capillary and centrifuged at 3000 rpm for 10 min to isolate the serum. Each sample was stored at -80</w:t>
      </w:r>
      <w:r w:rsidRPr="00F261B5">
        <w:rPr>
          <w:rFonts w:ascii="MS Gothic" w:eastAsia="MS Gothic" w:hAnsi="MS Gothic" w:cs="MS Gothic" w:hint="eastAsia"/>
          <w:spacing w:val="-8"/>
        </w:rPr>
        <w:t> </w:t>
      </w:r>
      <w:r>
        <w:rPr>
          <w:rFonts w:ascii="宋体" w:cs="宋体" w:hint="eastAsia"/>
          <w:spacing w:val="-8"/>
        </w:rPr>
        <w:t>℃</w:t>
      </w:r>
      <w:r>
        <w:rPr>
          <w:spacing w:val="-8"/>
        </w:rPr>
        <w:t xml:space="preserve"> until analysis. Mice of each group were sacrificed at 6</w:t>
      </w:r>
      <w:r w:rsidRPr="00F261B5">
        <w:rPr>
          <w:spacing w:val="-8"/>
        </w:rPr>
        <w:t xml:space="preserve"> </w:t>
      </w:r>
      <w:r>
        <w:rPr>
          <w:spacing w:val="-8"/>
        </w:rPr>
        <w:t>h and 12 h after PH. Then, the liver was quickly removed and weighed. The liver specimen was immediately fixed in 10% neutral-buffered formalin for further histological examination. Survival rates were evaluated in the NASH 70% PH group (</w:t>
      </w:r>
      <w:r>
        <w:rPr>
          <w:i/>
          <w:iCs/>
          <w:spacing w:val="-8"/>
        </w:rPr>
        <w:t>n</w:t>
      </w:r>
      <w:r w:rsidRPr="00F261B5">
        <w:rPr>
          <w:i/>
          <w:iCs/>
          <w:spacing w:val="-8"/>
        </w:rPr>
        <w:t xml:space="preserve"> </w:t>
      </w:r>
      <w:r>
        <w:rPr>
          <w:spacing w:val="-8"/>
        </w:rPr>
        <w:t>=</w:t>
      </w:r>
      <w:r w:rsidRPr="00F261B5">
        <w:rPr>
          <w:spacing w:val="-8"/>
        </w:rPr>
        <w:t xml:space="preserve"> </w:t>
      </w:r>
      <w:r>
        <w:rPr>
          <w:spacing w:val="-8"/>
        </w:rPr>
        <w:t>32) and NASH 30% PH group (</w:t>
      </w:r>
      <w:r>
        <w:rPr>
          <w:i/>
          <w:iCs/>
          <w:spacing w:val="-8"/>
        </w:rPr>
        <w:t>n</w:t>
      </w:r>
      <w:r w:rsidRPr="00F261B5">
        <w:rPr>
          <w:spacing w:val="-8"/>
        </w:rPr>
        <w:t xml:space="preserve"> </w:t>
      </w:r>
      <w:r>
        <w:rPr>
          <w:spacing w:val="-8"/>
        </w:rPr>
        <w:t>=</w:t>
      </w:r>
      <w:r w:rsidRPr="00F261B5">
        <w:rPr>
          <w:spacing w:val="-8"/>
        </w:rPr>
        <w:t xml:space="preserve"> </w:t>
      </w:r>
      <w:r>
        <w:rPr>
          <w:spacing w:val="-8"/>
        </w:rPr>
        <w:t>27).</w:t>
      </w:r>
    </w:p>
    <w:p w:rsidR="005E5023" w:rsidRPr="00F261B5" w:rsidRDefault="005E5023" w:rsidP="005E5023">
      <w:pPr>
        <w:pStyle w:val="af9"/>
        <w:rPr>
          <w:lang w:val="en-US"/>
        </w:rPr>
      </w:pPr>
    </w:p>
    <w:p w:rsidR="005E5023" w:rsidRPr="00F261B5" w:rsidRDefault="005E5023" w:rsidP="005E5023">
      <w:pPr>
        <w:pStyle w:val="af9"/>
        <w:rPr>
          <w:lang w:val="en-US"/>
        </w:rPr>
      </w:pPr>
      <w:r w:rsidRPr="00F261B5">
        <w:rPr>
          <w:lang w:val="en-US"/>
        </w:rPr>
        <w:t>Histology and immunohistochemistry</w:t>
      </w:r>
    </w:p>
    <w:p w:rsidR="005E5023" w:rsidRDefault="005E5023" w:rsidP="005E5023">
      <w:pPr>
        <w:pStyle w:val="af8"/>
        <w:rPr>
          <w:spacing w:val="-9"/>
        </w:rPr>
      </w:pPr>
      <w:r>
        <w:rPr>
          <w:spacing w:val="-9"/>
        </w:rPr>
        <w:t>Fixed liver tissues were processed and embedded in paraffin using standard methods. Then, liver tissues were sliced into 2-</w:t>
      </w:r>
      <w:r>
        <w:rPr>
          <w:rFonts w:ascii="Symbol" w:hAnsi="Symbol" w:cs="Symbol"/>
          <w:spacing w:val="-9"/>
        </w:rPr>
        <w:t></w:t>
      </w:r>
      <w:r>
        <w:rPr>
          <w:spacing w:val="-9"/>
        </w:rPr>
        <w:t xml:space="preserve">m thick paraffin sections and stained with hematoxylin and eosin (HE) to evaluate necrosis. Necrotic areas were detected by morphological features, and the ratio of necrosis/total area was calculated in 20 random intralobular fields. Liver proliferation was assessed by Ki-67 staining. Apoptosis was detected by TUNEL staining. TUNEL staining and Ki-67 staining </w:t>
      </w:r>
      <w:proofErr w:type="gramStart"/>
      <w:r>
        <w:rPr>
          <w:spacing w:val="-9"/>
        </w:rPr>
        <w:t>were</w:t>
      </w:r>
      <w:proofErr w:type="gramEnd"/>
      <w:r>
        <w:rPr>
          <w:spacing w:val="-9"/>
        </w:rPr>
        <w:t xml:space="preserve"> performed using an antibody kit (New History Science Laboratory Co., Ltd., Tokyo, Japan). The ratio of positive/total hepatocytes was calculated in 20 random intralobular fields.</w:t>
      </w:r>
    </w:p>
    <w:p w:rsidR="005E5023" w:rsidRPr="00F261B5" w:rsidRDefault="005E5023" w:rsidP="005E5023">
      <w:pPr>
        <w:pStyle w:val="af9"/>
        <w:rPr>
          <w:lang w:val="en-US"/>
        </w:rPr>
      </w:pPr>
    </w:p>
    <w:p w:rsidR="005E5023" w:rsidRPr="00F261B5" w:rsidRDefault="005E5023" w:rsidP="005E5023">
      <w:pPr>
        <w:pStyle w:val="af9"/>
        <w:rPr>
          <w:lang w:val="en-US"/>
        </w:rPr>
      </w:pPr>
      <w:r w:rsidRPr="00F261B5">
        <w:rPr>
          <w:lang w:val="en-US"/>
        </w:rPr>
        <w:t>Immunoblotting</w:t>
      </w:r>
    </w:p>
    <w:p w:rsidR="005E5023" w:rsidRDefault="005E5023" w:rsidP="005E5023">
      <w:pPr>
        <w:pStyle w:val="af8"/>
        <w:rPr>
          <w:spacing w:val="-10"/>
        </w:rPr>
      </w:pPr>
      <w:r>
        <w:rPr>
          <w:spacing w:val="-10"/>
        </w:rPr>
        <w:t xml:space="preserve">Liver tissue extracts were prepared from specimens that were frozen in liquid nitrogen. We evaluated the expression of signaling proteins involved in liver regeneration, including AKT, STAT3, and ERK1/2, by western blotting. We compared the expression levels of these proteins in each group 6 h after PH. Immunoblots were developed using </w:t>
      </w:r>
      <w:r>
        <w:rPr>
          <w:spacing w:val="-10"/>
        </w:rPr>
        <w:lastRenderedPageBreak/>
        <w:t>polyclonal antibodies against phospho-AKT (9271), total AKT (9272), phospho-STAT3 (9131), total STAT3 (9132), phospho-ERK1/2 (9101), and total ERK1/2 (9102) (Cell Signaling Technology, Beverly, MA</w:t>
      </w:r>
      <w:r w:rsidRPr="00F261B5">
        <w:rPr>
          <w:spacing w:val="-10"/>
        </w:rPr>
        <w:t>, United States</w:t>
      </w:r>
      <w:r>
        <w:rPr>
          <w:spacing w:val="-10"/>
        </w:rPr>
        <w:t>).</w:t>
      </w:r>
    </w:p>
    <w:p w:rsidR="005E5023" w:rsidRPr="00F261B5" w:rsidRDefault="005E5023" w:rsidP="005E5023">
      <w:pPr>
        <w:pStyle w:val="af9"/>
        <w:rPr>
          <w:lang w:val="en-US"/>
        </w:rPr>
      </w:pPr>
    </w:p>
    <w:p w:rsidR="005E5023" w:rsidRPr="00F261B5" w:rsidRDefault="005E5023" w:rsidP="005E5023">
      <w:pPr>
        <w:pStyle w:val="af9"/>
        <w:rPr>
          <w:lang w:val="en-US"/>
        </w:rPr>
      </w:pPr>
      <w:r w:rsidRPr="00F261B5">
        <w:rPr>
          <w:lang w:val="en-US"/>
        </w:rPr>
        <w:t>Gene expression analysis</w:t>
      </w:r>
    </w:p>
    <w:p w:rsidR="005E5023" w:rsidRDefault="005E5023" w:rsidP="005E5023">
      <w:pPr>
        <w:pStyle w:val="af8"/>
        <w:rPr>
          <w:spacing w:val="-10"/>
        </w:rPr>
      </w:pPr>
      <w:r>
        <w:rPr>
          <w:spacing w:val="-10"/>
        </w:rPr>
        <w:t>Liver tissue samples were freshly collected and immediately frozen at -30</w:t>
      </w:r>
      <w:r>
        <w:rPr>
          <w:rFonts w:ascii="MS Gothic" w:eastAsia="MS Gothic" w:hAnsi="MS Gothic" w:cs="MS Gothic" w:hint="eastAsia"/>
          <w:spacing w:val="-10"/>
        </w:rPr>
        <w:t> </w:t>
      </w:r>
      <w:r>
        <w:rPr>
          <w:rFonts w:ascii="宋体" w:cs="宋体" w:hint="eastAsia"/>
          <w:spacing w:val="-10"/>
        </w:rPr>
        <w:t>℃</w:t>
      </w:r>
      <w:r>
        <w:rPr>
          <w:spacing w:val="-10"/>
        </w:rPr>
        <w:t xml:space="preserve"> until investigation. Frozen liver samples were homogenized, and total RNA was isolated from whole cells using a NucleoSpin</w:t>
      </w:r>
      <w:r>
        <w:rPr>
          <w:rFonts w:ascii="Garamond" w:hAnsi="Garamond" w:cs="Garamond"/>
          <w:spacing w:val="-10"/>
          <w:position w:val="-4"/>
          <w:vertAlign w:val="superscript"/>
        </w:rPr>
        <w:t>®</w:t>
      </w:r>
      <w:r>
        <w:rPr>
          <w:spacing w:val="-10"/>
        </w:rPr>
        <w:t xml:space="preserve"> RNA kit (Takara Bio, Inc., Otsu, Japan). RNA concentrations were determined by measuring the absorbance at 260/280 nm with a NanoDrop Spectrophotometer (Thermo Fisher Scientific, Inc., Wilmington, DE</w:t>
      </w:r>
      <w:r w:rsidRPr="00F261B5">
        <w:rPr>
          <w:spacing w:val="-10"/>
        </w:rPr>
        <w:t>, United States</w:t>
      </w:r>
      <w:r>
        <w:rPr>
          <w:spacing w:val="-10"/>
        </w:rPr>
        <w:t>). Synthesis of complementary DNA was performed using AMV Reverse Transcriptase (Promega, Corp., Madison, WI</w:t>
      </w:r>
      <w:r w:rsidRPr="00F261B5">
        <w:rPr>
          <w:spacing w:val="-10"/>
        </w:rPr>
        <w:t>, United States</w:t>
      </w:r>
      <w:r>
        <w:rPr>
          <w:spacing w:val="-10"/>
        </w:rPr>
        <w:t xml:space="preserve">) and random primers (Takara Bio, Inc., Otsu, Japan). Briefly, a mixture of 1 mmol/L dNTPs (Fermentas Life Sciences, Inc., Burlington, ON, Canada), 0.025 </w:t>
      </w:r>
      <w:r>
        <w:rPr>
          <w:rFonts w:ascii="Symbol" w:hAnsi="Symbol" w:cs="Symbol"/>
          <w:spacing w:val="-10"/>
        </w:rPr>
        <w:t></w:t>
      </w:r>
      <w:r>
        <w:rPr>
          <w:spacing w:val="-10"/>
        </w:rPr>
        <w:t>g/mL random primers, 0.25 U/mL reverse transcriptase, and 500 ng of total RNA was incubated at 30</w:t>
      </w:r>
      <w:r w:rsidRPr="00F261B5">
        <w:rPr>
          <w:rFonts w:ascii="MS Gothic" w:eastAsia="MS Gothic" w:hAnsi="MS Gothic" w:cs="MS Gothic" w:hint="eastAsia"/>
          <w:spacing w:val="-10"/>
        </w:rPr>
        <w:t> </w:t>
      </w:r>
      <w:r>
        <w:rPr>
          <w:rFonts w:ascii="宋体" w:cs="宋体" w:hint="eastAsia"/>
          <w:spacing w:val="-10"/>
        </w:rPr>
        <w:t>℃</w:t>
      </w:r>
      <w:r>
        <w:rPr>
          <w:spacing w:val="-10"/>
        </w:rPr>
        <w:t xml:space="preserve"> for 10 min, 37</w:t>
      </w:r>
      <w:r w:rsidRPr="00F261B5">
        <w:rPr>
          <w:rFonts w:ascii="MS Gothic" w:eastAsia="MS Gothic" w:hAnsi="MS Gothic" w:cs="MS Gothic" w:hint="eastAsia"/>
          <w:spacing w:val="-10"/>
        </w:rPr>
        <w:t> </w:t>
      </w:r>
      <w:r>
        <w:rPr>
          <w:rFonts w:ascii="宋体" w:cs="宋体" w:hint="eastAsia"/>
          <w:spacing w:val="-10"/>
        </w:rPr>
        <w:t>℃</w:t>
      </w:r>
      <w:r>
        <w:rPr>
          <w:spacing w:val="-10"/>
        </w:rPr>
        <w:t xml:space="preserve"> for 60 min, 95</w:t>
      </w:r>
      <w:r w:rsidRPr="00F261B5">
        <w:rPr>
          <w:rFonts w:ascii="MS Gothic" w:eastAsia="MS Gothic" w:hAnsi="MS Gothic" w:cs="MS Gothic" w:hint="eastAsia"/>
          <w:spacing w:val="-10"/>
        </w:rPr>
        <w:t> </w:t>
      </w:r>
      <w:r>
        <w:rPr>
          <w:rFonts w:ascii="宋体" w:cs="宋体" w:hint="eastAsia"/>
          <w:spacing w:val="-10"/>
        </w:rPr>
        <w:t>℃</w:t>
      </w:r>
      <w:r>
        <w:rPr>
          <w:spacing w:val="-10"/>
        </w:rPr>
        <w:t xml:space="preserve"> for 5 min and 4</w:t>
      </w:r>
      <w:r w:rsidRPr="00F261B5">
        <w:rPr>
          <w:rFonts w:ascii="MS Gothic" w:eastAsia="MS Gothic" w:hAnsi="MS Gothic" w:cs="MS Gothic" w:hint="eastAsia"/>
          <w:spacing w:val="-10"/>
        </w:rPr>
        <w:t> </w:t>
      </w:r>
      <w:r>
        <w:rPr>
          <w:rFonts w:ascii="宋体" w:cs="宋体" w:hint="eastAsia"/>
          <w:spacing w:val="-10"/>
        </w:rPr>
        <w:t>℃</w:t>
      </w:r>
      <w:r>
        <w:rPr>
          <w:spacing w:val="-10"/>
        </w:rPr>
        <w:t xml:space="preserve"> before storage at -80</w:t>
      </w:r>
      <w:r w:rsidRPr="00F261B5">
        <w:rPr>
          <w:rFonts w:ascii="MS Gothic" w:eastAsia="MS Gothic" w:hAnsi="MS Gothic" w:cs="MS Gothic" w:hint="eastAsia"/>
          <w:spacing w:val="-10"/>
        </w:rPr>
        <w:t> </w:t>
      </w:r>
      <w:r>
        <w:rPr>
          <w:rFonts w:ascii="宋体" w:cs="宋体" w:hint="eastAsia"/>
          <w:spacing w:val="-10"/>
        </w:rPr>
        <w:t>℃</w:t>
      </w:r>
      <w:r>
        <w:rPr>
          <w:spacing w:val="-10"/>
        </w:rPr>
        <w:t>.</w:t>
      </w:r>
    </w:p>
    <w:p w:rsidR="005E5023" w:rsidRDefault="005E5023" w:rsidP="005E5023">
      <w:pPr>
        <w:pStyle w:val="10"/>
        <w:rPr>
          <w:spacing w:val="-10"/>
        </w:rPr>
      </w:pPr>
      <w:r>
        <w:rPr>
          <w:spacing w:val="-10"/>
        </w:rPr>
        <w:t>RT-PCR primers were designed using Primer Express Software for Real-time PCR ver. 3.0 (Applied Biosystems, Inc., Foster City, CA, United States) based on the sequ</w:t>
      </w:r>
      <w:r>
        <w:rPr>
          <w:spacing w:val="-10"/>
        </w:rPr>
        <w:softHyphen/>
        <w:t xml:space="preserve">ences available in GenBank. Primers were purchased from Takara Bio, Inc. (Otsu, Japan). </w:t>
      </w:r>
      <w:r>
        <w:rPr>
          <w:i/>
          <w:iCs/>
          <w:spacing w:val="-10"/>
        </w:rPr>
        <w:t>GADD45A</w:t>
      </w:r>
      <w:r>
        <w:rPr>
          <w:spacing w:val="-10"/>
        </w:rPr>
        <w:t xml:space="preserve"> primer sequences were 5’-CCTGCACTGTGTGCTGGTGA-3’ and 5’-CCACTGATCCATGTAGCGACTTTC-3’. </w:t>
      </w:r>
      <w:r>
        <w:rPr>
          <w:i/>
          <w:iCs/>
          <w:spacing w:val="-10"/>
        </w:rPr>
        <w:t>PDE4B</w:t>
      </w:r>
      <w:r>
        <w:rPr>
          <w:spacing w:val="-10"/>
        </w:rPr>
        <w:t xml:space="preserve"> primer sequences were 5’-CCCATCAGCAGTTAAGGACAGGA-3’ and 5’-TGGGCAGAACTAGGGACTCAAGA-3’.</w:t>
      </w:r>
    </w:p>
    <w:p w:rsidR="005E5023" w:rsidRDefault="005E5023" w:rsidP="005E5023">
      <w:pPr>
        <w:pStyle w:val="10"/>
        <w:rPr>
          <w:spacing w:val="-10"/>
        </w:rPr>
      </w:pPr>
      <w:r>
        <w:rPr>
          <w:spacing w:val="-11"/>
        </w:rPr>
        <w:t xml:space="preserve">Glyceraldehyde-3-phosphate dehydrogenase </w:t>
      </w:r>
      <w:r>
        <w:rPr>
          <w:spacing w:val="-10"/>
        </w:rPr>
        <w:t>(</w:t>
      </w:r>
      <w:r>
        <w:rPr>
          <w:i/>
          <w:iCs/>
          <w:spacing w:val="-10"/>
        </w:rPr>
        <w:t>GAPDH</w:t>
      </w:r>
      <w:r>
        <w:rPr>
          <w:spacing w:val="-10"/>
        </w:rPr>
        <w:t>) was used as an endogenous control. RT-PCR was performed using SYBR-Green Real-Time PCR Master Mix-Plus (Toyobo Co., Ltd., Osaka, Japan) and an Applied Biosystems 7300 real-time PCR system (Applied Biosystems, Inc., Foster City, CA</w:t>
      </w:r>
      <w:r w:rsidRPr="00F261B5">
        <w:rPr>
          <w:spacing w:val="-10"/>
        </w:rPr>
        <w:t>, United States</w:t>
      </w:r>
      <w:r>
        <w:rPr>
          <w:spacing w:val="-10"/>
        </w:rPr>
        <w:t>) as recommended by the manufacturer’s instructions</w:t>
      </w:r>
      <w:r>
        <w:rPr>
          <w:spacing w:val="-10"/>
          <w:vertAlign w:val="superscript"/>
        </w:rPr>
        <w:t>[28]</w:t>
      </w:r>
      <w:r>
        <w:rPr>
          <w:spacing w:val="-10"/>
        </w:rPr>
        <w:t>.</w:t>
      </w:r>
    </w:p>
    <w:p w:rsidR="005E5023" w:rsidRPr="00F261B5" w:rsidRDefault="005E5023" w:rsidP="005E5023">
      <w:pPr>
        <w:pStyle w:val="af9"/>
        <w:rPr>
          <w:lang w:val="en-US"/>
        </w:rPr>
      </w:pPr>
    </w:p>
    <w:p w:rsidR="005E5023" w:rsidRPr="00F261B5" w:rsidRDefault="005E5023" w:rsidP="005E5023">
      <w:pPr>
        <w:pStyle w:val="af9"/>
        <w:rPr>
          <w:lang w:val="en-US"/>
        </w:rPr>
      </w:pPr>
      <w:r w:rsidRPr="00F261B5">
        <w:rPr>
          <w:lang w:val="en-US"/>
        </w:rPr>
        <w:t>Microarray analysis</w:t>
      </w:r>
    </w:p>
    <w:p w:rsidR="005E5023" w:rsidRDefault="005E5023" w:rsidP="005E5023">
      <w:pPr>
        <w:pStyle w:val="af8"/>
        <w:rPr>
          <w:spacing w:val="-10"/>
        </w:rPr>
      </w:pPr>
      <w:r>
        <w:rPr>
          <w:spacing w:val="-10"/>
        </w:rPr>
        <w:t>DNA microarray analysis was conducted on RNA samples isolated from liver tissue in the control group and novel NASH model group. Labeled cRNA was synthesized from 100 ng of total RNA using a GeneChip</w:t>
      </w:r>
      <w:r>
        <w:rPr>
          <w:rFonts w:ascii="Garamond" w:hAnsi="Garamond" w:cs="Garamond"/>
          <w:position w:val="-4"/>
          <w:vertAlign w:val="superscript"/>
        </w:rPr>
        <w:t>®</w:t>
      </w:r>
      <w:r>
        <w:t xml:space="preserve"> 3’ IVT Plus Reagent Kit (Affymetrix, Inc., Santa Clara, </w:t>
      </w:r>
      <w:r>
        <w:rPr>
          <w:spacing w:val="-10"/>
        </w:rPr>
        <w:t>CA</w:t>
      </w:r>
      <w:r w:rsidRPr="00F261B5">
        <w:rPr>
          <w:spacing w:val="-10"/>
        </w:rPr>
        <w:t xml:space="preserve">, </w:t>
      </w:r>
      <w:r>
        <w:rPr>
          <w:spacing w:val="-10"/>
        </w:rPr>
        <w:t xml:space="preserve">United States) according to the manufacturer’s protocol. Fragmented and labeled cRNA (7.5 </w:t>
      </w:r>
      <w:r>
        <w:rPr>
          <w:rFonts w:ascii="Symbol" w:hAnsi="Symbol" w:cs="Symbol"/>
          <w:spacing w:val="-10"/>
        </w:rPr>
        <w:t></w:t>
      </w:r>
      <w:r>
        <w:rPr>
          <w:spacing w:val="-10"/>
        </w:rPr>
        <w:t>g) was hybridized to an Affymetrix Mouse MG-430 PM Array Strip (Affymetrix) for 16 h at 45</w:t>
      </w:r>
      <w:r w:rsidRPr="00F261B5">
        <w:rPr>
          <w:rFonts w:ascii="MS Gothic" w:eastAsia="MS Gothic" w:hAnsi="MS Gothic" w:cs="MS Gothic" w:hint="eastAsia"/>
          <w:spacing w:val="-10"/>
        </w:rPr>
        <w:t> </w:t>
      </w:r>
      <w:r>
        <w:rPr>
          <w:rFonts w:ascii="宋体" w:cs="宋体" w:hint="eastAsia"/>
          <w:spacing w:val="-10"/>
        </w:rPr>
        <w:t>℃</w:t>
      </w:r>
      <w:r>
        <w:rPr>
          <w:spacing w:val="-10"/>
        </w:rPr>
        <w:t xml:space="preserve">. The strips were washed and stained using a GeneAtlas Fluidics Station 400 (Affymetrix), </w:t>
      </w:r>
      <w:r>
        <w:rPr>
          <w:spacing w:val="-11"/>
        </w:rPr>
        <w:t xml:space="preserve">and the resulting images were scanned using a </w:t>
      </w:r>
      <w:r>
        <w:rPr>
          <w:spacing w:val="-10"/>
        </w:rPr>
        <w:t xml:space="preserve">GeneAtlas Imaging Station (Affymetrix). Probe-level analysis, including background subtraction and quantile normalization, was conducted using a robust multiarray average algorithm (RMA) using Affymetrix Expression Console Software 1.4 (Affymetrix). The gene expression profile of the novel NASH model was compared with the HF group. Genes exhibiting differences in expression with an increase of greater than 1.4-fold and a decrease of less than 0.65-fold were classified as differentially expressed </w:t>
      </w:r>
      <w:proofErr w:type="gramStart"/>
      <w:r>
        <w:rPr>
          <w:spacing w:val="-10"/>
        </w:rPr>
        <w:t>genes</w:t>
      </w:r>
      <w:r>
        <w:rPr>
          <w:spacing w:val="-10"/>
          <w:vertAlign w:val="superscript"/>
        </w:rPr>
        <w:t>[</w:t>
      </w:r>
      <w:proofErr w:type="gramEnd"/>
      <w:r>
        <w:rPr>
          <w:spacing w:val="-10"/>
          <w:vertAlign w:val="superscript"/>
        </w:rPr>
        <w:t>28]</w:t>
      </w:r>
      <w:r>
        <w:rPr>
          <w:spacing w:val="-10"/>
        </w:rPr>
        <w:t>.</w:t>
      </w:r>
    </w:p>
    <w:p w:rsidR="005E5023" w:rsidRPr="00F261B5" w:rsidRDefault="005E5023" w:rsidP="005E5023">
      <w:pPr>
        <w:pStyle w:val="af9"/>
        <w:rPr>
          <w:lang w:val="en-US"/>
        </w:rPr>
      </w:pPr>
    </w:p>
    <w:p w:rsidR="005E5023" w:rsidRPr="00F261B5" w:rsidRDefault="005E5023" w:rsidP="005E5023">
      <w:pPr>
        <w:pStyle w:val="af9"/>
        <w:rPr>
          <w:lang w:val="en-US"/>
        </w:rPr>
      </w:pPr>
      <w:r w:rsidRPr="00F261B5">
        <w:rPr>
          <w:lang w:val="en-US"/>
        </w:rPr>
        <w:t>Statistical analysis</w:t>
      </w:r>
    </w:p>
    <w:p w:rsidR="005E5023" w:rsidRDefault="005E5023" w:rsidP="005E5023">
      <w:pPr>
        <w:pStyle w:val="af8"/>
        <w:rPr>
          <w:b/>
          <w:bCs/>
          <w:i/>
          <w:iCs/>
          <w:spacing w:val="-10"/>
        </w:rPr>
      </w:pPr>
      <w:r>
        <w:rPr>
          <w:spacing w:val="-10"/>
        </w:rPr>
        <w:t xml:space="preserve">All data are expressed as the mean </w:t>
      </w:r>
      <w:r>
        <w:rPr>
          <w:rFonts w:ascii="Garamond" w:hAnsi="Garamond" w:cs="Garamond"/>
          <w:spacing w:val="-10"/>
        </w:rPr>
        <w:t>±</w:t>
      </w:r>
      <w:r>
        <w:rPr>
          <w:spacing w:val="-10"/>
        </w:rPr>
        <w:t xml:space="preserve"> </w:t>
      </w:r>
      <w:r w:rsidRPr="00F261B5">
        <w:rPr>
          <w:spacing w:val="-10"/>
        </w:rPr>
        <w:t>SD</w:t>
      </w:r>
      <w:r>
        <w:rPr>
          <w:spacing w:val="-10"/>
        </w:rPr>
        <w:t xml:space="preserve">. Statistical analyses were conducted using PRISM. Mann-Whitney </w:t>
      </w:r>
      <w:r>
        <w:rPr>
          <w:i/>
          <w:iCs/>
          <w:spacing w:val="-10"/>
        </w:rPr>
        <w:t>U</w:t>
      </w:r>
      <w:r>
        <w:rPr>
          <w:spacing w:val="-10"/>
        </w:rPr>
        <w:t xml:space="preserve"> test was used for comparing between two groups. </w:t>
      </w:r>
      <w:r>
        <w:rPr>
          <w:i/>
          <w:iCs/>
          <w:spacing w:val="-10"/>
        </w:rPr>
        <w:t>P</w:t>
      </w:r>
      <w:r>
        <w:rPr>
          <w:spacing w:val="-10"/>
        </w:rPr>
        <w:t>-values less than 0.05 were considered significant. The Kaplan-Meier estimator was used for survival rate evaluation.</w:t>
      </w:r>
    </w:p>
    <w:p w:rsidR="005E5023" w:rsidRPr="00F261B5" w:rsidRDefault="005E5023" w:rsidP="005E5023">
      <w:pPr>
        <w:pStyle w:val="af7"/>
        <w:ind w:left="5250"/>
        <w:rPr>
          <w:lang w:val="en-US"/>
        </w:rPr>
      </w:pPr>
    </w:p>
    <w:p w:rsidR="005E5023" w:rsidRPr="00F261B5" w:rsidRDefault="005E5023" w:rsidP="005E5023">
      <w:pPr>
        <w:pStyle w:val="af7"/>
        <w:ind w:left="5250"/>
        <w:rPr>
          <w:u w:val="single"/>
          <w:lang w:val="en-US"/>
        </w:rPr>
      </w:pPr>
      <w:r w:rsidRPr="00F261B5">
        <w:rPr>
          <w:u w:val="single"/>
          <w:lang w:val="en-US"/>
        </w:rPr>
        <w:t>RESULTS</w:t>
      </w:r>
    </w:p>
    <w:p w:rsidR="005E5023" w:rsidRPr="00F261B5" w:rsidRDefault="005E5023" w:rsidP="005E5023">
      <w:pPr>
        <w:pStyle w:val="af9"/>
        <w:rPr>
          <w:lang w:val="en-US"/>
        </w:rPr>
      </w:pPr>
      <w:r w:rsidRPr="00F261B5">
        <w:rPr>
          <w:lang w:val="en-US"/>
        </w:rPr>
        <w:t>Survival rate</w:t>
      </w:r>
    </w:p>
    <w:p w:rsidR="005E5023" w:rsidRDefault="005E5023" w:rsidP="005E5023">
      <w:pPr>
        <w:pStyle w:val="af8"/>
        <w:rPr>
          <w:spacing w:val="-10"/>
        </w:rPr>
      </w:pPr>
      <w:r>
        <w:rPr>
          <w:spacing w:val="-10"/>
        </w:rPr>
        <w:t>The survival rate of the NASH 70% PH group was significantly lower than that of the NASH 30% PH group (</w:t>
      </w:r>
      <w:r>
        <w:rPr>
          <w:i/>
          <w:iCs/>
          <w:spacing w:val="-10"/>
        </w:rPr>
        <w:t>P</w:t>
      </w:r>
      <w:r>
        <w:rPr>
          <w:spacing w:val="-10"/>
        </w:rPr>
        <w:t xml:space="preserve"> &lt; 0.01) (Figure 1), and 10 of 32 mice in the NASH 70% PH group died within 48 h after PH. On the other hand, all mice in the NASH 30% PH group survived.</w:t>
      </w:r>
    </w:p>
    <w:p w:rsidR="005E5023" w:rsidRDefault="005E5023" w:rsidP="005E5023">
      <w:pPr>
        <w:pStyle w:val="af8"/>
      </w:pPr>
    </w:p>
    <w:p w:rsidR="005E5023" w:rsidRPr="00F261B5" w:rsidRDefault="005E5023" w:rsidP="005E5023">
      <w:pPr>
        <w:pStyle w:val="af9"/>
        <w:rPr>
          <w:lang w:val="en-US"/>
        </w:rPr>
      </w:pPr>
      <w:r w:rsidRPr="00F261B5">
        <w:rPr>
          <w:lang w:val="en-US"/>
        </w:rPr>
        <w:t>Liver function</w:t>
      </w:r>
    </w:p>
    <w:p w:rsidR="005E5023" w:rsidRDefault="005E5023" w:rsidP="005E5023">
      <w:pPr>
        <w:pStyle w:val="af8"/>
        <w:rPr>
          <w:spacing w:val="-10"/>
        </w:rPr>
      </w:pPr>
      <w:r>
        <w:rPr>
          <w:spacing w:val="-10"/>
        </w:rPr>
        <w:t xml:space="preserve">At 6 and 12 h after PH, serum aspartate aminotrans ferase (AST) and alanine aminotransferase (ALT) levels were high in all three groups. AST levels in the NASH 70% PH group were significantly higher than the levels in the other two groups (AST: </w:t>
      </w:r>
      <w:r>
        <w:rPr>
          <w:i/>
          <w:iCs/>
          <w:spacing w:val="-10"/>
        </w:rPr>
        <w:t>P</w:t>
      </w:r>
      <w:r>
        <w:rPr>
          <w:spacing w:val="-10"/>
        </w:rPr>
        <w:t xml:space="preserve"> &lt; 0.05). Total bilirubin (T-Bil) in the normal liver and NASH 30% PH groups did not change, but the values only significantly increased in the NASH 70% PH group (</w:t>
      </w:r>
      <w:r>
        <w:rPr>
          <w:i/>
          <w:iCs/>
          <w:spacing w:val="-10"/>
        </w:rPr>
        <w:t>P</w:t>
      </w:r>
      <w:r>
        <w:rPr>
          <w:spacing w:val="-10"/>
        </w:rPr>
        <w:t xml:space="preserve"> &lt; 0.01) (Table 1).</w:t>
      </w:r>
    </w:p>
    <w:p w:rsidR="005E5023" w:rsidRPr="00F261B5" w:rsidRDefault="005E5023" w:rsidP="005E5023">
      <w:pPr>
        <w:pStyle w:val="af9"/>
        <w:rPr>
          <w:lang w:val="en-US"/>
        </w:rPr>
      </w:pPr>
    </w:p>
    <w:p w:rsidR="005E5023" w:rsidRPr="00F261B5" w:rsidRDefault="005E5023" w:rsidP="005E5023">
      <w:pPr>
        <w:pStyle w:val="af9"/>
        <w:rPr>
          <w:lang w:val="en-US"/>
        </w:rPr>
      </w:pPr>
      <w:r w:rsidRPr="00F261B5">
        <w:rPr>
          <w:lang w:val="en-US"/>
        </w:rPr>
        <w:t>Liver proliferation assay</w:t>
      </w:r>
    </w:p>
    <w:p w:rsidR="005E5023" w:rsidRDefault="005E5023" w:rsidP="005E5023">
      <w:pPr>
        <w:pStyle w:val="af8"/>
        <w:rPr>
          <w:spacing w:val="-9"/>
        </w:rPr>
      </w:pPr>
      <w:r>
        <w:rPr>
          <w:spacing w:val="-9"/>
        </w:rPr>
        <w:t>Many more Ki-67-positive hepatocytes were observed in the NASH 30% PH group than in the preoperative NASH liver (</w:t>
      </w:r>
      <w:r>
        <w:rPr>
          <w:i/>
          <w:iCs/>
          <w:spacing w:val="-9"/>
        </w:rPr>
        <w:t>P</w:t>
      </w:r>
      <w:r>
        <w:rPr>
          <w:spacing w:val="-9"/>
        </w:rPr>
        <w:t xml:space="preserve"> &lt; 0.05). On the other hand, fewer Ki-67-positive cells were noted in the NASH 70% PH group than in the preoperative NASH liver (</w:t>
      </w:r>
      <w:r>
        <w:rPr>
          <w:i/>
          <w:iCs/>
          <w:spacing w:val="-9"/>
        </w:rPr>
        <w:t>P</w:t>
      </w:r>
      <w:r>
        <w:rPr>
          <w:spacing w:val="-9"/>
        </w:rPr>
        <w:t xml:space="preserve"> &lt; 0.01). Additionally, significantly fewer Ki-67-positive cells were noted in the 70% PH group than in the NASH 30% PH group (</w:t>
      </w:r>
      <w:r>
        <w:rPr>
          <w:i/>
          <w:iCs/>
          <w:spacing w:val="-9"/>
        </w:rPr>
        <w:t>P</w:t>
      </w:r>
      <w:r>
        <w:rPr>
          <w:spacing w:val="-9"/>
        </w:rPr>
        <w:t xml:space="preserve"> &lt; 0.01) (Figure 2).</w:t>
      </w:r>
    </w:p>
    <w:p w:rsidR="005E5023" w:rsidRPr="00F261B5" w:rsidRDefault="005E5023" w:rsidP="005E5023">
      <w:pPr>
        <w:pStyle w:val="af9"/>
        <w:rPr>
          <w:lang w:val="en-US"/>
        </w:rPr>
      </w:pPr>
    </w:p>
    <w:p w:rsidR="005E5023" w:rsidRPr="00F261B5" w:rsidRDefault="005E5023" w:rsidP="005E5023">
      <w:pPr>
        <w:pStyle w:val="af9"/>
        <w:rPr>
          <w:lang w:val="en-US"/>
        </w:rPr>
      </w:pPr>
      <w:r w:rsidRPr="00F261B5">
        <w:rPr>
          <w:lang w:val="en-US"/>
        </w:rPr>
        <w:t>Liver regeneration signal</w:t>
      </w:r>
    </w:p>
    <w:p w:rsidR="005E5023" w:rsidRDefault="005E5023" w:rsidP="005E5023">
      <w:pPr>
        <w:pStyle w:val="af8"/>
        <w:rPr>
          <w:spacing w:val="-11"/>
        </w:rPr>
      </w:pPr>
      <w:r>
        <w:rPr>
          <w:spacing w:val="-11"/>
        </w:rPr>
        <w:t xml:space="preserve">In the normal 70% PH liver group, </w:t>
      </w:r>
      <w:r>
        <w:rPr>
          <w:i/>
          <w:iCs/>
          <w:spacing w:val="-11"/>
        </w:rPr>
        <w:t>i.e.</w:t>
      </w:r>
      <w:r>
        <w:rPr>
          <w:spacing w:val="-11"/>
        </w:rPr>
        <w:t>, the control group, expression of AKT, STAT3, and ERK1/2 phosphorylation was observed. In the both NASH 30% PH and 70% groups, phosphorylation of AKT, STAT3, and ERK1/2 was significantly lower than in the control group (</w:t>
      </w:r>
      <w:r>
        <w:rPr>
          <w:i/>
          <w:iCs/>
          <w:spacing w:val="-11"/>
        </w:rPr>
        <w:t>P</w:t>
      </w:r>
      <w:r>
        <w:rPr>
          <w:spacing w:val="-11"/>
        </w:rPr>
        <w:t xml:space="preserve"> &lt; 0.01) (Figure 3).</w:t>
      </w:r>
    </w:p>
    <w:p w:rsidR="005E5023" w:rsidRPr="00F261B5" w:rsidRDefault="005E5023" w:rsidP="005E5023">
      <w:pPr>
        <w:pStyle w:val="af9"/>
        <w:rPr>
          <w:lang w:val="en-US"/>
        </w:rPr>
      </w:pPr>
    </w:p>
    <w:p w:rsidR="005E5023" w:rsidRPr="00F261B5" w:rsidRDefault="005E5023" w:rsidP="005E5023">
      <w:pPr>
        <w:pStyle w:val="af9"/>
        <w:rPr>
          <w:lang w:val="en-US"/>
        </w:rPr>
      </w:pPr>
      <w:r w:rsidRPr="00F261B5">
        <w:rPr>
          <w:lang w:val="en-US"/>
        </w:rPr>
        <w:t>Histological assay</w:t>
      </w:r>
    </w:p>
    <w:p w:rsidR="005E5023" w:rsidRDefault="005E5023" w:rsidP="005E5023">
      <w:pPr>
        <w:pStyle w:val="af8"/>
        <w:rPr>
          <w:spacing w:val="-9"/>
        </w:rPr>
      </w:pPr>
      <w:r>
        <w:rPr>
          <w:spacing w:val="-9"/>
        </w:rPr>
        <w:t>The number of TUNEL-positive cells in the NASH 70% PH group was significantly higher than in the other groups (</w:t>
      </w:r>
      <w:r>
        <w:rPr>
          <w:i/>
          <w:iCs/>
          <w:spacing w:val="-9"/>
        </w:rPr>
        <w:t>P</w:t>
      </w:r>
      <w:r>
        <w:rPr>
          <w:spacing w:val="-9"/>
        </w:rPr>
        <w:t xml:space="preserve"> &lt; 0.01). The TUNEL-positive rate of normal liver was significantly higher than that in the NASH 30% PH group (</w:t>
      </w:r>
      <w:r>
        <w:rPr>
          <w:i/>
          <w:iCs/>
          <w:spacing w:val="-9"/>
        </w:rPr>
        <w:t>P</w:t>
      </w:r>
      <w:r>
        <w:rPr>
          <w:spacing w:val="-9"/>
        </w:rPr>
        <w:t xml:space="preserve"> &lt; 0.01) (Figure 4A). The area of necrosis in the NASH 70% PH group was significantly larger than that in the NASH 30% PH group (</w:t>
      </w:r>
      <w:r>
        <w:rPr>
          <w:i/>
          <w:iCs/>
          <w:spacing w:val="-9"/>
        </w:rPr>
        <w:t>P</w:t>
      </w:r>
      <w:r>
        <w:rPr>
          <w:spacing w:val="-9"/>
        </w:rPr>
        <w:t xml:space="preserve"> &lt; 0.01). In both NASH groups, the necrotic area was significantly larger than that in the normal liver </w:t>
      </w:r>
      <w:r>
        <w:rPr>
          <w:spacing w:val="-9"/>
        </w:rPr>
        <w:lastRenderedPageBreak/>
        <w:t>group (</w:t>
      </w:r>
      <w:r>
        <w:rPr>
          <w:i/>
          <w:iCs/>
          <w:spacing w:val="-9"/>
        </w:rPr>
        <w:t>P</w:t>
      </w:r>
      <w:r>
        <w:rPr>
          <w:spacing w:val="-9"/>
        </w:rPr>
        <w:t xml:space="preserve"> &lt; 0.01) (Figure 4B).</w:t>
      </w:r>
    </w:p>
    <w:p w:rsidR="005E5023" w:rsidRPr="00F261B5" w:rsidRDefault="005E5023" w:rsidP="005E5023">
      <w:pPr>
        <w:pStyle w:val="af9"/>
        <w:rPr>
          <w:lang w:val="en-US"/>
        </w:rPr>
      </w:pPr>
    </w:p>
    <w:p w:rsidR="005E5023" w:rsidRPr="00F261B5" w:rsidRDefault="005E5023" w:rsidP="005E5023">
      <w:pPr>
        <w:pStyle w:val="af9"/>
        <w:rPr>
          <w:lang w:val="en-US"/>
        </w:rPr>
      </w:pPr>
      <w:r w:rsidRPr="00F261B5">
        <w:rPr>
          <w:lang w:val="en-US"/>
        </w:rPr>
        <w:t>Microarray assay</w:t>
      </w:r>
    </w:p>
    <w:p w:rsidR="005E5023" w:rsidRDefault="005E5023" w:rsidP="005E5023">
      <w:pPr>
        <w:pStyle w:val="af8"/>
        <w:rPr>
          <w:spacing w:val="-8"/>
        </w:rPr>
      </w:pPr>
      <w:proofErr w:type="gramStart"/>
      <w:r>
        <w:rPr>
          <w:spacing w:val="-8"/>
        </w:rPr>
        <w:t>mRNAs</w:t>
      </w:r>
      <w:proofErr w:type="gramEnd"/>
      <w:r>
        <w:rPr>
          <w:spacing w:val="-8"/>
        </w:rPr>
        <w:t xml:space="preserve"> in the NASH 70% PH group with the highest fold-change (&gt;</w:t>
      </w:r>
      <w:r w:rsidRPr="00F261B5">
        <w:rPr>
          <w:spacing w:val="-8"/>
        </w:rPr>
        <w:t xml:space="preserve"> </w:t>
      </w:r>
      <w:r>
        <w:rPr>
          <w:spacing w:val="-8"/>
        </w:rPr>
        <w:t>1.4 or &lt;</w:t>
      </w:r>
      <w:r w:rsidRPr="00F261B5">
        <w:rPr>
          <w:spacing w:val="-8"/>
        </w:rPr>
        <w:t xml:space="preserve"> </w:t>
      </w:r>
      <w:r>
        <w:rPr>
          <w:spacing w:val="-8"/>
        </w:rPr>
        <w:t xml:space="preserve">0.70) in expression and with </w:t>
      </w:r>
      <w:r>
        <w:rPr>
          <w:i/>
          <w:iCs/>
          <w:spacing w:val="-8"/>
        </w:rPr>
        <w:t>P</w:t>
      </w:r>
      <w:r>
        <w:rPr>
          <w:spacing w:val="-8"/>
        </w:rPr>
        <w:t xml:space="preserve">-values &lt;0.05 were selected and compared with those in the NASH 30% PH group (Table 2). </w:t>
      </w:r>
      <w:r>
        <w:rPr>
          <w:i/>
          <w:iCs/>
          <w:spacing w:val="-8"/>
        </w:rPr>
        <w:t>PDE4B</w:t>
      </w:r>
      <w:r>
        <w:rPr>
          <w:spacing w:val="-8"/>
        </w:rPr>
        <w:t xml:space="preserve">, </w:t>
      </w:r>
      <w:r>
        <w:rPr>
          <w:i/>
          <w:iCs/>
          <w:spacing w:val="-8"/>
        </w:rPr>
        <w:t>SLC20A1</w:t>
      </w:r>
      <w:r>
        <w:rPr>
          <w:spacing w:val="-8"/>
        </w:rPr>
        <w:t xml:space="preserve">, </w:t>
      </w:r>
      <w:r>
        <w:rPr>
          <w:i/>
          <w:iCs/>
          <w:spacing w:val="-8"/>
        </w:rPr>
        <w:t>CXADR</w:t>
      </w:r>
      <w:r>
        <w:rPr>
          <w:spacing w:val="-8"/>
        </w:rPr>
        <w:t xml:space="preserve">, </w:t>
      </w:r>
      <w:r>
        <w:rPr>
          <w:i/>
          <w:iCs/>
          <w:spacing w:val="-8"/>
        </w:rPr>
        <w:t>GADD45A</w:t>
      </w:r>
      <w:r>
        <w:rPr>
          <w:spacing w:val="-8"/>
        </w:rPr>
        <w:t xml:space="preserve">, </w:t>
      </w:r>
      <w:r>
        <w:rPr>
          <w:i/>
          <w:iCs/>
          <w:spacing w:val="-8"/>
        </w:rPr>
        <w:t>ZSWIM6</w:t>
      </w:r>
      <w:r>
        <w:rPr>
          <w:spacing w:val="-8"/>
        </w:rPr>
        <w:t xml:space="preserve">, and </w:t>
      </w:r>
      <w:r>
        <w:rPr>
          <w:i/>
          <w:iCs/>
          <w:spacing w:val="-8"/>
        </w:rPr>
        <w:t>C15orf39</w:t>
      </w:r>
      <w:r>
        <w:rPr>
          <w:spacing w:val="-8"/>
        </w:rPr>
        <w:t xml:space="preserve"> were expressed at higher levels in the NASH 70% PH group. </w:t>
      </w:r>
      <w:r>
        <w:rPr>
          <w:i/>
          <w:iCs/>
          <w:spacing w:val="-8"/>
        </w:rPr>
        <w:t>PDE4B</w:t>
      </w:r>
      <w:r>
        <w:rPr>
          <w:spacing w:val="-8"/>
        </w:rPr>
        <w:t xml:space="preserve"> and </w:t>
      </w:r>
      <w:r>
        <w:rPr>
          <w:i/>
          <w:iCs/>
          <w:spacing w:val="-8"/>
        </w:rPr>
        <w:t>GADD45A</w:t>
      </w:r>
      <w:r>
        <w:rPr>
          <w:spacing w:val="-8"/>
        </w:rPr>
        <w:t xml:space="preserve"> are associated with cell cycle arrest and apoptosis. Using qPCR, </w:t>
      </w:r>
      <w:r>
        <w:rPr>
          <w:i/>
          <w:iCs/>
          <w:spacing w:val="-8"/>
        </w:rPr>
        <w:t>GADD45A</w:t>
      </w:r>
      <w:r>
        <w:rPr>
          <w:spacing w:val="-8"/>
        </w:rPr>
        <w:t xml:space="preserve"> and </w:t>
      </w:r>
      <w:r>
        <w:rPr>
          <w:i/>
          <w:iCs/>
          <w:spacing w:val="-8"/>
        </w:rPr>
        <w:t>PDE4B</w:t>
      </w:r>
      <w:r>
        <w:rPr>
          <w:spacing w:val="-8"/>
        </w:rPr>
        <w:t xml:space="preserve"> mRNA expression was significantly different between the two groups (</w:t>
      </w:r>
      <w:r>
        <w:rPr>
          <w:i/>
          <w:iCs/>
          <w:spacing w:val="-8"/>
        </w:rPr>
        <w:t>GADD45A</w:t>
      </w:r>
      <w:r>
        <w:rPr>
          <w:spacing w:val="-8"/>
        </w:rPr>
        <w:t xml:space="preserve">: </w:t>
      </w:r>
      <w:r>
        <w:rPr>
          <w:i/>
          <w:iCs/>
          <w:spacing w:val="-8"/>
        </w:rPr>
        <w:t>P</w:t>
      </w:r>
      <w:r>
        <w:rPr>
          <w:spacing w:val="-8"/>
        </w:rPr>
        <w:t xml:space="preserve"> &lt; 0.01, </w:t>
      </w:r>
      <w:r>
        <w:rPr>
          <w:i/>
          <w:iCs/>
          <w:spacing w:val="-8"/>
        </w:rPr>
        <w:t>PDE4B</w:t>
      </w:r>
      <w:r>
        <w:rPr>
          <w:spacing w:val="-8"/>
        </w:rPr>
        <w:t xml:space="preserve">: </w:t>
      </w:r>
      <w:r>
        <w:rPr>
          <w:i/>
          <w:iCs/>
          <w:spacing w:val="-8"/>
        </w:rPr>
        <w:t>P</w:t>
      </w:r>
      <w:r>
        <w:rPr>
          <w:spacing w:val="-8"/>
        </w:rPr>
        <w:t xml:space="preserve"> &lt; 0.05) (Figure 5).</w:t>
      </w:r>
    </w:p>
    <w:p w:rsidR="005E5023" w:rsidRPr="00F261B5" w:rsidRDefault="005E5023" w:rsidP="005E5023">
      <w:pPr>
        <w:pStyle w:val="af7"/>
        <w:ind w:left="5250"/>
        <w:rPr>
          <w:lang w:val="en-US"/>
        </w:rPr>
      </w:pPr>
    </w:p>
    <w:p w:rsidR="005E5023" w:rsidRPr="00F261B5" w:rsidRDefault="005E5023" w:rsidP="005E5023">
      <w:pPr>
        <w:pStyle w:val="af7"/>
        <w:ind w:left="5250"/>
        <w:rPr>
          <w:u w:val="single"/>
          <w:lang w:val="en-US"/>
        </w:rPr>
      </w:pPr>
      <w:r w:rsidRPr="00F261B5">
        <w:rPr>
          <w:u w:val="single"/>
          <w:lang w:val="en-US"/>
        </w:rPr>
        <w:t>DISCUSSION</w:t>
      </w:r>
    </w:p>
    <w:p w:rsidR="005E5023" w:rsidRDefault="005E5023" w:rsidP="005E5023">
      <w:pPr>
        <w:pStyle w:val="af8"/>
        <w:rPr>
          <w:spacing w:val="-9"/>
        </w:rPr>
      </w:pPr>
      <w:r>
        <w:rPr>
          <w:spacing w:val="-9"/>
        </w:rPr>
        <w:t xml:space="preserve">NAFLD/NASH is a common hepatic disorder that causes </w:t>
      </w:r>
      <w:proofErr w:type="gramStart"/>
      <w:r>
        <w:rPr>
          <w:spacing w:val="-9"/>
        </w:rPr>
        <w:t>HCC</w:t>
      </w:r>
      <w:r>
        <w:rPr>
          <w:spacing w:val="-9"/>
          <w:vertAlign w:val="superscript"/>
        </w:rPr>
        <w:t>[</w:t>
      </w:r>
      <w:proofErr w:type="gramEnd"/>
      <w:r>
        <w:rPr>
          <w:spacing w:val="-9"/>
          <w:vertAlign w:val="superscript"/>
        </w:rPr>
        <w:t>1-4]</w:t>
      </w:r>
      <w:r>
        <w:rPr>
          <w:spacing w:val="-9"/>
        </w:rPr>
        <w:t xml:space="preserve">. Recently, the population of patients with NASH and NASH-related HCC has been </w:t>
      </w:r>
      <w:proofErr w:type="gramStart"/>
      <w:r>
        <w:rPr>
          <w:spacing w:val="-9"/>
        </w:rPr>
        <w:t>increasing</w:t>
      </w:r>
      <w:r>
        <w:rPr>
          <w:spacing w:val="-9"/>
          <w:vertAlign w:val="superscript"/>
        </w:rPr>
        <w:t>[</w:t>
      </w:r>
      <w:proofErr w:type="gramEnd"/>
      <w:r>
        <w:rPr>
          <w:spacing w:val="-9"/>
          <w:vertAlign w:val="superscript"/>
        </w:rPr>
        <w:t>1,2,10]</w:t>
      </w:r>
      <w:r>
        <w:rPr>
          <w:spacing w:val="-9"/>
        </w:rPr>
        <w:t xml:space="preserve">. Hepatectomy is the first-line treatment for patients with </w:t>
      </w:r>
      <w:proofErr w:type="gramStart"/>
      <w:r>
        <w:rPr>
          <w:spacing w:val="-9"/>
        </w:rPr>
        <w:t>HCC</w:t>
      </w:r>
      <w:r>
        <w:rPr>
          <w:spacing w:val="-9"/>
          <w:vertAlign w:val="superscript"/>
        </w:rPr>
        <w:t>[</w:t>
      </w:r>
      <w:proofErr w:type="gramEnd"/>
      <w:r>
        <w:rPr>
          <w:spacing w:val="-9"/>
          <w:vertAlign w:val="superscript"/>
        </w:rPr>
        <w:t>21]</w:t>
      </w:r>
      <w:r>
        <w:rPr>
          <w:spacing w:val="-9"/>
        </w:rPr>
        <w:t xml:space="preserve">. After hepatectomy, the incidences of mortality and morbidity are dependent on the volume and function of the residual </w:t>
      </w:r>
      <w:proofErr w:type="gramStart"/>
      <w:r>
        <w:rPr>
          <w:spacing w:val="-9"/>
        </w:rPr>
        <w:t>liver</w:t>
      </w:r>
      <w:r>
        <w:rPr>
          <w:spacing w:val="-9"/>
          <w:vertAlign w:val="superscript"/>
        </w:rPr>
        <w:t>[</w:t>
      </w:r>
      <w:proofErr w:type="gramEnd"/>
      <w:r>
        <w:rPr>
          <w:spacing w:val="-9"/>
          <w:vertAlign w:val="superscript"/>
        </w:rPr>
        <w:t>17-20]</w:t>
      </w:r>
      <w:r>
        <w:rPr>
          <w:spacing w:val="-9"/>
        </w:rPr>
        <w:t xml:space="preserve">. Previous reports have demonstrated that steatosis impaired liver regeneration and caused liver dysfunction after </w:t>
      </w:r>
      <w:proofErr w:type="gramStart"/>
      <w:r>
        <w:rPr>
          <w:spacing w:val="-9"/>
        </w:rPr>
        <w:t>hepatectomy</w:t>
      </w:r>
      <w:r>
        <w:rPr>
          <w:spacing w:val="-9"/>
          <w:vertAlign w:val="superscript"/>
        </w:rPr>
        <w:t>[</w:t>
      </w:r>
      <w:proofErr w:type="gramEnd"/>
      <w:r>
        <w:rPr>
          <w:spacing w:val="-9"/>
          <w:vertAlign w:val="superscript"/>
        </w:rPr>
        <w:t>11,12]</w:t>
      </w:r>
      <w:r>
        <w:rPr>
          <w:spacing w:val="-9"/>
        </w:rPr>
        <w:t xml:space="preserve">. NASH has been proposed to cause liver failure rather than steatosis because NASH presents with not only steatosis but also fibrosis, inflammation, and insulin resistance. However, regarding NASH animal models, few models completely reflect the histopathology and pathophysiology of NASH in humans. Therefore, the effect on the residual liver under NASH conditions has not been appropriately </w:t>
      </w:r>
      <w:proofErr w:type="gramStart"/>
      <w:r>
        <w:rPr>
          <w:spacing w:val="-9"/>
        </w:rPr>
        <w:t>evaluated</w:t>
      </w:r>
      <w:r>
        <w:rPr>
          <w:spacing w:val="-9"/>
          <w:vertAlign w:val="superscript"/>
        </w:rPr>
        <w:t>[</w:t>
      </w:r>
      <w:proofErr w:type="gramEnd"/>
      <w:r>
        <w:rPr>
          <w:spacing w:val="-9"/>
          <w:vertAlign w:val="superscript"/>
        </w:rPr>
        <w:t>26,27]</w:t>
      </w:r>
      <w:r>
        <w:rPr>
          <w:spacing w:val="-9"/>
        </w:rPr>
        <w:t xml:space="preserve">. In our previous study, we established a novel experimental NASH model that exhibited histopathological and pathophysiological findings similar to that of NASH in </w:t>
      </w:r>
      <w:proofErr w:type="gramStart"/>
      <w:r>
        <w:rPr>
          <w:spacing w:val="-9"/>
        </w:rPr>
        <w:t>humans</w:t>
      </w:r>
      <w:r>
        <w:rPr>
          <w:spacing w:val="-9"/>
          <w:vertAlign w:val="superscript"/>
        </w:rPr>
        <w:t>[</w:t>
      </w:r>
      <w:proofErr w:type="gramEnd"/>
      <w:r>
        <w:rPr>
          <w:spacing w:val="-9"/>
          <w:vertAlign w:val="superscript"/>
        </w:rPr>
        <w:t>28]</w:t>
      </w:r>
      <w:r>
        <w:rPr>
          <w:spacing w:val="-9"/>
        </w:rPr>
        <w:t>. In this study, new NASH mice were received 30% PH or 70% PH, and the influence of liver resection volume on the residual liver function in NASH liver was investigated. Our results indicated that the survival rate after PH in NASH liver strongly correlated with resected liver volume and was attributed to the proliferative ability and the rates of apoptosis and necrosis compared with those in the normal liver. Even 30% of PH NASH residual liver could not offer sufficient liver function, and the volume of the functional residual liver significantly decreased due to less cell proliferation, apoptosis and necrosis after hepatectomy. Based on these results, we hypothesized that the residual liver volume that can support sufficient function in a normal liver could not maintain liver function in NASH. Our results suggested that to avoid liver dysfunction after hepatectomy in NASH, resection volume should be carefully determined and not the same as that in patients with normal liver.</w:t>
      </w:r>
    </w:p>
    <w:p w:rsidR="005E5023" w:rsidRDefault="005E5023" w:rsidP="005E5023">
      <w:pPr>
        <w:pStyle w:val="10"/>
        <w:rPr>
          <w:spacing w:val="-10"/>
        </w:rPr>
      </w:pPr>
      <w:r>
        <w:rPr>
          <w:spacing w:val="-10"/>
        </w:rPr>
        <w:t xml:space="preserve">In patients with PH, fatty liver causes a high rate of mortality and morbidity compared with normal </w:t>
      </w:r>
      <w:proofErr w:type="gramStart"/>
      <w:r>
        <w:rPr>
          <w:spacing w:val="-10"/>
        </w:rPr>
        <w:t>liver</w:t>
      </w:r>
      <w:r>
        <w:rPr>
          <w:spacing w:val="-10"/>
          <w:vertAlign w:val="superscript"/>
        </w:rPr>
        <w:t>[</w:t>
      </w:r>
      <w:proofErr w:type="gramEnd"/>
      <w:r>
        <w:rPr>
          <w:spacing w:val="-10"/>
          <w:vertAlign w:val="superscript"/>
        </w:rPr>
        <w:t>11]</w:t>
      </w:r>
      <w:r>
        <w:rPr>
          <w:spacing w:val="-10"/>
        </w:rPr>
        <w:t xml:space="preserve">. In NAFLD patients, postoperative complications also increase in a manner that is similar to patients with fatty </w:t>
      </w:r>
      <w:proofErr w:type="gramStart"/>
      <w:r>
        <w:rPr>
          <w:spacing w:val="-10"/>
        </w:rPr>
        <w:t>liver</w:t>
      </w:r>
      <w:r>
        <w:rPr>
          <w:spacing w:val="-10"/>
          <w:vertAlign w:val="superscript"/>
        </w:rPr>
        <w:t>[</w:t>
      </w:r>
      <w:proofErr w:type="gramEnd"/>
      <w:r>
        <w:rPr>
          <w:spacing w:val="-10"/>
          <w:vertAlign w:val="superscript"/>
        </w:rPr>
        <w:t>12,30]</w:t>
      </w:r>
      <w:r>
        <w:rPr>
          <w:spacing w:val="-10"/>
        </w:rPr>
        <w:t xml:space="preserve">. In animal models with PH, the survival rate of a fatty liver model decreased compared with a normal liver even with the same residual </w:t>
      </w:r>
      <w:proofErr w:type="gramStart"/>
      <w:r>
        <w:rPr>
          <w:spacing w:val="-10"/>
        </w:rPr>
        <w:t>volume</w:t>
      </w:r>
      <w:r>
        <w:rPr>
          <w:spacing w:val="-10"/>
          <w:vertAlign w:val="superscript"/>
        </w:rPr>
        <w:t>[</w:t>
      </w:r>
      <w:proofErr w:type="gramEnd"/>
      <w:r>
        <w:rPr>
          <w:spacing w:val="-10"/>
          <w:vertAlign w:val="superscript"/>
        </w:rPr>
        <w:t>13,15,16,31]</w:t>
      </w:r>
      <w:r>
        <w:rPr>
          <w:spacing w:val="-10"/>
        </w:rPr>
        <w:t xml:space="preserve">. In this study, the survival rate after PH remarkably decreased in the NASH 70% PH group, and 30% of the deaths occurred within the first 48 h after PH. This result supported the previous reports, </w:t>
      </w:r>
      <w:r>
        <w:rPr>
          <w:i/>
          <w:iCs/>
          <w:spacing w:val="-10"/>
        </w:rPr>
        <w:t>i.e.</w:t>
      </w:r>
      <w:r>
        <w:rPr>
          <w:spacing w:val="-10"/>
        </w:rPr>
        <w:t xml:space="preserve">, </w:t>
      </w:r>
      <w:r>
        <w:rPr>
          <w:spacing w:val="-10"/>
        </w:rPr>
        <w:lastRenderedPageBreak/>
        <w:t xml:space="preserve">outcome of PH significantly influences the survival rate of fatty </w:t>
      </w:r>
      <w:proofErr w:type="gramStart"/>
      <w:r>
        <w:rPr>
          <w:spacing w:val="-10"/>
        </w:rPr>
        <w:t>mice</w:t>
      </w:r>
      <w:r>
        <w:rPr>
          <w:spacing w:val="-10"/>
          <w:vertAlign w:val="superscript"/>
        </w:rPr>
        <w:t>[</w:t>
      </w:r>
      <w:proofErr w:type="gramEnd"/>
      <w:r>
        <w:rPr>
          <w:spacing w:val="-10"/>
          <w:vertAlign w:val="superscript"/>
        </w:rPr>
        <w:t>13,15,16,31]</w:t>
      </w:r>
      <w:r>
        <w:rPr>
          <w:spacing w:val="-10"/>
        </w:rPr>
        <w:t xml:space="preserve">. In NASH liver, it was assumed that other characteristics, </w:t>
      </w:r>
      <w:r>
        <w:rPr>
          <w:i/>
          <w:iCs/>
          <w:spacing w:val="-10"/>
        </w:rPr>
        <w:t>i.e.</w:t>
      </w:r>
      <w:r>
        <w:rPr>
          <w:spacing w:val="-10"/>
        </w:rPr>
        <w:t xml:space="preserve">, fibrosis, inflammation, and insulin resistance, caused increased liver function deterioration. It was hypothesized that the residual liver volume of the small group, </w:t>
      </w:r>
      <w:r>
        <w:rPr>
          <w:i/>
          <w:iCs/>
          <w:spacing w:val="-10"/>
        </w:rPr>
        <w:t>i.e.</w:t>
      </w:r>
      <w:r>
        <w:rPr>
          <w:spacing w:val="-10"/>
        </w:rPr>
        <w:t>, 30% of residual volume of the NASH liver, could not maintain sufficient liver function for survival after PH.</w:t>
      </w:r>
    </w:p>
    <w:p w:rsidR="005E5023" w:rsidRDefault="005E5023" w:rsidP="005E5023">
      <w:pPr>
        <w:pStyle w:val="10"/>
        <w:rPr>
          <w:spacing w:val="-10"/>
        </w:rPr>
      </w:pPr>
      <w:r>
        <w:rPr>
          <w:spacing w:val="-10"/>
        </w:rPr>
        <w:t xml:space="preserve">Liver regeneration occurred in cases with acute injury and/or liver </w:t>
      </w:r>
      <w:proofErr w:type="gramStart"/>
      <w:r>
        <w:rPr>
          <w:spacing w:val="-10"/>
        </w:rPr>
        <w:t>resection</w:t>
      </w:r>
      <w:r>
        <w:rPr>
          <w:spacing w:val="-10"/>
          <w:vertAlign w:val="superscript"/>
        </w:rPr>
        <w:t>[</w:t>
      </w:r>
      <w:proofErr w:type="gramEnd"/>
      <w:r>
        <w:rPr>
          <w:spacing w:val="-10"/>
          <w:vertAlign w:val="superscript"/>
        </w:rPr>
        <w:t>19]</w:t>
      </w:r>
      <w:r>
        <w:rPr>
          <w:spacing w:val="-10"/>
        </w:rPr>
        <w:t xml:space="preserve">. In normal liver after PH, cell proliferation was observed in a small residual liver but not in a large residual </w:t>
      </w:r>
      <w:proofErr w:type="gramStart"/>
      <w:r>
        <w:rPr>
          <w:spacing w:val="-10"/>
        </w:rPr>
        <w:t>liver</w:t>
      </w:r>
      <w:r>
        <w:rPr>
          <w:spacing w:val="-10"/>
          <w:vertAlign w:val="superscript"/>
        </w:rPr>
        <w:t>[</w:t>
      </w:r>
      <w:proofErr w:type="gramEnd"/>
      <w:r>
        <w:rPr>
          <w:spacing w:val="-10"/>
          <w:vertAlign w:val="superscript"/>
        </w:rPr>
        <w:t>24]</w:t>
      </w:r>
      <w:r>
        <w:rPr>
          <w:spacing w:val="-10"/>
        </w:rPr>
        <w:t xml:space="preserve">. Large residual livers have sufficient volume to maintain liver function, whereas small residual livers are unable to maintain liver function. Therefore, promotion of cell proliferation occurs in the small residual </w:t>
      </w:r>
      <w:proofErr w:type="gramStart"/>
      <w:r>
        <w:rPr>
          <w:spacing w:val="-10"/>
        </w:rPr>
        <w:t>liver</w:t>
      </w:r>
      <w:r>
        <w:rPr>
          <w:spacing w:val="-10"/>
          <w:vertAlign w:val="superscript"/>
        </w:rPr>
        <w:t>[</w:t>
      </w:r>
      <w:proofErr w:type="gramEnd"/>
      <w:r>
        <w:rPr>
          <w:spacing w:val="-10"/>
          <w:vertAlign w:val="superscript"/>
        </w:rPr>
        <w:t>24]</w:t>
      </w:r>
      <w:r>
        <w:rPr>
          <w:spacing w:val="-10"/>
        </w:rPr>
        <w:t xml:space="preserve">. Ki-67 protein is expressed during the G1, G2, and S phases of cell </w:t>
      </w:r>
      <w:proofErr w:type="gramStart"/>
      <w:r>
        <w:rPr>
          <w:spacing w:val="-10"/>
        </w:rPr>
        <w:t>division</w:t>
      </w:r>
      <w:r>
        <w:rPr>
          <w:spacing w:val="-10"/>
          <w:vertAlign w:val="superscript"/>
        </w:rPr>
        <w:t>[</w:t>
      </w:r>
      <w:proofErr w:type="gramEnd"/>
      <w:r>
        <w:rPr>
          <w:spacing w:val="-10"/>
          <w:vertAlign w:val="superscript"/>
        </w:rPr>
        <w:t>32,33]</w:t>
      </w:r>
      <w:r>
        <w:rPr>
          <w:spacing w:val="-10"/>
        </w:rPr>
        <w:t>. In this study, the number of Ki-67-positive cells in the residual liver in the 30% PH of NASH liver group was higher than in the preoperative NASH liver. On the other hand, the number of Ki-67-positive cells in the residual liver of the 70% PH of NASH liver group was significantly decreased. These results suggested that NASH hepatocytes would not have insufficient proliferation ability after large amount of PH, such as 70%.</w:t>
      </w:r>
    </w:p>
    <w:p w:rsidR="005E5023" w:rsidRDefault="005E5023" w:rsidP="005E5023">
      <w:pPr>
        <w:pStyle w:val="10"/>
        <w:rPr>
          <w:spacing w:val="-10"/>
        </w:rPr>
      </w:pPr>
      <w:r>
        <w:rPr>
          <w:spacing w:val="-10"/>
        </w:rPr>
        <w:t>Signaling pathways of liver regeneration are pro</w:t>
      </w:r>
      <w:r>
        <w:rPr>
          <w:spacing w:val="-10"/>
        </w:rPr>
        <w:softHyphen/>
        <w:t xml:space="preserve">moted by cytokines, </w:t>
      </w:r>
      <w:r>
        <w:rPr>
          <w:i/>
          <w:iCs/>
          <w:spacing w:val="-10"/>
        </w:rPr>
        <w:t>i.e.</w:t>
      </w:r>
      <w:r>
        <w:rPr>
          <w:spacing w:val="-10"/>
        </w:rPr>
        <w:t xml:space="preserve">, interleukin (IL)-6 and tumor necrosis factor (TNF)-alpha, and growth </w:t>
      </w:r>
      <w:proofErr w:type="gramStart"/>
      <w:r>
        <w:rPr>
          <w:spacing w:val="-10"/>
        </w:rPr>
        <w:t>factors</w:t>
      </w:r>
      <w:r>
        <w:rPr>
          <w:spacing w:val="-10"/>
          <w:vertAlign w:val="superscript"/>
        </w:rPr>
        <w:t>[</w:t>
      </w:r>
      <w:proofErr w:type="gramEnd"/>
      <w:r>
        <w:rPr>
          <w:spacing w:val="-10"/>
          <w:vertAlign w:val="superscript"/>
        </w:rPr>
        <w:t>20]</w:t>
      </w:r>
      <w:r>
        <w:rPr>
          <w:spacing w:val="-10"/>
        </w:rPr>
        <w:t xml:space="preserve">. The expression of AKT, STAT3, and ERK1/2 protein play an important role in liver regeneration, and the IL-6/STAT3 signaling pathway accelerates liver </w:t>
      </w:r>
      <w:proofErr w:type="gramStart"/>
      <w:r>
        <w:rPr>
          <w:spacing w:val="-10"/>
        </w:rPr>
        <w:t>proliferation</w:t>
      </w:r>
      <w:r>
        <w:rPr>
          <w:spacing w:val="-10"/>
          <w:vertAlign w:val="superscript"/>
        </w:rPr>
        <w:t>[</w:t>
      </w:r>
      <w:proofErr w:type="gramEnd"/>
      <w:r>
        <w:rPr>
          <w:spacing w:val="-10"/>
          <w:vertAlign w:val="superscript"/>
        </w:rPr>
        <w:t>16,24,34-36]</w:t>
      </w:r>
      <w:r>
        <w:rPr>
          <w:spacing w:val="-10"/>
        </w:rPr>
        <w:t xml:space="preserve">. STAT3 was expressed at high levels in a liver with steatosis; however, these phenomena did not induce liver </w:t>
      </w:r>
      <w:proofErr w:type="gramStart"/>
      <w:r>
        <w:rPr>
          <w:spacing w:val="-10"/>
        </w:rPr>
        <w:t>regeneration</w:t>
      </w:r>
      <w:r>
        <w:rPr>
          <w:spacing w:val="-10"/>
          <w:vertAlign w:val="superscript"/>
        </w:rPr>
        <w:t>[</w:t>
      </w:r>
      <w:proofErr w:type="gramEnd"/>
      <w:r>
        <w:rPr>
          <w:spacing w:val="-10"/>
          <w:vertAlign w:val="superscript"/>
        </w:rPr>
        <w:t>37]</w:t>
      </w:r>
      <w:r>
        <w:rPr>
          <w:spacing w:val="-10"/>
        </w:rPr>
        <w:t xml:space="preserve">. The NASH liver received continuous damage and stress </w:t>
      </w:r>
      <w:r>
        <w:rPr>
          <w:i/>
          <w:iCs/>
          <w:spacing w:val="-10"/>
        </w:rPr>
        <w:t>via</w:t>
      </w:r>
      <w:r>
        <w:rPr>
          <w:spacing w:val="-10"/>
        </w:rPr>
        <w:t xml:space="preserve"> inflammatory cytokines and cells; therefore, NASH liver was considered to exhibit limited proliferation, which was only induced by </w:t>
      </w:r>
      <w:proofErr w:type="gramStart"/>
      <w:r>
        <w:rPr>
          <w:spacing w:val="-10"/>
        </w:rPr>
        <w:t>hepatectomy</w:t>
      </w:r>
      <w:r>
        <w:rPr>
          <w:spacing w:val="-10"/>
          <w:vertAlign w:val="superscript"/>
        </w:rPr>
        <w:t>[</w:t>
      </w:r>
      <w:proofErr w:type="gramEnd"/>
      <w:r>
        <w:rPr>
          <w:spacing w:val="-10"/>
          <w:vertAlign w:val="superscript"/>
        </w:rPr>
        <w:t>38]</w:t>
      </w:r>
      <w:r>
        <w:rPr>
          <w:spacing w:val="-10"/>
        </w:rPr>
        <w:t xml:space="preserve">. In this study, the expression of transcriptional factors induced by cytokines for liver regeneration was not recognized in the residual livers of the NASH PH groups. No significant difference was noted in the activation of these proteins in both NASH PH groups, but liver cell proliferation was significantly higher in the 30% PH NASH liver group than in the 70% PH NASH liver group. Although we need to confirm these findings in future studies, the consistent decrease in liver proliferation exists, especially in the 70% PH of NASH liver group, </w:t>
      </w:r>
      <w:r>
        <w:rPr>
          <w:i/>
          <w:iCs/>
          <w:spacing w:val="-10"/>
        </w:rPr>
        <w:t>i.e.</w:t>
      </w:r>
      <w:r>
        <w:rPr>
          <w:spacing w:val="-10"/>
        </w:rPr>
        <w:t>, a large hepatectomy volume, which reduces the survival rate.</w:t>
      </w:r>
    </w:p>
    <w:p w:rsidR="005E5023" w:rsidRDefault="005E5023" w:rsidP="005E5023">
      <w:pPr>
        <w:pStyle w:val="10"/>
        <w:rPr>
          <w:spacing w:val="-11"/>
        </w:rPr>
      </w:pPr>
      <w:r>
        <w:rPr>
          <w:spacing w:val="-11"/>
        </w:rPr>
        <w:t xml:space="preserve">In general, the stress of liver resection promotes apoptosis in the residual </w:t>
      </w:r>
      <w:proofErr w:type="gramStart"/>
      <w:r>
        <w:rPr>
          <w:spacing w:val="-11"/>
        </w:rPr>
        <w:t>liver</w:t>
      </w:r>
      <w:r>
        <w:rPr>
          <w:spacing w:val="-11"/>
          <w:vertAlign w:val="superscript"/>
        </w:rPr>
        <w:t>[</w:t>
      </w:r>
      <w:proofErr w:type="gramEnd"/>
      <w:r>
        <w:rPr>
          <w:spacing w:val="-11"/>
          <w:vertAlign w:val="superscript"/>
        </w:rPr>
        <w:t>13,39]</w:t>
      </w:r>
      <w:r>
        <w:rPr>
          <w:spacing w:val="-11"/>
        </w:rPr>
        <w:t>, and liver damage after hepatectomy is considered to be the result of apoptosis to some degree</w:t>
      </w:r>
      <w:r>
        <w:rPr>
          <w:spacing w:val="-11"/>
          <w:vertAlign w:val="superscript"/>
        </w:rPr>
        <w:t>[38]</w:t>
      </w:r>
      <w:r>
        <w:rPr>
          <w:spacing w:val="-11"/>
        </w:rPr>
        <w:t xml:space="preserve">. The degree of liver damage also depends on the extent of the liver resection </w:t>
      </w:r>
      <w:proofErr w:type="gramStart"/>
      <w:r>
        <w:rPr>
          <w:spacing w:val="-11"/>
        </w:rPr>
        <w:t>volume</w:t>
      </w:r>
      <w:r>
        <w:rPr>
          <w:spacing w:val="-11"/>
          <w:vertAlign w:val="superscript"/>
        </w:rPr>
        <w:t>[</w:t>
      </w:r>
      <w:proofErr w:type="gramEnd"/>
      <w:r>
        <w:rPr>
          <w:spacing w:val="-11"/>
          <w:vertAlign w:val="superscript"/>
        </w:rPr>
        <w:t>37,39]</w:t>
      </w:r>
      <w:r>
        <w:rPr>
          <w:spacing w:val="-11"/>
        </w:rPr>
        <w:t xml:space="preserve">. The STAT3 and AKT signaling pathways not only promote liver regeneration but also inhibit </w:t>
      </w:r>
      <w:proofErr w:type="gramStart"/>
      <w:r>
        <w:rPr>
          <w:spacing w:val="-11"/>
        </w:rPr>
        <w:t>apoptosis</w:t>
      </w:r>
      <w:r>
        <w:rPr>
          <w:spacing w:val="-11"/>
          <w:vertAlign w:val="superscript"/>
        </w:rPr>
        <w:t>[</w:t>
      </w:r>
      <w:proofErr w:type="gramEnd"/>
      <w:r>
        <w:rPr>
          <w:spacing w:val="-11"/>
          <w:vertAlign w:val="superscript"/>
        </w:rPr>
        <w:t>38]</w:t>
      </w:r>
      <w:r>
        <w:rPr>
          <w:spacing w:val="-11"/>
        </w:rPr>
        <w:t>. In this study, STAT3 and AKT expression was significantly suppressed, and the number of TUNEL-positive cells was higher in the NASH PH groups than in the control. These results suggest that the difference in the expression of regenerative signaling proteins affected the degree of apoptosis.</w:t>
      </w:r>
      <w:r>
        <w:rPr>
          <w:b/>
          <w:bCs/>
          <w:spacing w:val="-11"/>
        </w:rPr>
        <w:t xml:space="preserve"> </w:t>
      </w:r>
      <w:r>
        <w:rPr>
          <w:spacing w:val="-11"/>
        </w:rPr>
        <w:t xml:space="preserve">Resection of a large volume of the liver also enhanced </w:t>
      </w:r>
      <w:proofErr w:type="gramStart"/>
      <w:r>
        <w:rPr>
          <w:spacing w:val="-11"/>
        </w:rPr>
        <w:t>necrosis</w:t>
      </w:r>
      <w:r>
        <w:rPr>
          <w:spacing w:val="-11"/>
          <w:vertAlign w:val="superscript"/>
        </w:rPr>
        <w:t>[</w:t>
      </w:r>
      <w:proofErr w:type="gramEnd"/>
      <w:r>
        <w:rPr>
          <w:spacing w:val="-11"/>
          <w:vertAlign w:val="superscript"/>
        </w:rPr>
        <w:t>38]</w:t>
      </w:r>
      <w:r>
        <w:rPr>
          <w:spacing w:val="-11"/>
        </w:rPr>
        <w:t xml:space="preserve">. In this study, microarray analysis revealed </w:t>
      </w:r>
      <w:r>
        <w:rPr>
          <w:i/>
          <w:iCs/>
          <w:spacing w:val="-11"/>
        </w:rPr>
        <w:t>GADD45A</w:t>
      </w:r>
      <w:r>
        <w:rPr>
          <w:spacing w:val="-11"/>
        </w:rPr>
        <w:t xml:space="preserve"> upregulation in the NASH 70% PH group. </w:t>
      </w:r>
      <w:r>
        <w:rPr>
          <w:i/>
          <w:iCs/>
          <w:spacing w:val="-11"/>
        </w:rPr>
        <w:t>GADD45A</w:t>
      </w:r>
      <w:r>
        <w:rPr>
          <w:spacing w:val="-11"/>
        </w:rPr>
        <w:t xml:space="preserve"> promotes apoptosis and cell cycle </w:t>
      </w:r>
      <w:proofErr w:type="gramStart"/>
      <w:r>
        <w:rPr>
          <w:spacing w:val="-11"/>
        </w:rPr>
        <w:t>arrest</w:t>
      </w:r>
      <w:r>
        <w:rPr>
          <w:spacing w:val="-11"/>
          <w:vertAlign w:val="superscript"/>
        </w:rPr>
        <w:t>[</w:t>
      </w:r>
      <w:proofErr w:type="gramEnd"/>
      <w:r>
        <w:rPr>
          <w:spacing w:val="-11"/>
          <w:vertAlign w:val="superscript"/>
        </w:rPr>
        <w:t>13]</w:t>
      </w:r>
      <w:r>
        <w:rPr>
          <w:spacing w:val="-11"/>
        </w:rPr>
        <w:t xml:space="preserve">. The differences in the survival rate </w:t>
      </w:r>
      <w:r>
        <w:rPr>
          <w:spacing w:val="-11"/>
        </w:rPr>
        <w:lastRenderedPageBreak/>
        <w:t xml:space="preserve">between 30% or 70% PH in the NASH groups are inversely proportional to the incidence of Ki-67-positive cells, apoptosis, and necrosis. </w:t>
      </w:r>
      <w:r>
        <w:rPr>
          <w:i/>
          <w:iCs/>
          <w:spacing w:val="-11"/>
        </w:rPr>
        <w:t>GADD45A</w:t>
      </w:r>
      <w:r>
        <w:rPr>
          <w:spacing w:val="-11"/>
        </w:rPr>
        <w:t xml:space="preserve"> upregulation correlates with the differences between the NASH groups and the low survival rate in small residual NASH liver after 70% PH.</w:t>
      </w:r>
    </w:p>
    <w:p w:rsidR="005E5023" w:rsidRDefault="005E5023" w:rsidP="005E5023">
      <w:pPr>
        <w:pStyle w:val="10"/>
        <w:rPr>
          <w:spacing w:val="-10"/>
        </w:rPr>
      </w:pPr>
      <w:r>
        <w:rPr>
          <w:spacing w:val="-10"/>
        </w:rPr>
        <w:t>In conclusion, residual NASH liver dysfunction after hepatectomy is attributed to a reduction in liver regene</w:t>
      </w:r>
      <w:r>
        <w:rPr>
          <w:spacing w:val="-10"/>
        </w:rPr>
        <w:softHyphen/>
        <w:t>ration and cell proliferation. These findings suggest that the resection volume is a more limiting factor in patients with NASH than in those with a normal liver. Regarding liver surgery, the risk of complications for patients diagnosed with NASH by liver biopsy should be determined before hepatectomy. Further studies are needed to clarify therapeutic agents for NASH using our novel NASH model.</w:t>
      </w:r>
    </w:p>
    <w:p w:rsidR="005E5023" w:rsidRPr="00F261B5" w:rsidRDefault="005E5023" w:rsidP="005E5023">
      <w:pPr>
        <w:pStyle w:val="af7"/>
        <w:ind w:left="5250"/>
        <w:rPr>
          <w:lang w:val="en-US"/>
        </w:rPr>
      </w:pPr>
    </w:p>
    <w:p w:rsidR="005E5023" w:rsidRPr="00F261B5" w:rsidRDefault="005E5023" w:rsidP="005E5023">
      <w:pPr>
        <w:pStyle w:val="af7"/>
        <w:ind w:left="5250"/>
        <w:rPr>
          <w:u w:val="single"/>
          <w:lang w:val="en-US"/>
        </w:rPr>
      </w:pPr>
      <w:r w:rsidRPr="00F261B5">
        <w:rPr>
          <w:u w:val="single"/>
          <w:lang w:val="en-US"/>
        </w:rPr>
        <w:t>ARTICLE HIGHLIGHTS</w:t>
      </w:r>
    </w:p>
    <w:p w:rsidR="005E5023" w:rsidRPr="00F261B5" w:rsidRDefault="005E5023" w:rsidP="005E5023">
      <w:pPr>
        <w:pStyle w:val="af9"/>
        <w:rPr>
          <w:lang w:val="en-US"/>
        </w:rPr>
      </w:pPr>
      <w:r w:rsidRPr="00F261B5">
        <w:rPr>
          <w:lang w:val="en-US"/>
        </w:rPr>
        <w:t>Research background</w:t>
      </w:r>
    </w:p>
    <w:p w:rsidR="005E5023" w:rsidRDefault="005E5023" w:rsidP="005E5023">
      <w:pPr>
        <w:pStyle w:val="8BF4"/>
      </w:pPr>
      <w:r>
        <w:t xml:space="preserve">The population of patients with nonalcoholic steatohepatitis (NASH) and NASH-related hepatocellular carcinoma (HCC) has been increasing. However, few animal models fully reflect both the histopathology and pathophysiology of NASH in </w:t>
      </w:r>
      <w:proofErr w:type="gramStart"/>
      <w:r>
        <w:t>humans,</w:t>
      </w:r>
      <w:proofErr w:type="gramEnd"/>
      <w:r>
        <w:t xml:space="preserve"> therefore, the metabolism of the residual liver after a hepatectomy with NASH has not been clarified. We succeeded to establish a novel experimental NASH model that had same characteristics of histopathology and pathophysiology of NASH in humans.</w:t>
      </w:r>
    </w:p>
    <w:p w:rsidR="005E5023" w:rsidRPr="00F261B5" w:rsidRDefault="005E5023" w:rsidP="005E5023">
      <w:pPr>
        <w:pStyle w:val="af9"/>
        <w:rPr>
          <w:lang w:val="en-US"/>
        </w:rPr>
      </w:pPr>
    </w:p>
    <w:p w:rsidR="005E5023" w:rsidRPr="00F261B5" w:rsidRDefault="005E5023" w:rsidP="005E5023">
      <w:pPr>
        <w:pStyle w:val="af9"/>
        <w:rPr>
          <w:lang w:val="en-US"/>
        </w:rPr>
      </w:pPr>
      <w:r w:rsidRPr="00F261B5">
        <w:rPr>
          <w:lang w:val="en-US"/>
        </w:rPr>
        <w:t>Research motivation</w:t>
      </w:r>
    </w:p>
    <w:p w:rsidR="005E5023" w:rsidRDefault="005E5023" w:rsidP="005E5023">
      <w:pPr>
        <w:pStyle w:val="8BF4"/>
      </w:pPr>
      <w:r>
        <w:t>In NASH, continuous inflammation contributes to HCC. The cause of HCC is frequently infection with hepatitis B virus and hepatitis C virus (HCV). New antiviral medications for hepatitis are currently being used in clinics; therefore, the number of patients with virus-related HCC is expected to decrease in the future. By contrast, the number of patients with NASH-related HCC has been increasing recently, and this trend is expected to continue because no effective treatments are available</w:t>
      </w:r>
    </w:p>
    <w:p w:rsidR="005E5023" w:rsidRPr="00F261B5" w:rsidRDefault="005E5023" w:rsidP="005E5023">
      <w:pPr>
        <w:pStyle w:val="af9"/>
        <w:rPr>
          <w:lang w:val="en-US"/>
        </w:rPr>
      </w:pPr>
    </w:p>
    <w:p w:rsidR="005E5023" w:rsidRPr="00F261B5" w:rsidRDefault="005E5023" w:rsidP="005E5023">
      <w:pPr>
        <w:pStyle w:val="af9"/>
        <w:rPr>
          <w:lang w:val="en-US"/>
        </w:rPr>
      </w:pPr>
      <w:r w:rsidRPr="00F261B5">
        <w:rPr>
          <w:lang w:val="en-US"/>
        </w:rPr>
        <w:t>Research objectives</w:t>
      </w:r>
    </w:p>
    <w:p w:rsidR="005E5023" w:rsidRDefault="005E5023" w:rsidP="005E5023">
      <w:pPr>
        <w:pStyle w:val="8BF4"/>
      </w:pPr>
      <w:r>
        <w:t>The aim of this study was to investigate whether a difference in liver resection volume in a novel NASH model influences surgical outcomes.</w:t>
      </w:r>
    </w:p>
    <w:p w:rsidR="005E5023" w:rsidRPr="00F261B5" w:rsidRDefault="005E5023" w:rsidP="005E5023">
      <w:pPr>
        <w:pStyle w:val="af9"/>
        <w:rPr>
          <w:lang w:val="en-US"/>
        </w:rPr>
      </w:pPr>
    </w:p>
    <w:p w:rsidR="005E5023" w:rsidRPr="00F261B5" w:rsidRDefault="005E5023" w:rsidP="005E5023">
      <w:pPr>
        <w:pStyle w:val="af9"/>
        <w:rPr>
          <w:lang w:val="en-US"/>
        </w:rPr>
      </w:pPr>
      <w:r w:rsidRPr="00F261B5">
        <w:rPr>
          <w:lang w:val="en-US"/>
        </w:rPr>
        <w:t>Research methods</w:t>
      </w:r>
    </w:p>
    <w:p w:rsidR="005E5023" w:rsidRDefault="005E5023" w:rsidP="005E5023">
      <w:pPr>
        <w:pStyle w:val="8BF4"/>
      </w:pPr>
      <w:r w:rsidRPr="00F261B5">
        <w:t>To</w:t>
      </w:r>
      <w:r>
        <w:t xml:space="preserve"> establishment of a NASH model, mice were fed a high-fat diet for 4 wk, administered CCl</w:t>
      </w:r>
      <w:r>
        <w:rPr>
          <w:vertAlign w:val="subscript"/>
        </w:rPr>
        <w:t>4</w:t>
      </w:r>
      <w:r>
        <w:t xml:space="preserve"> for the last 2 wk</w:t>
      </w:r>
      <w:r w:rsidRPr="00F261B5">
        <w:t xml:space="preserve"> </w:t>
      </w:r>
      <w:r>
        <w:t xml:space="preserve">and administered T0901317 for the last 5 d. These mice </w:t>
      </w:r>
      <w:r w:rsidRPr="00F261B5">
        <w:t>were</w:t>
      </w:r>
      <w:r>
        <w:t xml:space="preserve"> divided into two groups: A 30% partial hepatectomy (PH) of NASH liver group and a 70% PH of NASH liver group</w:t>
      </w:r>
      <w:r w:rsidRPr="00F261B5">
        <w:t xml:space="preserve"> (</w:t>
      </w:r>
      <w:r>
        <w:t>control</w:t>
      </w:r>
      <w:r w:rsidRPr="00F261B5">
        <w:t>)</w:t>
      </w:r>
      <w:r>
        <w:t>. Evaluat</w:t>
      </w:r>
      <w:r w:rsidRPr="00F261B5">
        <w:t>e</w:t>
      </w:r>
      <w:r>
        <w:t xml:space="preserve"> </w:t>
      </w:r>
      <w:r w:rsidRPr="00F261B5">
        <w:t>the</w:t>
      </w:r>
      <w:r>
        <w:t xml:space="preserve"> survival rate, regeneration, apoptosis, necrosis and DNA expression </w:t>
      </w:r>
      <w:r w:rsidRPr="00F261B5">
        <w:t xml:space="preserve">level </w:t>
      </w:r>
      <w:r>
        <w:t>after PH</w:t>
      </w:r>
      <w:r w:rsidRPr="00F261B5">
        <w:t>.</w:t>
      </w:r>
    </w:p>
    <w:p w:rsidR="005E5023" w:rsidRPr="00F261B5" w:rsidRDefault="005E5023" w:rsidP="005E5023">
      <w:pPr>
        <w:pStyle w:val="af9"/>
        <w:rPr>
          <w:lang w:val="en-US"/>
        </w:rPr>
      </w:pPr>
    </w:p>
    <w:p w:rsidR="005E5023" w:rsidRPr="00F261B5" w:rsidRDefault="005E5023" w:rsidP="005E5023">
      <w:pPr>
        <w:pStyle w:val="af9"/>
        <w:rPr>
          <w:lang w:val="en-US"/>
        </w:rPr>
      </w:pPr>
      <w:r w:rsidRPr="00F261B5">
        <w:rPr>
          <w:lang w:val="en-US"/>
        </w:rPr>
        <w:t>Research results</w:t>
      </w:r>
    </w:p>
    <w:p w:rsidR="005E5023" w:rsidRDefault="005E5023" w:rsidP="005E5023">
      <w:pPr>
        <w:pStyle w:val="8BF4"/>
      </w:pPr>
      <w:r>
        <w:t>In the 70% PH of NASH group, the survival rate was significantly decreased compared with that in the control and 30% PH of NASH groups (</w:t>
      </w:r>
      <w:r>
        <w:rPr>
          <w:i/>
          <w:iCs/>
        </w:rPr>
        <w:t>P</w:t>
      </w:r>
      <w:r>
        <w:t xml:space="preserve"> &lt; 0.01). 10 of 32 mice in the NASH 70% PH group died within 48 h after PH. serum aspartate aminotransferase (AST) levels and total bilirubin (T-Bil) in the NASH 70% PH group were significantly higher than the levels in the other two groups (AST: </w:t>
      </w:r>
      <w:r>
        <w:rPr>
          <w:i/>
          <w:iCs/>
        </w:rPr>
        <w:t>P</w:t>
      </w:r>
      <w:r>
        <w:t xml:space="preserve"> &lt; 0.05, T-Bil: </w:t>
      </w:r>
      <w:r>
        <w:rPr>
          <w:i/>
          <w:iCs/>
        </w:rPr>
        <w:t>P</w:t>
      </w:r>
      <w:r>
        <w:t xml:space="preserve"> &lt; 0.01). In both PH of NASH groups, signaling proteins involved in regeneration were expressed at lower levels than those in the control group (</w:t>
      </w:r>
      <w:r>
        <w:rPr>
          <w:i/>
          <w:iCs/>
        </w:rPr>
        <w:t>P</w:t>
      </w:r>
      <w:r>
        <w:t xml:space="preserve"> &lt; 0.01). The 70% PH of NASH group also exhibited a lower number of Ki-67-positive cells and higher rates of apoptosis and necrosis than the NASH 30% PH group (</w:t>
      </w:r>
      <w:r>
        <w:rPr>
          <w:i/>
          <w:iCs/>
        </w:rPr>
        <w:t>P</w:t>
      </w:r>
      <w:r>
        <w:t xml:space="preserve"> &lt; 0.01). In addition, DNA microarray assays showed differences in gene expression associated with cell cycle arrest and apoptosis.</w:t>
      </w:r>
    </w:p>
    <w:p w:rsidR="005E5023" w:rsidRPr="00F261B5" w:rsidRDefault="005E5023" w:rsidP="005E5023">
      <w:pPr>
        <w:pStyle w:val="af9"/>
        <w:rPr>
          <w:lang w:val="en-US"/>
        </w:rPr>
      </w:pPr>
    </w:p>
    <w:p w:rsidR="005E5023" w:rsidRPr="00F261B5" w:rsidRDefault="005E5023" w:rsidP="005E5023">
      <w:pPr>
        <w:pStyle w:val="af9"/>
        <w:rPr>
          <w:lang w:val="en-US"/>
        </w:rPr>
      </w:pPr>
      <w:r w:rsidRPr="00F261B5">
        <w:rPr>
          <w:lang w:val="en-US"/>
        </w:rPr>
        <w:t>Research conclusions</w:t>
      </w:r>
    </w:p>
    <w:p w:rsidR="005E5023" w:rsidRDefault="005E5023" w:rsidP="005E5023">
      <w:pPr>
        <w:pStyle w:val="8BF4"/>
      </w:pPr>
      <w:r>
        <w:t>The residual NASH liver dysfunction after hepatectomy is attributed to a reduction in liver regeneration and cell proliferation. A larger residual volume is required to maintain liver functions in mice with NASH.</w:t>
      </w:r>
    </w:p>
    <w:p w:rsidR="005E5023" w:rsidRPr="00F261B5" w:rsidRDefault="005E5023" w:rsidP="005E5023">
      <w:pPr>
        <w:pStyle w:val="af9"/>
        <w:rPr>
          <w:lang w:val="en-US"/>
        </w:rPr>
      </w:pPr>
    </w:p>
    <w:p w:rsidR="005E5023" w:rsidRPr="00F261B5" w:rsidRDefault="005E5023" w:rsidP="005E5023">
      <w:pPr>
        <w:pStyle w:val="af9"/>
        <w:rPr>
          <w:lang w:val="en-US"/>
        </w:rPr>
      </w:pPr>
      <w:r w:rsidRPr="00F261B5">
        <w:rPr>
          <w:lang w:val="en-US"/>
        </w:rPr>
        <w:t>Research perspectives</w:t>
      </w:r>
    </w:p>
    <w:p w:rsidR="005E5023" w:rsidRDefault="005E5023" w:rsidP="005E5023">
      <w:pPr>
        <w:pStyle w:val="8BF4"/>
      </w:pPr>
      <w:r>
        <w:t>This study suggests that the resection volume is a more limiting factor in patients with NASH than in those with a normal liver. Regarding liver surgery, the risk of complications for patients diagnosed with NASH by liver biopsy should be determined before hepatectomy. Further studies are needed to clarify therapeutic agents for NASH using our novel NASH model.</w:t>
      </w:r>
    </w:p>
    <w:p w:rsidR="005E5023" w:rsidRPr="00F261B5" w:rsidRDefault="005E5023" w:rsidP="005E5023">
      <w:pPr>
        <w:pStyle w:val="af7"/>
        <w:ind w:left="5250"/>
        <w:rPr>
          <w:lang w:val="en-US"/>
        </w:rPr>
      </w:pPr>
    </w:p>
    <w:p w:rsidR="005E5023" w:rsidRPr="00F261B5" w:rsidRDefault="005E5023" w:rsidP="005E5023">
      <w:pPr>
        <w:pStyle w:val="af7"/>
        <w:ind w:left="5250"/>
        <w:rPr>
          <w:lang w:val="en-US"/>
        </w:rPr>
      </w:pPr>
      <w:r w:rsidRPr="00F261B5">
        <w:rPr>
          <w:lang w:val="en-US"/>
        </w:rPr>
        <w:t>REFERENCES</w:t>
      </w:r>
    </w:p>
    <w:p w:rsidR="00837D19" w:rsidRDefault="00837D19" w:rsidP="00837D19">
      <w:pPr>
        <w:pStyle w:val="-1"/>
      </w:pPr>
      <w:r>
        <w:t>1</w:t>
      </w:r>
      <w:r>
        <w:tab/>
      </w:r>
      <w:r>
        <w:rPr>
          <w:b/>
          <w:bCs/>
        </w:rPr>
        <w:t>Chitturi S</w:t>
      </w:r>
      <w:r>
        <w:t xml:space="preserve">, Farrell GC, George J. Non-alcoholic steatohepatitis in the Asia-Pacific region: future shock? </w:t>
      </w:r>
      <w:r>
        <w:rPr>
          <w:i/>
          <w:iCs/>
        </w:rPr>
        <w:t>J Gastroenterol Hepatol</w:t>
      </w:r>
      <w:r>
        <w:t xml:space="preserve"> 2004; </w:t>
      </w:r>
      <w:r>
        <w:rPr>
          <w:b/>
          <w:bCs/>
        </w:rPr>
        <w:t>19</w:t>
      </w:r>
      <w:r>
        <w:t>: 368-374 [PMID: 15012772]</w:t>
      </w:r>
    </w:p>
    <w:p w:rsidR="00837D19" w:rsidRDefault="00837D19" w:rsidP="00837D19">
      <w:pPr>
        <w:pStyle w:val="-1"/>
      </w:pPr>
      <w:r>
        <w:t>2</w:t>
      </w:r>
      <w:r>
        <w:tab/>
      </w:r>
      <w:r>
        <w:rPr>
          <w:b/>
          <w:bCs/>
        </w:rPr>
        <w:t>Browning JD</w:t>
      </w:r>
      <w:r>
        <w:t xml:space="preserve">, Szczepaniak LS, Dobbins R, Nuremberg P, Horton JD, Cohen JC, Grundy SM, Hobbs HH. Prevalence of hepatic steatosis in an urban population in the United States: impact of ethnicity. </w:t>
      </w:r>
      <w:r>
        <w:rPr>
          <w:i/>
          <w:iCs/>
        </w:rPr>
        <w:t>Hepatology</w:t>
      </w:r>
      <w:r>
        <w:t xml:space="preserve"> 2004; </w:t>
      </w:r>
      <w:r>
        <w:rPr>
          <w:b/>
          <w:bCs/>
        </w:rPr>
        <w:t>40</w:t>
      </w:r>
      <w:r>
        <w:t>: 1387-1395 [PMID: 15565570 DOI: 10.1002/hep.20466]</w:t>
      </w:r>
    </w:p>
    <w:p w:rsidR="00837D19" w:rsidRDefault="00837D19" w:rsidP="00837D19">
      <w:pPr>
        <w:pStyle w:val="-1"/>
      </w:pPr>
      <w:r>
        <w:t>3</w:t>
      </w:r>
      <w:r>
        <w:tab/>
      </w:r>
      <w:r>
        <w:rPr>
          <w:b/>
          <w:bCs/>
        </w:rPr>
        <w:t>White DL</w:t>
      </w:r>
      <w:r>
        <w:t xml:space="preserve">, Kanwal F, El-Serag HB. </w:t>
      </w:r>
      <w:proofErr w:type="gramStart"/>
      <w:r>
        <w:t>Association between nonalcoholic fatty liver disease and risk for hepatocellular cancer, based on systematic review.</w:t>
      </w:r>
      <w:proofErr w:type="gramEnd"/>
      <w:r>
        <w:t xml:space="preserve"> </w:t>
      </w:r>
      <w:r>
        <w:rPr>
          <w:i/>
          <w:iCs/>
        </w:rPr>
        <w:t>Clin Gastroenterol Hepatol</w:t>
      </w:r>
      <w:r>
        <w:t xml:space="preserve"> 2012; </w:t>
      </w:r>
      <w:r>
        <w:rPr>
          <w:b/>
          <w:bCs/>
        </w:rPr>
        <w:t>10</w:t>
      </w:r>
      <w:r>
        <w:t>: 1342-1359.e2 [PMID: 23041539 DOI: 10.1016/j.cgh.2012.10.001]</w:t>
      </w:r>
    </w:p>
    <w:p w:rsidR="00837D19" w:rsidRDefault="00837D19" w:rsidP="00837D19">
      <w:pPr>
        <w:pStyle w:val="-1"/>
      </w:pPr>
      <w:r>
        <w:t>4</w:t>
      </w:r>
      <w:r>
        <w:tab/>
      </w:r>
      <w:r>
        <w:rPr>
          <w:b/>
          <w:bCs/>
        </w:rPr>
        <w:t>Younossi ZM</w:t>
      </w:r>
      <w:r>
        <w:t xml:space="preserve">, Otgonsuren M, Henry L, Venkatesan C, Mishra A, Erario M, Hunt S. Association of nonalcoholic fatty liver disease (NAFLD) with hepatocellular carcinoma (HCC) in the United States from 2004 to 2009. </w:t>
      </w:r>
      <w:r>
        <w:rPr>
          <w:i/>
          <w:iCs/>
        </w:rPr>
        <w:t>Hepatology</w:t>
      </w:r>
      <w:r>
        <w:t xml:space="preserve"> 2015; </w:t>
      </w:r>
      <w:r>
        <w:rPr>
          <w:b/>
          <w:bCs/>
        </w:rPr>
        <w:t>62</w:t>
      </w:r>
      <w:r>
        <w:t>: 1723-1730 [PMID: 26274335 DOI: 10.1002/hep.28123]</w:t>
      </w:r>
    </w:p>
    <w:p w:rsidR="00837D19" w:rsidRDefault="00837D19" w:rsidP="00837D19">
      <w:pPr>
        <w:pStyle w:val="-1"/>
      </w:pPr>
      <w:r>
        <w:t>5</w:t>
      </w:r>
      <w:r>
        <w:tab/>
      </w:r>
      <w:r>
        <w:rPr>
          <w:b/>
          <w:bCs/>
        </w:rPr>
        <w:t>Yokosuka O</w:t>
      </w:r>
      <w:r>
        <w:t xml:space="preserve">, Takaguchi K, Fujioka S, Shindo M, Chayama K, Kobashi H, Hayashi N, Sato C, Kiyosawa K, Tanikawa K, Ishikawa H, Masaki N, Seriu T, Omata M. Long-term use of entecavir in nucleoside-naïve Japanese patients with chronic hepatitis B infection. </w:t>
      </w:r>
      <w:r>
        <w:rPr>
          <w:i/>
          <w:iCs/>
        </w:rPr>
        <w:t>J Hepatol</w:t>
      </w:r>
      <w:r>
        <w:t xml:space="preserve"> 2010; </w:t>
      </w:r>
      <w:r>
        <w:rPr>
          <w:b/>
          <w:bCs/>
        </w:rPr>
        <w:t>52</w:t>
      </w:r>
      <w:r>
        <w:t>: 791-799 [PMID: 20409606 DOI: 10.1016/j.jhep.2009.12.036]</w:t>
      </w:r>
    </w:p>
    <w:p w:rsidR="00837D19" w:rsidRDefault="00837D19" w:rsidP="00837D19">
      <w:pPr>
        <w:pStyle w:val="-1"/>
      </w:pPr>
      <w:r>
        <w:t>6</w:t>
      </w:r>
      <w:r>
        <w:tab/>
      </w:r>
      <w:r>
        <w:rPr>
          <w:b/>
          <w:bCs/>
        </w:rPr>
        <w:t>Parkin DM</w:t>
      </w:r>
      <w:r>
        <w:t xml:space="preserve">. </w:t>
      </w:r>
      <w:proofErr w:type="gramStart"/>
      <w:r>
        <w:t>The global health burden of infection-associated cancers in the year 2002.</w:t>
      </w:r>
      <w:proofErr w:type="gramEnd"/>
      <w:r>
        <w:t xml:space="preserve"> </w:t>
      </w:r>
      <w:r>
        <w:rPr>
          <w:i/>
          <w:iCs/>
        </w:rPr>
        <w:t>Int J Cancer</w:t>
      </w:r>
      <w:r>
        <w:t xml:space="preserve"> 2006; </w:t>
      </w:r>
      <w:r>
        <w:rPr>
          <w:b/>
          <w:bCs/>
        </w:rPr>
        <w:t>118</w:t>
      </w:r>
      <w:r>
        <w:t>: 3030-3044 [PMID: 16404738 DOI: 10.1002/ijc.21731]</w:t>
      </w:r>
    </w:p>
    <w:p w:rsidR="00837D19" w:rsidRDefault="00837D19" w:rsidP="00837D19">
      <w:pPr>
        <w:pStyle w:val="-1"/>
      </w:pPr>
      <w:r>
        <w:t>7</w:t>
      </w:r>
      <w:r>
        <w:tab/>
      </w:r>
      <w:r>
        <w:rPr>
          <w:b/>
          <w:bCs/>
        </w:rPr>
        <w:t>Nishiguchi S</w:t>
      </w:r>
      <w:r>
        <w:t xml:space="preserve">, Kuroki T, Nakatani S, Morimoto H, Takeda T, Nakajima S, Shiomi S, Seki S, Kobayashi K, Otani S. Randomised trial of effects of interferon-alpha on incidence of hepatocellular carcinoma in chronic active hepatitis C with cirrhosis. </w:t>
      </w:r>
      <w:r>
        <w:rPr>
          <w:i/>
          <w:iCs/>
        </w:rPr>
        <w:t>Lancet</w:t>
      </w:r>
      <w:r>
        <w:t xml:space="preserve"> 1995; </w:t>
      </w:r>
      <w:r>
        <w:rPr>
          <w:b/>
          <w:bCs/>
        </w:rPr>
        <w:t>346</w:t>
      </w:r>
      <w:r>
        <w:t>: 1051-1055 [PMID: 7564784]</w:t>
      </w:r>
    </w:p>
    <w:p w:rsidR="00837D19" w:rsidRDefault="00837D19" w:rsidP="00837D19">
      <w:pPr>
        <w:pStyle w:val="-1"/>
      </w:pPr>
      <w:r>
        <w:t>8</w:t>
      </w:r>
      <w:r>
        <w:tab/>
      </w:r>
      <w:r>
        <w:rPr>
          <w:b/>
          <w:bCs/>
        </w:rPr>
        <w:t>Yoshida H</w:t>
      </w:r>
      <w:r>
        <w:t xml:space="preserve">, Shiratori Y, Moriyama M, Arakawa Y, Ide T, Sata M, Inoue O, Yano M, Tanaka M, Fujiyama S, Nishiguchi S, Kuroki T, Imazeki F, Yokosuka O, Kinoyama S, Yamada G, Omata M. Interferon therapy reduces the risk for hepatocellular carcinoma: national surveillance program of cirrhotic and noncirrhotic patients with chronic hepatitis C in Japan. IHIT Study Group. </w:t>
      </w:r>
      <w:proofErr w:type="gramStart"/>
      <w:r>
        <w:t>Inhibition of Hepatocarcinogenesis by Interferon Therapy.</w:t>
      </w:r>
      <w:proofErr w:type="gramEnd"/>
      <w:r>
        <w:t xml:space="preserve"> </w:t>
      </w:r>
      <w:r>
        <w:rPr>
          <w:i/>
          <w:iCs/>
        </w:rPr>
        <w:t>Ann Intern Med</w:t>
      </w:r>
      <w:r>
        <w:t xml:space="preserve"> 1999; </w:t>
      </w:r>
      <w:r>
        <w:rPr>
          <w:b/>
          <w:bCs/>
        </w:rPr>
        <w:t>131</w:t>
      </w:r>
      <w:r>
        <w:t>: 174-181 [PMID: 10428733]</w:t>
      </w:r>
    </w:p>
    <w:p w:rsidR="00837D19" w:rsidRDefault="00837D19" w:rsidP="00837D19">
      <w:pPr>
        <w:pStyle w:val="-1"/>
      </w:pPr>
      <w:r>
        <w:t>9</w:t>
      </w:r>
      <w:r>
        <w:tab/>
      </w:r>
      <w:r>
        <w:rPr>
          <w:b/>
          <w:bCs/>
        </w:rPr>
        <w:t>Liaw YF</w:t>
      </w:r>
      <w:r>
        <w:t xml:space="preserve">, Sung JJ, Chow WC, Farrell G, Lee CZ, Yuen H, Tanwandee T, Tao QM, Shue K, Keene ON, Dixon JS, Gray DF, Sabbat J; Cirrhosis Asian Lamivudine Multicentre Study Group. </w:t>
      </w:r>
      <w:proofErr w:type="gramStart"/>
      <w:r>
        <w:t>Lamivudine for patients with chronic hepatitis B and advanced liver disease.</w:t>
      </w:r>
      <w:proofErr w:type="gramEnd"/>
      <w:r>
        <w:t xml:space="preserve"> </w:t>
      </w:r>
      <w:r>
        <w:rPr>
          <w:i/>
          <w:iCs/>
        </w:rPr>
        <w:t>N Engl J Med</w:t>
      </w:r>
      <w:r>
        <w:t xml:space="preserve"> 2004; </w:t>
      </w:r>
      <w:r>
        <w:rPr>
          <w:b/>
          <w:bCs/>
        </w:rPr>
        <w:t>351</w:t>
      </w:r>
      <w:r>
        <w:t>: 1521-1531 [PMID: 15470215 DOI: 10.1056/NEJMoa033364]</w:t>
      </w:r>
    </w:p>
    <w:p w:rsidR="00837D19" w:rsidRDefault="00837D19" w:rsidP="00837D19">
      <w:pPr>
        <w:pStyle w:val="-1"/>
        <w:rPr>
          <w:spacing w:val="-2"/>
        </w:rPr>
      </w:pPr>
      <w:r>
        <w:rPr>
          <w:spacing w:val="-2"/>
        </w:rPr>
        <w:t>10</w:t>
      </w:r>
      <w:r>
        <w:rPr>
          <w:spacing w:val="-2"/>
        </w:rPr>
        <w:tab/>
      </w:r>
      <w:r>
        <w:rPr>
          <w:b/>
          <w:bCs/>
          <w:spacing w:val="-2"/>
        </w:rPr>
        <w:t>Tateishi R,</w:t>
      </w:r>
      <w:r>
        <w:rPr>
          <w:spacing w:val="-2"/>
        </w:rPr>
        <w:t xml:space="preserve"> Okanoue T, Fujiwara N, Okita K, Kiyosawa K, Omata M, Kumada H, Hayashi N, Koike K. Clinical characteristics, treatment, and prognosis of non-B, non-C hepatocellular carcinoma: a large retrospective multicenter cohort study. </w:t>
      </w:r>
      <w:r>
        <w:rPr>
          <w:i/>
          <w:iCs/>
          <w:spacing w:val="-2"/>
        </w:rPr>
        <w:t>J Gastroenterol</w:t>
      </w:r>
      <w:r w:rsidRPr="00837D19">
        <w:rPr>
          <w:spacing w:val="-2"/>
        </w:rPr>
        <w:t xml:space="preserve"> </w:t>
      </w:r>
      <w:r>
        <w:rPr>
          <w:spacing w:val="-2"/>
        </w:rPr>
        <w:t xml:space="preserve">2015; </w:t>
      </w:r>
      <w:r>
        <w:rPr>
          <w:b/>
          <w:bCs/>
          <w:spacing w:val="-2"/>
        </w:rPr>
        <w:t>50</w:t>
      </w:r>
      <w:r>
        <w:rPr>
          <w:spacing w:val="-2"/>
        </w:rPr>
        <w:t>: 350-360 [PMID: 24929638</w:t>
      </w:r>
      <w:r w:rsidRPr="00837D19">
        <w:rPr>
          <w:spacing w:val="-2"/>
        </w:rPr>
        <w:t xml:space="preserve"> </w:t>
      </w:r>
      <w:r>
        <w:rPr>
          <w:spacing w:val="-2"/>
        </w:rPr>
        <w:t>DOI: 10.1007/s00535-014-0973-8]</w:t>
      </w:r>
    </w:p>
    <w:p w:rsidR="00837D19" w:rsidRDefault="00837D19" w:rsidP="00837D19">
      <w:pPr>
        <w:pStyle w:val="-1"/>
      </w:pPr>
      <w:r>
        <w:lastRenderedPageBreak/>
        <w:t>11</w:t>
      </w:r>
      <w:r>
        <w:tab/>
      </w:r>
      <w:r>
        <w:rPr>
          <w:b/>
          <w:bCs/>
        </w:rPr>
        <w:t>Veteläinen R,</w:t>
      </w:r>
      <w:r w:rsidRPr="00837D19">
        <w:t xml:space="preserve"> </w:t>
      </w:r>
      <w:r>
        <w:t xml:space="preserve">van Vliet A, Gouma DJ, van Gulik TM. </w:t>
      </w:r>
      <w:proofErr w:type="gramStart"/>
      <w:r>
        <w:t>Steatosis as a risk factor in liver surgery.</w:t>
      </w:r>
      <w:proofErr w:type="gramEnd"/>
      <w:r>
        <w:t xml:space="preserve"> </w:t>
      </w:r>
      <w:r>
        <w:rPr>
          <w:i/>
          <w:iCs/>
        </w:rPr>
        <w:t>Ann Surg</w:t>
      </w:r>
      <w:r>
        <w:t xml:space="preserve"> 2007; </w:t>
      </w:r>
      <w:r>
        <w:rPr>
          <w:b/>
          <w:bCs/>
        </w:rPr>
        <w:t>245</w:t>
      </w:r>
      <w:r>
        <w:t>: 20-30 [PMID: 17197961</w:t>
      </w:r>
      <w:r w:rsidRPr="00837D19">
        <w:t xml:space="preserve"> </w:t>
      </w:r>
      <w:r>
        <w:t>DOI: 10.1097/01.sla.0000225113.88433.cf]</w:t>
      </w:r>
    </w:p>
    <w:p w:rsidR="00837D19" w:rsidRDefault="00837D19" w:rsidP="00837D19">
      <w:pPr>
        <w:pStyle w:val="-1"/>
      </w:pPr>
      <w:r>
        <w:t>12</w:t>
      </w:r>
      <w:r>
        <w:tab/>
      </w:r>
      <w:r>
        <w:rPr>
          <w:b/>
          <w:bCs/>
        </w:rPr>
        <w:t>Molla NW</w:t>
      </w:r>
      <w:r>
        <w:t xml:space="preserve">, Hassanain MM, Fadel Z, Boucher LM, Madkhali A, Altahan RM, Alrijraji EA, Simoneau EB, Alamri H, Salman A, Gao Z, Metrakos PP. Effect of non-alcoholic liver disease on recurrence rate and liver regeneration after liver resection for colorectal liver metastases. </w:t>
      </w:r>
      <w:r>
        <w:rPr>
          <w:i/>
          <w:iCs/>
        </w:rPr>
        <w:t>Curr Oncol</w:t>
      </w:r>
      <w:r>
        <w:t xml:space="preserve"> 2017; </w:t>
      </w:r>
      <w:r>
        <w:rPr>
          <w:b/>
          <w:bCs/>
        </w:rPr>
        <w:t>24</w:t>
      </w:r>
      <w:r>
        <w:t>: e233-e243 [PMID: 28680292 DOI: 10.3747/co.24.3133]</w:t>
      </w:r>
    </w:p>
    <w:p w:rsidR="00837D19" w:rsidRDefault="00837D19" w:rsidP="00837D19">
      <w:pPr>
        <w:pStyle w:val="-1"/>
      </w:pPr>
      <w:r>
        <w:t>13</w:t>
      </w:r>
      <w:r>
        <w:tab/>
      </w:r>
      <w:r>
        <w:rPr>
          <w:b/>
          <w:bCs/>
        </w:rPr>
        <w:t>Inaba Y</w:t>
      </w:r>
      <w:r>
        <w:t xml:space="preserve">, Furutani T, Kimura K, Watanabe H, Haga S, Kido Y, Matsumoto M, Yamamoto Y, Harada K, Kaneko S, Oyadomari S, Ozaki M, Kasuga M, Inoue H. Growth arrest and DNA damage-inducible 34 regulates liver regeneration in hepatic steatosis in mice. </w:t>
      </w:r>
      <w:r>
        <w:rPr>
          <w:i/>
          <w:iCs/>
        </w:rPr>
        <w:t>Hepatology</w:t>
      </w:r>
      <w:r>
        <w:t xml:space="preserve"> 2015; </w:t>
      </w:r>
      <w:r>
        <w:rPr>
          <w:b/>
          <w:bCs/>
        </w:rPr>
        <w:t>61</w:t>
      </w:r>
      <w:r>
        <w:t>: 1343-1356 [PMID: 25420998 DOI: 10.1002/hep.27619]</w:t>
      </w:r>
    </w:p>
    <w:p w:rsidR="00837D19" w:rsidRDefault="00837D19" w:rsidP="00837D19">
      <w:pPr>
        <w:pStyle w:val="-1"/>
      </w:pPr>
      <w:r>
        <w:t>14</w:t>
      </w:r>
      <w:r>
        <w:tab/>
      </w:r>
      <w:r>
        <w:rPr>
          <w:b/>
          <w:bCs/>
        </w:rPr>
        <w:t>Haga S,</w:t>
      </w:r>
      <w:r>
        <w:t xml:space="preserve"> Ozawa T, Yamada Y, Morita N, Nagashima I, Inoue H, Inaba Y, Noda N, Abe R, Umezawa K, Ozaki M. p62/SQSTM1 plays a protective role in oxidative injury of steatotic liver in a mouse hepatectomy model. </w:t>
      </w:r>
      <w:r>
        <w:rPr>
          <w:i/>
          <w:iCs/>
        </w:rPr>
        <w:t>Antioxid Redox Signal</w:t>
      </w:r>
      <w:r w:rsidRPr="00837D19">
        <w:t xml:space="preserve"> </w:t>
      </w:r>
      <w:r>
        <w:t xml:space="preserve">2014; </w:t>
      </w:r>
      <w:r>
        <w:rPr>
          <w:b/>
          <w:bCs/>
        </w:rPr>
        <w:t>21</w:t>
      </w:r>
      <w:r>
        <w:t>: 2515-2530 [PMID: 24925527</w:t>
      </w:r>
      <w:r w:rsidRPr="00837D19">
        <w:t xml:space="preserve"> </w:t>
      </w:r>
      <w:r>
        <w:t>DOI: 10.1089/ars.2013.5391]</w:t>
      </w:r>
    </w:p>
    <w:p w:rsidR="00837D19" w:rsidRDefault="00837D19" w:rsidP="00837D19">
      <w:pPr>
        <w:pStyle w:val="-1"/>
      </w:pPr>
      <w:r>
        <w:t>15</w:t>
      </w:r>
      <w:r>
        <w:tab/>
      </w:r>
      <w:r>
        <w:rPr>
          <w:b/>
          <w:bCs/>
        </w:rPr>
        <w:t>Murata H,</w:t>
      </w:r>
      <w:r>
        <w:t xml:space="preserve"> Yagi T, Iwagaki H, Ogino T, Sadamori H, Matsukawa H, Umeda Y, Haga S, Takaka N, Ozaki M. Mechanism of impaired regeneration of fatty liver in mouse partial hepatectomy model. Journal of gastroenterology and hepatology 2007; </w:t>
      </w:r>
      <w:r>
        <w:rPr>
          <w:b/>
          <w:bCs/>
        </w:rPr>
        <w:t>22</w:t>
      </w:r>
      <w:r>
        <w:t>: 2173-2180 [DOI: 10.1111/j.1440-1746.2006.04798.x]</w:t>
      </w:r>
    </w:p>
    <w:p w:rsidR="00837D19" w:rsidRDefault="00837D19" w:rsidP="00837D19">
      <w:pPr>
        <w:pStyle w:val="-1"/>
      </w:pPr>
      <w:r>
        <w:t>16</w:t>
      </w:r>
      <w:r>
        <w:tab/>
      </w:r>
      <w:r>
        <w:rPr>
          <w:b/>
          <w:bCs/>
        </w:rPr>
        <w:t>Aoyama T</w:t>
      </w:r>
      <w:r>
        <w:t xml:space="preserve">, Ikejima K, Kon K, Okumura K, Arai K, Watanabe S. Pioglitazone promotes survival and prevents hepatic regeneration failure after partial hepatectomy in obese and diabetic KK-A(y) mice. </w:t>
      </w:r>
      <w:r>
        <w:rPr>
          <w:i/>
          <w:iCs/>
        </w:rPr>
        <w:t>Hepatology</w:t>
      </w:r>
      <w:r>
        <w:t xml:space="preserve"> 2009; </w:t>
      </w:r>
      <w:r>
        <w:rPr>
          <w:b/>
          <w:bCs/>
        </w:rPr>
        <w:t>49</w:t>
      </w:r>
      <w:r>
        <w:t>: 1636-1644 [PMID: 19205029 DOI: 10.1002/hep.22828]</w:t>
      </w:r>
    </w:p>
    <w:p w:rsidR="00837D19" w:rsidRDefault="00837D19" w:rsidP="00837D19">
      <w:pPr>
        <w:pStyle w:val="-1"/>
      </w:pPr>
      <w:r>
        <w:t>17</w:t>
      </w:r>
      <w:r>
        <w:tab/>
      </w:r>
      <w:r>
        <w:rPr>
          <w:b/>
          <w:bCs/>
        </w:rPr>
        <w:t>Helling TS</w:t>
      </w:r>
      <w:r>
        <w:t xml:space="preserve">. </w:t>
      </w:r>
      <w:proofErr w:type="gramStart"/>
      <w:r>
        <w:t>Liver failure following partial hepatectomy.</w:t>
      </w:r>
      <w:proofErr w:type="gramEnd"/>
      <w:r>
        <w:t xml:space="preserve"> </w:t>
      </w:r>
      <w:r>
        <w:rPr>
          <w:i/>
          <w:iCs/>
        </w:rPr>
        <w:t xml:space="preserve">HPB </w:t>
      </w:r>
      <w:r>
        <w:t xml:space="preserve">(Oxford) 2006; </w:t>
      </w:r>
      <w:r>
        <w:rPr>
          <w:b/>
          <w:bCs/>
        </w:rPr>
        <w:t>8</w:t>
      </w:r>
      <w:r>
        <w:t>: 165-174 [PMID: 18333270 DOI: 10.1080/13651820510035712]</w:t>
      </w:r>
    </w:p>
    <w:p w:rsidR="00837D19" w:rsidRDefault="00837D19" w:rsidP="00837D19">
      <w:pPr>
        <w:pStyle w:val="-1"/>
      </w:pPr>
      <w:r>
        <w:t>18</w:t>
      </w:r>
      <w:r>
        <w:tab/>
      </w:r>
      <w:r>
        <w:rPr>
          <w:b/>
          <w:bCs/>
        </w:rPr>
        <w:t>Bernal W</w:t>
      </w:r>
      <w:r>
        <w:t xml:space="preserve">, Lee WM, Wendon J, Larsen FS, Williams R. Acute liver failure: A curable disease by 2024? </w:t>
      </w:r>
      <w:r>
        <w:rPr>
          <w:i/>
          <w:iCs/>
        </w:rPr>
        <w:t>J Hepatol</w:t>
      </w:r>
      <w:r>
        <w:t xml:space="preserve"> 2015; </w:t>
      </w:r>
      <w:r>
        <w:rPr>
          <w:b/>
          <w:bCs/>
        </w:rPr>
        <w:t>62</w:t>
      </w:r>
      <w:r>
        <w:t>: S112-S120 [PMID: 25920080 DOI: 10.1016/j.jhep.2014.12.016]</w:t>
      </w:r>
    </w:p>
    <w:p w:rsidR="00837D19" w:rsidRDefault="00837D19" w:rsidP="00837D19">
      <w:pPr>
        <w:pStyle w:val="-1"/>
      </w:pPr>
      <w:r>
        <w:t>19</w:t>
      </w:r>
      <w:r>
        <w:tab/>
      </w:r>
      <w:r>
        <w:rPr>
          <w:b/>
          <w:bCs/>
        </w:rPr>
        <w:t>Michalopoulos GK</w:t>
      </w:r>
      <w:r>
        <w:t xml:space="preserve">, DeFrances MC. Liver regeneration. </w:t>
      </w:r>
      <w:r>
        <w:rPr>
          <w:i/>
          <w:iCs/>
        </w:rPr>
        <w:t>Science</w:t>
      </w:r>
      <w:r>
        <w:t xml:space="preserve"> 1997; </w:t>
      </w:r>
      <w:r>
        <w:rPr>
          <w:b/>
          <w:bCs/>
        </w:rPr>
        <w:t>276</w:t>
      </w:r>
      <w:r>
        <w:t>: 60-66 [PMID: 9082986]</w:t>
      </w:r>
    </w:p>
    <w:p w:rsidR="00837D19" w:rsidRDefault="00837D19" w:rsidP="00837D19">
      <w:pPr>
        <w:pStyle w:val="-1"/>
      </w:pPr>
      <w:r>
        <w:t>20</w:t>
      </w:r>
      <w:r>
        <w:tab/>
      </w:r>
      <w:r>
        <w:rPr>
          <w:b/>
          <w:bCs/>
        </w:rPr>
        <w:t>Forbes SJ,</w:t>
      </w:r>
      <w:r>
        <w:t xml:space="preserve"> Newsome PN. </w:t>
      </w:r>
      <w:proofErr w:type="gramStart"/>
      <w:r>
        <w:t>Liver regeneration [mdash] mechanisms and models to clinical application.</w:t>
      </w:r>
      <w:proofErr w:type="gramEnd"/>
      <w:r>
        <w:t xml:space="preserve"> </w:t>
      </w:r>
      <w:r>
        <w:rPr>
          <w:i/>
          <w:iCs/>
        </w:rPr>
        <w:t xml:space="preserve">Nat Rev Gastroenterol Hepatol </w:t>
      </w:r>
      <w:r>
        <w:t xml:space="preserve">2016; </w:t>
      </w:r>
      <w:r>
        <w:rPr>
          <w:b/>
          <w:bCs/>
        </w:rPr>
        <w:t>13</w:t>
      </w:r>
      <w:r>
        <w:t>: 473-485 [DOI: 10.1038/nrgastro.2016.97]</w:t>
      </w:r>
    </w:p>
    <w:p w:rsidR="00837D19" w:rsidRDefault="00837D19" w:rsidP="00837D19">
      <w:pPr>
        <w:pStyle w:val="-1"/>
      </w:pPr>
      <w:r>
        <w:t>21</w:t>
      </w:r>
      <w:r>
        <w:tab/>
      </w:r>
      <w:r>
        <w:rPr>
          <w:b/>
          <w:bCs/>
        </w:rPr>
        <w:t>Shirabe K</w:t>
      </w:r>
      <w:r>
        <w:t xml:space="preserve">, Shimada M, Gion T, Hasegawa H, Takenaka K, Utsunomiya T, Sugimachi K. Postoperative liver failure after major hepatic resection for hepatocellular carcinoma in the modern era with special reference to remnant liver volume. </w:t>
      </w:r>
      <w:r>
        <w:rPr>
          <w:i/>
          <w:iCs/>
        </w:rPr>
        <w:t>J Am Coll Surg</w:t>
      </w:r>
      <w:r>
        <w:t xml:space="preserve"> 1999; </w:t>
      </w:r>
      <w:r>
        <w:rPr>
          <w:b/>
          <w:bCs/>
        </w:rPr>
        <w:t>188</w:t>
      </w:r>
      <w:r>
        <w:t>: 304-309 [PMID: 10065820]</w:t>
      </w:r>
    </w:p>
    <w:p w:rsidR="00837D19" w:rsidRDefault="00837D19" w:rsidP="00837D19">
      <w:pPr>
        <w:pStyle w:val="-1"/>
      </w:pPr>
      <w:r>
        <w:t>22</w:t>
      </w:r>
      <w:r>
        <w:tab/>
      </w:r>
      <w:r>
        <w:rPr>
          <w:b/>
          <w:bCs/>
        </w:rPr>
        <w:t>Seyama Y</w:t>
      </w:r>
      <w:r>
        <w:t xml:space="preserve">, Kokudo N. Assessment of liver function for safe hepatic resection. </w:t>
      </w:r>
      <w:r>
        <w:rPr>
          <w:i/>
          <w:iCs/>
        </w:rPr>
        <w:t>Hepatol Res</w:t>
      </w:r>
      <w:r>
        <w:t xml:space="preserve"> 2009; </w:t>
      </w:r>
      <w:r>
        <w:rPr>
          <w:b/>
          <w:bCs/>
        </w:rPr>
        <w:t>39</w:t>
      </w:r>
      <w:r>
        <w:t>: 107-116 [PMID: 19208031 DOI: 10.1111/j.1872-034X.2008.00441.x]</w:t>
      </w:r>
    </w:p>
    <w:p w:rsidR="00837D19" w:rsidRDefault="00837D19" w:rsidP="00837D19">
      <w:pPr>
        <w:pStyle w:val="-1"/>
      </w:pPr>
      <w:r>
        <w:t>23</w:t>
      </w:r>
      <w:r>
        <w:tab/>
      </w:r>
      <w:r>
        <w:rPr>
          <w:b/>
          <w:bCs/>
        </w:rPr>
        <w:t>Millet G</w:t>
      </w:r>
      <w:r>
        <w:t xml:space="preserve">, Truant S, Leteurtre E, Hebbar M, Zerbib P, Huet G, Boleslawski E, Pruvot FR. Volumetric analysis of remnant liver regeneration after major hepatectomy in bevacizumab-treated patients: a case-matched study in 82 patients. </w:t>
      </w:r>
      <w:r>
        <w:rPr>
          <w:i/>
          <w:iCs/>
        </w:rPr>
        <w:t>Ann Surg</w:t>
      </w:r>
      <w:r>
        <w:t xml:space="preserve"> 2012; </w:t>
      </w:r>
      <w:r>
        <w:rPr>
          <w:b/>
          <w:bCs/>
        </w:rPr>
        <w:t>256</w:t>
      </w:r>
      <w:r>
        <w:t>: 755-</w:t>
      </w:r>
      <w:r w:rsidRPr="00837D19">
        <w:t>7</w:t>
      </w:r>
      <w:r>
        <w:t>61; discussion 761-</w:t>
      </w:r>
      <w:r w:rsidRPr="00837D19">
        <w:t>76</w:t>
      </w:r>
      <w:r>
        <w:t>2 [PMID: 23095619 DOI: 10.1097/SLA.0b013e31827381ca]</w:t>
      </w:r>
    </w:p>
    <w:p w:rsidR="00837D19" w:rsidRDefault="00837D19" w:rsidP="00837D19">
      <w:pPr>
        <w:pStyle w:val="-1"/>
      </w:pPr>
      <w:r>
        <w:t>24</w:t>
      </w:r>
      <w:r>
        <w:tab/>
      </w:r>
      <w:r>
        <w:rPr>
          <w:b/>
          <w:bCs/>
        </w:rPr>
        <w:t>Meier M</w:t>
      </w:r>
      <w:r>
        <w:t xml:space="preserve">, Andersen KJ, Knudsen AR, Nyengaard JR, Hamilton-Dutoit S, Mortensen FV. Liver regeneration is dependent on the extent of hepatectomy. </w:t>
      </w:r>
      <w:r>
        <w:rPr>
          <w:i/>
          <w:iCs/>
        </w:rPr>
        <w:t>J Surg Res</w:t>
      </w:r>
      <w:r>
        <w:t xml:space="preserve"> 2016; </w:t>
      </w:r>
      <w:r>
        <w:rPr>
          <w:b/>
          <w:bCs/>
        </w:rPr>
        <w:t>205</w:t>
      </w:r>
      <w:r>
        <w:t>: 76-84 [PMID: 27621002 DOI: 10.1016/j.jss.2016.06.020]</w:t>
      </w:r>
    </w:p>
    <w:p w:rsidR="00837D19" w:rsidRDefault="00837D19" w:rsidP="00837D19">
      <w:pPr>
        <w:pStyle w:val="-1"/>
      </w:pPr>
      <w:r>
        <w:t>25</w:t>
      </w:r>
      <w:r>
        <w:tab/>
      </w:r>
      <w:r>
        <w:rPr>
          <w:b/>
          <w:bCs/>
        </w:rPr>
        <w:t>Guglielmi A,</w:t>
      </w:r>
      <w:r>
        <w:t xml:space="preserve"> Ruzzenente A, Conci S, Valdegamberi A, Iacono C. How Much Remnant Is Enough in Liver Resection? </w:t>
      </w:r>
      <w:r>
        <w:rPr>
          <w:i/>
          <w:iCs/>
        </w:rPr>
        <w:t>Digestive surgery</w:t>
      </w:r>
      <w:r>
        <w:t xml:space="preserve"> 2012; </w:t>
      </w:r>
      <w:r>
        <w:rPr>
          <w:b/>
          <w:bCs/>
        </w:rPr>
        <w:t>29</w:t>
      </w:r>
      <w:r>
        <w:t>: 6-17</w:t>
      </w:r>
    </w:p>
    <w:p w:rsidR="00837D19" w:rsidRDefault="00837D19" w:rsidP="00837D19">
      <w:pPr>
        <w:pStyle w:val="-1"/>
      </w:pPr>
      <w:r>
        <w:t>26</w:t>
      </w:r>
      <w:r>
        <w:tab/>
      </w:r>
      <w:r>
        <w:rPr>
          <w:b/>
          <w:bCs/>
        </w:rPr>
        <w:t>Nakagawa H</w:t>
      </w:r>
      <w:r>
        <w:t xml:space="preserve">. Recent advances in mouse models of obesity- and nonalcoholic steatohepatitis-associated hepatocarcinogenesis. </w:t>
      </w:r>
      <w:r>
        <w:rPr>
          <w:i/>
          <w:iCs/>
        </w:rPr>
        <w:t>World J Hepatol</w:t>
      </w:r>
      <w:r>
        <w:t xml:space="preserve"> 2015; </w:t>
      </w:r>
      <w:r>
        <w:rPr>
          <w:b/>
          <w:bCs/>
        </w:rPr>
        <w:t>7</w:t>
      </w:r>
      <w:r>
        <w:t>: 2110-2118 [PMID: 26301053 DOI: 10.4254/wjh.v7.i17.2110]</w:t>
      </w:r>
    </w:p>
    <w:p w:rsidR="00837D19" w:rsidRDefault="00837D19" w:rsidP="00837D19">
      <w:pPr>
        <w:pStyle w:val="-1"/>
      </w:pPr>
      <w:r>
        <w:t>27</w:t>
      </w:r>
      <w:r>
        <w:tab/>
      </w:r>
      <w:r>
        <w:rPr>
          <w:b/>
          <w:bCs/>
        </w:rPr>
        <w:t>Takahashi Y</w:t>
      </w:r>
      <w:r>
        <w:t xml:space="preserve">, Soejima Y, Fukusato T. Animal models of nonalcoholic fatty liver disease/nonalcoholic steatohepatitis. </w:t>
      </w:r>
      <w:r>
        <w:rPr>
          <w:i/>
          <w:iCs/>
        </w:rPr>
        <w:t>World J Gastroenterol</w:t>
      </w:r>
      <w:r>
        <w:t xml:space="preserve"> 2012; </w:t>
      </w:r>
      <w:r>
        <w:rPr>
          <w:b/>
          <w:bCs/>
        </w:rPr>
        <w:t>18</w:t>
      </w:r>
      <w:r>
        <w:t>: 2300-2308 [PMID: 22654421 DOI: 10.3748/wjg.v18.i19.2300]</w:t>
      </w:r>
    </w:p>
    <w:p w:rsidR="00837D19" w:rsidRDefault="00837D19" w:rsidP="00837D19">
      <w:pPr>
        <w:pStyle w:val="-1"/>
      </w:pPr>
      <w:r>
        <w:lastRenderedPageBreak/>
        <w:t>28</w:t>
      </w:r>
      <w:r>
        <w:tab/>
      </w:r>
      <w:r>
        <w:rPr>
          <w:b/>
          <w:bCs/>
        </w:rPr>
        <w:t>Owada Y,</w:t>
      </w:r>
      <w:r>
        <w:t xml:space="preserve"> Tamura T, Tanoi T, Ozawa Y, Shimizu Y, Hisakura K, Matsuzaka T, Shimano H, Nakano N, Sakashita S, Matsukawa T, Isoda H, Ohkohchi N. Novel non-alcoholic steatohepatitis model with histopathological and insulin-resistant features.</w:t>
      </w:r>
      <w:r>
        <w:rPr>
          <w:i/>
          <w:iCs/>
        </w:rPr>
        <w:t xml:space="preserve"> Pathol Int</w:t>
      </w:r>
      <w:r>
        <w:t xml:space="preserve"> 2018;</w:t>
      </w:r>
      <w:r w:rsidRPr="00837D19">
        <w:t xml:space="preserve"> </w:t>
      </w:r>
      <w:r>
        <w:rPr>
          <w:b/>
          <w:bCs/>
        </w:rPr>
        <w:t>68</w:t>
      </w:r>
      <w:r>
        <w:t>:</w:t>
      </w:r>
      <w:r w:rsidRPr="00837D19">
        <w:t xml:space="preserve"> </w:t>
      </w:r>
      <w:r>
        <w:t>12-22 [PMID: 29154469</w:t>
      </w:r>
      <w:r w:rsidRPr="00837D19">
        <w:t xml:space="preserve"> </w:t>
      </w:r>
      <w:r>
        <w:t>DOI: 10.1111/pin.12612]</w:t>
      </w:r>
    </w:p>
    <w:p w:rsidR="00837D19" w:rsidRDefault="00837D19" w:rsidP="00837D19">
      <w:pPr>
        <w:pStyle w:val="-1"/>
      </w:pPr>
      <w:r>
        <w:t>29</w:t>
      </w:r>
      <w:r>
        <w:tab/>
      </w:r>
      <w:r>
        <w:rPr>
          <w:b/>
          <w:bCs/>
        </w:rPr>
        <w:t>Rashidi B</w:t>
      </w:r>
      <w:r>
        <w:t xml:space="preserve">, An Z, Sun FX, Sasson A, Gamagammi R, Moossa AR, Hoffman RM. Minimal liver resection strongly stimulates the growth of human colon cancer in the liver of nude mice. </w:t>
      </w:r>
      <w:r>
        <w:rPr>
          <w:i/>
          <w:iCs/>
        </w:rPr>
        <w:t>Clin Exp Metastasis</w:t>
      </w:r>
      <w:r w:rsidRPr="00837D19">
        <w:rPr>
          <w:i/>
          <w:iCs/>
        </w:rPr>
        <w:t xml:space="preserve"> </w:t>
      </w:r>
      <w:r>
        <w:t xml:space="preserve">1999; </w:t>
      </w:r>
      <w:r>
        <w:rPr>
          <w:b/>
          <w:bCs/>
        </w:rPr>
        <w:t>17</w:t>
      </w:r>
      <w:r>
        <w:t>: 497-500 [PMID: 10763915</w:t>
      </w:r>
      <w:r w:rsidRPr="00837D19">
        <w:t xml:space="preserve"> </w:t>
      </w:r>
      <w:r>
        <w:t>DOI: 10.1023/A</w:t>
      </w:r>
      <w:proofErr w:type="gramStart"/>
      <w:r>
        <w:t>:1006693224835</w:t>
      </w:r>
      <w:proofErr w:type="gramEnd"/>
      <w:r>
        <w:t>]</w:t>
      </w:r>
    </w:p>
    <w:p w:rsidR="00837D19" w:rsidRDefault="00837D19" w:rsidP="00837D19">
      <w:pPr>
        <w:pStyle w:val="-1"/>
      </w:pPr>
      <w:r>
        <w:t>30</w:t>
      </w:r>
      <w:r>
        <w:tab/>
      </w:r>
      <w:r>
        <w:rPr>
          <w:b/>
          <w:bCs/>
        </w:rPr>
        <w:t>Wakai T,</w:t>
      </w:r>
      <w:r>
        <w:t xml:space="preserve"> Shirai Y, Sakata J, Korita PV, Ajioka Y, Hatakeyama K. Surgical outcomes for hepatocellular carcinoma in nonalcoholic fatty liver disease. </w:t>
      </w:r>
      <w:r>
        <w:rPr>
          <w:i/>
          <w:iCs/>
        </w:rPr>
        <w:t>J Gastrointest Surg</w:t>
      </w:r>
      <w:r w:rsidRPr="00837D19">
        <w:t xml:space="preserve"> </w:t>
      </w:r>
      <w:r>
        <w:t xml:space="preserve">2011; </w:t>
      </w:r>
      <w:r>
        <w:rPr>
          <w:b/>
          <w:bCs/>
        </w:rPr>
        <w:t>15</w:t>
      </w:r>
      <w:r>
        <w:t>: 1450-1458 [PMID: 21512848</w:t>
      </w:r>
      <w:r w:rsidRPr="00837D19">
        <w:t xml:space="preserve"> </w:t>
      </w:r>
      <w:r>
        <w:t>DOI: 10.1007/s11605-011-1540-8]</w:t>
      </w:r>
    </w:p>
    <w:p w:rsidR="00837D19" w:rsidRDefault="00837D19" w:rsidP="00837D19">
      <w:pPr>
        <w:pStyle w:val="-1"/>
      </w:pPr>
      <w:r>
        <w:t>31</w:t>
      </w:r>
      <w:r>
        <w:tab/>
      </w:r>
      <w:r>
        <w:rPr>
          <w:b/>
          <w:bCs/>
        </w:rPr>
        <w:t>Ninomiya M</w:t>
      </w:r>
      <w:r>
        <w:t xml:space="preserve">, Shirabe K, Terashi T, Ijichi H, Yonemura Y, Harada N, Soejima Y, Taketomi A, Shimada M, Maehara Y. Deceleration of regenerative response improves the outcome of rat with massive hepatectomy. </w:t>
      </w:r>
      <w:r>
        <w:rPr>
          <w:i/>
          <w:iCs/>
        </w:rPr>
        <w:t>Am J Transplant</w:t>
      </w:r>
      <w:r>
        <w:t xml:space="preserve"> 2010; </w:t>
      </w:r>
      <w:r>
        <w:rPr>
          <w:b/>
          <w:bCs/>
        </w:rPr>
        <w:t>10</w:t>
      </w:r>
      <w:r>
        <w:t>: 1580-1587 [PMID: 20642684 DOI: 10.1111/j.1600-6143.2010.03150.x]</w:t>
      </w:r>
    </w:p>
    <w:p w:rsidR="00837D19" w:rsidRDefault="00837D19" w:rsidP="00837D19">
      <w:pPr>
        <w:pStyle w:val="-1"/>
      </w:pPr>
      <w:r>
        <w:t>32</w:t>
      </w:r>
      <w:r>
        <w:tab/>
      </w:r>
      <w:r>
        <w:rPr>
          <w:b/>
          <w:bCs/>
        </w:rPr>
        <w:t>Gerlach C</w:t>
      </w:r>
      <w:r>
        <w:t xml:space="preserve">, Sakkab DY, Scholzen T, Dassler R, Alison MR, Gerdes J. Ki-67 expression during rat liver regeneration after partial hepatectomy. </w:t>
      </w:r>
      <w:r>
        <w:rPr>
          <w:i/>
          <w:iCs/>
        </w:rPr>
        <w:t>Hepatology</w:t>
      </w:r>
      <w:r>
        <w:t xml:space="preserve"> 1997; </w:t>
      </w:r>
      <w:r>
        <w:rPr>
          <w:b/>
          <w:bCs/>
        </w:rPr>
        <w:t>26</w:t>
      </w:r>
      <w:r>
        <w:t>: 573-578 [PMID: 9303485 DOI: 10.1002/hep.510260307]</w:t>
      </w:r>
    </w:p>
    <w:p w:rsidR="00837D19" w:rsidRDefault="00837D19" w:rsidP="00837D19">
      <w:pPr>
        <w:pStyle w:val="-1"/>
      </w:pPr>
      <w:r>
        <w:t>33</w:t>
      </w:r>
      <w:r>
        <w:tab/>
      </w:r>
      <w:r>
        <w:rPr>
          <w:b/>
          <w:bCs/>
        </w:rPr>
        <w:t>Scholzen T</w:t>
      </w:r>
      <w:r>
        <w:t xml:space="preserve">, Gerdes J. The Ki-67 protein: from the known and the unknown. </w:t>
      </w:r>
      <w:r>
        <w:rPr>
          <w:i/>
          <w:iCs/>
        </w:rPr>
        <w:t>J Cell Physiol</w:t>
      </w:r>
      <w:r>
        <w:t xml:space="preserve"> 2000; </w:t>
      </w:r>
      <w:r>
        <w:rPr>
          <w:b/>
          <w:bCs/>
        </w:rPr>
        <w:t>182</w:t>
      </w:r>
      <w:r>
        <w:t>: 311-322 [PMID: 10653597 DOI: 10.1002</w:t>
      </w:r>
      <w:proofErr w:type="gramStart"/>
      <w:r>
        <w:t>/(</w:t>
      </w:r>
      <w:proofErr w:type="gramEnd"/>
      <w:r>
        <w:t>sici)1097-4652(200003)182:33.0.co;2-9]</w:t>
      </w:r>
    </w:p>
    <w:p w:rsidR="00837D19" w:rsidRDefault="00837D19" w:rsidP="00837D19">
      <w:pPr>
        <w:pStyle w:val="-1"/>
      </w:pPr>
      <w:r>
        <w:t>34</w:t>
      </w:r>
      <w:r>
        <w:tab/>
      </w:r>
      <w:r>
        <w:rPr>
          <w:b/>
          <w:bCs/>
        </w:rPr>
        <w:t>Sydor S</w:t>
      </w:r>
      <w:r>
        <w:t xml:space="preserve">, Gu Y, Schlattjan M, Bechmann LP, Rauen U, Best J, Paul A, Baba HA, Sowa JP, Gerken G, Canbay A. Steatosis does not impair liver regeneration after partial hepatectomy. </w:t>
      </w:r>
      <w:r>
        <w:rPr>
          <w:i/>
          <w:iCs/>
        </w:rPr>
        <w:t>Lab Invest</w:t>
      </w:r>
      <w:r>
        <w:t xml:space="preserve"> 2013; </w:t>
      </w:r>
      <w:r>
        <w:rPr>
          <w:b/>
          <w:bCs/>
        </w:rPr>
        <w:t>93</w:t>
      </w:r>
      <w:r>
        <w:t>: 20-30 [PMID: 23069937 DOI: 10.1038/labinvest.2012.142]</w:t>
      </w:r>
    </w:p>
    <w:p w:rsidR="00837D19" w:rsidRDefault="00837D19" w:rsidP="00837D19">
      <w:pPr>
        <w:pStyle w:val="-1"/>
        <w:rPr>
          <w:spacing w:val="-3"/>
        </w:rPr>
      </w:pPr>
      <w:r>
        <w:rPr>
          <w:spacing w:val="-3"/>
        </w:rPr>
        <w:t>35</w:t>
      </w:r>
      <w:r>
        <w:rPr>
          <w:spacing w:val="-3"/>
        </w:rPr>
        <w:tab/>
      </w:r>
      <w:r>
        <w:rPr>
          <w:b/>
          <w:bCs/>
          <w:spacing w:val="-3"/>
        </w:rPr>
        <w:t>Nakamura Y</w:t>
      </w:r>
      <w:r>
        <w:rPr>
          <w:spacing w:val="-3"/>
        </w:rPr>
        <w:t xml:space="preserve">, Mizuguchi T, Tanimizu N, Ichinohe N, Ooe H, Kawamoto M, Meguro M, Hirata K, Mitaka T. Preoperative hepatocyte transplantation improves the survival of rats with nonalcoholic steatohepatitis-related cirrhosis after partial hepatectomy. </w:t>
      </w:r>
      <w:r>
        <w:rPr>
          <w:i/>
          <w:iCs/>
          <w:spacing w:val="-3"/>
        </w:rPr>
        <w:t>Cell Transplant</w:t>
      </w:r>
      <w:r>
        <w:rPr>
          <w:spacing w:val="-3"/>
        </w:rPr>
        <w:t xml:space="preserve"> 2014; </w:t>
      </w:r>
      <w:r>
        <w:rPr>
          <w:b/>
          <w:bCs/>
          <w:spacing w:val="-3"/>
        </w:rPr>
        <w:t>23</w:t>
      </w:r>
      <w:r>
        <w:rPr>
          <w:spacing w:val="-3"/>
        </w:rPr>
        <w:t>: 1243-1254 [PMID: 25330059 DOI: 10.3727/096368913X668645]</w:t>
      </w:r>
    </w:p>
    <w:p w:rsidR="00837D19" w:rsidRDefault="00837D19" w:rsidP="00837D19">
      <w:pPr>
        <w:pStyle w:val="-1"/>
      </w:pPr>
      <w:r>
        <w:t>36</w:t>
      </w:r>
      <w:r>
        <w:tab/>
      </w:r>
      <w:r>
        <w:rPr>
          <w:b/>
          <w:bCs/>
        </w:rPr>
        <w:t>Myronovych A</w:t>
      </w:r>
      <w:r>
        <w:t xml:space="preserve">, Murata S, Chiba M, Matsuo R, Ikeda O, Watanabe M, Hisakura K, Nakano Y, Kohno K, Kawasaki T, Hashimoto I, Shibasaki Y, Yasue H, Ohkohchi N. Role of platelets on liver regeneration after 90% hepatectomy in mice. </w:t>
      </w:r>
      <w:r>
        <w:rPr>
          <w:i/>
          <w:iCs/>
        </w:rPr>
        <w:t>J Hepatol</w:t>
      </w:r>
      <w:r>
        <w:t xml:space="preserve"> 2008; </w:t>
      </w:r>
      <w:r>
        <w:rPr>
          <w:b/>
          <w:bCs/>
        </w:rPr>
        <w:t>49</w:t>
      </w:r>
      <w:r>
        <w:t>: 363-372 [PMID: 18602717 DOI: 10.1016/j.jhep.2008.04.019]</w:t>
      </w:r>
    </w:p>
    <w:p w:rsidR="00837D19" w:rsidRDefault="00837D19" w:rsidP="00837D19">
      <w:pPr>
        <w:pStyle w:val="-1"/>
      </w:pPr>
      <w:r>
        <w:t>37</w:t>
      </w:r>
      <w:r>
        <w:tab/>
      </w:r>
      <w:r>
        <w:rPr>
          <w:b/>
          <w:bCs/>
        </w:rPr>
        <w:t>Torbenson M</w:t>
      </w:r>
      <w:r>
        <w:t xml:space="preserve">, Yang SQ, Liu HZ, Huang J, Gage W, Diehl AM. STAT-3 overexpression and p21 up-regulation accompany impaired regeneration of fatty livers. </w:t>
      </w:r>
      <w:r>
        <w:rPr>
          <w:i/>
          <w:iCs/>
        </w:rPr>
        <w:t>Am J Pathol</w:t>
      </w:r>
      <w:r w:rsidRPr="00837D19">
        <w:t xml:space="preserve"> </w:t>
      </w:r>
      <w:r>
        <w:t xml:space="preserve">2002; </w:t>
      </w:r>
      <w:r>
        <w:rPr>
          <w:b/>
          <w:bCs/>
        </w:rPr>
        <w:t>161</w:t>
      </w:r>
      <w:r>
        <w:t>: 155-161 [PMID:</w:t>
      </w:r>
      <w:r w:rsidRPr="00837D19">
        <w:t xml:space="preserve"> </w:t>
      </w:r>
      <w:r>
        <w:t>12107100 DOI:</w:t>
      </w:r>
      <w:r w:rsidRPr="00837D19">
        <w:t xml:space="preserve"> </w:t>
      </w:r>
      <w:r>
        <w:t>10.1016/S0002-9440(10)64167-3]</w:t>
      </w:r>
    </w:p>
    <w:p w:rsidR="00837D19" w:rsidRDefault="00837D19" w:rsidP="00837D19">
      <w:pPr>
        <w:pStyle w:val="-1"/>
      </w:pPr>
      <w:r>
        <w:t>38</w:t>
      </w:r>
      <w:r>
        <w:tab/>
      </w:r>
      <w:r>
        <w:rPr>
          <w:b/>
          <w:bCs/>
        </w:rPr>
        <w:t>Fujiyoshi M</w:t>
      </w:r>
      <w:r>
        <w:t xml:space="preserve">, Ozaki M. Molecular mechanisms of liver regeneration and protection for treatment of liver dysfunction and diseases. </w:t>
      </w:r>
      <w:r>
        <w:rPr>
          <w:i/>
          <w:iCs/>
        </w:rPr>
        <w:t>J Hepatobiliary Pancreat Sci</w:t>
      </w:r>
      <w:r>
        <w:t xml:space="preserve"> 2011; </w:t>
      </w:r>
      <w:r>
        <w:rPr>
          <w:b/>
          <w:bCs/>
        </w:rPr>
        <w:t>18</w:t>
      </w:r>
      <w:r>
        <w:t>: 13-22 [PMID: 20607568 DOI: 10.1007/s00534-010-0304-2]</w:t>
      </w:r>
    </w:p>
    <w:p w:rsidR="005E5023" w:rsidRDefault="00837D19" w:rsidP="00837D19">
      <w:pPr>
        <w:pStyle w:val="-1"/>
      </w:pPr>
      <w:r>
        <w:t>39</w:t>
      </w:r>
      <w:r>
        <w:tab/>
      </w:r>
      <w:r>
        <w:rPr>
          <w:b/>
          <w:bCs/>
        </w:rPr>
        <w:t>Kubota T</w:t>
      </w:r>
      <w:r>
        <w:t xml:space="preserve">, Takabe K, Yang M, Sekido H, Endo I, Ichikawa Y, Togo S, Shimada H. Minimum sizes for remnant and transplanted livers in rats. </w:t>
      </w:r>
      <w:r>
        <w:rPr>
          <w:i/>
          <w:iCs/>
        </w:rPr>
        <w:t>J Hep Bil Pancr Surg</w:t>
      </w:r>
      <w:r>
        <w:t xml:space="preserve"> 1997;</w:t>
      </w:r>
      <w:r>
        <w:rPr>
          <w:b/>
          <w:bCs/>
        </w:rPr>
        <w:t xml:space="preserve"> 4</w:t>
      </w:r>
      <w:r>
        <w:t>: 398-404 [DOI: 10.1007/bf02488972]</w:t>
      </w:r>
      <w:bookmarkStart w:id="0" w:name="_GoBack"/>
      <w:bookmarkEnd w:id="0"/>
    </w:p>
    <w:p w:rsidR="005E5023" w:rsidRDefault="005E5023" w:rsidP="005E5023"/>
    <w:p w:rsidR="005E5023" w:rsidRDefault="005E5023" w:rsidP="005E5023">
      <w:r>
        <w:t>Figure Legends</w:t>
      </w:r>
    </w:p>
    <w:p w:rsidR="005E5023" w:rsidRDefault="005E5023" w:rsidP="005E5023">
      <w:r>
        <w:rPr>
          <w:noProof/>
        </w:rPr>
        <w:drawing>
          <wp:inline distT="0" distB="0" distL="0" distR="0">
            <wp:extent cx="548640" cy="381635"/>
            <wp:effectExtent l="0" t="0" r="3810" b="0"/>
            <wp:docPr id="5" name="图片 5" descr="E:\黄燕\已出版\WJGv24i15\pmc\fig-15\WJG-24-1622-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15\pmc\fig-15\WJG-24-1622-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 cy="381635"/>
                    </a:xfrm>
                    <a:prstGeom prst="rect">
                      <a:avLst/>
                    </a:prstGeom>
                    <a:noFill/>
                    <a:ln>
                      <a:noFill/>
                    </a:ln>
                  </pic:spPr>
                </pic:pic>
              </a:graphicData>
            </a:graphic>
          </wp:inline>
        </w:drawing>
      </w:r>
    </w:p>
    <w:p w:rsidR="005E5023" w:rsidRPr="00F261B5" w:rsidRDefault="005E5023" w:rsidP="005E502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F261B5">
        <w:rPr>
          <w:rFonts w:ascii="Arial Narrow" w:hAnsi="Arial Narrow" w:cs="Arial Narrow"/>
          <w:b/>
          <w:bCs/>
          <w:color w:val="000000"/>
          <w:kern w:val="0"/>
          <w:sz w:val="16"/>
          <w:szCs w:val="16"/>
        </w:rPr>
        <w:t xml:space="preserve">Figure </w:t>
      </w:r>
      <w:proofErr w:type="gramStart"/>
      <w:r w:rsidRPr="00F261B5">
        <w:rPr>
          <w:rFonts w:ascii="Arial Narrow" w:hAnsi="Arial Narrow" w:cs="Arial Narrow"/>
          <w:b/>
          <w:bCs/>
          <w:color w:val="000000"/>
          <w:kern w:val="0"/>
          <w:sz w:val="16"/>
          <w:szCs w:val="16"/>
        </w:rPr>
        <w:t>1  Survival</w:t>
      </w:r>
      <w:proofErr w:type="gramEnd"/>
      <w:r w:rsidRPr="00F261B5">
        <w:rPr>
          <w:rFonts w:ascii="Arial Narrow" w:hAnsi="Arial Narrow" w:cs="Arial Narrow"/>
          <w:b/>
          <w:bCs/>
          <w:color w:val="000000"/>
          <w:kern w:val="0"/>
          <w:sz w:val="16"/>
          <w:szCs w:val="16"/>
        </w:rPr>
        <w:t xml:space="preserve"> rate after partial hepatectomy. </w:t>
      </w:r>
      <w:r w:rsidRPr="00F261B5">
        <w:rPr>
          <w:rFonts w:ascii="Arial Narrow" w:hAnsi="Arial Narrow" w:cs="Arial Narrow"/>
          <w:color w:val="000000"/>
          <w:kern w:val="0"/>
          <w:sz w:val="16"/>
          <w:szCs w:val="16"/>
        </w:rPr>
        <w:t xml:space="preserve">Survival rates of the 30% PH and 70% PH groups were evaluated by the Kaplan-Meier method. All mice in the 30% PH group survived. In contrast, 80% of the NASH 70% PH group died by 20 d. </w:t>
      </w:r>
      <w:r w:rsidRPr="00F261B5">
        <w:rPr>
          <w:rFonts w:ascii="Arial Narrow" w:hAnsi="Arial Narrow" w:cs="Arial Narrow"/>
          <w:i/>
          <w:iCs/>
          <w:color w:val="000000"/>
          <w:kern w:val="0"/>
          <w:sz w:val="16"/>
          <w:szCs w:val="16"/>
        </w:rPr>
        <w:t>n</w:t>
      </w:r>
      <w:r w:rsidRPr="00F261B5">
        <w:rPr>
          <w:rFonts w:ascii="Arial Narrow" w:hAnsi="Arial Narrow" w:cs="Arial Narrow"/>
          <w:color w:val="000000"/>
          <w:kern w:val="0"/>
          <w:sz w:val="16"/>
          <w:szCs w:val="16"/>
        </w:rPr>
        <w:t xml:space="preserve"> = 27 in NASH 30% PH group; </w:t>
      </w:r>
      <w:r w:rsidRPr="00F261B5">
        <w:rPr>
          <w:rFonts w:ascii="Arial Narrow" w:hAnsi="Arial Narrow" w:cs="Arial Narrow"/>
          <w:i/>
          <w:iCs/>
          <w:color w:val="000000"/>
          <w:kern w:val="0"/>
          <w:sz w:val="16"/>
          <w:szCs w:val="16"/>
        </w:rPr>
        <w:t>n</w:t>
      </w:r>
      <w:r w:rsidRPr="00F261B5">
        <w:rPr>
          <w:rFonts w:ascii="Arial Narrow" w:hAnsi="Arial Narrow" w:cs="Arial Narrow"/>
          <w:color w:val="000000"/>
          <w:kern w:val="0"/>
          <w:sz w:val="16"/>
          <w:szCs w:val="16"/>
        </w:rPr>
        <w:t xml:space="preserve"> = 32 in NASH 70% PH group. </w:t>
      </w:r>
      <w:proofErr w:type="gramStart"/>
      <w:r w:rsidRPr="00F261B5">
        <w:rPr>
          <w:rFonts w:ascii="Arial Narrow" w:hAnsi="Arial Narrow" w:cs="Arial Narrow"/>
          <w:color w:val="000000"/>
          <w:kern w:val="0"/>
          <w:sz w:val="16"/>
          <w:szCs w:val="16"/>
          <w:vertAlign w:val="superscript"/>
        </w:rPr>
        <w:t>b</w:t>
      </w:r>
      <w:r w:rsidRPr="00F261B5">
        <w:rPr>
          <w:rFonts w:ascii="Arial Narrow" w:hAnsi="Arial Narrow" w:cs="Arial Narrow"/>
          <w:i/>
          <w:iCs/>
          <w:color w:val="000000"/>
          <w:kern w:val="0"/>
          <w:sz w:val="16"/>
          <w:szCs w:val="16"/>
        </w:rPr>
        <w:t>P</w:t>
      </w:r>
      <w:proofErr w:type="gramEnd"/>
      <w:r w:rsidRPr="00F261B5">
        <w:rPr>
          <w:rFonts w:ascii="Arial Narrow" w:hAnsi="Arial Narrow" w:cs="Arial Narrow"/>
          <w:color w:val="000000"/>
          <w:kern w:val="0"/>
          <w:sz w:val="16"/>
          <w:szCs w:val="16"/>
        </w:rPr>
        <w:t xml:space="preserve"> &lt; 0.01. PH: partial hepatectomy; NASH: nonalcoholic steatohepatitis.</w:t>
      </w:r>
    </w:p>
    <w:p w:rsidR="005E5023" w:rsidRDefault="005E5023" w:rsidP="005E5023">
      <w:r>
        <w:rPr>
          <w:noProof/>
        </w:rPr>
        <w:drawing>
          <wp:inline distT="0" distB="0" distL="0" distR="0">
            <wp:extent cx="946150" cy="739775"/>
            <wp:effectExtent l="0" t="0" r="6350" b="3175"/>
            <wp:docPr id="6" name="图片 6" descr="E:\黄燕\已出版\WJGv24i15\pmc\fig-15\WJG-24-1622-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黄燕\已出版\WJGv24i15\pmc\fig-15\WJG-24-1622-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6150" cy="739775"/>
                    </a:xfrm>
                    <a:prstGeom prst="rect">
                      <a:avLst/>
                    </a:prstGeom>
                    <a:noFill/>
                    <a:ln>
                      <a:noFill/>
                    </a:ln>
                  </pic:spPr>
                </pic:pic>
              </a:graphicData>
            </a:graphic>
          </wp:inline>
        </w:drawing>
      </w:r>
    </w:p>
    <w:p w:rsidR="005E5023" w:rsidRPr="00F261B5" w:rsidRDefault="005E5023" w:rsidP="005E502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F261B5">
        <w:rPr>
          <w:rFonts w:ascii="Arial Narrow" w:hAnsi="Arial Narrow" w:cs="Arial Narrow"/>
          <w:b/>
          <w:bCs/>
          <w:color w:val="000000"/>
          <w:spacing w:val="-1"/>
          <w:kern w:val="0"/>
          <w:sz w:val="16"/>
          <w:szCs w:val="16"/>
        </w:rPr>
        <w:lastRenderedPageBreak/>
        <w:t xml:space="preserve">Figure </w:t>
      </w:r>
      <w:proofErr w:type="gramStart"/>
      <w:r w:rsidRPr="00F261B5">
        <w:rPr>
          <w:rFonts w:ascii="Arial Narrow" w:hAnsi="Arial Narrow" w:cs="Arial Narrow"/>
          <w:b/>
          <w:bCs/>
          <w:color w:val="000000"/>
          <w:spacing w:val="-1"/>
          <w:kern w:val="0"/>
          <w:sz w:val="16"/>
          <w:szCs w:val="16"/>
        </w:rPr>
        <w:t>2  Ki</w:t>
      </w:r>
      <w:proofErr w:type="gramEnd"/>
      <w:r w:rsidRPr="00F261B5">
        <w:rPr>
          <w:rFonts w:ascii="Arial Narrow" w:hAnsi="Arial Narrow" w:cs="Arial Narrow"/>
          <w:b/>
          <w:bCs/>
          <w:color w:val="000000"/>
          <w:spacing w:val="-1"/>
          <w:kern w:val="0"/>
          <w:sz w:val="16"/>
          <w:szCs w:val="16"/>
        </w:rPr>
        <w:t xml:space="preserve">-67 staining and proliferation score. </w:t>
      </w:r>
      <w:r w:rsidRPr="00F261B5">
        <w:rPr>
          <w:rFonts w:ascii="Arial Narrow" w:hAnsi="Arial Narrow" w:cs="Arial Narrow"/>
          <w:color w:val="000000"/>
          <w:spacing w:val="-1"/>
          <w:kern w:val="0"/>
          <w:sz w:val="16"/>
          <w:szCs w:val="16"/>
        </w:rPr>
        <w:t xml:space="preserve">Proliferation was evaluated by Ki-67 staining. We compared preoperative nonalcoholic steatohepatitis (NASH) groups with NASH 30% PH and NASH 70% PH groups 6 h after PH. Ratios of Ki-67-positive/total hepatocytes were calculated. Significantly fewer Ki-67-positive cells were noted in the 70% PH group than in the NASH 30% PH group. Ratios (%) are expressed as the mean </w:t>
      </w:r>
      <w:r w:rsidRPr="00F261B5">
        <w:rPr>
          <w:rFonts w:ascii="Garamond" w:hAnsi="Garamond" w:cs="Garamond"/>
          <w:color w:val="000000"/>
          <w:spacing w:val="-1"/>
          <w:kern w:val="0"/>
          <w:sz w:val="16"/>
          <w:szCs w:val="16"/>
        </w:rPr>
        <w:t>±</w:t>
      </w:r>
      <w:r w:rsidRPr="00F261B5">
        <w:rPr>
          <w:rFonts w:ascii="Arial Narrow" w:hAnsi="Arial Narrow" w:cs="Arial Narrow"/>
          <w:color w:val="000000"/>
          <w:spacing w:val="-1"/>
          <w:kern w:val="0"/>
          <w:sz w:val="16"/>
          <w:szCs w:val="16"/>
        </w:rPr>
        <w:t xml:space="preserve"> SD. </w:t>
      </w:r>
      <w:r w:rsidRPr="00F261B5">
        <w:rPr>
          <w:rFonts w:ascii="Arial Narrow" w:hAnsi="Arial Narrow" w:cs="Arial Narrow"/>
          <w:i/>
          <w:iCs/>
          <w:color w:val="000000"/>
          <w:spacing w:val="-1"/>
          <w:kern w:val="0"/>
          <w:sz w:val="16"/>
          <w:szCs w:val="16"/>
        </w:rPr>
        <w:t>n</w:t>
      </w:r>
      <w:r w:rsidRPr="00F261B5">
        <w:rPr>
          <w:rFonts w:ascii="Arial Narrow" w:hAnsi="Arial Narrow" w:cs="Arial Narrow"/>
          <w:color w:val="000000"/>
          <w:spacing w:val="-1"/>
          <w:kern w:val="0"/>
          <w:sz w:val="16"/>
          <w:szCs w:val="16"/>
        </w:rPr>
        <w:t xml:space="preserve"> = 2 per groups, 10 fields per sample. </w:t>
      </w:r>
      <w:proofErr w:type="gramStart"/>
      <w:r w:rsidRPr="00F261B5">
        <w:rPr>
          <w:rFonts w:ascii="Arial Narrow" w:hAnsi="Arial Narrow" w:cs="Arial Narrow"/>
          <w:color w:val="000000"/>
          <w:spacing w:val="-1"/>
          <w:kern w:val="0"/>
          <w:sz w:val="16"/>
          <w:szCs w:val="16"/>
          <w:vertAlign w:val="superscript"/>
        </w:rPr>
        <w:t>a</w:t>
      </w:r>
      <w:r w:rsidRPr="00F261B5">
        <w:rPr>
          <w:rFonts w:ascii="Arial Narrow" w:hAnsi="Arial Narrow" w:cs="Arial Narrow"/>
          <w:i/>
          <w:iCs/>
          <w:color w:val="000000"/>
          <w:spacing w:val="-1"/>
          <w:kern w:val="0"/>
          <w:sz w:val="16"/>
          <w:szCs w:val="16"/>
        </w:rPr>
        <w:t>P</w:t>
      </w:r>
      <w:proofErr w:type="gramEnd"/>
      <w:r w:rsidRPr="00F261B5">
        <w:rPr>
          <w:rFonts w:ascii="Arial Narrow" w:hAnsi="Arial Narrow" w:cs="Arial Narrow"/>
          <w:color w:val="000000"/>
          <w:spacing w:val="-1"/>
          <w:kern w:val="0"/>
          <w:sz w:val="16"/>
          <w:szCs w:val="16"/>
        </w:rPr>
        <w:t xml:space="preserve"> &lt; 0.05; </w:t>
      </w:r>
      <w:r w:rsidRPr="00F261B5">
        <w:rPr>
          <w:rFonts w:ascii="Arial Narrow" w:hAnsi="Arial Narrow" w:cs="Arial Narrow"/>
          <w:color w:val="000000"/>
          <w:spacing w:val="-1"/>
          <w:kern w:val="0"/>
          <w:sz w:val="16"/>
          <w:szCs w:val="16"/>
          <w:vertAlign w:val="superscript"/>
        </w:rPr>
        <w:t>b</w:t>
      </w:r>
      <w:r w:rsidRPr="00F261B5">
        <w:rPr>
          <w:rFonts w:ascii="Arial Narrow" w:hAnsi="Arial Narrow" w:cs="Arial Narrow"/>
          <w:i/>
          <w:iCs/>
          <w:color w:val="000000"/>
          <w:spacing w:val="-1"/>
          <w:kern w:val="0"/>
          <w:sz w:val="16"/>
          <w:szCs w:val="16"/>
        </w:rPr>
        <w:t>P</w:t>
      </w:r>
      <w:r w:rsidRPr="00F261B5">
        <w:rPr>
          <w:rFonts w:ascii="Arial Narrow" w:hAnsi="Arial Narrow" w:cs="Arial Narrow"/>
          <w:color w:val="000000"/>
          <w:spacing w:val="-1"/>
          <w:kern w:val="0"/>
          <w:sz w:val="16"/>
          <w:szCs w:val="16"/>
        </w:rPr>
        <w:t xml:space="preserve"> &lt; 0.01. Scale bar: 100 </w:t>
      </w:r>
      <w:r w:rsidRPr="00F261B5">
        <w:rPr>
          <w:rFonts w:ascii="Symbol" w:hAnsi="Symbol" w:cs="Symbol"/>
          <w:color w:val="000000"/>
          <w:kern w:val="0"/>
          <w:sz w:val="16"/>
          <w:szCs w:val="16"/>
        </w:rPr>
        <w:t></w:t>
      </w:r>
      <w:r w:rsidRPr="00F261B5">
        <w:rPr>
          <w:rFonts w:ascii="Arial Narrow" w:hAnsi="Arial Narrow" w:cs="Arial Narrow"/>
          <w:color w:val="000000"/>
          <w:spacing w:val="-1"/>
          <w:kern w:val="0"/>
          <w:sz w:val="16"/>
          <w:szCs w:val="16"/>
        </w:rPr>
        <w:t xml:space="preserve">m. </w:t>
      </w:r>
      <w:r w:rsidRPr="00F261B5">
        <w:rPr>
          <w:rFonts w:ascii="Arial Narrow" w:hAnsi="Arial Narrow" w:cs="Arial Narrow"/>
          <w:color w:val="000000"/>
          <w:kern w:val="0"/>
          <w:sz w:val="16"/>
          <w:szCs w:val="16"/>
        </w:rPr>
        <w:t>PH: partial hepatectomy; NASH: nonalcoholic steatohepatitis.</w:t>
      </w:r>
    </w:p>
    <w:p w:rsidR="005E5023" w:rsidRDefault="005E5023" w:rsidP="005E5023">
      <w:r>
        <w:rPr>
          <w:noProof/>
        </w:rPr>
        <w:drawing>
          <wp:inline distT="0" distB="0" distL="0" distR="0">
            <wp:extent cx="1224280" cy="946150"/>
            <wp:effectExtent l="0" t="0" r="0" b="6350"/>
            <wp:docPr id="7" name="图片 7" descr="E:\黄燕\已出版\WJGv24i15\pmc\fig-15\WJG-24-1622-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黄燕\已出版\WJGv24i15\pmc\fig-15\WJG-24-1622-g00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4280" cy="946150"/>
                    </a:xfrm>
                    <a:prstGeom prst="rect">
                      <a:avLst/>
                    </a:prstGeom>
                    <a:noFill/>
                    <a:ln>
                      <a:noFill/>
                    </a:ln>
                  </pic:spPr>
                </pic:pic>
              </a:graphicData>
            </a:graphic>
          </wp:inline>
        </w:drawing>
      </w:r>
    </w:p>
    <w:p w:rsidR="005E5023" w:rsidRPr="00F261B5" w:rsidRDefault="005E5023" w:rsidP="005E502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F261B5">
        <w:rPr>
          <w:rFonts w:ascii="Arial Narrow" w:hAnsi="Arial Narrow" w:cs="Arial Narrow"/>
          <w:b/>
          <w:bCs/>
          <w:color w:val="000000"/>
          <w:kern w:val="0"/>
          <w:sz w:val="16"/>
          <w:szCs w:val="16"/>
        </w:rPr>
        <w:t xml:space="preserve">Figure </w:t>
      </w:r>
      <w:proofErr w:type="gramStart"/>
      <w:r w:rsidRPr="00F261B5">
        <w:rPr>
          <w:rFonts w:ascii="Arial Narrow" w:hAnsi="Arial Narrow" w:cs="Arial Narrow"/>
          <w:b/>
          <w:bCs/>
          <w:color w:val="000000"/>
          <w:kern w:val="0"/>
          <w:sz w:val="16"/>
          <w:szCs w:val="16"/>
        </w:rPr>
        <w:t>3  Protein</w:t>
      </w:r>
      <w:proofErr w:type="gramEnd"/>
      <w:r w:rsidRPr="00F261B5">
        <w:rPr>
          <w:rFonts w:ascii="Arial Narrow" w:hAnsi="Arial Narrow" w:cs="Arial Narrow"/>
          <w:b/>
          <w:bCs/>
          <w:color w:val="000000"/>
          <w:kern w:val="0"/>
          <w:sz w:val="16"/>
          <w:szCs w:val="16"/>
        </w:rPr>
        <w:t xml:space="preserve"> assay.</w:t>
      </w:r>
      <w:r w:rsidRPr="00F261B5">
        <w:rPr>
          <w:rFonts w:ascii="Arial Narrow" w:hAnsi="Arial Narrow" w:cs="Arial Narrow"/>
          <w:color w:val="000000"/>
          <w:kern w:val="0"/>
          <w:sz w:val="16"/>
          <w:szCs w:val="16"/>
        </w:rPr>
        <w:t xml:space="preserve"> Expression of phosphorylated (A) Akt, (B) STAT3, and (C) ERK1/2 in normal and nonalcoholic steatohepatitis liver groups 6 h after PH. Expression levels were detected by western blot analysis. Ratios of densitometry were calculated by each score/score of control 70% PH (D). Data are expressed as the mean ± SD. </w:t>
      </w:r>
      <w:r w:rsidRPr="00F261B5">
        <w:rPr>
          <w:rFonts w:ascii="Arial Narrow" w:hAnsi="Arial Narrow" w:cs="Arial Narrow"/>
          <w:i/>
          <w:iCs/>
          <w:color w:val="000000"/>
          <w:kern w:val="0"/>
          <w:sz w:val="16"/>
          <w:szCs w:val="16"/>
        </w:rPr>
        <w:t>n</w:t>
      </w:r>
      <w:r w:rsidRPr="00F261B5">
        <w:rPr>
          <w:rFonts w:ascii="Arial Narrow" w:hAnsi="Arial Narrow" w:cs="Arial Narrow"/>
          <w:color w:val="000000"/>
          <w:kern w:val="0"/>
          <w:sz w:val="16"/>
          <w:szCs w:val="16"/>
        </w:rPr>
        <w:t xml:space="preserve"> = 5-7 per groups. </w:t>
      </w:r>
      <w:proofErr w:type="gramStart"/>
      <w:r w:rsidRPr="00F261B5">
        <w:rPr>
          <w:rFonts w:ascii="Arial Narrow" w:hAnsi="Arial Narrow" w:cs="Arial Narrow"/>
          <w:color w:val="000000"/>
          <w:kern w:val="0"/>
          <w:sz w:val="16"/>
          <w:szCs w:val="16"/>
          <w:vertAlign w:val="superscript"/>
        </w:rPr>
        <w:t>b</w:t>
      </w:r>
      <w:r w:rsidRPr="00F261B5">
        <w:rPr>
          <w:rFonts w:ascii="Arial Narrow" w:hAnsi="Arial Narrow" w:cs="Arial Narrow"/>
          <w:i/>
          <w:iCs/>
          <w:color w:val="000000"/>
          <w:kern w:val="0"/>
          <w:sz w:val="16"/>
          <w:szCs w:val="16"/>
        </w:rPr>
        <w:t>P</w:t>
      </w:r>
      <w:proofErr w:type="gramEnd"/>
      <w:r w:rsidRPr="00F261B5">
        <w:rPr>
          <w:rFonts w:ascii="Arial Narrow" w:hAnsi="Arial Narrow" w:cs="Arial Narrow"/>
          <w:color w:val="000000"/>
          <w:kern w:val="0"/>
          <w:sz w:val="16"/>
          <w:szCs w:val="16"/>
        </w:rPr>
        <w:t xml:space="preserve"> &lt; 0.01 </w:t>
      </w:r>
      <w:r w:rsidRPr="00F261B5">
        <w:rPr>
          <w:rFonts w:ascii="Arial Narrow" w:hAnsi="Arial Narrow" w:cs="Arial Narrow"/>
          <w:i/>
          <w:iCs/>
          <w:color w:val="000000"/>
          <w:kern w:val="0"/>
          <w:sz w:val="16"/>
          <w:szCs w:val="16"/>
        </w:rPr>
        <w:t>vs</w:t>
      </w:r>
      <w:r w:rsidRPr="00F261B5">
        <w:rPr>
          <w:rFonts w:ascii="Arial Narrow" w:hAnsi="Arial Narrow" w:cs="Arial Narrow"/>
          <w:color w:val="000000"/>
          <w:kern w:val="0"/>
          <w:sz w:val="16"/>
          <w:szCs w:val="16"/>
        </w:rPr>
        <w:t xml:space="preserve"> other groups.</w:t>
      </w:r>
    </w:p>
    <w:p w:rsidR="005E5023" w:rsidRDefault="005E5023" w:rsidP="005E5023">
      <w:r>
        <w:rPr>
          <w:noProof/>
        </w:rPr>
        <w:drawing>
          <wp:inline distT="0" distB="0" distL="0" distR="0">
            <wp:extent cx="1415415" cy="842645"/>
            <wp:effectExtent l="0" t="0" r="0" b="0"/>
            <wp:docPr id="8" name="图片 8" descr="E:\黄燕\已出版\WJGv24i15\pmc\fig-15\WJG-24-1622-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黄燕\已出版\WJGv24i15\pmc\fig-15\WJG-24-1622-g00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5415" cy="842645"/>
                    </a:xfrm>
                    <a:prstGeom prst="rect">
                      <a:avLst/>
                    </a:prstGeom>
                    <a:noFill/>
                    <a:ln>
                      <a:noFill/>
                    </a:ln>
                  </pic:spPr>
                </pic:pic>
              </a:graphicData>
            </a:graphic>
          </wp:inline>
        </w:drawing>
      </w:r>
    </w:p>
    <w:p w:rsidR="005E5023" w:rsidRPr="00F261B5" w:rsidRDefault="005E5023" w:rsidP="005E502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F261B5">
        <w:rPr>
          <w:rFonts w:ascii="Arial Narrow" w:hAnsi="Arial Narrow" w:cs="Arial Narrow"/>
          <w:b/>
          <w:bCs/>
          <w:color w:val="000000"/>
          <w:kern w:val="0"/>
          <w:sz w:val="16"/>
          <w:szCs w:val="16"/>
        </w:rPr>
        <w:t xml:space="preserve">Figure </w:t>
      </w:r>
      <w:proofErr w:type="gramStart"/>
      <w:r w:rsidRPr="00F261B5">
        <w:rPr>
          <w:rFonts w:ascii="Arial Narrow" w:hAnsi="Arial Narrow" w:cs="Arial Narrow"/>
          <w:b/>
          <w:bCs/>
          <w:color w:val="000000"/>
          <w:kern w:val="0"/>
          <w:sz w:val="16"/>
          <w:szCs w:val="16"/>
        </w:rPr>
        <w:t>4  Histopathological</w:t>
      </w:r>
      <w:proofErr w:type="gramEnd"/>
      <w:r w:rsidRPr="00F261B5">
        <w:rPr>
          <w:rFonts w:ascii="Arial Narrow" w:hAnsi="Arial Narrow" w:cs="Arial Narrow"/>
          <w:b/>
          <w:bCs/>
          <w:color w:val="000000"/>
          <w:kern w:val="0"/>
          <w:sz w:val="16"/>
          <w:szCs w:val="16"/>
        </w:rPr>
        <w:t xml:space="preserve"> findings. </w:t>
      </w:r>
      <w:r w:rsidRPr="00F261B5">
        <w:rPr>
          <w:rFonts w:ascii="Arial Narrow" w:hAnsi="Arial Narrow" w:cs="Arial Narrow"/>
          <w:color w:val="000000"/>
          <w:kern w:val="0"/>
          <w:sz w:val="16"/>
          <w:szCs w:val="16"/>
        </w:rPr>
        <w:t xml:space="preserve">A: Apoptosis was evaluated by TUNEL staining. Ratios of TUNEL-positive/total hepatocytes were calculated; B: Necrosis was evaluated by </w:t>
      </w:r>
      <w:proofErr w:type="gramStart"/>
      <w:r w:rsidRPr="00F261B5">
        <w:rPr>
          <w:rFonts w:ascii="Arial Narrow" w:hAnsi="Arial Narrow" w:cs="Arial Narrow"/>
          <w:color w:val="000000"/>
          <w:kern w:val="0"/>
          <w:sz w:val="16"/>
          <w:szCs w:val="16"/>
        </w:rPr>
        <w:t>HE</w:t>
      </w:r>
      <w:proofErr w:type="gramEnd"/>
      <w:r w:rsidRPr="00F261B5">
        <w:rPr>
          <w:rFonts w:ascii="Arial Narrow" w:hAnsi="Arial Narrow" w:cs="Arial Narrow"/>
          <w:color w:val="000000"/>
          <w:kern w:val="0"/>
          <w:sz w:val="16"/>
          <w:szCs w:val="16"/>
        </w:rPr>
        <w:t xml:space="preserve"> staining. Ratios of necrosis morphological feature/total area were calculated. Apoptosis and necrosis were higher in the NASH 70% PH group than in the other groups. Data are expressed as the mean </w:t>
      </w:r>
      <w:r w:rsidRPr="00F261B5">
        <w:rPr>
          <w:rFonts w:ascii="Garamond" w:hAnsi="Garamond" w:cs="Garamond"/>
          <w:color w:val="000000"/>
          <w:kern w:val="0"/>
          <w:sz w:val="16"/>
          <w:szCs w:val="16"/>
        </w:rPr>
        <w:t>±</w:t>
      </w:r>
      <w:r w:rsidRPr="00F261B5">
        <w:rPr>
          <w:rFonts w:ascii="Arial Narrow" w:hAnsi="Arial Narrow" w:cs="Arial Narrow"/>
          <w:color w:val="000000"/>
          <w:kern w:val="0"/>
          <w:sz w:val="16"/>
          <w:szCs w:val="16"/>
        </w:rPr>
        <w:t xml:space="preserve"> SD. </w:t>
      </w:r>
      <w:r w:rsidRPr="00F261B5">
        <w:rPr>
          <w:rFonts w:ascii="Arial Narrow" w:hAnsi="Arial Narrow" w:cs="Arial Narrow"/>
          <w:i/>
          <w:iCs/>
          <w:color w:val="000000"/>
          <w:kern w:val="0"/>
          <w:sz w:val="16"/>
          <w:szCs w:val="16"/>
        </w:rPr>
        <w:t>n</w:t>
      </w:r>
      <w:r w:rsidRPr="00F261B5">
        <w:rPr>
          <w:rFonts w:ascii="Arial Narrow" w:hAnsi="Arial Narrow" w:cs="Arial Narrow"/>
          <w:color w:val="000000"/>
          <w:kern w:val="0"/>
          <w:sz w:val="16"/>
          <w:szCs w:val="16"/>
        </w:rPr>
        <w:t xml:space="preserve"> = 2 per groups, 10 fields per sample. </w:t>
      </w:r>
      <w:proofErr w:type="gramStart"/>
      <w:r w:rsidRPr="00F261B5">
        <w:rPr>
          <w:rFonts w:ascii="Arial Narrow" w:hAnsi="Arial Narrow" w:cs="Arial Narrow"/>
          <w:color w:val="000000"/>
          <w:kern w:val="0"/>
          <w:sz w:val="16"/>
          <w:szCs w:val="16"/>
          <w:vertAlign w:val="superscript"/>
        </w:rPr>
        <w:t>b</w:t>
      </w:r>
      <w:r w:rsidRPr="00F261B5">
        <w:rPr>
          <w:rFonts w:ascii="Arial Narrow" w:hAnsi="Arial Narrow" w:cs="Arial Narrow"/>
          <w:i/>
          <w:iCs/>
          <w:color w:val="000000"/>
          <w:kern w:val="0"/>
          <w:sz w:val="16"/>
          <w:szCs w:val="16"/>
        </w:rPr>
        <w:t>P</w:t>
      </w:r>
      <w:proofErr w:type="gramEnd"/>
      <w:r w:rsidRPr="00F261B5">
        <w:rPr>
          <w:rFonts w:ascii="Arial Narrow" w:hAnsi="Arial Narrow" w:cs="Arial Narrow"/>
          <w:color w:val="000000"/>
          <w:kern w:val="0"/>
          <w:sz w:val="16"/>
          <w:szCs w:val="16"/>
        </w:rPr>
        <w:t xml:space="preserve"> &lt; 0.01. Scale bar: 100 </w:t>
      </w:r>
      <w:r w:rsidRPr="00F261B5">
        <w:rPr>
          <w:rFonts w:ascii="Symbol" w:hAnsi="Symbol" w:cs="Symbol"/>
          <w:color w:val="000000"/>
          <w:kern w:val="0"/>
          <w:sz w:val="16"/>
          <w:szCs w:val="16"/>
        </w:rPr>
        <w:t></w:t>
      </w:r>
      <w:r w:rsidRPr="00F261B5">
        <w:rPr>
          <w:rFonts w:ascii="Arial Narrow" w:hAnsi="Arial Narrow" w:cs="Arial Narrow"/>
          <w:color w:val="000000"/>
          <w:kern w:val="0"/>
          <w:sz w:val="16"/>
          <w:szCs w:val="16"/>
        </w:rPr>
        <w:t>m. PH: Partial hepatectomy; NASH: Nonalcoholic steatohepatitis.</w:t>
      </w:r>
    </w:p>
    <w:p w:rsidR="005E5023" w:rsidRDefault="005E5023" w:rsidP="005E5023">
      <w:r>
        <w:rPr>
          <w:noProof/>
        </w:rPr>
        <w:drawing>
          <wp:inline distT="0" distB="0" distL="0" distR="0">
            <wp:extent cx="838200" cy="317500"/>
            <wp:effectExtent l="0" t="0" r="0" b="6350"/>
            <wp:docPr id="9" name="图片 9" descr="E:\黄燕\已出版\WJGv24i15\pmc\fig-15\WJG-24-1622-g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黄燕\已出版\WJGv24i15\pmc\fig-15\WJG-24-1622-g005.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317500"/>
                    </a:xfrm>
                    <a:prstGeom prst="rect">
                      <a:avLst/>
                    </a:prstGeom>
                    <a:noFill/>
                    <a:ln>
                      <a:noFill/>
                    </a:ln>
                  </pic:spPr>
                </pic:pic>
              </a:graphicData>
            </a:graphic>
          </wp:inline>
        </w:drawing>
      </w:r>
    </w:p>
    <w:p w:rsidR="005E5023" w:rsidRPr="00F261B5" w:rsidRDefault="005E5023" w:rsidP="005E5023">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F261B5">
        <w:rPr>
          <w:rFonts w:ascii="Arial Narrow" w:hAnsi="Arial Narrow" w:cs="Arial Narrow"/>
          <w:b/>
          <w:bCs/>
          <w:color w:val="000000"/>
          <w:kern w:val="0"/>
          <w:sz w:val="16"/>
          <w:szCs w:val="16"/>
        </w:rPr>
        <w:t xml:space="preserve">Figure </w:t>
      </w:r>
      <w:proofErr w:type="gramStart"/>
      <w:r w:rsidRPr="00F261B5">
        <w:rPr>
          <w:rFonts w:ascii="Arial Narrow" w:hAnsi="Arial Narrow" w:cs="Arial Narrow"/>
          <w:b/>
          <w:bCs/>
          <w:color w:val="000000"/>
          <w:kern w:val="0"/>
          <w:sz w:val="16"/>
          <w:szCs w:val="16"/>
        </w:rPr>
        <w:t>5  Gene</w:t>
      </w:r>
      <w:proofErr w:type="gramEnd"/>
      <w:r w:rsidRPr="00F261B5">
        <w:rPr>
          <w:rFonts w:ascii="Arial Narrow" w:hAnsi="Arial Narrow" w:cs="Arial Narrow"/>
          <w:b/>
          <w:bCs/>
          <w:color w:val="000000"/>
          <w:kern w:val="0"/>
          <w:sz w:val="16"/>
          <w:szCs w:val="16"/>
        </w:rPr>
        <w:t xml:space="preserve"> expression of microarray.</w:t>
      </w:r>
      <w:r w:rsidRPr="00F261B5">
        <w:rPr>
          <w:rFonts w:ascii="Arial Narrow" w:hAnsi="Arial Narrow" w:cs="Arial Narrow"/>
          <w:color w:val="000000"/>
          <w:kern w:val="0"/>
          <w:sz w:val="16"/>
          <w:szCs w:val="16"/>
        </w:rPr>
        <w:t xml:space="preserve"> </w:t>
      </w:r>
      <w:r w:rsidRPr="00F261B5">
        <w:rPr>
          <w:rFonts w:ascii="Arial Narrow" w:hAnsi="Arial Narrow" w:cs="Arial Narrow"/>
          <w:i/>
          <w:iCs/>
          <w:color w:val="000000"/>
          <w:kern w:val="0"/>
          <w:sz w:val="16"/>
          <w:szCs w:val="16"/>
        </w:rPr>
        <w:t>GADD45A</w:t>
      </w:r>
      <w:r w:rsidRPr="00F261B5">
        <w:rPr>
          <w:rFonts w:ascii="Arial Narrow" w:hAnsi="Arial Narrow" w:cs="Arial Narrow"/>
          <w:color w:val="000000"/>
          <w:kern w:val="0"/>
          <w:sz w:val="16"/>
          <w:szCs w:val="16"/>
        </w:rPr>
        <w:t xml:space="preserve"> and </w:t>
      </w:r>
      <w:r w:rsidRPr="00F261B5">
        <w:rPr>
          <w:rFonts w:ascii="Arial Narrow" w:hAnsi="Arial Narrow" w:cs="Arial Narrow"/>
          <w:i/>
          <w:iCs/>
          <w:color w:val="000000"/>
          <w:kern w:val="0"/>
          <w:sz w:val="16"/>
          <w:szCs w:val="16"/>
        </w:rPr>
        <w:t>PDE4B</w:t>
      </w:r>
      <w:r w:rsidRPr="00F261B5">
        <w:rPr>
          <w:rFonts w:ascii="Arial Narrow" w:hAnsi="Arial Narrow" w:cs="Arial Narrow"/>
          <w:color w:val="000000"/>
          <w:kern w:val="0"/>
          <w:sz w:val="16"/>
          <w:szCs w:val="16"/>
        </w:rPr>
        <w:t xml:space="preserve"> expression correlated with the cell cycle. RT-PCR demonstrated a significant difference between the groups. Data are expressed as the mean ± SD. </w:t>
      </w:r>
      <w:r w:rsidRPr="00F261B5">
        <w:rPr>
          <w:rFonts w:ascii="Arial Narrow" w:hAnsi="Arial Narrow" w:cs="Arial Narrow"/>
          <w:i/>
          <w:iCs/>
          <w:color w:val="000000"/>
          <w:kern w:val="0"/>
          <w:sz w:val="16"/>
          <w:szCs w:val="16"/>
        </w:rPr>
        <w:t>n</w:t>
      </w:r>
      <w:r w:rsidRPr="00F261B5">
        <w:rPr>
          <w:rFonts w:ascii="Arial Narrow" w:hAnsi="Arial Narrow" w:cs="Arial Narrow"/>
          <w:color w:val="000000"/>
          <w:kern w:val="0"/>
          <w:sz w:val="16"/>
          <w:szCs w:val="16"/>
        </w:rPr>
        <w:t xml:space="preserve"> = 5-7 per groups. </w:t>
      </w:r>
      <w:proofErr w:type="gramStart"/>
      <w:r w:rsidRPr="00F261B5">
        <w:rPr>
          <w:rFonts w:ascii="Arial Narrow" w:hAnsi="Arial Narrow" w:cs="Arial Narrow"/>
          <w:color w:val="000000"/>
          <w:kern w:val="0"/>
          <w:sz w:val="16"/>
          <w:szCs w:val="16"/>
          <w:vertAlign w:val="superscript"/>
        </w:rPr>
        <w:t>a</w:t>
      </w:r>
      <w:r w:rsidRPr="00F261B5">
        <w:rPr>
          <w:rFonts w:ascii="Arial Narrow" w:hAnsi="Arial Narrow" w:cs="Arial Narrow"/>
          <w:i/>
          <w:iCs/>
          <w:color w:val="000000"/>
          <w:kern w:val="0"/>
          <w:sz w:val="16"/>
          <w:szCs w:val="16"/>
        </w:rPr>
        <w:t>P</w:t>
      </w:r>
      <w:proofErr w:type="gramEnd"/>
      <w:r w:rsidRPr="00F261B5">
        <w:rPr>
          <w:rFonts w:ascii="Arial Narrow" w:hAnsi="Arial Narrow" w:cs="Arial Narrow"/>
          <w:color w:val="000000"/>
          <w:kern w:val="0"/>
          <w:sz w:val="16"/>
          <w:szCs w:val="16"/>
        </w:rPr>
        <w:t xml:space="preserve"> &lt; 0.05; </w:t>
      </w:r>
      <w:r w:rsidRPr="00F261B5">
        <w:rPr>
          <w:rFonts w:ascii="Arial Narrow" w:hAnsi="Arial Narrow" w:cs="Arial Narrow"/>
          <w:color w:val="000000"/>
          <w:kern w:val="0"/>
          <w:sz w:val="16"/>
          <w:szCs w:val="16"/>
          <w:vertAlign w:val="superscript"/>
        </w:rPr>
        <w:t>b</w:t>
      </w:r>
      <w:r w:rsidRPr="00F261B5">
        <w:rPr>
          <w:rFonts w:ascii="Arial Narrow" w:hAnsi="Arial Narrow" w:cs="Arial Narrow"/>
          <w:i/>
          <w:iCs/>
          <w:color w:val="000000"/>
          <w:kern w:val="0"/>
          <w:sz w:val="16"/>
          <w:szCs w:val="16"/>
        </w:rPr>
        <w:t>P</w:t>
      </w:r>
      <w:r w:rsidRPr="00F261B5">
        <w:rPr>
          <w:rFonts w:ascii="Arial Narrow" w:hAnsi="Arial Narrow" w:cs="Arial Narrow"/>
          <w:color w:val="000000"/>
          <w:kern w:val="0"/>
          <w:sz w:val="16"/>
          <w:szCs w:val="16"/>
        </w:rPr>
        <w:t xml:space="preserve"> &lt; 0.01. PH: partial hepatectomy; NASH: nonalcoholic steatohepatitis.</w:t>
      </w:r>
    </w:p>
    <w:p w:rsidR="005E5023" w:rsidRPr="00F261B5" w:rsidRDefault="005E5023" w:rsidP="005E5023"/>
    <w:p w:rsidR="005E5023" w:rsidRDefault="005E5023" w:rsidP="005E5023">
      <w:r>
        <w:t>Footnotes</w:t>
      </w:r>
    </w:p>
    <w:p w:rsidR="005E5023" w:rsidRDefault="005E5023" w:rsidP="005E5023">
      <w:pPr>
        <w:pStyle w:val="af6"/>
        <w:rPr>
          <w:b/>
          <w:bCs/>
        </w:rPr>
      </w:pPr>
      <w:r>
        <w:rPr>
          <w:rFonts w:ascii="Tahoma" w:hAnsi="Tahoma" w:cs="Tahoma"/>
        </w:rPr>
        <w:t xml:space="preserve">Manuscript source: </w:t>
      </w:r>
      <w:r>
        <w:t>Unsolicited manuscript</w:t>
      </w:r>
      <w:r>
        <w:rPr>
          <w:b/>
          <w:bCs/>
        </w:rPr>
        <w:t xml:space="preserve"> </w:t>
      </w:r>
    </w:p>
    <w:p w:rsidR="005E5023" w:rsidRPr="00F261B5" w:rsidRDefault="005E5023" w:rsidP="005E5023">
      <w:pPr>
        <w:rPr>
          <w:b/>
        </w:rPr>
      </w:pPr>
      <w:r w:rsidRPr="00F261B5">
        <w:rPr>
          <w:b/>
        </w:rPr>
        <w:t xml:space="preserve">Specialty type: </w:t>
      </w:r>
      <w:r w:rsidRPr="00F261B5">
        <w:t>Gastroenterology and hepatology</w:t>
      </w:r>
    </w:p>
    <w:p w:rsidR="005E5023" w:rsidRPr="00F261B5" w:rsidRDefault="005E5023" w:rsidP="005E5023">
      <w:pPr>
        <w:rPr>
          <w:b/>
        </w:rPr>
      </w:pPr>
      <w:r w:rsidRPr="00F261B5">
        <w:rPr>
          <w:b/>
        </w:rPr>
        <w:t xml:space="preserve">Country of origin: </w:t>
      </w:r>
      <w:r w:rsidRPr="00F261B5">
        <w:t>Japan</w:t>
      </w:r>
    </w:p>
    <w:p w:rsidR="005E5023" w:rsidRPr="00F261B5" w:rsidRDefault="005E5023" w:rsidP="005E5023">
      <w:pPr>
        <w:rPr>
          <w:b/>
        </w:rPr>
      </w:pPr>
      <w:r w:rsidRPr="00F261B5">
        <w:rPr>
          <w:b/>
        </w:rPr>
        <w:t>Peer-review report classification</w:t>
      </w:r>
    </w:p>
    <w:p w:rsidR="005E5023" w:rsidRPr="00F261B5" w:rsidRDefault="005E5023" w:rsidP="005E5023">
      <w:r w:rsidRPr="00F261B5">
        <w:t xml:space="preserve">Grade </w:t>
      </w:r>
      <w:proofErr w:type="gramStart"/>
      <w:r w:rsidRPr="00F261B5">
        <w:t>A</w:t>
      </w:r>
      <w:proofErr w:type="gramEnd"/>
      <w:r w:rsidRPr="00F261B5">
        <w:t xml:space="preserve"> (Excellent): 0</w:t>
      </w:r>
    </w:p>
    <w:p w:rsidR="005E5023" w:rsidRPr="00F261B5" w:rsidRDefault="005E5023" w:rsidP="005E5023">
      <w:r w:rsidRPr="00F261B5">
        <w:t>Grade B (Very good): B, B</w:t>
      </w:r>
    </w:p>
    <w:p w:rsidR="005E5023" w:rsidRPr="00F261B5" w:rsidRDefault="005E5023" w:rsidP="005E5023">
      <w:r w:rsidRPr="00F261B5">
        <w:t>Grade C (Good): 0</w:t>
      </w:r>
    </w:p>
    <w:p w:rsidR="005E5023" w:rsidRPr="00F261B5" w:rsidRDefault="005E5023" w:rsidP="005E5023">
      <w:r w:rsidRPr="00F261B5">
        <w:t>Grade D (Fair): 0</w:t>
      </w:r>
    </w:p>
    <w:p w:rsidR="005E5023" w:rsidRPr="00F261B5" w:rsidRDefault="005E5023" w:rsidP="005E5023">
      <w:r w:rsidRPr="00F261B5">
        <w:t>Grade E (Poor): E</w:t>
      </w:r>
    </w:p>
    <w:p w:rsidR="005E5023" w:rsidRDefault="005E5023" w:rsidP="005E5023">
      <w:pPr>
        <w:pStyle w:val="af6"/>
      </w:pPr>
      <w:proofErr w:type="gramStart"/>
      <w:r w:rsidRPr="00F261B5">
        <w:rPr>
          <w:rFonts w:ascii="Tahoma" w:hAnsi="Tahoma" w:cs="Tahoma"/>
          <w:spacing w:val="0"/>
        </w:rPr>
        <w:t>Supported by</w:t>
      </w:r>
      <w:r>
        <w:rPr>
          <w:b/>
          <w:bCs/>
        </w:rPr>
        <w:t xml:space="preserve"> </w:t>
      </w:r>
      <w:r>
        <w:t>Ministry of Education, Culture, Sports, Science, and Technology of Japan, KAKENHI, No. 26861059 and No. 16K10489.</w:t>
      </w:r>
      <w:proofErr w:type="gramEnd"/>
    </w:p>
    <w:p w:rsidR="005E5023" w:rsidRDefault="005E5023" w:rsidP="005E5023">
      <w:pPr>
        <w:pStyle w:val="af6"/>
      </w:pPr>
      <w:r>
        <w:rPr>
          <w:rFonts w:ascii="Tahoma" w:hAnsi="Tahoma" w:cs="Tahoma"/>
          <w:lang w:val="it-IT"/>
        </w:rPr>
        <w:lastRenderedPageBreak/>
        <w:t>Institutional review board statement</w:t>
      </w:r>
      <w:r w:rsidRPr="00F261B5">
        <w:rPr>
          <w:rFonts w:ascii="Tahoma" w:hAnsi="Tahoma" w:cs="Tahoma"/>
        </w:rPr>
        <w:t>:</w:t>
      </w:r>
      <w:r>
        <w:t xml:space="preserve"> Animal experiments were performed in accordance with the university’s Regulations for Animal Experiments and Fundamental Guidelines for Proper Conduct of Animal Experiment and Related Activities in Academic Research Institutions, under the jurisdiction of the Japanese Ministry of Education, Culture, Sports, Science, and Technology.</w:t>
      </w:r>
    </w:p>
    <w:p w:rsidR="005E5023" w:rsidRDefault="005E5023" w:rsidP="005E5023">
      <w:pPr>
        <w:pStyle w:val="af6"/>
      </w:pPr>
      <w:r>
        <w:rPr>
          <w:rFonts w:ascii="Tahoma" w:hAnsi="Tahoma" w:cs="Tahoma"/>
          <w:lang w:val="it-IT"/>
        </w:rPr>
        <w:t>Institutional animal care and use committee statement</w:t>
      </w:r>
      <w:r w:rsidRPr="00F261B5">
        <w:rPr>
          <w:rFonts w:ascii="Tahoma" w:hAnsi="Tahoma" w:cs="Tahoma"/>
        </w:rPr>
        <w:t>:</w:t>
      </w:r>
      <w:r>
        <w:t>Animal experiments were performed in human manner after receiving approval from Institutional University Experiment Committee of University of Tsukuba (protocol number: 17-312).</w:t>
      </w:r>
    </w:p>
    <w:p w:rsidR="005E5023" w:rsidRDefault="005E5023" w:rsidP="005E5023">
      <w:pPr>
        <w:pStyle w:val="af6"/>
      </w:pPr>
      <w:r>
        <w:rPr>
          <w:rFonts w:ascii="Tahoma" w:hAnsi="Tahoma" w:cs="Tahoma"/>
          <w:lang w:val="it-IT"/>
        </w:rPr>
        <w:t>Conflict-of-interest statement</w:t>
      </w:r>
      <w:r w:rsidRPr="00F261B5">
        <w:rPr>
          <w:rFonts w:ascii="Tahoma" w:hAnsi="Tahoma" w:cs="Tahoma"/>
        </w:rPr>
        <w:t>:</w:t>
      </w:r>
      <w:r>
        <w:t xml:space="preserve"> The authors report no relevant conflicts of interest.</w:t>
      </w:r>
    </w:p>
    <w:p w:rsidR="005E5023" w:rsidRDefault="005E5023" w:rsidP="005E5023">
      <w:pPr>
        <w:pStyle w:val="af6"/>
      </w:pPr>
      <w:r>
        <w:rPr>
          <w:rFonts w:ascii="Tahoma" w:hAnsi="Tahoma" w:cs="Tahoma"/>
          <w:lang w:val="it-IT"/>
        </w:rPr>
        <w:t>Data sharing statement</w:t>
      </w:r>
      <w:r w:rsidRPr="00F261B5">
        <w:rPr>
          <w:rFonts w:ascii="Tahoma" w:hAnsi="Tahoma" w:cs="Tahoma"/>
        </w:rPr>
        <w:t>:</w:t>
      </w:r>
      <w:r>
        <w:t xml:space="preserve"> No data are available.</w:t>
      </w:r>
    </w:p>
    <w:p w:rsidR="005E5023" w:rsidRDefault="005E5023" w:rsidP="005E5023">
      <w:pPr>
        <w:pStyle w:val="af6"/>
        <w:rPr>
          <w:b/>
          <w:bCs/>
        </w:rPr>
      </w:pPr>
      <w:r>
        <w:rPr>
          <w:rFonts w:ascii="Tahoma" w:hAnsi="Tahoma" w:cs="Tahoma"/>
        </w:rPr>
        <w:t>ARRIVE guidelines statement:</w:t>
      </w:r>
      <w:r w:rsidRPr="00F261B5">
        <w:rPr>
          <w:b/>
          <w:bCs/>
        </w:rPr>
        <w:t xml:space="preserve"> </w:t>
      </w:r>
      <w:r>
        <w:t>The authors have read the ARRIVE guidelines, and the manuscript was prepared and revised according to the ARRIVE guidelines.</w:t>
      </w:r>
    </w:p>
    <w:p w:rsidR="005E5023" w:rsidRDefault="005E5023" w:rsidP="005E5023">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5E5023" w:rsidRDefault="005E5023" w:rsidP="005E5023">
      <w:pPr>
        <w:pStyle w:val="af6"/>
        <w:rPr>
          <w:b/>
          <w:bCs/>
        </w:rPr>
      </w:pPr>
      <w:r>
        <w:rPr>
          <w:rFonts w:ascii="Tahoma" w:hAnsi="Tahoma" w:cs="Tahoma"/>
        </w:rPr>
        <w:t xml:space="preserve">Peer-review started: </w:t>
      </w:r>
      <w:r w:rsidRPr="00F261B5">
        <w:t>February 14, 2018</w:t>
      </w:r>
    </w:p>
    <w:p w:rsidR="005E5023" w:rsidRDefault="005E5023" w:rsidP="005E5023">
      <w:pPr>
        <w:pStyle w:val="af6"/>
        <w:rPr>
          <w:b/>
          <w:bCs/>
        </w:rPr>
      </w:pPr>
      <w:r>
        <w:rPr>
          <w:rFonts w:ascii="Tahoma" w:hAnsi="Tahoma" w:cs="Tahoma"/>
        </w:rPr>
        <w:t xml:space="preserve">First decision: </w:t>
      </w:r>
      <w:r w:rsidRPr="00F261B5">
        <w:t>March 9, 2018</w:t>
      </w:r>
    </w:p>
    <w:p w:rsidR="005E5023" w:rsidRDefault="005E5023" w:rsidP="005E5023">
      <w:pPr>
        <w:pStyle w:val="af6"/>
        <w:rPr>
          <w:rFonts w:ascii="Book Antiqua" w:hAnsi="Book Antiqua" w:cs="Book Antiqua"/>
          <w:b/>
          <w:bCs/>
        </w:rPr>
      </w:pPr>
      <w:r>
        <w:rPr>
          <w:rFonts w:ascii="Tahoma" w:hAnsi="Tahoma" w:cs="Tahoma"/>
        </w:rPr>
        <w:t xml:space="preserve">Article in press: </w:t>
      </w:r>
      <w:r w:rsidRPr="00F261B5">
        <w:rPr>
          <w:spacing w:val="0"/>
        </w:rPr>
        <w:t>March 25</w:t>
      </w:r>
      <w:proofErr w:type="gramStart"/>
      <w:r w:rsidRPr="00F261B5">
        <w:rPr>
          <w:spacing w:val="0"/>
        </w:rPr>
        <w:t>,2018</w:t>
      </w:r>
      <w:proofErr w:type="gramEnd"/>
    </w:p>
    <w:p w:rsidR="005E5023" w:rsidRPr="00F261B5" w:rsidRDefault="005E5023" w:rsidP="005E5023">
      <w:pPr>
        <w:pStyle w:val="afa"/>
        <w:rPr>
          <w:rFonts w:ascii="Times New Roman" w:hAnsi="Times New Roman" w:cs="Times New Roman"/>
        </w:rPr>
      </w:pPr>
      <w:r>
        <w:rPr>
          <w:b/>
          <w:bCs/>
          <w:spacing w:val="-1"/>
        </w:rPr>
        <w:t>P- Reviewer</w:t>
      </w:r>
      <w:r>
        <w:t>:</w:t>
      </w:r>
      <w:r>
        <w:rPr>
          <w:spacing w:val="-1"/>
        </w:rPr>
        <w:t xml:space="preserve"> Lin GM</w:t>
      </w:r>
      <w:r w:rsidRPr="00F261B5">
        <w:rPr>
          <w:spacing w:val="-1"/>
        </w:rPr>
        <w:t>, Tarantino G, Ulasoglu C</w:t>
      </w:r>
      <w:r>
        <w:rPr>
          <w:spacing w:val="-1"/>
        </w:rPr>
        <w:t xml:space="preserve">    </w:t>
      </w:r>
      <w:r>
        <w:rPr>
          <w:b/>
          <w:bCs/>
        </w:rPr>
        <w:t>S- Editor</w:t>
      </w:r>
      <w:r>
        <w:t>:</w:t>
      </w:r>
      <w:r>
        <w:rPr>
          <w:b/>
          <w:bCs/>
        </w:rPr>
        <w:t xml:space="preserve"> </w:t>
      </w:r>
      <w:r>
        <w:t xml:space="preserve">Wang </w:t>
      </w:r>
      <w:proofErr w:type="gramStart"/>
      <w:r>
        <w:t>XJ</w:t>
      </w:r>
      <w:r>
        <w:rPr>
          <w:rFonts w:hint="eastAsia"/>
        </w:rPr>
        <w:t xml:space="preserve">  </w:t>
      </w:r>
      <w:r>
        <w:rPr>
          <w:b/>
          <w:bCs/>
        </w:rPr>
        <w:t>L</w:t>
      </w:r>
      <w:proofErr w:type="gramEnd"/>
      <w:r>
        <w:rPr>
          <w:b/>
          <w:bCs/>
        </w:rPr>
        <w:t>- Editor</w:t>
      </w:r>
      <w:r>
        <w:t xml:space="preserve">: A    </w:t>
      </w:r>
      <w:r>
        <w:rPr>
          <w:b/>
          <w:bCs/>
        </w:rPr>
        <w:t>E- Editor</w:t>
      </w:r>
      <w:r>
        <w:t>:</w:t>
      </w:r>
      <w:r>
        <w:rPr>
          <w:b/>
          <w:bCs/>
        </w:rPr>
        <w:t xml:space="preserve"> </w:t>
      </w:r>
      <w:r>
        <w:t>Huang Y</w:t>
      </w:r>
    </w:p>
    <w:p w:rsidR="005E5023" w:rsidRDefault="005E5023" w:rsidP="005E5023"/>
    <w:p w:rsidR="005E5023" w:rsidRDefault="005E5023" w:rsidP="005E5023"/>
    <w:p w:rsidR="005E5023" w:rsidRDefault="005E5023" w:rsidP="005E5023"/>
    <w:p w:rsidR="005E5023" w:rsidRDefault="005E5023" w:rsidP="005E5023"/>
    <w:p w:rsidR="005E5023" w:rsidRDefault="005E5023" w:rsidP="005E5023"/>
    <w:p w:rsidR="005E5023" w:rsidRDefault="005E5023" w:rsidP="005E5023"/>
    <w:p w:rsidR="005E5023" w:rsidRDefault="005E5023" w:rsidP="005E5023"/>
    <w:p w:rsidR="005E5023" w:rsidRDefault="005E5023" w:rsidP="005E5023"/>
    <w:p w:rsidR="005E5023" w:rsidRDefault="005E5023" w:rsidP="005E5023">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5E5023" w:rsidRPr="00F261B5" w:rsidRDefault="005E5023" w:rsidP="005E5023">
                            <w:pPr>
                              <w:rPr>
                                <w:b/>
                                <w:bCs/>
                              </w:rPr>
                            </w:pPr>
                            <w:r w:rsidRPr="00F261B5">
                              <w:rPr>
                                <w:b/>
                                <w:bCs/>
                              </w:rPr>
                              <w:t xml:space="preserve">Table </w:t>
                            </w:r>
                            <w:proofErr w:type="gramStart"/>
                            <w:r w:rsidRPr="00F261B5">
                              <w:rPr>
                                <w:b/>
                                <w:bCs/>
                              </w:rPr>
                              <w:t>1  Serum</w:t>
                            </w:r>
                            <w:proofErr w:type="gramEnd"/>
                            <w:r w:rsidRPr="00F261B5">
                              <w:rPr>
                                <w:b/>
                                <w:bCs/>
                              </w:rPr>
                              <w:t xml:space="preserve"> parameters of normal liver and nonalcoholic steatohepatitis groups after partial hepatectomy</w:t>
                            </w:r>
                          </w:p>
                          <w:tbl>
                            <w:tblPr>
                              <w:tblW w:w="9522"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127"/>
                              <w:gridCol w:w="1168"/>
                              <w:gridCol w:w="1087"/>
                              <w:gridCol w:w="883"/>
                              <w:gridCol w:w="1105"/>
                              <w:gridCol w:w="1189"/>
                              <w:gridCol w:w="1091"/>
                              <w:gridCol w:w="889"/>
                              <w:gridCol w:w="983"/>
                            </w:tblGrid>
                            <w:tr w:rsidR="005E5023" w:rsidRPr="00F261B5">
                              <w:trPr>
                                <w:trHeight w:val="218"/>
                              </w:trPr>
                              <w:tc>
                                <w:tcPr>
                                  <w:tcW w:w="1127" w:type="dxa"/>
                                  <w:vMerge w:val="restart"/>
                                  <w:tcBorders>
                                    <w:top w:val="single" w:sz="6" w:space="0" w:color="000000"/>
                                    <w:bottom w:val="nil"/>
                                  </w:tcBorders>
                                  <w:tcMar>
                                    <w:top w:w="28" w:type="dxa"/>
                                    <w:left w:w="28" w:type="dxa"/>
                                    <w:bottom w:w="28" w:type="dxa"/>
                                    <w:right w:w="28" w:type="dxa"/>
                                  </w:tcMar>
                                </w:tcPr>
                                <w:p w:rsidR="005E5023" w:rsidRPr="00F261B5" w:rsidRDefault="005E5023">
                                  <w:pPr>
                                    <w:pStyle w:val="Noparagraphstyle"/>
                                    <w:spacing w:line="240" w:lineRule="auto"/>
                                    <w:jc w:val="left"/>
                                    <w:textAlignment w:val="auto"/>
                                    <w:rPr>
                                      <w:b/>
                                      <w:color w:val="auto"/>
                                      <w:lang w:val="en-US"/>
                                    </w:rPr>
                                  </w:pPr>
                                </w:p>
                              </w:tc>
                              <w:tc>
                                <w:tcPr>
                                  <w:tcW w:w="4243" w:type="dxa"/>
                                  <w:gridSpan w:val="4"/>
                                  <w:tcBorders>
                                    <w:top w:val="single" w:sz="6" w:space="0" w:color="000000"/>
                                    <w:bottom w:val="single" w:sz="6" w:space="0" w:color="000000"/>
                                  </w:tcBorders>
                                  <w:tcMar>
                                    <w:top w:w="28" w:type="dxa"/>
                                    <w:left w:w="28" w:type="dxa"/>
                                    <w:bottom w:w="28" w:type="dxa"/>
                                    <w:right w:w="28" w:type="dxa"/>
                                  </w:tcMar>
                                </w:tcPr>
                                <w:p w:rsidR="005E5023" w:rsidRPr="00F261B5" w:rsidRDefault="005E5023">
                                  <w:pPr>
                                    <w:pStyle w:val="afb"/>
                                    <w:jc w:val="center"/>
                                  </w:pPr>
                                  <w:r w:rsidRPr="00F261B5">
                                    <w:t>6 h after PH</w:t>
                                  </w:r>
                                </w:p>
                                <w:p w:rsidR="005E5023" w:rsidRPr="00F261B5" w:rsidRDefault="005E5023">
                                  <w:pPr>
                                    <w:pStyle w:val="afb"/>
                                    <w:jc w:val="center"/>
                                  </w:pPr>
                                </w:p>
                              </w:tc>
                              <w:tc>
                                <w:tcPr>
                                  <w:tcW w:w="4152" w:type="dxa"/>
                                  <w:gridSpan w:val="4"/>
                                  <w:tcBorders>
                                    <w:top w:val="single" w:sz="6" w:space="0" w:color="000000"/>
                                    <w:bottom w:val="single" w:sz="6" w:space="0" w:color="000000"/>
                                  </w:tcBorders>
                                  <w:tcMar>
                                    <w:top w:w="28" w:type="dxa"/>
                                    <w:left w:w="28" w:type="dxa"/>
                                    <w:bottom w:w="28" w:type="dxa"/>
                                    <w:right w:w="28" w:type="dxa"/>
                                  </w:tcMar>
                                </w:tcPr>
                                <w:p w:rsidR="005E5023" w:rsidRPr="00F261B5" w:rsidRDefault="005E5023">
                                  <w:pPr>
                                    <w:pStyle w:val="afb"/>
                                    <w:jc w:val="center"/>
                                  </w:pPr>
                                  <w:r w:rsidRPr="00F261B5">
                                    <w:t>12 h after PH</w:t>
                                  </w:r>
                                </w:p>
                                <w:p w:rsidR="005E5023" w:rsidRPr="00F261B5" w:rsidRDefault="005E5023">
                                  <w:pPr>
                                    <w:pStyle w:val="afb"/>
                                    <w:jc w:val="center"/>
                                  </w:pPr>
                                </w:p>
                              </w:tc>
                            </w:tr>
                            <w:tr w:rsidR="005E5023" w:rsidRPr="00F261B5">
                              <w:trPr>
                                <w:trHeight w:val="218"/>
                              </w:trPr>
                              <w:tc>
                                <w:tcPr>
                                  <w:tcW w:w="1127" w:type="dxa"/>
                                  <w:vMerge/>
                                  <w:tcBorders>
                                    <w:top w:val="nil"/>
                                    <w:bottom w:val="single" w:sz="6" w:space="0" w:color="000000"/>
                                  </w:tcBorders>
                                </w:tcPr>
                                <w:p w:rsidR="005E5023" w:rsidRPr="00F261B5" w:rsidRDefault="005E5023">
                                  <w:pPr>
                                    <w:pStyle w:val="Noparagraphstyle"/>
                                    <w:spacing w:line="240" w:lineRule="auto"/>
                                    <w:jc w:val="left"/>
                                    <w:textAlignment w:val="auto"/>
                                    <w:rPr>
                                      <w:b/>
                                      <w:color w:val="auto"/>
                                      <w:lang w:val="en-US"/>
                                    </w:rPr>
                                  </w:pPr>
                                </w:p>
                              </w:tc>
                              <w:tc>
                                <w:tcPr>
                                  <w:tcW w:w="1168" w:type="dxa"/>
                                  <w:tcBorders>
                                    <w:top w:val="single" w:sz="6" w:space="0" w:color="000000"/>
                                    <w:bottom w:val="single" w:sz="6" w:space="0" w:color="000000"/>
                                  </w:tcBorders>
                                  <w:tcMar>
                                    <w:top w:w="28" w:type="dxa"/>
                                    <w:left w:w="28" w:type="dxa"/>
                                    <w:bottom w:w="28" w:type="dxa"/>
                                    <w:right w:w="28" w:type="dxa"/>
                                  </w:tcMar>
                                </w:tcPr>
                                <w:p w:rsidR="005E5023" w:rsidRPr="00F261B5" w:rsidRDefault="005E5023">
                                  <w:pPr>
                                    <w:pStyle w:val="afb"/>
                                    <w:jc w:val="center"/>
                                  </w:pPr>
                                  <w:r w:rsidRPr="00F261B5">
                                    <w:t>AST</w:t>
                                  </w:r>
                                </w:p>
                                <w:p w:rsidR="005E5023" w:rsidRPr="00F261B5" w:rsidRDefault="005E5023">
                                  <w:pPr>
                                    <w:pStyle w:val="afb"/>
                                    <w:jc w:val="center"/>
                                  </w:pPr>
                                </w:p>
                              </w:tc>
                              <w:tc>
                                <w:tcPr>
                                  <w:tcW w:w="1087" w:type="dxa"/>
                                  <w:tcBorders>
                                    <w:top w:val="single" w:sz="6" w:space="0" w:color="000000"/>
                                    <w:bottom w:val="single" w:sz="6" w:space="0" w:color="000000"/>
                                  </w:tcBorders>
                                  <w:tcMar>
                                    <w:top w:w="28" w:type="dxa"/>
                                    <w:left w:w="28" w:type="dxa"/>
                                    <w:bottom w:w="28" w:type="dxa"/>
                                    <w:right w:w="28" w:type="dxa"/>
                                  </w:tcMar>
                                </w:tcPr>
                                <w:p w:rsidR="005E5023" w:rsidRPr="00F261B5" w:rsidRDefault="005E5023">
                                  <w:pPr>
                                    <w:pStyle w:val="afb"/>
                                    <w:jc w:val="center"/>
                                  </w:pPr>
                                  <w:r w:rsidRPr="00F261B5">
                                    <w:t>ALT</w:t>
                                  </w:r>
                                </w:p>
                                <w:p w:rsidR="005E5023" w:rsidRPr="00F261B5" w:rsidRDefault="005E5023">
                                  <w:pPr>
                                    <w:pStyle w:val="afb"/>
                                    <w:jc w:val="center"/>
                                  </w:pPr>
                                </w:p>
                              </w:tc>
                              <w:tc>
                                <w:tcPr>
                                  <w:tcW w:w="883" w:type="dxa"/>
                                  <w:tcBorders>
                                    <w:top w:val="single" w:sz="6" w:space="0" w:color="000000"/>
                                    <w:bottom w:val="single" w:sz="6" w:space="0" w:color="000000"/>
                                  </w:tcBorders>
                                  <w:tcMar>
                                    <w:top w:w="28" w:type="dxa"/>
                                    <w:left w:w="28" w:type="dxa"/>
                                    <w:bottom w:w="28" w:type="dxa"/>
                                    <w:right w:w="28" w:type="dxa"/>
                                  </w:tcMar>
                                </w:tcPr>
                                <w:p w:rsidR="005E5023" w:rsidRPr="00F261B5" w:rsidRDefault="005E5023">
                                  <w:pPr>
                                    <w:pStyle w:val="afb"/>
                                    <w:jc w:val="center"/>
                                  </w:pPr>
                                  <w:r w:rsidRPr="00F261B5">
                                    <w:t>T-Bil</w:t>
                                  </w:r>
                                </w:p>
                                <w:p w:rsidR="005E5023" w:rsidRPr="00F261B5" w:rsidRDefault="005E5023">
                                  <w:pPr>
                                    <w:pStyle w:val="afb"/>
                                    <w:jc w:val="center"/>
                                  </w:pPr>
                                </w:p>
                              </w:tc>
                              <w:tc>
                                <w:tcPr>
                                  <w:tcW w:w="1105" w:type="dxa"/>
                                  <w:tcBorders>
                                    <w:top w:val="single" w:sz="6" w:space="0" w:color="000000"/>
                                    <w:bottom w:val="single" w:sz="6" w:space="0" w:color="000000"/>
                                  </w:tcBorders>
                                  <w:tcMar>
                                    <w:top w:w="28" w:type="dxa"/>
                                    <w:left w:w="28" w:type="dxa"/>
                                    <w:bottom w:w="28" w:type="dxa"/>
                                    <w:right w:w="28" w:type="dxa"/>
                                  </w:tcMar>
                                </w:tcPr>
                                <w:p w:rsidR="005E5023" w:rsidRPr="00F261B5" w:rsidRDefault="005E5023">
                                  <w:pPr>
                                    <w:pStyle w:val="afb"/>
                                    <w:jc w:val="center"/>
                                  </w:pPr>
                                  <w:r w:rsidRPr="00F261B5">
                                    <w:t>IL-6</w:t>
                                  </w:r>
                                </w:p>
                                <w:p w:rsidR="005E5023" w:rsidRPr="00F261B5" w:rsidRDefault="005E5023">
                                  <w:pPr>
                                    <w:pStyle w:val="afb"/>
                                    <w:jc w:val="center"/>
                                  </w:pPr>
                                </w:p>
                              </w:tc>
                              <w:tc>
                                <w:tcPr>
                                  <w:tcW w:w="1189" w:type="dxa"/>
                                  <w:tcBorders>
                                    <w:top w:val="single" w:sz="6" w:space="0" w:color="000000"/>
                                    <w:bottom w:val="single" w:sz="6" w:space="0" w:color="000000"/>
                                  </w:tcBorders>
                                  <w:tcMar>
                                    <w:top w:w="28" w:type="dxa"/>
                                    <w:left w:w="28" w:type="dxa"/>
                                    <w:bottom w:w="28" w:type="dxa"/>
                                    <w:right w:w="28" w:type="dxa"/>
                                  </w:tcMar>
                                </w:tcPr>
                                <w:p w:rsidR="005E5023" w:rsidRPr="00F261B5" w:rsidRDefault="005E5023">
                                  <w:pPr>
                                    <w:pStyle w:val="afb"/>
                                    <w:jc w:val="center"/>
                                  </w:pPr>
                                  <w:r w:rsidRPr="00F261B5">
                                    <w:t>AST</w:t>
                                  </w:r>
                                </w:p>
                                <w:p w:rsidR="005E5023" w:rsidRPr="00F261B5" w:rsidRDefault="005E5023">
                                  <w:pPr>
                                    <w:pStyle w:val="afb"/>
                                    <w:jc w:val="center"/>
                                  </w:pPr>
                                </w:p>
                              </w:tc>
                              <w:tc>
                                <w:tcPr>
                                  <w:tcW w:w="1091" w:type="dxa"/>
                                  <w:tcBorders>
                                    <w:top w:val="single" w:sz="6" w:space="0" w:color="000000"/>
                                    <w:bottom w:val="single" w:sz="6" w:space="0" w:color="000000"/>
                                  </w:tcBorders>
                                  <w:tcMar>
                                    <w:top w:w="28" w:type="dxa"/>
                                    <w:left w:w="28" w:type="dxa"/>
                                    <w:bottom w:w="28" w:type="dxa"/>
                                    <w:right w:w="28" w:type="dxa"/>
                                  </w:tcMar>
                                </w:tcPr>
                                <w:p w:rsidR="005E5023" w:rsidRPr="00F261B5" w:rsidRDefault="005E5023">
                                  <w:pPr>
                                    <w:pStyle w:val="afb"/>
                                    <w:jc w:val="center"/>
                                  </w:pPr>
                                  <w:r w:rsidRPr="00F261B5">
                                    <w:t>ALT</w:t>
                                  </w:r>
                                </w:p>
                                <w:p w:rsidR="005E5023" w:rsidRPr="00F261B5" w:rsidRDefault="005E5023">
                                  <w:pPr>
                                    <w:pStyle w:val="afb"/>
                                    <w:jc w:val="center"/>
                                  </w:pPr>
                                </w:p>
                              </w:tc>
                              <w:tc>
                                <w:tcPr>
                                  <w:tcW w:w="889" w:type="dxa"/>
                                  <w:tcBorders>
                                    <w:top w:val="single" w:sz="6" w:space="0" w:color="000000"/>
                                    <w:bottom w:val="single" w:sz="6" w:space="0" w:color="000000"/>
                                  </w:tcBorders>
                                  <w:tcMar>
                                    <w:top w:w="28" w:type="dxa"/>
                                    <w:left w:w="28" w:type="dxa"/>
                                    <w:bottom w:w="28" w:type="dxa"/>
                                    <w:right w:w="28" w:type="dxa"/>
                                  </w:tcMar>
                                </w:tcPr>
                                <w:p w:rsidR="005E5023" w:rsidRPr="00F261B5" w:rsidRDefault="005E5023">
                                  <w:pPr>
                                    <w:pStyle w:val="afb"/>
                                    <w:jc w:val="center"/>
                                  </w:pPr>
                                  <w:r w:rsidRPr="00F261B5">
                                    <w:t>T-Bil</w:t>
                                  </w:r>
                                </w:p>
                                <w:p w:rsidR="005E5023" w:rsidRPr="00F261B5" w:rsidRDefault="005E5023">
                                  <w:pPr>
                                    <w:pStyle w:val="afb"/>
                                    <w:jc w:val="center"/>
                                  </w:pPr>
                                </w:p>
                              </w:tc>
                              <w:tc>
                                <w:tcPr>
                                  <w:tcW w:w="983" w:type="dxa"/>
                                  <w:tcBorders>
                                    <w:top w:val="single" w:sz="6" w:space="0" w:color="000000"/>
                                    <w:bottom w:val="single" w:sz="6" w:space="0" w:color="000000"/>
                                  </w:tcBorders>
                                  <w:tcMar>
                                    <w:top w:w="28" w:type="dxa"/>
                                    <w:left w:w="28" w:type="dxa"/>
                                    <w:bottom w:w="28" w:type="dxa"/>
                                    <w:right w:w="28" w:type="dxa"/>
                                  </w:tcMar>
                                </w:tcPr>
                                <w:p w:rsidR="005E5023" w:rsidRPr="00F261B5" w:rsidRDefault="005E5023">
                                  <w:pPr>
                                    <w:pStyle w:val="afb"/>
                                    <w:jc w:val="center"/>
                                  </w:pPr>
                                  <w:r w:rsidRPr="00F261B5">
                                    <w:t>IL-6</w:t>
                                  </w:r>
                                </w:p>
                                <w:p w:rsidR="005E5023" w:rsidRPr="00F261B5" w:rsidRDefault="005E5023">
                                  <w:pPr>
                                    <w:pStyle w:val="afb"/>
                                    <w:jc w:val="center"/>
                                  </w:pPr>
                                </w:p>
                              </w:tc>
                            </w:tr>
                            <w:tr w:rsidR="005E5023" w:rsidRPr="00F261B5">
                              <w:trPr>
                                <w:trHeight w:val="60"/>
                              </w:trPr>
                              <w:tc>
                                <w:tcPr>
                                  <w:tcW w:w="1127" w:type="dxa"/>
                                  <w:tcBorders>
                                    <w:top w:val="single" w:sz="6" w:space="0" w:color="000000"/>
                                  </w:tcBorders>
                                  <w:tcMar>
                                    <w:top w:w="28" w:type="dxa"/>
                                    <w:left w:w="28" w:type="dxa"/>
                                    <w:bottom w:w="28" w:type="dxa"/>
                                    <w:right w:w="28" w:type="dxa"/>
                                  </w:tcMar>
                                </w:tcPr>
                                <w:p w:rsidR="005E5023" w:rsidRPr="00F261B5" w:rsidRDefault="005E5023">
                                  <w:pPr>
                                    <w:pStyle w:val="afc"/>
                                    <w:rPr>
                                      <w:b w:val="0"/>
                                    </w:rPr>
                                  </w:pPr>
                                  <w:r w:rsidRPr="00F261B5">
                                    <w:rPr>
                                      <w:b w:val="0"/>
                                    </w:rPr>
                                    <w:t>Normal 70%PH</w:t>
                                  </w:r>
                                </w:p>
                                <w:p w:rsidR="005E5023" w:rsidRPr="00F261B5" w:rsidRDefault="005E5023">
                                  <w:pPr>
                                    <w:pStyle w:val="afc"/>
                                    <w:rPr>
                                      <w:b w:val="0"/>
                                    </w:rPr>
                                  </w:pPr>
                                </w:p>
                              </w:tc>
                              <w:tc>
                                <w:tcPr>
                                  <w:tcW w:w="1168" w:type="dxa"/>
                                  <w:tcBorders>
                                    <w:top w:val="single" w:sz="6" w:space="0" w:color="000000"/>
                                  </w:tcBorders>
                                  <w:tcMar>
                                    <w:top w:w="28" w:type="dxa"/>
                                    <w:left w:w="28" w:type="dxa"/>
                                    <w:bottom w:w="28" w:type="dxa"/>
                                    <w:right w:w="28" w:type="dxa"/>
                                  </w:tcMar>
                                </w:tcPr>
                                <w:p w:rsidR="005E5023" w:rsidRPr="00F261B5" w:rsidRDefault="005E5023">
                                  <w:pPr>
                                    <w:pStyle w:val="afc"/>
                                    <w:jc w:val="center"/>
                                    <w:rPr>
                                      <w:b w:val="0"/>
                                    </w:rPr>
                                  </w:pPr>
                                  <w:r w:rsidRPr="00F261B5">
                                    <w:rPr>
                                      <w:b w:val="0"/>
                                    </w:rPr>
                                    <w:t>2343.3 ± 6160.4</w:t>
                                  </w:r>
                                </w:p>
                                <w:p w:rsidR="005E5023" w:rsidRPr="00F261B5" w:rsidRDefault="005E5023">
                                  <w:pPr>
                                    <w:pStyle w:val="afc"/>
                                    <w:jc w:val="center"/>
                                    <w:rPr>
                                      <w:b w:val="0"/>
                                    </w:rPr>
                                  </w:pPr>
                                </w:p>
                              </w:tc>
                              <w:tc>
                                <w:tcPr>
                                  <w:tcW w:w="1087" w:type="dxa"/>
                                  <w:tcBorders>
                                    <w:top w:val="single" w:sz="6" w:space="0" w:color="000000"/>
                                  </w:tcBorders>
                                  <w:tcMar>
                                    <w:top w:w="28" w:type="dxa"/>
                                    <w:left w:w="28" w:type="dxa"/>
                                    <w:bottom w:w="28" w:type="dxa"/>
                                    <w:right w:w="28" w:type="dxa"/>
                                  </w:tcMar>
                                </w:tcPr>
                                <w:p w:rsidR="005E5023" w:rsidRPr="00F261B5" w:rsidRDefault="005E5023">
                                  <w:pPr>
                                    <w:pStyle w:val="afc"/>
                                    <w:jc w:val="center"/>
                                    <w:rPr>
                                      <w:b w:val="0"/>
                                    </w:rPr>
                                  </w:pPr>
                                  <w:r w:rsidRPr="00F261B5">
                                    <w:rPr>
                                      <w:b w:val="0"/>
                                    </w:rPr>
                                    <w:t>1828.3 ± 990.4</w:t>
                                  </w:r>
                                </w:p>
                                <w:p w:rsidR="005E5023" w:rsidRPr="00F261B5" w:rsidRDefault="005E5023">
                                  <w:pPr>
                                    <w:pStyle w:val="afc"/>
                                    <w:jc w:val="center"/>
                                    <w:rPr>
                                      <w:b w:val="0"/>
                                    </w:rPr>
                                  </w:pPr>
                                </w:p>
                              </w:tc>
                              <w:tc>
                                <w:tcPr>
                                  <w:tcW w:w="883" w:type="dxa"/>
                                  <w:tcBorders>
                                    <w:top w:val="single" w:sz="6" w:space="0" w:color="000000"/>
                                  </w:tcBorders>
                                  <w:tcMar>
                                    <w:top w:w="28" w:type="dxa"/>
                                    <w:left w:w="28" w:type="dxa"/>
                                    <w:bottom w:w="28" w:type="dxa"/>
                                    <w:right w:w="28" w:type="dxa"/>
                                  </w:tcMar>
                                </w:tcPr>
                                <w:p w:rsidR="005E5023" w:rsidRPr="00F261B5" w:rsidRDefault="005E5023">
                                  <w:pPr>
                                    <w:pStyle w:val="afc"/>
                                    <w:jc w:val="center"/>
                                    <w:rPr>
                                      <w:b w:val="0"/>
                                    </w:rPr>
                                  </w:pPr>
                                  <w:r w:rsidRPr="00F261B5">
                                    <w:rPr>
                                      <w:b w:val="0"/>
                                    </w:rPr>
                                    <w:t>1.43 ± 0.5</w:t>
                                  </w:r>
                                </w:p>
                                <w:p w:rsidR="005E5023" w:rsidRPr="00F261B5" w:rsidRDefault="005E5023">
                                  <w:pPr>
                                    <w:pStyle w:val="afc"/>
                                    <w:jc w:val="center"/>
                                    <w:rPr>
                                      <w:b w:val="0"/>
                                    </w:rPr>
                                  </w:pPr>
                                </w:p>
                              </w:tc>
                              <w:tc>
                                <w:tcPr>
                                  <w:tcW w:w="1105" w:type="dxa"/>
                                  <w:tcBorders>
                                    <w:top w:val="single" w:sz="6" w:space="0" w:color="000000"/>
                                  </w:tcBorders>
                                  <w:tcMar>
                                    <w:top w:w="28" w:type="dxa"/>
                                    <w:left w:w="28" w:type="dxa"/>
                                    <w:bottom w:w="28" w:type="dxa"/>
                                    <w:right w:w="28" w:type="dxa"/>
                                  </w:tcMar>
                                </w:tcPr>
                                <w:p w:rsidR="005E5023" w:rsidRPr="00F261B5" w:rsidRDefault="005E5023">
                                  <w:pPr>
                                    <w:pStyle w:val="afc"/>
                                    <w:jc w:val="center"/>
                                    <w:rPr>
                                      <w:b w:val="0"/>
                                    </w:rPr>
                                  </w:pPr>
                                  <w:r w:rsidRPr="00F261B5">
                                    <w:rPr>
                                      <w:b w:val="0"/>
                                    </w:rPr>
                                    <w:t>2036.0 ± 1470.9</w:t>
                                  </w:r>
                                </w:p>
                                <w:p w:rsidR="005E5023" w:rsidRPr="00F261B5" w:rsidRDefault="005E5023">
                                  <w:pPr>
                                    <w:pStyle w:val="afc"/>
                                    <w:jc w:val="center"/>
                                    <w:rPr>
                                      <w:b w:val="0"/>
                                    </w:rPr>
                                  </w:pPr>
                                </w:p>
                              </w:tc>
                              <w:tc>
                                <w:tcPr>
                                  <w:tcW w:w="1189" w:type="dxa"/>
                                  <w:tcBorders>
                                    <w:top w:val="single" w:sz="6" w:space="0" w:color="000000"/>
                                  </w:tcBorders>
                                  <w:tcMar>
                                    <w:top w:w="28" w:type="dxa"/>
                                    <w:left w:w="28" w:type="dxa"/>
                                    <w:bottom w:w="28" w:type="dxa"/>
                                    <w:right w:w="28" w:type="dxa"/>
                                  </w:tcMar>
                                </w:tcPr>
                                <w:p w:rsidR="005E5023" w:rsidRPr="00F261B5" w:rsidRDefault="005E5023">
                                  <w:pPr>
                                    <w:pStyle w:val="afc"/>
                                    <w:jc w:val="center"/>
                                    <w:rPr>
                                      <w:b w:val="0"/>
                                    </w:rPr>
                                  </w:pPr>
                                  <w:r w:rsidRPr="00F261B5">
                                    <w:rPr>
                                      <w:b w:val="0"/>
                                    </w:rPr>
                                    <w:t>2976.7 ± 1395.7</w:t>
                                  </w:r>
                                </w:p>
                                <w:p w:rsidR="005E5023" w:rsidRPr="00F261B5" w:rsidRDefault="005E5023">
                                  <w:pPr>
                                    <w:pStyle w:val="afc"/>
                                    <w:jc w:val="center"/>
                                    <w:rPr>
                                      <w:b w:val="0"/>
                                    </w:rPr>
                                  </w:pPr>
                                </w:p>
                              </w:tc>
                              <w:tc>
                                <w:tcPr>
                                  <w:tcW w:w="1091" w:type="dxa"/>
                                  <w:tcBorders>
                                    <w:top w:val="single" w:sz="6" w:space="0" w:color="000000"/>
                                  </w:tcBorders>
                                  <w:tcMar>
                                    <w:top w:w="28" w:type="dxa"/>
                                    <w:left w:w="28" w:type="dxa"/>
                                    <w:bottom w:w="28" w:type="dxa"/>
                                    <w:right w:w="28" w:type="dxa"/>
                                  </w:tcMar>
                                </w:tcPr>
                                <w:p w:rsidR="005E5023" w:rsidRPr="00F261B5" w:rsidRDefault="005E5023">
                                  <w:pPr>
                                    <w:pStyle w:val="afc"/>
                                    <w:jc w:val="center"/>
                                    <w:rPr>
                                      <w:b w:val="0"/>
                                    </w:rPr>
                                  </w:pPr>
                                  <w:r w:rsidRPr="00F261B5">
                                    <w:rPr>
                                      <w:b w:val="0"/>
                                    </w:rPr>
                                    <w:t>2053.3 ± 886.2</w:t>
                                  </w:r>
                                </w:p>
                                <w:p w:rsidR="005E5023" w:rsidRPr="00F261B5" w:rsidRDefault="005E5023">
                                  <w:pPr>
                                    <w:pStyle w:val="afc"/>
                                    <w:jc w:val="center"/>
                                    <w:rPr>
                                      <w:b w:val="0"/>
                                    </w:rPr>
                                  </w:pPr>
                                </w:p>
                              </w:tc>
                              <w:tc>
                                <w:tcPr>
                                  <w:tcW w:w="889" w:type="dxa"/>
                                  <w:tcBorders>
                                    <w:top w:val="single" w:sz="6" w:space="0" w:color="000000"/>
                                  </w:tcBorders>
                                  <w:tcMar>
                                    <w:top w:w="28" w:type="dxa"/>
                                    <w:left w:w="28" w:type="dxa"/>
                                    <w:bottom w:w="28" w:type="dxa"/>
                                    <w:right w:w="28" w:type="dxa"/>
                                  </w:tcMar>
                                </w:tcPr>
                                <w:p w:rsidR="005E5023" w:rsidRPr="00F261B5" w:rsidRDefault="005E5023">
                                  <w:pPr>
                                    <w:pStyle w:val="afc"/>
                                    <w:jc w:val="center"/>
                                    <w:rPr>
                                      <w:b w:val="0"/>
                                    </w:rPr>
                                  </w:pPr>
                                  <w:r w:rsidRPr="00F261B5">
                                    <w:rPr>
                                      <w:b w:val="0"/>
                                    </w:rPr>
                                    <w:t>2.0 ± 0.9</w:t>
                                  </w:r>
                                </w:p>
                                <w:p w:rsidR="005E5023" w:rsidRPr="00F261B5" w:rsidRDefault="005E5023">
                                  <w:pPr>
                                    <w:pStyle w:val="afc"/>
                                    <w:jc w:val="center"/>
                                    <w:rPr>
                                      <w:b w:val="0"/>
                                    </w:rPr>
                                  </w:pPr>
                                </w:p>
                              </w:tc>
                              <w:tc>
                                <w:tcPr>
                                  <w:tcW w:w="983" w:type="dxa"/>
                                  <w:tcBorders>
                                    <w:top w:val="single" w:sz="6" w:space="0" w:color="000000"/>
                                  </w:tcBorders>
                                  <w:tcMar>
                                    <w:top w:w="28" w:type="dxa"/>
                                    <w:left w:w="28" w:type="dxa"/>
                                    <w:bottom w:w="28" w:type="dxa"/>
                                    <w:right w:w="28" w:type="dxa"/>
                                  </w:tcMar>
                                </w:tcPr>
                                <w:p w:rsidR="005E5023" w:rsidRPr="00F261B5" w:rsidRDefault="005E5023">
                                  <w:pPr>
                                    <w:pStyle w:val="afc"/>
                                    <w:jc w:val="center"/>
                                    <w:rPr>
                                      <w:b w:val="0"/>
                                    </w:rPr>
                                  </w:pPr>
                                  <w:r w:rsidRPr="00F261B5">
                                    <w:rPr>
                                      <w:b w:val="0"/>
                                    </w:rPr>
                                    <w:t>731.5 ± 483.7</w:t>
                                  </w:r>
                                </w:p>
                                <w:p w:rsidR="005E5023" w:rsidRPr="00F261B5" w:rsidRDefault="005E5023">
                                  <w:pPr>
                                    <w:pStyle w:val="afc"/>
                                    <w:jc w:val="center"/>
                                    <w:rPr>
                                      <w:b w:val="0"/>
                                    </w:rPr>
                                  </w:pPr>
                                </w:p>
                              </w:tc>
                            </w:tr>
                            <w:tr w:rsidR="005E5023" w:rsidRPr="00F261B5">
                              <w:trPr>
                                <w:trHeight w:val="60"/>
                              </w:trPr>
                              <w:tc>
                                <w:tcPr>
                                  <w:tcW w:w="1127" w:type="dxa"/>
                                  <w:tcMar>
                                    <w:top w:w="28" w:type="dxa"/>
                                    <w:left w:w="28" w:type="dxa"/>
                                    <w:bottom w:w="28" w:type="dxa"/>
                                    <w:right w:w="28" w:type="dxa"/>
                                  </w:tcMar>
                                </w:tcPr>
                                <w:p w:rsidR="005E5023" w:rsidRPr="00F261B5" w:rsidRDefault="005E5023">
                                  <w:pPr>
                                    <w:pStyle w:val="afc"/>
                                    <w:rPr>
                                      <w:b w:val="0"/>
                                    </w:rPr>
                                  </w:pPr>
                                  <w:r w:rsidRPr="00F261B5">
                                    <w:rPr>
                                      <w:b w:val="0"/>
                                    </w:rPr>
                                    <w:t>NASH 30%PH</w:t>
                                  </w:r>
                                </w:p>
                                <w:p w:rsidR="005E5023" w:rsidRPr="00F261B5" w:rsidRDefault="005E5023">
                                  <w:pPr>
                                    <w:pStyle w:val="afc"/>
                                    <w:rPr>
                                      <w:b w:val="0"/>
                                    </w:rPr>
                                  </w:pPr>
                                </w:p>
                              </w:tc>
                              <w:tc>
                                <w:tcPr>
                                  <w:tcW w:w="1168" w:type="dxa"/>
                                  <w:tcMar>
                                    <w:top w:w="28" w:type="dxa"/>
                                    <w:left w:w="28" w:type="dxa"/>
                                    <w:bottom w:w="28" w:type="dxa"/>
                                    <w:right w:w="28" w:type="dxa"/>
                                  </w:tcMar>
                                </w:tcPr>
                                <w:p w:rsidR="005E5023" w:rsidRPr="00F261B5" w:rsidRDefault="005E5023">
                                  <w:pPr>
                                    <w:pStyle w:val="afc"/>
                                    <w:jc w:val="center"/>
                                    <w:rPr>
                                      <w:b w:val="0"/>
                                    </w:rPr>
                                  </w:pPr>
                                  <w:r w:rsidRPr="00F261B5">
                                    <w:rPr>
                                      <w:b w:val="0"/>
                                    </w:rPr>
                                    <w:t>1610.0 ± 3700.6</w:t>
                                  </w:r>
                                </w:p>
                                <w:p w:rsidR="005E5023" w:rsidRPr="00F261B5" w:rsidRDefault="005E5023">
                                  <w:pPr>
                                    <w:pStyle w:val="afc"/>
                                    <w:jc w:val="center"/>
                                    <w:rPr>
                                      <w:b w:val="0"/>
                                    </w:rPr>
                                  </w:pPr>
                                </w:p>
                              </w:tc>
                              <w:tc>
                                <w:tcPr>
                                  <w:tcW w:w="1087" w:type="dxa"/>
                                  <w:tcMar>
                                    <w:top w:w="28" w:type="dxa"/>
                                    <w:left w:w="28" w:type="dxa"/>
                                    <w:bottom w:w="28" w:type="dxa"/>
                                    <w:right w:w="28" w:type="dxa"/>
                                  </w:tcMar>
                                </w:tcPr>
                                <w:p w:rsidR="005E5023" w:rsidRPr="00F261B5" w:rsidRDefault="005E5023">
                                  <w:pPr>
                                    <w:pStyle w:val="afc"/>
                                    <w:jc w:val="center"/>
                                    <w:rPr>
                                      <w:b w:val="0"/>
                                    </w:rPr>
                                  </w:pPr>
                                  <w:r w:rsidRPr="00F261B5">
                                    <w:rPr>
                                      <w:b w:val="0"/>
                                    </w:rPr>
                                    <w:t>1507.1 ± 563.5</w:t>
                                  </w:r>
                                </w:p>
                                <w:p w:rsidR="005E5023" w:rsidRPr="00F261B5" w:rsidRDefault="005E5023">
                                  <w:pPr>
                                    <w:pStyle w:val="afc"/>
                                    <w:jc w:val="center"/>
                                    <w:rPr>
                                      <w:b w:val="0"/>
                                    </w:rPr>
                                  </w:pPr>
                                </w:p>
                              </w:tc>
                              <w:tc>
                                <w:tcPr>
                                  <w:tcW w:w="883" w:type="dxa"/>
                                  <w:tcMar>
                                    <w:top w:w="28" w:type="dxa"/>
                                    <w:left w:w="28" w:type="dxa"/>
                                    <w:bottom w:w="28" w:type="dxa"/>
                                    <w:right w:w="28" w:type="dxa"/>
                                  </w:tcMar>
                                </w:tcPr>
                                <w:p w:rsidR="005E5023" w:rsidRPr="00F261B5" w:rsidRDefault="005E5023">
                                  <w:pPr>
                                    <w:pStyle w:val="afc"/>
                                    <w:jc w:val="center"/>
                                    <w:rPr>
                                      <w:b w:val="0"/>
                                    </w:rPr>
                                  </w:pPr>
                                  <w:r w:rsidRPr="00F261B5">
                                    <w:rPr>
                                      <w:b w:val="0"/>
                                    </w:rPr>
                                    <w:t>0.76 ± 0.2</w:t>
                                  </w:r>
                                </w:p>
                                <w:p w:rsidR="005E5023" w:rsidRPr="00F261B5" w:rsidRDefault="005E5023">
                                  <w:pPr>
                                    <w:pStyle w:val="afc"/>
                                    <w:jc w:val="center"/>
                                    <w:rPr>
                                      <w:b w:val="0"/>
                                    </w:rPr>
                                  </w:pPr>
                                </w:p>
                              </w:tc>
                              <w:tc>
                                <w:tcPr>
                                  <w:tcW w:w="1105" w:type="dxa"/>
                                  <w:tcMar>
                                    <w:top w:w="28" w:type="dxa"/>
                                    <w:left w:w="28" w:type="dxa"/>
                                    <w:bottom w:w="28" w:type="dxa"/>
                                    <w:right w:w="28" w:type="dxa"/>
                                  </w:tcMar>
                                </w:tcPr>
                                <w:p w:rsidR="005E5023" w:rsidRPr="00F261B5" w:rsidRDefault="005E5023">
                                  <w:pPr>
                                    <w:pStyle w:val="afc"/>
                                    <w:jc w:val="center"/>
                                    <w:rPr>
                                      <w:b w:val="0"/>
                                    </w:rPr>
                                  </w:pPr>
                                  <w:r w:rsidRPr="00F261B5">
                                    <w:rPr>
                                      <w:b w:val="0"/>
                                    </w:rPr>
                                    <w:t>1511.5 ± 284.8</w:t>
                                  </w:r>
                                </w:p>
                                <w:p w:rsidR="005E5023" w:rsidRPr="00F261B5" w:rsidRDefault="005E5023">
                                  <w:pPr>
                                    <w:pStyle w:val="afc"/>
                                    <w:jc w:val="center"/>
                                    <w:rPr>
                                      <w:b w:val="0"/>
                                    </w:rPr>
                                  </w:pPr>
                                </w:p>
                              </w:tc>
                              <w:tc>
                                <w:tcPr>
                                  <w:tcW w:w="1189" w:type="dxa"/>
                                  <w:tcMar>
                                    <w:top w:w="28" w:type="dxa"/>
                                    <w:left w:w="28" w:type="dxa"/>
                                    <w:bottom w:w="28" w:type="dxa"/>
                                    <w:right w:w="28" w:type="dxa"/>
                                  </w:tcMar>
                                </w:tcPr>
                                <w:p w:rsidR="005E5023" w:rsidRPr="00F261B5" w:rsidRDefault="005E5023">
                                  <w:pPr>
                                    <w:pStyle w:val="afc"/>
                                    <w:jc w:val="center"/>
                                    <w:rPr>
                                      <w:b w:val="0"/>
                                    </w:rPr>
                                  </w:pPr>
                                  <w:r w:rsidRPr="00F261B5">
                                    <w:rPr>
                                      <w:b w:val="0"/>
                                    </w:rPr>
                                    <w:t>1841.3 ± 619.1</w:t>
                                  </w:r>
                                </w:p>
                                <w:p w:rsidR="005E5023" w:rsidRPr="00F261B5" w:rsidRDefault="005E5023">
                                  <w:pPr>
                                    <w:pStyle w:val="afc"/>
                                    <w:jc w:val="center"/>
                                    <w:rPr>
                                      <w:b w:val="0"/>
                                    </w:rPr>
                                  </w:pPr>
                                </w:p>
                              </w:tc>
                              <w:tc>
                                <w:tcPr>
                                  <w:tcW w:w="1091" w:type="dxa"/>
                                  <w:tcMar>
                                    <w:top w:w="28" w:type="dxa"/>
                                    <w:left w:w="28" w:type="dxa"/>
                                    <w:bottom w:w="28" w:type="dxa"/>
                                    <w:right w:w="28" w:type="dxa"/>
                                  </w:tcMar>
                                </w:tcPr>
                                <w:p w:rsidR="005E5023" w:rsidRPr="00F261B5" w:rsidRDefault="005E5023">
                                  <w:pPr>
                                    <w:pStyle w:val="afc"/>
                                    <w:jc w:val="center"/>
                                    <w:rPr>
                                      <w:b w:val="0"/>
                                    </w:rPr>
                                  </w:pPr>
                                  <w:r w:rsidRPr="00F261B5">
                                    <w:rPr>
                                      <w:b w:val="0"/>
                                    </w:rPr>
                                    <w:t>1522.9 ± 537.9</w:t>
                                  </w:r>
                                </w:p>
                                <w:p w:rsidR="005E5023" w:rsidRPr="00F261B5" w:rsidRDefault="005E5023">
                                  <w:pPr>
                                    <w:pStyle w:val="afc"/>
                                    <w:jc w:val="center"/>
                                    <w:rPr>
                                      <w:b w:val="0"/>
                                    </w:rPr>
                                  </w:pPr>
                                </w:p>
                              </w:tc>
                              <w:tc>
                                <w:tcPr>
                                  <w:tcW w:w="889" w:type="dxa"/>
                                  <w:tcMar>
                                    <w:top w:w="28" w:type="dxa"/>
                                    <w:left w:w="28" w:type="dxa"/>
                                    <w:bottom w:w="28" w:type="dxa"/>
                                    <w:right w:w="28" w:type="dxa"/>
                                  </w:tcMar>
                                </w:tcPr>
                                <w:p w:rsidR="005E5023" w:rsidRPr="00F261B5" w:rsidRDefault="005E5023">
                                  <w:pPr>
                                    <w:pStyle w:val="afc"/>
                                    <w:jc w:val="center"/>
                                    <w:rPr>
                                      <w:b w:val="0"/>
                                    </w:rPr>
                                  </w:pPr>
                                  <w:r w:rsidRPr="00F261B5">
                                    <w:rPr>
                                      <w:b w:val="0"/>
                                    </w:rPr>
                                    <w:t>0.9 ± 0.7</w:t>
                                  </w:r>
                                </w:p>
                                <w:p w:rsidR="005E5023" w:rsidRPr="00F261B5" w:rsidRDefault="005E5023">
                                  <w:pPr>
                                    <w:pStyle w:val="afc"/>
                                    <w:jc w:val="center"/>
                                    <w:rPr>
                                      <w:b w:val="0"/>
                                    </w:rPr>
                                  </w:pPr>
                                </w:p>
                              </w:tc>
                              <w:tc>
                                <w:tcPr>
                                  <w:tcW w:w="983" w:type="dxa"/>
                                  <w:tcMar>
                                    <w:top w:w="28" w:type="dxa"/>
                                    <w:left w:w="28" w:type="dxa"/>
                                    <w:bottom w:w="28" w:type="dxa"/>
                                    <w:right w:w="28" w:type="dxa"/>
                                  </w:tcMar>
                                </w:tcPr>
                                <w:p w:rsidR="005E5023" w:rsidRPr="00F261B5" w:rsidRDefault="005E5023">
                                  <w:pPr>
                                    <w:pStyle w:val="afc"/>
                                    <w:jc w:val="center"/>
                                    <w:rPr>
                                      <w:b w:val="0"/>
                                    </w:rPr>
                                  </w:pPr>
                                  <w:r w:rsidRPr="00F261B5">
                                    <w:rPr>
                                      <w:b w:val="0"/>
                                    </w:rPr>
                                    <w:t>692.8 ± 211.1</w:t>
                                  </w:r>
                                </w:p>
                                <w:p w:rsidR="005E5023" w:rsidRPr="00F261B5" w:rsidRDefault="005E5023">
                                  <w:pPr>
                                    <w:pStyle w:val="afc"/>
                                    <w:jc w:val="center"/>
                                    <w:rPr>
                                      <w:b w:val="0"/>
                                    </w:rPr>
                                  </w:pPr>
                                </w:p>
                              </w:tc>
                            </w:tr>
                            <w:tr w:rsidR="005E5023" w:rsidRPr="00F261B5">
                              <w:trPr>
                                <w:trHeight w:val="60"/>
                              </w:trPr>
                              <w:tc>
                                <w:tcPr>
                                  <w:tcW w:w="1127" w:type="dxa"/>
                                  <w:tcMar>
                                    <w:top w:w="28" w:type="dxa"/>
                                    <w:left w:w="28" w:type="dxa"/>
                                    <w:bottom w:w="28" w:type="dxa"/>
                                    <w:right w:w="28" w:type="dxa"/>
                                  </w:tcMar>
                                </w:tcPr>
                                <w:p w:rsidR="005E5023" w:rsidRPr="00F261B5" w:rsidRDefault="005E5023">
                                  <w:pPr>
                                    <w:pStyle w:val="afc"/>
                                    <w:rPr>
                                      <w:b w:val="0"/>
                                    </w:rPr>
                                  </w:pPr>
                                  <w:r w:rsidRPr="00F261B5">
                                    <w:rPr>
                                      <w:b w:val="0"/>
                                    </w:rPr>
                                    <w:t>NASH 70%PH</w:t>
                                  </w:r>
                                </w:p>
                                <w:p w:rsidR="005E5023" w:rsidRPr="00F261B5" w:rsidRDefault="005E5023">
                                  <w:pPr>
                                    <w:pStyle w:val="afc"/>
                                    <w:rPr>
                                      <w:b w:val="0"/>
                                    </w:rPr>
                                  </w:pPr>
                                </w:p>
                              </w:tc>
                              <w:tc>
                                <w:tcPr>
                                  <w:tcW w:w="1168" w:type="dxa"/>
                                  <w:tcMar>
                                    <w:top w:w="28" w:type="dxa"/>
                                    <w:left w:w="28" w:type="dxa"/>
                                    <w:bottom w:w="28" w:type="dxa"/>
                                    <w:right w:w="28" w:type="dxa"/>
                                  </w:tcMar>
                                </w:tcPr>
                                <w:p w:rsidR="005E5023" w:rsidRPr="00F261B5" w:rsidRDefault="005E5023">
                                  <w:pPr>
                                    <w:pStyle w:val="afc"/>
                                    <w:jc w:val="center"/>
                                    <w:rPr>
                                      <w:b w:val="0"/>
                                      <w:vertAlign w:val="superscript"/>
                                    </w:rPr>
                                  </w:pPr>
                                  <w:r w:rsidRPr="00F261B5">
                                    <w:rPr>
                                      <w:b w:val="0"/>
                                    </w:rPr>
                                    <w:t>3064.3 ± 1289.8</w:t>
                                  </w:r>
                                  <w:r w:rsidRPr="00F261B5">
                                    <w:rPr>
                                      <w:b w:val="0"/>
                                      <w:vertAlign w:val="superscript"/>
                                    </w:rPr>
                                    <w:t>a</w:t>
                                  </w:r>
                                </w:p>
                                <w:p w:rsidR="005E5023" w:rsidRPr="00F261B5" w:rsidRDefault="005E5023">
                                  <w:pPr>
                                    <w:pStyle w:val="afc"/>
                                    <w:jc w:val="center"/>
                                    <w:rPr>
                                      <w:b w:val="0"/>
                                    </w:rPr>
                                  </w:pPr>
                                </w:p>
                              </w:tc>
                              <w:tc>
                                <w:tcPr>
                                  <w:tcW w:w="1087" w:type="dxa"/>
                                  <w:tcMar>
                                    <w:top w:w="28" w:type="dxa"/>
                                    <w:left w:w="28" w:type="dxa"/>
                                    <w:bottom w:w="28" w:type="dxa"/>
                                    <w:right w:w="28" w:type="dxa"/>
                                  </w:tcMar>
                                </w:tcPr>
                                <w:p w:rsidR="005E5023" w:rsidRPr="00F261B5" w:rsidRDefault="005E5023">
                                  <w:pPr>
                                    <w:pStyle w:val="afc"/>
                                    <w:jc w:val="center"/>
                                    <w:rPr>
                                      <w:b w:val="0"/>
                                    </w:rPr>
                                  </w:pPr>
                                  <w:r w:rsidRPr="00F261B5">
                                    <w:rPr>
                                      <w:b w:val="0"/>
                                    </w:rPr>
                                    <w:t>2422.9 ± 1194.8</w:t>
                                  </w:r>
                                </w:p>
                                <w:p w:rsidR="005E5023" w:rsidRPr="00F261B5" w:rsidRDefault="005E5023">
                                  <w:pPr>
                                    <w:pStyle w:val="afc"/>
                                    <w:jc w:val="center"/>
                                    <w:rPr>
                                      <w:b w:val="0"/>
                                    </w:rPr>
                                  </w:pPr>
                                </w:p>
                              </w:tc>
                              <w:tc>
                                <w:tcPr>
                                  <w:tcW w:w="883" w:type="dxa"/>
                                  <w:tcMar>
                                    <w:top w:w="28" w:type="dxa"/>
                                    <w:left w:w="28" w:type="dxa"/>
                                    <w:bottom w:w="28" w:type="dxa"/>
                                    <w:right w:w="28" w:type="dxa"/>
                                  </w:tcMar>
                                </w:tcPr>
                                <w:p w:rsidR="005E5023" w:rsidRPr="00F261B5" w:rsidRDefault="005E5023">
                                  <w:pPr>
                                    <w:pStyle w:val="afc"/>
                                    <w:jc w:val="center"/>
                                    <w:rPr>
                                      <w:b w:val="0"/>
                                      <w:vertAlign w:val="superscript"/>
                                    </w:rPr>
                                  </w:pPr>
                                  <w:r w:rsidRPr="00F261B5">
                                    <w:rPr>
                                      <w:b w:val="0"/>
                                    </w:rPr>
                                    <w:t>2.57 ± 1.36</w:t>
                                  </w:r>
                                  <w:r w:rsidRPr="00F261B5">
                                    <w:rPr>
                                      <w:b w:val="0"/>
                                      <w:vertAlign w:val="superscript"/>
                                    </w:rPr>
                                    <w:t>b</w:t>
                                  </w:r>
                                </w:p>
                                <w:p w:rsidR="005E5023" w:rsidRPr="00F261B5" w:rsidRDefault="005E5023">
                                  <w:pPr>
                                    <w:pStyle w:val="afc"/>
                                    <w:jc w:val="center"/>
                                    <w:rPr>
                                      <w:b w:val="0"/>
                                    </w:rPr>
                                  </w:pPr>
                                </w:p>
                              </w:tc>
                              <w:tc>
                                <w:tcPr>
                                  <w:tcW w:w="1105" w:type="dxa"/>
                                  <w:tcMar>
                                    <w:top w:w="28" w:type="dxa"/>
                                    <w:left w:w="28" w:type="dxa"/>
                                    <w:bottom w:w="28" w:type="dxa"/>
                                    <w:right w:w="28" w:type="dxa"/>
                                  </w:tcMar>
                                </w:tcPr>
                                <w:p w:rsidR="005E5023" w:rsidRPr="00F261B5" w:rsidRDefault="005E5023">
                                  <w:pPr>
                                    <w:pStyle w:val="afc"/>
                                    <w:jc w:val="center"/>
                                    <w:rPr>
                                      <w:b w:val="0"/>
                                    </w:rPr>
                                  </w:pPr>
                                  <w:r w:rsidRPr="00F261B5">
                                    <w:rPr>
                                      <w:b w:val="0"/>
                                    </w:rPr>
                                    <w:t>3026.2 ± 2127.5</w:t>
                                  </w:r>
                                </w:p>
                                <w:p w:rsidR="005E5023" w:rsidRPr="00F261B5" w:rsidRDefault="005E5023">
                                  <w:pPr>
                                    <w:pStyle w:val="afc"/>
                                    <w:jc w:val="center"/>
                                    <w:rPr>
                                      <w:b w:val="0"/>
                                    </w:rPr>
                                  </w:pPr>
                                </w:p>
                              </w:tc>
                              <w:tc>
                                <w:tcPr>
                                  <w:tcW w:w="1189" w:type="dxa"/>
                                  <w:tcMar>
                                    <w:top w:w="28" w:type="dxa"/>
                                    <w:left w:w="28" w:type="dxa"/>
                                    <w:bottom w:w="28" w:type="dxa"/>
                                    <w:right w:w="28" w:type="dxa"/>
                                  </w:tcMar>
                                </w:tcPr>
                                <w:p w:rsidR="005E5023" w:rsidRPr="00F261B5" w:rsidRDefault="005E5023">
                                  <w:pPr>
                                    <w:pStyle w:val="afc"/>
                                    <w:jc w:val="center"/>
                                    <w:rPr>
                                      <w:b w:val="0"/>
                                      <w:vertAlign w:val="superscript"/>
                                    </w:rPr>
                                  </w:pPr>
                                  <w:r w:rsidRPr="00F261B5">
                                    <w:rPr>
                                      <w:b w:val="0"/>
                                    </w:rPr>
                                    <w:t>4067.5 ± 2059.2</w:t>
                                  </w:r>
                                  <w:r w:rsidRPr="00F261B5">
                                    <w:rPr>
                                      <w:b w:val="0"/>
                                      <w:vertAlign w:val="superscript"/>
                                    </w:rPr>
                                    <w:t>a</w:t>
                                  </w:r>
                                </w:p>
                                <w:p w:rsidR="005E5023" w:rsidRPr="00F261B5" w:rsidRDefault="005E5023">
                                  <w:pPr>
                                    <w:pStyle w:val="afc"/>
                                    <w:jc w:val="center"/>
                                    <w:rPr>
                                      <w:b w:val="0"/>
                                    </w:rPr>
                                  </w:pPr>
                                </w:p>
                              </w:tc>
                              <w:tc>
                                <w:tcPr>
                                  <w:tcW w:w="1091" w:type="dxa"/>
                                  <w:tcMar>
                                    <w:top w:w="28" w:type="dxa"/>
                                    <w:left w:w="28" w:type="dxa"/>
                                    <w:bottom w:w="28" w:type="dxa"/>
                                    <w:right w:w="28" w:type="dxa"/>
                                  </w:tcMar>
                                </w:tcPr>
                                <w:p w:rsidR="005E5023" w:rsidRPr="00F261B5" w:rsidRDefault="005E5023">
                                  <w:pPr>
                                    <w:pStyle w:val="afc"/>
                                    <w:jc w:val="center"/>
                                    <w:rPr>
                                      <w:b w:val="0"/>
                                    </w:rPr>
                                  </w:pPr>
                                  <w:r w:rsidRPr="00F261B5">
                                    <w:rPr>
                                      <w:b w:val="0"/>
                                    </w:rPr>
                                    <w:t>2403.8 ± 1111.8</w:t>
                                  </w:r>
                                </w:p>
                                <w:p w:rsidR="005E5023" w:rsidRPr="00F261B5" w:rsidRDefault="005E5023">
                                  <w:pPr>
                                    <w:pStyle w:val="afc"/>
                                    <w:jc w:val="center"/>
                                    <w:rPr>
                                      <w:b w:val="0"/>
                                    </w:rPr>
                                  </w:pPr>
                                </w:p>
                              </w:tc>
                              <w:tc>
                                <w:tcPr>
                                  <w:tcW w:w="889" w:type="dxa"/>
                                  <w:tcMar>
                                    <w:top w:w="28" w:type="dxa"/>
                                    <w:left w:w="28" w:type="dxa"/>
                                    <w:bottom w:w="28" w:type="dxa"/>
                                    <w:right w:w="28" w:type="dxa"/>
                                  </w:tcMar>
                                </w:tcPr>
                                <w:p w:rsidR="005E5023" w:rsidRPr="00F261B5" w:rsidRDefault="005E5023">
                                  <w:pPr>
                                    <w:pStyle w:val="afc"/>
                                    <w:jc w:val="center"/>
                                    <w:rPr>
                                      <w:b w:val="0"/>
                                      <w:vertAlign w:val="superscript"/>
                                    </w:rPr>
                                  </w:pPr>
                                  <w:r w:rsidRPr="00F261B5">
                                    <w:rPr>
                                      <w:b w:val="0"/>
                                    </w:rPr>
                                    <w:t>3.85 ± 0.96</w:t>
                                  </w:r>
                                  <w:r w:rsidRPr="00F261B5">
                                    <w:rPr>
                                      <w:b w:val="0"/>
                                      <w:vertAlign w:val="superscript"/>
                                    </w:rPr>
                                    <w:t>b</w:t>
                                  </w:r>
                                </w:p>
                                <w:p w:rsidR="005E5023" w:rsidRPr="00F261B5" w:rsidRDefault="005E5023">
                                  <w:pPr>
                                    <w:pStyle w:val="afc"/>
                                    <w:jc w:val="center"/>
                                    <w:rPr>
                                      <w:b w:val="0"/>
                                    </w:rPr>
                                  </w:pPr>
                                </w:p>
                              </w:tc>
                              <w:tc>
                                <w:tcPr>
                                  <w:tcW w:w="983" w:type="dxa"/>
                                  <w:tcMar>
                                    <w:top w:w="28" w:type="dxa"/>
                                    <w:left w:w="28" w:type="dxa"/>
                                    <w:bottom w:w="28" w:type="dxa"/>
                                    <w:right w:w="28" w:type="dxa"/>
                                  </w:tcMar>
                                </w:tcPr>
                                <w:p w:rsidR="005E5023" w:rsidRPr="00F261B5" w:rsidRDefault="005E5023">
                                  <w:pPr>
                                    <w:pStyle w:val="afc"/>
                                    <w:jc w:val="center"/>
                                    <w:rPr>
                                      <w:b w:val="0"/>
                                    </w:rPr>
                                  </w:pPr>
                                  <w:r w:rsidRPr="00F261B5">
                                    <w:rPr>
                                      <w:b w:val="0"/>
                                    </w:rPr>
                                    <w:t>987.9 ± 550.7</w:t>
                                  </w:r>
                                </w:p>
                                <w:p w:rsidR="005E5023" w:rsidRPr="00F261B5" w:rsidRDefault="005E5023">
                                  <w:pPr>
                                    <w:pStyle w:val="afc"/>
                                    <w:jc w:val="center"/>
                                    <w:rPr>
                                      <w:b w:val="0"/>
                                    </w:rPr>
                                  </w:pPr>
                                </w:p>
                              </w:tc>
                            </w:tr>
                          </w:tbl>
                          <w:p w:rsidR="005E5023" w:rsidRPr="00315067" w:rsidRDefault="005E5023" w:rsidP="005E5023">
                            <w:pPr>
                              <w:pStyle w:val="afd"/>
                            </w:pPr>
                            <w:r w:rsidRPr="00F261B5">
                              <w:rPr>
                                <w:b w:val="0"/>
                              </w:rPr>
                              <w:t xml:space="preserve">Data are presented as the mean </w:t>
                            </w:r>
                            <w:r w:rsidRPr="00F261B5">
                              <w:rPr>
                                <w:rFonts w:ascii="Garamond" w:hAnsi="Garamond" w:cs="Garamond"/>
                                <w:b w:val="0"/>
                                <w:bCs w:val="0"/>
                              </w:rPr>
                              <w:t>±</w:t>
                            </w:r>
                            <w:r w:rsidRPr="00F261B5">
                              <w:rPr>
                                <w:b w:val="0"/>
                              </w:rPr>
                              <w:t xml:space="preserve"> SD (</w:t>
                            </w:r>
                            <w:r w:rsidRPr="00F261B5">
                              <w:rPr>
                                <w:b w:val="0"/>
                                <w:bCs w:val="0"/>
                                <w:i/>
                                <w:iCs/>
                              </w:rPr>
                              <w:t>n</w:t>
                            </w:r>
                            <w:r w:rsidRPr="00F261B5">
                              <w:rPr>
                                <w:b w:val="0"/>
                              </w:rPr>
                              <w:t xml:space="preserve"> = 5-7). </w:t>
                            </w:r>
                            <w:proofErr w:type="gramStart"/>
                            <w:r w:rsidRPr="00F261B5">
                              <w:rPr>
                                <w:b w:val="0"/>
                                <w:vertAlign w:val="superscript"/>
                              </w:rPr>
                              <w:t>a</w:t>
                            </w:r>
                            <w:r w:rsidRPr="00F261B5">
                              <w:rPr>
                                <w:b w:val="0"/>
                                <w:bCs w:val="0"/>
                                <w:i/>
                                <w:iCs/>
                              </w:rPr>
                              <w:t>P</w:t>
                            </w:r>
                            <w:proofErr w:type="gramEnd"/>
                            <w:r w:rsidRPr="00F261B5">
                              <w:rPr>
                                <w:b w:val="0"/>
                              </w:rPr>
                              <w:t xml:space="preserve"> &lt; 0.05, </w:t>
                            </w:r>
                            <w:r w:rsidRPr="00F261B5">
                              <w:rPr>
                                <w:b w:val="0"/>
                                <w:vertAlign w:val="superscript"/>
                              </w:rPr>
                              <w:t>b</w:t>
                            </w:r>
                            <w:r w:rsidRPr="00F261B5">
                              <w:rPr>
                                <w:b w:val="0"/>
                                <w:bCs w:val="0"/>
                                <w:i/>
                                <w:iCs/>
                              </w:rPr>
                              <w:t>P</w:t>
                            </w:r>
                            <w:r w:rsidRPr="00F261B5">
                              <w:rPr>
                                <w:b w:val="0"/>
                              </w:rPr>
                              <w:t xml:space="preserve"> &lt; 0.01 </w:t>
                            </w:r>
                            <w:r w:rsidRPr="00F261B5">
                              <w:rPr>
                                <w:b w:val="0"/>
                                <w:bCs w:val="0"/>
                                <w:i/>
                                <w:iCs/>
                              </w:rPr>
                              <w:t>vs</w:t>
                            </w:r>
                            <w:r w:rsidRPr="00F261B5">
                              <w:rPr>
                                <w:b w:val="0"/>
                              </w:rPr>
                              <w:t xml:space="preserve"> other groups. NASH: Nonalcoholic steatohepatitis; ALT: Alanine aminotransferase; AST: Aspartate aminotransferase; PH: Partial hepatectomy; T-Bil: Total bilirubin; IL-6: Interleukin-6.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">
                <v:textbox style="mso-fit-shape-to-text:t">
                  <w:txbxContent>
                    <w:p w:rsidR="005E5023" w:rsidRPr="00F261B5" w:rsidRDefault="005E5023" w:rsidP="005E5023">
                      <w:pPr>
                        <w:rPr>
                          <w:b/>
                          <w:bCs/>
                        </w:rPr>
                      </w:pPr>
                      <w:r w:rsidRPr="00F261B5">
                        <w:rPr>
                          <w:b/>
                          <w:bCs/>
                        </w:rPr>
                        <w:t xml:space="preserve">Table </w:t>
                      </w:r>
                      <w:proofErr w:type="gramStart"/>
                      <w:r w:rsidRPr="00F261B5">
                        <w:rPr>
                          <w:b/>
                          <w:bCs/>
                        </w:rPr>
                        <w:t>1  Serum</w:t>
                      </w:r>
                      <w:proofErr w:type="gramEnd"/>
                      <w:r w:rsidRPr="00F261B5">
                        <w:rPr>
                          <w:b/>
                          <w:bCs/>
                        </w:rPr>
                        <w:t xml:space="preserve"> parameters of normal liver and nonalcoholic steatohepatitis groups after partial hepatectomy</w:t>
                      </w:r>
                    </w:p>
                    <w:tbl>
                      <w:tblPr>
                        <w:tblW w:w="9522"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127"/>
                        <w:gridCol w:w="1168"/>
                        <w:gridCol w:w="1087"/>
                        <w:gridCol w:w="883"/>
                        <w:gridCol w:w="1105"/>
                        <w:gridCol w:w="1189"/>
                        <w:gridCol w:w="1091"/>
                        <w:gridCol w:w="889"/>
                        <w:gridCol w:w="983"/>
                      </w:tblGrid>
                      <w:tr w:rsidR="005E5023" w:rsidRPr="00F261B5">
                        <w:trPr>
                          <w:trHeight w:val="218"/>
                        </w:trPr>
                        <w:tc>
                          <w:tcPr>
                            <w:tcW w:w="1127" w:type="dxa"/>
                            <w:vMerge w:val="restart"/>
                            <w:tcBorders>
                              <w:top w:val="single" w:sz="6" w:space="0" w:color="000000"/>
                              <w:bottom w:val="nil"/>
                            </w:tcBorders>
                            <w:tcMar>
                              <w:top w:w="28" w:type="dxa"/>
                              <w:left w:w="28" w:type="dxa"/>
                              <w:bottom w:w="28" w:type="dxa"/>
                              <w:right w:w="28" w:type="dxa"/>
                            </w:tcMar>
                          </w:tcPr>
                          <w:p w:rsidR="005E5023" w:rsidRPr="00F261B5" w:rsidRDefault="005E5023">
                            <w:pPr>
                              <w:pStyle w:val="Noparagraphstyle"/>
                              <w:spacing w:line="240" w:lineRule="auto"/>
                              <w:jc w:val="left"/>
                              <w:textAlignment w:val="auto"/>
                              <w:rPr>
                                <w:b/>
                                <w:color w:val="auto"/>
                                <w:lang w:val="en-US"/>
                              </w:rPr>
                            </w:pPr>
                          </w:p>
                        </w:tc>
                        <w:tc>
                          <w:tcPr>
                            <w:tcW w:w="4243" w:type="dxa"/>
                            <w:gridSpan w:val="4"/>
                            <w:tcBorders>
                              <w:top w:val="single" w:sz="6" w:space="0" w:color="000000"/>
                              <w:bottom w:val="single" w:sz="6" w:space="0" w:color="000000"/>
                            </w:tcBorders>
                            <w:tcMar>
                              <w:top w:w="28" w:type="dxa"/>
                              <w:left w:w="28" w:type="dxa"/>
                              <w:bottom w:w="28" w:type="dxa"/>
                              <w:right w:w="28" w:type="dxa"/>
                            </w:tcMar>
                          </w:tcPr>
                          <w:p w:rsidR="005E5023" w:rsidRPr="00F261B5" w:rsidRDefault="005E5023">
                            <w:pPr>
                              <w:pStyle w:val="afb"/>
                              <w:jc w:val="center"/>
                            </w:pPr>
                            <w:r w:rsidRPr="00F261B5">
                              <w:t>6 h after PH</w:t>
                            </w:r>
                          </w:p>
                          <w:p w:rsidR="005E5023" w:rsidRPr="00F261B5" w:rsidRDefault="005E5023">
                            <w:pPr>
                              <w:pStyle w:val="afb"/>
                              <w:jc w:val="center"/>
                            </w:pPr>
                          </w:p>
                        </w:tc>
                        <w:tc>
                          <w:tcPr>
                            <w:tcW w:w="4152" w:type="dxa"/>
                            <w:gridSpan w:val="4"/>
                            <w:tcBorders>
                              <w:top w:val="single" w:sz="6" w:space="0" w:color="000000"/>
                              <w:bottom w:val="single" w:sz="6" w:space="0" w:color="000000"/>
                            </w:tcBorders>
                            <w:tcMar>
                              <w:top w:w="28" w:type="dxa"/>
                              <w:left w:w="28" w:type="dxa"/>
                              <w:bottom w:w="28" w:type="dxa"/>
                              <w:right w:w="28" w:type="dxa"/>
                            </w:tcMar>
                          </w:tcPr>
                          <w:p w:rsidR="005E5023" w:rsidRPr="00F261B5" w:rsidRDefault="005E5023">
                            <w:pPr>
                              <w:pStyle w:val="afb"/>
                              <w:jc w:val="center"/>
                            </w:pPr>
                            <w:r w:rsidRPr="00F261B5">
                              <w:t>12 h after PH</w:t>
                            </w:r>
                          </w:p>
                          <w:p w:rsidR="005E5023" w:rsidRPr="00F261B5" w:rsidRDefault="005E5023">
                            <w:pPr>
                              <w:pStyle w:val="afb"/>
                              <w:jc w:val="center"/>
                            </w:pPr>
                          </w:p>
                        </w:tc>
                      </w:tr>
                      <w:tr w:rsidR="005E5023" w:rsidRPr="00F261B5">
                        <w:trPr>
                          <w:trHeight w:val="218"/>
                        </w:trPr>
                        <w:tc>
                          <w:tcPr>
                            <w:tcW w:w="1127" w:type="dxa"/>
                            <w:vMerge/>
                            <w:tcBorders>
                              <w:top w:val="nil"/>
                              <w:bottom w:val="single" w:sz="6" w:space="0" w:color="000000"/>
                            </w:tcBorders>
                          </w:tcPr>
                          <w:p w:rsidR="005E5023" w:rsidRPr="00F261B5" w:rsidRDefault="005E5023">
                            <w:pPr>
                              <w:pStyle w:val="Noparagraphstyle"/>
                              <w:spacing w:line="240" w:lineRule="auto"/>
                              <w:jc w:val="left"/>
                              <w:textAlignment w:val="auto"/>
                              <w:rPr>
                                <w:b/>
                                <w:color w:val="auto"/>
                                <w:lang w:val="en-US"/>
                              </w:rPr>
                            </w:pPr>
                          </w:p>
                        </w:tc>
                        <w:tc>
                          <w:tcPr>
                            <w:tcW w:w="1168" w:type="dxa"/>
                            <w:tcBorders>
                              <w:top w:val="single" w:sz="6" w:space="0" w:color="000000"/>
                              <w:bottom w:val="single" w:sz="6" w:space="0" w:color="000000"/>
                            </w:tcBorders>
                            <w:tcMar>
                              <w:top w:w="28" w:type="dxa"/>
                              <w:left w:w="28" w:type="dxa"/>
                              <w:bottom w:w="28" w:type="dxa"/>
                              <w:right w:w="28" w:type="dxa"/>
                            </w:tcMar>
                          </w:tcPr>
                          <w:p w:rsidR="005E5023" w:rsidRPr="00F261B5" w:rsidRDefault="005E5023">
                            <w:pPr>
                              <w:pStyle w:val="afb"/>
                              <w:jc w:val="center"/>
                            </w:pPr>
                            <w:r w:rsidRPr="00F261B5">
                              <w:t>AST</w:t>
                            </w:r>
                          </w:p>
                          <w:p w:rsidR="005E5023" w:rsidRPr="00F261B5" w:rsidRDefault="005E5023">
                            <w:pPr>
                              <w:pStyle w:val="afb"/>
                              <w:jc w:val="center"/>
                            </w:pPr>
                          </w:p>
                        </w:tc>
                        <w:tc>
                          <w:tcPr>
                            <w:tcW w:w="1087" w:type="dxa"/>
                            <w:tcBorders>
                              <w:top w:val="single" w:sz="6" w:space="0" w:color="000000"/>
                              <w:bottom w:val="single" w:sz="6" w:space="0" w:color="000000"/>
                            </w:tcBorders>
                            <w:tcMar>
                              <w:top w:w="28" w:type="dxa"/>
                              <w:left w:w="28" w:type="dxa"/>
                              <w:bottom w:w="28" w:type="dxa"/>
                              <w:right w:w="28" w:type="dxa"/>
                            </w:tcMar>
                          </w:tcPr>
                          <w:p w:rsidR="005E5023" w:rsidRPr="00F261B5" w:rsidRDefault="005E5023">
                            <w:pPr>
                              <w:pStyle w:val="afb"/>
                              <w:jc w:val="center"/>
                            </w:pPr>
                            <w:r w:rsidRPr="00F261B5">
                              <w:t>ALT</w:t>
                            </w:r>
                          </w:p>
                          <w:p w:rsidR="005E5023" w:rsidRPr="00F261B5" w:rsidRDefault="005E5023">
                            <w:pPr>
                              <w:pStyle w:val="afb"/>
                              <w:jc w:val="center"/>
                            </w:pPr>
                          </w:p>
                        </w:tc>
                        <w:tc>
                          <w:tcPr>
                            <w:tcW w:w="883" w:type="dxa"/>
                            <w:tcBorders>
                              <w:top w:val="single" w:sz="6" w:space="0" w:color="000000"/>
                              <w:bottom w:val="single" w:sz="6" w:space="0" w:color="000000"/>
                            </w:tcBorders>
                            <w:tcMar>
                              <w:top w:w="28" w:type="dxa"/>
                              <w:left w:w="28" w:type="dxa"/>
                              <w:bottom w:w="28" w:type="dxa"/>
                              <w:right w:w="28" w:type="dxa"/>
                            </w:tcMar>
                          </w:tcPr>
                          <w:p w:rsidR="005E5023" w:rsidRPr="00F261B5" w:rsidRDefault="005E5023">
                            <w:pPr>
                              <w:pStyle w:val="afb"/>
                              <w:jc w:val="center"/>
                            </w:pPr>
                            <w:r w:rsidRPr="00F261B5">
                              <w:t>T-Bil</w:t>
                            </w:r>
                          </w:p>
                          <w:p w:rsidR="005E5023" w:rsidRPr="00F261B5" w:rsidRDefault="005E5023">
                            <w:pPr>
                              <w:pStyle w:val="afb"/>
                              <w:jc w:val="center"/>
                            </w:pPr>
                          </w:p>
                        </w:tc>
                        <w:tc>
                          <w:tcPr>
                            <w:tcW w:w="1105" w:type="dxa"/>
                            <w:tcBorders>
                              <w:top w:val="single" w:sz="6" w:space="0" w:color="000000"/>
                              <w:bottom w:val="single" w:sz="6" w:space="0" w:color="000000"/>
                            </w:tcBorders>
                            <w:tcMar>
                              <w:top w:w="28" w:type="dxa"/>
                              <w:left w:w="28" w:type="dxa"/>
                              <w:bottom w:w="28" w:type="dxa"/>
                              <w:right w:w="28" w:type="dxa"/>
                            </w:tcMar>
                          </w:tcPr>
                          <w:p w:rsidR="005E5023" w:rsidRPr="00F261B5" w:rsidRDefault="005E5023">
                            <w:pPr>
                              <w:pStyle w:val="afb"/>
                              <w:jc w:val="center"/>
                            </w:pPr>
                            <w:r w:rsidRPr="00F261B5">
                              <w:t>IL-6</w:t>
                            </w:r>
                          </w:p>
                          <w:p w:rsidR="005E5023" w:rsidRPr="00F261B5" w:rsidRDefault="005E5023">
                            <w:pPr>
                              <w:pStyle w:val="afb"/>
                              <w:jc w:val="center"/>
                            </w:pPr>
                          </w:p>
                        </w:tc>
                        <w:tc>
                          <w:tcPr>
                            <w:tcW w:w="1189" w:type="dxa"/>
                            <w:tcBorders>
                              <w:top w:val="single" w:sz="6" w:space="0" w:color="000000"/>
                              <w:bottom w:val="single" w:sz="6" w:space="0" w:color="000000"/>
                            </w:tcBorders>
                            <w:tcMar>
                              <w:top w:w="28" w:type="dxa"/>
                              <w:left w:w="28" w:type="dxa"/>
                              <w:bottom w:w="28" w:type="dxa"/>
                              <w:right w:w="28" w:type="dxa"/>
                            </w:tcMar>
                          </w:tcPr>
                          <w:p w:rsidR="005E5023" w:rsidRPr="00F261B5" w:rsidRDefault="005E5023">
                            <w:pPr>
                              <w:pStyle w:val="afb"/>
                              <w:jc w:val="center"/>
                            </w:pPr>
                            <w:r w:rsidRPr="00F261B5">
                              <w:t>AST</w:t>
                            </w:r>
                          </w:p>
                          <w:p w:rsidR="005E5023" w:rsidRPr="00F261B5" w:rsidRDefault="005E5023">
                            <w:pPr>
                              <w:pStyle w:val="afb"/>
                              <w:jc w:val="center"/>
                            </w:pPr>
                          </w:p>
                        </w:tc>
                        <w:tc>
                          <w:tcPr>
                            <w:tcW w:w="1091" w:type="dxa"/>
                            <w:tcBorders>
                              <w:top w:val="single" w:sz="6" w:space="0" w:color="000000"/>
                              <w:bottom w:val="single" w:sz="6" w:space="0" w:color="000000"/>
                            </w:tcBorders>
                            <w:tcMar>
                              <w:top w:w="28" w:type="dxa"/>
                              <w:left w:w="28" w:type="dxa"/>
                              <w:bottom w:w="28" w:type="dxa"/>
                              <w:right w:w="28" w:type="dxa"/>
                            </w:tcMar>
                          </w:tcPr>
                          <w:p w:rsidR="005E5023" w:rsidRPr="00F261B5" w:rsidRDefault="005E5023">
                            <w:pPr>
                              <w:pStyle w:val="afb"/>
                              <w:jc w:val="center"/>
                            </w:pPr>
                            <w:r w:rsidRPr="00F261B5">
                              <w:t>ALT</w:t>
                            </w:r>
                          </w:p>
                          <w:p w:rsidR="005E5023" w:rsidRPr="00F261B5" w:rsidRDefault="005E5023">
                            <w:pPr>
                              <w:pStyle w:val="afb"/>
                              <w:jc w:val="center"/>
                            </w:pPr>
                          </w:p>
                        </w:tc>
                        <w:tc>
                          <w:tcPr>
                            <w:tcW w:w="889" w:type="dxa"/>
                            <w:tcBorders>
                              <w:top w:val="single" w:sz="6" w:space="0" w:color="000000"/>
                              <w:bottom w:val="single" w:sz="6" w:space="0" w:color="000000"/>
                            </w:tcBorders>
                            <w:tcMar>
                              <w:top w:w="28" w:type="dxa"/>
                              <w:left w:w="28" w:type="dxa"/>
                              <w:bottom w:w="28" w:type="dxa"/>
                              <w:right w:w="28" w:type="dxa"/>
                            </w:tcMar>
                          </w:tcPr>
                          <w:p w:rsidR="005E5023" w:rsidRPr="00F261B5" w:rsidRDefault="005E5023">
                            <w:pPr>
                              <w:pStyle w:val="afb"/>
                              <w:jc w:val="center"/>
                            </w:pPr>
                            <w:r w:rsidRPr="00F261B5">
                              <w:t>T-Bil</w:t>
                            </w:r>
                          </w:p>
                          <w:p w:rsidR="005E5023" w:rsidRPr="00F261B5" w:rsidRDefault="005E5023">
                            <w:pPr>
                              <w:pStyle w:val="afb"/>
                              <w:jc w:val="center"/>
                            </w:pPr>
                          </w:p>
                        </w:tc>
                        <w:tc>
                          <w:tcPr>
                            <w:tcW w:w="983" w:type="dxa"/>
                            <w:tcBorders>
                              <w:top w:val="single" w:sz="6" w:space="0" w:color="000000"/>
                              <w:bottom w:val="single" w:sz="6" w:space="0" w:color="000000"/>
                            </w:tcBorders>
                            <w:tcMar>
                              <w:top w:w="28" w:type="dxa"/>
                              <w:left w:w="28" w:type="dxa"/>
                              <w:bottom w:w="28" w:type="dxa"/>
                              <w:right w:w="28" w:type="dxa"/>
                            </w:tcMar>
                          </w:tcPr>
                          <w:p w:rsidR="005E5023" w:rsidRPr="00F261B5" w:rsidRDefault="005E5023">
                            <w:pPr>
                              <w:pStyle w:val="afb"/>
                              <w:jc w:val="center"/>
                            </w:pPr>
                            <w:r w:rsidRPr="00F261B5">
                              <w:t>IL-6</w:t>
                            </w:r>
                          </w:p>
                          <w:p w:rsidR="005E5023" w:rsidRPr="00F261B5" w:rsidRDefault="005E5023">
                            <w:pPr>
                              <w:pStyle w:val="afb"/>
                              <w:jc w:val="center"/>
                            </w:pPr>
                          </w:p>
                        </w:tc>
                      </w:tr>
                      <w:tr w:rsidR="005E5023" w:rsidRPr="00F261B5">
                        <w:trPr>
                          <w:trHeight w:val="60"/>
                        </w:trPr>
                        <w:tc>
                          <w:tcPr>
                            <w:tcW w:w="1127" w:type="dxa"/>
                            <w:tcBorders>
                              <w:top w:val="single" w:sz="6" w:space="0" w:color="000000"/>
                            </w:tcBorders>
                            <w:tcMar>
                              <w:top w:w="28" w:type="dxa"/>
                              <w:left w:w="28" w:type="dxa"/>
                              <w:bottom w:w="28" w:type="dxa"/>
                              <w:right w:w="28" w:type="dxa"/>
                            </w:tcMar>
                          </w:tcPr>
                          <w:p w:rsidR="005E5023" w:rsidRPr="00F261B5" w:rsidRDefault="005E5023">
                            <w:pPr>
                              <w:pStyle w:val="afc"/>
                              <w:rPr>
                                <w:b w:val="0"/>
                              </w:rPr>
                            </w:pPr>
                            <w:r w:rsidRPr="00F261B5">
                              <w:rPr>
                                <w:b w:val="0"/>
                              </w:rPr>
                              <w:t>Normal 70%PH</w:t>
                            </w:r>
                          </w:p>
                          <w:p w:rsidR="005E5023" w:rsidRPr="00F261B5" w:rsidRDefault="005E5023">
                            <w:pPr>
                              <w:pStyle w:val="afc"/>
                              <w:rPr>
                                <w:b w:val="0"/>
                              </w:rPr>
                            </w:pPr>
                          </w:p>
                        </w:tc>
                        <w:tc>
                          <w:tcPr>
                            <w:tcW w:w="1168" w:type="dxa"/>
                            <w:tcBorders>
                              <w:top w:val="single" w:sz="6" w:space="0" w:color="000000"/>
                            </w:tcBorders>
                            <w:tcMar>
                              <w:top w:w="28" w:type="dxa"/>
                              <w:left w:w="28" w:type="dxa"/>
                              <w:bottom w:w="28" w:type="dxa"/>
                              <w:right w:w="28" w:type="dxa"/>
                            </w:tcMar>
                          </w:tcPr>
                          <w:p w:rsidR="005E5023" w:rsidRPr="00F261B5" w:rsidRDefault="005E5023">
                            <w:pPr>
                              <w:pStyle w:val="afc"/>
                              <w:jc w:val="center"/>
                              <w:rPr>
                                <w:b w:val="0"/>
                              </w:rPr>
                            </w:pPr>
                            <w:r w:rsidRPr="00F261B5">
                              <w:rPr>
                                <w:b w:val="0"/>
                              </w:rPr>
                              <w:t>2343.3 ± 6160.4</w:t>
                            </w:r>
                          </w:p>
                          <w:p w:rsidR="005E5023" w:rsidRPr="00F261B5" w:rsidRDefault="005E5023">
                            <w:pPr>
                              <w:pStyle w:val="afc"/>
                              <w:jc w:val="center"/>
                              <w:rPr>
                                <w:b w:val="0"/>
                              </w:rPr>
                            </w:pPr>
                          </w:p>
                        </w:tc>
                        <w:tc>
                          <w:tcPr>
                            <w:tcW w:w="1087" w:type="dxa"/>
                            <w:tcBorders>
                              <w:top w:val="single" w:sz="6" w:space="0" w:color="000000"/>
                            </w:tcBorders>
                            <w:tcMar>
                              <w:top w:w="28" w:type="dxa"/>
                              <w:left w:w="28" w:type="dxa"/>
                              <w:bottom w:w="28" w:type="dxa"/>
                              <w:right w:w="28" w:type="dxa"/>
                            </w:tcMar>
                          </w:tcPr>
                          <w:p w:rsidR="005E5023" w:rsidRPr="00F261B5" w:rsidRDefault="005E5023">
                            <w:pPr>
                              <w:pStyle w:val="afc"/>
                              <w:jc w:val="center"/>
                              <w:rPr>
                                <w:b w:val="0"/>
                              </w:rPr>
                            </w:pPr>
                            <w:r w:rsidRPr="00F261B5">
                              <w:rPr>
                                <w:b w:val="0"/>
                              </w:rPr>
                              <w:t>1828.3 ± 990.4</w:t>
                            </w:r>
                          </w:p>
                          <w:p w:rsidR="005E5023" w:rsidRPr="00F261B5" w:rsidRDefault="005E5023">
                            <w:pPr>
                              <w:pStyle w:val="afc"/>
                              <w:jc w:val="center"/>
                              <w:rPr>
                                <w:b w:val="0"/>
                              </w:rPr>
                            </w:pPr>
                          </w:p>
                        </w:tc>
                        <w:tc>
                          <w:tcPr>
                            <w:tcW w:w="883" w:type="dxa"/>
                            <w:tcBorders>
                              <w:top w:val="single" w:sz="6" w:space="0" w:color="000000"/>
                            </w:tcBorders>
                            <w:tcMar>
                              <w:top w:w="28" w:type="dxa"/>
                              <w:left w:w="28" w:type="dxa"/>
                              <w:bottom w:w="28" w:type="dxa"/>
                              <w:right w:w="28" w:type="dxa"/>
                            </w:tcMar>
                          </w:tcPr>
                          <w:p w:rsidR="005E5023" w:rsidRPr="00F261B5" w:rsidRDefault="005E5023">
                            <w:pPr>
                              <w:pStyle w:val="afc"/>
                              <w:jc w:val="center"/>
                              <w:rPr>
                                <w:b w:val="0"/>
                              </w:rPr>
                            </w:pPr>
                            <w:r w:rsidRPr="00F261B5">
                              <w:rPr>
                                <w:b w:val="0"/>
                              </w:rPr>
                              <w:t>1.43 ± 0.5</w:t>
                            </w:r>
                          </w:p>
                          <w:p w:rsidR="005E5023" w:rsidRPr="00F261B5" w:rsidRDefault="005E5023">
                            <w:pPr>
                              <w:pStyle w:val="afc"/>
                              <w:jc w:val="center"/>
                              <w:rPr>
                                <w:b w:val="0"/>
                              </w:rPr>
                            </w:pPr>
                          </w:p>
                        </w:tc>
                        <w:tc>
                          <w:tcPr>
                            <w:tcW w:w="1105" w:type="dxa"/>
                            <w:tcBorders>
                              <w:top w:val="single" w:sz="6" w:space="0" w:color="000000"/>
                            </w:tcBorders>
                            <w:tcMar>
                              <w:top w:w="28" w:type="dxa"/>
                              <w:left w:w="28" w:type="dxa"/>
                              <w:bottom w:w="28" w:type="dxa"/>
                              <w:right w:w="28" w:type="dxa"/>
                            </w:tcMar>
                          </w:tcPr>
                          <w:p w:rsidR="005E5023" w:rsidRPr="00F261B5" w:rsidRDefault="005E5023">
                            <w:pPr>
                              <w:pStyle w:val="afc"/>
                              <w:jc w:val="center"/>
                              <w:rPr>
                                <w:b w:val="0"/>
                              </w:rPr>
                            </w:pPr>
                            <w:r w:rsidRPr="00F261B5">
                              <w:rPr>
                                <w:b w:val="0"/>
                              </w:rPr>
                              <w:t>2036.0 ± 1470.9</w:t>
                            </w:r>
                          </w:p>
                          <w:p w:rsidR="005E5023" w:rsidRPr="00F261B5" w:rsidRDefault="005E5023">
                            <w:pPr>
                              <w:pStyle w:val="afc"/>
                              <w:jc w:val="center"/>
                              <w:rPr>
                                <w:b w:val="0"/>
                              </w:rPr>
                            </w:pPr>
                          </w:p>
                        </w:tc>
                        <w:tc>
                          <w:tcPr>
                            <w:tcW w:w="1189" w:type="dxa"/>
                            <w:tcBorders>
                              <w:top w:val="single" w:sz="6" w:space="0" w:color="000000"/>
                            </w:tcBorders>
                            <w:tcMar>
                              <w:top w:w="28" w:type="dxa"/>
                              <w:left w:w="28" w:type="dxa"/>
                              <w:bottom w:w="28" w:type="dxa"/>
                              <w:right w:w="28" w:type="dxa"/>
                            </w:tcMar>
                          </w:tcPr>
                          <w:p w:rsidR="005E5023" w:rsidRPr="00F261B5" w:rsidRDefault="005E5023">
                            <w:pPr>
                              <w:pStyle w:val="afc"/>
                              <w:jc w:val="center"/>
                              <w:rPr>
                                <w:b w:val="0"/>
                              </w:rPr>
                            </w:pPr>
                            <w:r w:rsidRPr="00F261B5">
                              <w:rPr>
                                <w:b w:val="0"/>
                              </w:rPr>
                              <w:t>2976.7 ± 1395.7</w:t>
                            </w:r>
                          </w:p>
                          <w:p w:rsidR="005E5023" w:rsidRPr="00F261B5" w:rsidRDefault="005E5023">
                            <w:pPr>
                              <w:pStyle w:val="afc"/>
                              <w:jc w:val="center"/>
                              <w:rPr>
                                <w:b w:val="0"/>
                              </w:rPr>
                            </w:pPr>
                          </w:p>
                        </w:tc>
                        <w:tc>
                          <w:tcPr>
                            <w:tcW w:w="1091" w:type="dxa"/>
                            <w:tcBorders>
                              <w:top w:val="single" w:sz="6" w:space="0" w:color="000000"/>
                            </w:tcBorders>
                            <w:tcMar>
                              <w:top w:w="28" w:type="dxa"/>
                              <w:left w:w="28" w:type="dxa"/>
                              <w:bottom w:w="28" w:type="dxa"/>
                              <w:right w:w="28" w:type="dxa"/>
                            </w:tcMar>
                          </w:tcPr>
                          <w:p w:rsidR="005E5023" w:rsidRPr="00F261B5" w:rsidRDefault="005E5023">
                            <w:pPr>
                              <w:pStyle w:val="afc"/>
                              <w:jc w:val="center"/>
                              <w:rPr>
                                <w:b w:val="0"/>
                              </w:rPr>
                            </w:pPr>
                            <w:r w:rsidRPr="00F261B5">
                              <w:rPr>
                                <w:b w:val="0"/>
                              </w:rPr>
                              <w:t>2053.3 ± 886.2</w:t>
                            </w:r>
                          </w:p>
                          <w:p w:rsidR="005E5023" w:rsidRPr="00F261B5" w:rsidRDefault="005E5023">
                            <w:pPr>
                              <w:pStyle w:val="afc"/>
                              <w:jc w:val="center"/>
                              <w:rPr>
                                <w:b w:val="0"/>
                              </w:rPr>
                            </w:pPr>
                          </w:p>
                        </w:tc>
                        <w:tc>
                          <w:tcPr>
                            <w:tcW w:w="889" w:type="dxa"/>
                            <w:tcBorders>
                              <w:top w:val="single" w:sz="6" w:space="0" w:color="000000"/>
                            </w:tcBorders>
                            <w:tcMar>
                              <w:top w:w="28" w:type="dxa"/>
                              <w:left w:w="28" w:type="dxa"/>
                              <w:bottom w:w="28" w:type="dxa"/>
                              <w:right w:w="28" w:type="dxa"/>
                            </w:tcMar>
                          </w:tcPr>
                          <w:p w:rsidR="005E5023" w:rsidRPr="00F261B5" w:rsidRDefault="005E5023">
                            <w:pPr>
                              <w:pStyle w:val="afc"/>
                              <w:jc w:val="center"/>
                              <w:rPr>
                                <w:b w:val="0"/>
                              </w:rPr>
                            </w:pPr>
                            <w:r w:rsidRPr="00F261B5">
                              <w:rPr>
                                <w:b w:val="0"/>
                              </w:rPr>
                              <w:t>2.0 ± 0.9</w:t>
                            </w:r>
                          </w:p>
                          <w:p w:rsidR="005E5023" w:rsidRPr="00F261B5" w:rsidRDefault="005E5023">
                            <w:pPr>
                              <w:pStyle w:val="afc"/>
                              <w:jc w:val="center"/>
                              <w:rPr>
                                <w:b w:val="0"/>
                              </w:rPr>
                            </w:pPr>
                          </w:p>
                        </w:tc>
                        <w:tc>
                          <w:tcPr>
                            <w:tcW w:w="983" w:type="dxa"/>
                            <w:tcBorders>
                              <w:top w:val="single" w:sz="6" w:space="0" w:color="000000"/>
                            </w:tcBorders>
                            <w:tcMar>
                              <w:top w:w="28" w:type="dxa"/>
                              <w:left w:w="28" w:type="dxa"/>
                              <w:bottom w:w="28" w:type="dxa"/>
                              <w:right w:w="28" w:type="dxa"/>
                            </w:tcMar>
                          </w:tcPr>
                          <w:p w:rsidR="005E5023" w:rsidRPr="00F261B5" w:rsidRDefault="005E5023">
                            <w:pPr>
                              <w:pStyle w:val="afc"/>
                              <w:jc w:val="center"/>
                              <w:rPr>
                                <w:b w:val="0"/>
                              </w:rPr>
                            </w:pPr>
                            <w:r w:rsidRPr="00F261B5">
                              <w:rPr>
                                <w:b w:val="0"/>
                              </w:rPr>
                              <w:t>731.5 ± 483.7</w:t>
                            </w:r>
                          </w:p>
                          <w:p w:rsidR="005E5023" w:rsidRPr="00F261B5" w:rsidRDefault="005E5023">
                            <w:pPr>
                              <w:pStyle w:val="afc"/>
                              <w:jc w:val="center"/>
                              <w:rPr>
                                <w:b w:val="0"/>
                              </w:rPr>
                            </w:pPr>
                          </w:p>
                        </w:tc>
                      </w:tr>
                      <w:tr w:rsidR="005E5023" w:rsidRPr="00F261B5">
                        <w:trPr>
                          <w:trHeight w:val="60"/>
                        </w:trPr>
                        <w:tc>
                          <w:tcPr>
                            <w:tcW w:w="1127" w:type="dxa"/>
                            <w:tcMar>
                              <w:top w:w="28" w:type="dxa"/>
                              <w:left w:w="28" w:type="dxa"/>
                              <w:bottom w:w="28" w:type="dxa"/>
                              <w:right w:w="28" w:type="dxa"/>
                            </w:tcMar>
                          </w:tcPr>
                          <w:p w:rsidR="005E5023" w:rsidRPr="00F261B5" w:rsidRDefault="005E5023">
                            <w:pPr>
                              <w:pStyle w:val="afc"/>
                              <w:rPr>
                                <w:b w:val="0"/>
                              </w:rPr>
                            </w:pPr>
                            <w:r w:rsidRPr="00F261B5">
                              <w:rPr>
                                <w:b w:val="0"/>
                              </w:rPr>
                              <w:t>NASH 30%PH</w:t>
                            </w:r>
                          </w:p>
                          <w:p w:rsidR="005E5023" w:rsidRPr="00F261B5" w:rsidRDefault="005E5023">
                            <w:pPr>
                              <w:pStyle w:val="afc"/>
                              <w:rPr>
                                <w:b w:val="0"/>
                              </w:rPr>
                            </w:pPr>
                          </w:p>
                        </w:tc>
                        <w:tc>
                          <w:tcPr>
                            <w:tcW w:w="1168" w:type="dxa"/>
                            <w:tcMar>
                              <w:top w:w="28" w:type="dxa"/>
                              <w:left w:w="28" w:type="dxa"/>
                              <w:bottom w:w="28" w:type="dxa"/>
                              <w:right w:w="28" w:type="dxa"/>
                            </w:tcMar>
                          </w:tcPr>
                          <w:p w:rsidR="005E5023" w:rsidRPr="00F261B5" w:rsidRDefault="005E5023">
                            <w:pPr>
                              <w:pStyle w:val="afc"/>
                              <w:jc w:val="center"/>
                              <w:rPr>
                                <w:b w:val="0"/>
                              </w:rPr>
                            </w:pPr>
                            <w:r w:rsidRPr="00F261B5">
                              <w:rPr>
                                <w:b w:val="0"/>
                              </w:rPr>
                              <w:t>1610.0 ± 3700.6</w:t>
                            </w:r>
                          </w:p>
                          <w:p w:rsidR="005E5023" w:rsidRPr="00F261B5" w:rsidRDefault="005E5023">
                            <w:pPr>
                              <w:pStyle w:val="afc"/>
                              <w:jc w:val="center"/>
                              <w:rPr>
                                <w:b w:val="0"/>
                              </w:rPr>
                            </w:pPr>
                          </w:p>
                        </w:tc>
                        <w:tc>
                          <w:tcPr>
                            <w:tcW w:w="1087" w:type="dxa"/>
                            <w:tcMar>
                              <w:top w:w="28" w:type="dxa"/>
                              <w:left w:w="28" w:type="dxa"/>
                              <w:bottom w:w="28" w:type="dxa"/>
                              <w:right w:w="28" w:type="dxa"/>
                            </w:tcMar>
                          </w:tcPr>
                          <w:p w:rsidR="005E5023" w:rsidRPr="00F261B5" w:rsidRDefault="005E5023">
                            <w:pPr>
                              <w:pStyle w:val="afc"/>
                              <w:jc w:val="center"/>
                              <w:rPr>
                                <w:b w:val="0"/>
                              </w:rPr>
                            </w:pPr>
                            <w:r w:rsidRPr="00F261B5">
                              <w:rPr>
                                <w:b w:val="0"/>
                              </w:rPr>
                              <w:t>1507.1 ± 563.5</w:t>
                            </w:r>
                          </w:p>
                          <w:p w:rsidR="005E5023" w:rsidRPr="00F261B5" w:rsidRDefault="005E5023">
                            <w:pPr>
                              <w:pStyle w:val="afc"/>
                              <w:jc w:val="center"/>
                              <w:rPr>
                                <w:b w:val="0"/>
                              </w:rPr>
                            </w:pPr>
                          </w:p>
                        </w:tc>
                        <w:tc>
                          <w:tcPr>
                            <w:tcW w:w="883" w:type="dxa"/>
                            <w:tcMar>
                              <w:top w:w="28" w:type="dxa"/>
                              <w:left w:w="28" w:type="dxa"/>
                              <w:bottom w:w="28" w:type="dxa"/>
                              <w:right w:w="28" w:type="dxa"/>
                            </w:tcMar>
                          </w:tcPr>
                          <w:p w:rsidR="005E5023" w:rsidRPr="00F261B5" w:rsidRDefault="005E5023">
                            <w:pPr>
                              <w:pStyle w:val="afc"/>
                              <w:jc w:val="center"/>
                              <w:rPr>
                                <w:b w:val="0"/>
                              </w:rPr>
                            </w:pPr>
                            <w:r w:rsidRPr="00F261B5">
                              <w:rPr>
                                <w:b w:val="0"/>
                              </w:rPr>
                              <w:t>0.76 ± 0.2</w:t>
                            </w:r>
                          </w:p>
                          <w:p w:rsidR="005E5023" w:rsidRPr="00F261B5" w:rsidRDefault="005E5023">
                            <w:pPr>
                              <w:pStyle w:val="afc"/>
                              <w:jc w:val="center"/>
                              <w:rPr>
                                <w:b w:val="0"/>
                              </w:rPr>
                            </w:pPr>
                          </w:p>
                        </w:tc>
                        <w:tc>
                          <w:tcPr>
                            <w:tcW w:w="1105" w:type="dxa"/>
                            <w:tcMar>
                              <w:top w:w="28" w:type="dxa"/>
                              <w:left w:w="28" w:type="dxa"/>
                              <w:bottom w:w="28" w:type="dxa"/>
                              <w:right w:w="28" w:type="dxa"/>
                            </w:tcMar>
                          </w:tcPr>
                          <w:p w:rsidR="005E5023" w:rsidRPr="00F261B5" w:rsidRDefault="005E5023">
                            <w:pPr>
                              <w:pStyle w:val="afc"/>
                              <w:jc w:val="center"/>
                              <w:rPr>
                                <w:b w:val="0"/>
                              </w:rPr>
                            </w:pPr>
                            <w:r w:rsidRPr="00F261B5">
                              <w:rPr>
                                <w:b w:val="0"/>
                              </w:rPr>
                              <w:t>1511.5 ± 284.8</w:t>
                            </w:r>
                          </w:p>
                          <w:p w:rsidR="005E5023" w:rsidRPr="00F261B5" w:rsidRDefault="005E5023">
                            <w:pPr>
                              <w:pStyle w:val="afc"/>
                              <w:jc w:val="center"/>
                              <w:rPr>
                                <w:b w:val="0"/>
                              </w:rPr>
                            </w:pPr>
                          </w:p>
                        </w:tc>
                        <w:tc>
                          <w:tcPr>
                            <w:tcW w:w="1189" w:type="dxa"/>
                            <w:tcMar>
                              <w:top w:w="28" w:type="dxa"/>
                              <w:left w:w="28" w:type="dxa"/>
                              <w:bottom w:w="28" w:type="dxa"/>
                              <w:right w:w="28" w:type="dxa"/>
                            </w:tcMar>
                          </w:tcPr>
                          <w:p w:rsidR="005E5023" w:rsidRPr="00F261B5" w:rsidRDefault="005E5023">
                            <w:pPr>
                              <w:pStyle w:val="afc"/>
                              <w:jc w:val="center"/>
                              <w:rPr>
                                <w:b w:val="0"/>
                              </w:rPr>
                            </w:pPr>
                            <w:r w:rsidRPr="00F261B5">
                              <w:rPr>
                                <w:b w:val="0"/>
                              </w:rPr>
                              <w:t>1841.3 ± 619.1</w:t>
                            </w:r>
                          </w:p>
                          <w:p w:rsidR="005E5023" w:rsidRPr="00F261B5" w:rsidRDefault="005E5023">
                            <w:pPr>
                              <w:pStyle w:val="afc"/>
                              <w:jc w:val="center"/>
                              <w:rPr>
                                <w:b w:val="0"/>
                              </w:rPr>
                            </w:pPr>
                          </w:p>
                        </w:tc>
                        <w:tc>
                          <w:tcPr>
                            <w:tcW w:w="1091" w:type="dxa"/>
                            <w:tcMar>
                              <w:top w:w="28" w:type="dxa"/>
                              <w:left w:w="28" w:type="dxa"/>
                              <w:bottom w:w="28" w:type="dxa"/>
                              <w:right w:w="28" w:type="dxa"/>
                            </w:tcMar>
                          </w:tcPr>
                          <w:p w:rsidR="005E5023" w:rsidRPr="00F261B5" w:rsidRDefault="005E5023">
                            <w:pPr>
                              <w:pStyle w:val="afc"/>
                              <w:jc w:val="center"/>
                              <w:rPr>
                                <w:b w:val="0"/>
                              </w:rPr>
                            </w:pPr>
                            <w:r w:rsidRPr="00F261B5">
                              <w:rPr>
                                <w:b w:val="0"/>
                              </w:rPr>
                              <w:t>1522.9 ± 537.9</w:t>
                            </w:r>
                          </w:p>
                          <w:p w:rsidR="005E5023" w:rsidRPr="00F261B5" w:rsidRDefault="005E5023">
                            <w:pPr>
                              <w:pStyle w:val="afc"/>
                              <w:jc w:val="center"/>
                              <w:rPr>
                                <w:b w:val="0"/>
                              </w:rPr>
                            </w:pPr>
                          </w:p>
                        </w:tc>
                        <w:tc>
                          <w:tcPr>
                            <w:tcW w:w="889" w:type="dxa"/>
                            <w:tcMar>
                              <w:top w:w="28" w:type="dxa"/>
                              <w:left w:w="28" w:type="dxa"/>
                              <w:bottom w:w="28" w:type="dxa"/>
                              <w:right w:w="28" w:type="dxa"/>
                            </w:tcMar>
                          </w:tcPr>
                          <w:p w:rsidR="005E5023" w:rsidRPr="00F261B5" w:rsidRDefault="005E5023">
                            <w:pPr>
                              <w:pStyle w:val="afc"/>
                              <w:jc w:val="center"/>
                              <w:rPr>
                                <w:b w:val="0"/>
                              </w:rPr>
                            </w:pPr>
                            <w:r w:rsidRPr="00F261B5">
                              <w:rPr>
                                <w:b w:val="0"/>
                              </w:rPr>
                              <w:t>0.9 ± 0.7</w:t>
                            </w:r>
                          </w:p>
                          <w:p w:rsidR="005E5023" w:rsidRPr="00F261B5" w:rsidRDefault="005E5023">
                            <w:pPr>
                              <w:pStyle w:val="afc"/>
                              <w:jc w:val="center"/>
                              <w:rPr>
                                <w:b w:val="0"/>
                              </w:rPr>
                            </w:pPr>
                          </w:p>
                        </w:tc>
                        <w:tc>
                          <w:tcPr>
                            <w:tcW w:w="983" w:type="dxa"/>
                            <w:tcMar>
                              <w:top w:w="28" w:type="dxa"/>
                              <w:left w:w="28" w:type="dxa"/>
                              <w:bottom w:w="28" w:type="dxa"/>
                              <w:right w:w="28" w:type="dxa"/>
                            </w:tcMar>
                          </w:tcPr>
                          <w:p w:rsidR="005E5023" w:rsidRPr="00F261B5" w:rsidRDefault="005E5023">
                            <w:pPr>
                              <w:pStyle w:val="afc"/>
                              <w:jc w:val="center"/>
                              <w:rPr>
                                <w:b w:val="0"/>
                              </w:rPr>
                            </w:pPr>
                            <w:r w:rsidRPr="00F261B5">
                              <w:rPr>
                                <w:b w:val="0"/>
                              </w:rPr>
                              <w:t>692.8 ± 211.1</w:t>
                            </w:r>
                          </w:p>
                          <w:p w:rsidR="005E5023" w:rsidRPr="00F261B5" w:rsidRDefault="005E5023">
                            <w:pPr>
                              <w:pStyle w:val="afc"/>
                              <w:jc w:val="center"/>
                              <w:rPr>
                                <w:b w:val="0"/>
                              </w:rPr>
                            </w:pPr>
                          </w:p>
                        </w:tc>
                      </w:tr>
                      <w:tr w:rsidR="005E5023" w:rsidRPr="00F261B5">
                        <w:trPr>
                          <w:trHeight w:val="60"/>
                        </w:trPr>
                        <w:tc>
                          <w:tcPr>
                            <w:tcW w:w="1127" w:type="dxa"/>
                            <w:tcMar>
                              <w:top w:w="28" w:type="dxa"/>
                              <w:left w:w="28" w:type="dxa"/>
                              <w:bottom w:w="28" w:type="dxa"/>
                              <w:right w:w="28" w:type="dxa"/>
                            </w:tcMar>
                          </w:tcPr>
                          <w:p w:rsidR="005E5023" w:rsidRPr="00F261B5" w:rsidRDefault="005E5023">
                            <w:pPr>
                              <w:pStyle w:val="afc"/>
                              <w:rPr>
                                <w:b w:val="0"/>
                              </w:rPr>
                            </w:pPr>
                            <w:r w:rsidRPr="00F261B5">
                              <w:rPr>
                                <w:b w:val="0"/>
                              </w:rPr>
                              <w:t>NASH 70%PH</w:t>
                            </w:r>
                          </w:p>
                          <w:p w:rsidR="005E5023" w:rsidRPr="00F261B5" w:rsidRDefault="005E5023">
                            <w:pPr>
                              <w:pStyle w:val="afc"/>
                              <w:rPr>
                                <w:b w:val="0"/>
                              </w:rPr>
                            </w:pPr>
                          </w:p>
                        </w:tc>
                        <w:tc>
                          <w:tcPr>
                            <w:tcW w:w="1168" w:type="dxa"/>
                            <w:tcMar>
                              <w:top w:w="28" w:type="dxa"/>
                              <w:left w:w="28" w:type="dxa"/>
                              <w:bottom w:w="28" w:type="dxa"/>
                              <w:right w:w="28" w:type="dxa"/>
                            </w:tcMar>
                          </w:tcPr>
                          <w:p w:rsidR="005E5023" w:rsidRPr="00F261B5" w:rsidRDefault="005E5023">
                            <w:pPr>
                              <w:pStyle w:val="afc"/>
                              <w:jc w:val="center"/>
                              <w:rPr>
                                <w:b w:val="0"/>
                                <w:vertAlign w:val="superscript"/>
                              </w:rPr>
                            </w:pPr>
                            <w:r w:rsidRPr="00F261B5">
                              <w:rPr>
                                <w:b w:val="0"/>
                              </w:rPr>
                              <w:t>3064.3 ± 1289.8</w:t>
                            </w:r>
                            <w:r w:rsidRPr="00F261B5">
                              <w:rPr>
                                <w:b w:val="0"/>
                                <w:vertAlign w:val="superscript"/>
                              </w:rPr>
                              <w:t>a</w:t>
                            </w:r>
                          </w:p>
                          <w:p w:rsidR="005E5023" w:rsidRPr="00F261B5" w:rsidRDefault="005E5023">
                            <w:pPr>
                              <w:pStyle w:val="afc"/>
                              <w:jc w:val="center"/>
                              <w:rPr>
                                <w:b w:val="0"/>
                              </w:rPr>
                            </w:pPr>
                          </w:p>
                        </w:tc>
                        <w:tc>
                          <w:tcPr>
                            <w:tcW w:w="1087" w:type="dxa"/>
                            <w:tcMar>
                              <w:top w:w="28" w:type="dxa"/>
                              <w:left w:w="28" w:type="dxa"/>
                              <w:bottom w:w="28" w:type="dxa"/>
                              <w:right w:w="28" w:type="dxa"/>
                            </w:tcMar>
                          </w:tcPr>
                          <w:p w:rsidR="005E5023" w:rsidRPr="00F261B5" w:rsidRDefault="005E5023">
                            <w:pPr>
                              <w:pStyle w:val="afc"/>
                              <w:jc w:val="center"/>
                              <w:rPr>
                                <w:b w:val="0"/>
                              </w:rPr>
                            </w:pPr>
                            <w:r w:rsidRPr="00F261B5">
                              <w:rPr>
                                <w:b w:val="0"/>
                              </w:rPr>
                              <w:t>2422.9 ± 1194.8</w:t>
                            </w:r>
                          </w:p>
                          <w:p w:rsidR="005E5023" w:rsidRPr="00F261B5" w:rsidRDefault="005E5023">
                            <w:pPr>
                              <w:pStyle w:val="afc"/>
                              <w:jc w:val="center"/>
                              <w:rPr>
                                <w:b w:val="0"/>
                              </w:rPr>
                            </w:pPr>
                          </w:p>
                        </w:tc>
                        <w:tc>
                          <w:tcPr>
                            <w:tcW w:w="883" w:type="dxa"/>
                            <w:tcMar>
                              <w:top w:w="28" w:type="dxa"/>
                              <w:left w:w="28" w:type="dxa"/>
                              <w:bottom w:w="28" w:type="dxa"/>
                              <w:right w:w="28" w:type="dxa"/>
                            </w:tcMar>
                          </w:tcPr>
                          <w:p w:rsidR="005E5023" w:rsidRPr="00F261B5" w:rsidRDefault="005E5023">
                            <w:pPr>
                              <w:pStyle w:val="afc"/>
                              <w:jc w:val="center"/>
                              <w:rPr>
                                <w:b w:val="0"/>
                                <w:vertAlign w:val="superscript"/>
                              </w:rPr>
                            </w:pPr>
                            <w:r w:rsidRPr="00F261B5">
                              <w:rPr>
                                <w:b w:val="0"/>
                              </w:rPr>
                              <w:t>2.57 ± 1.36</w:t>
                            </w:r>
                            <w:r w:rsidRPr="00F261B5">
                              <w:rPr>
                                <w:b w:val="0"/>
                                <w:vertAlign w:val="superscript"/>
                              </w:rPr>
                              <w:t>b</w:t>
                            </w:r>
                          </w:p>
                          <w:p w:rsidR="005E5023" w:rsidRPr="00F261B5" w:rsidRDefault="005E5023">
                            <w:pPr>
                              <w:pStyle w:val="afc"/>
                              <w:jc w:val="center"/>
                              <w:rPr>
                                <w:b w:val="0"/>
                              </w:rPr>
                            </w:pPr>
                          </w:p>
                        </w:tc>
                        <w:tc>
                          <w:tcPr>
                            <w:tcW w:w="1105" w:type="dxa"/>
                            <w:tcMar>
                              <w:top w:w="28" w:type="dxa"/>
                              <w:left w:w="28" w:type="dxa"/>
                              <w:bottom w:w="28" w:type="dxa"/>
                              <w:right w:w="28" w:type="dxa"/>
                            </w:tcMar>
                          </w:tcPr>
                          <w:p w:rsidR="005E5023" w:rsidRPr="00F261B5" w:rsidRDefault="005E5023">
                            <w:pPr>
                              <w:pStyle w:val="afc"/>
                              <w:jc w:val="center"/>
                              <w:rPr>
                                <w:b w:val="0"/>
                              </w:rPr>
                            </w:pPr>
                            <w:r w:rsidRPr="00F261B5">
                              <w:rPr>
                                <w:b w:val="0"/>
                              </w:rPr>
                              <w:t>3026.2 ± 2127.5</w:t>
                            </w:r>
                          </w:p>
                          <w:p w:rsidR="005E5023" w:rsidRPr="00F261B5" w:rsidRDefault="005E5023">
                            <w:pPr>
                              <w:pStyle w:val="afc"/>
                              <w:jc w:val="center"/>
                              <w:rPr>
                                <w:b w:val="0"/>
                              </w:rPr>
                            </w:pPr>
                          </w:p>
                        </w:tc>
                        <w:tc>
                          <w:tcPr>
                            <w:tcW w:w="1189" w:type="dxa"/>
                            <w:tcMar>
                              <w:top w:w="28" w:type="dxa"/>
                              <w:left w:w="28" w:type="dxa"/>
                              <w:bottom w:w="28" w:type="dxa"/>
                              <w:right w:w="28" w:type="dxa"/>
                            </w:tcMar>
                          </w:tcPr>
                          <w:p w:rsidR="005E5023" w:rsidRPr="00F261B5" w:rsidRDefault="005E5023">
                            <w:pPr>
                              <w:pStyle w:val="afc"/>
                              <w:jc w:val="center"/>
                              <w:rPr>
                                <w:b w:val="0"/>
                                <w:vertAlign w:val="superscript"/>
                              </w:rPr>
                            </w:pPr>
                            <w:r w:rsidRPr="00F261B5">
                              <w:rPr>
                                <w:b w:val="0"/>
                              </w:rPr>
                              <w:t>4067.5 ± 2059.2</w:t>
                            </w:r>
                            <w:r w:rsidRPr="00F261B5">
                              <w:rPr>
                                <w:b w:val="0"/>
                                <w:vertAlign w:val="superscript"/>
                              </w:rPr>
                              <w:t>a</w:t>
                            </w:r>
                          </w:p>
                          <w:p w:rsidR="005E5023" w:rsidRPr="00F261B5" w:rsidRDefault="005E5023">
                            <w:pPr>
                              <w:pStyle w:val="afc"/>
                              <w:jc w:val="center"/>
                              <w:rPr>
                                <w:b w:val="0"/>
                              </w:rPr>
                            </w:pPr>
                          </w:p>
                        </w:tc>
                        <w:tc>
                          <w:tcPr>
                            <w:tcW w:w="1091" w:type="dxa"/>
                            <w:tcMar>
                              <w:top w:w="28" w:type="dxa"/>
                              <w:left w:w="28" w:type="dxa"/>
                              <w:bottom w:w="28" w:type="dxa"/>
                              <w:right w:w="28" w:type="dxa"/>
                            </w:tcMar>
                          </w:tcPr>
                          <w:p w:rsidR="005E5023" w:rsidRPr="00F261B5" w:rsidRDefault="005E5023">
                            <w:pPr>
                              <w:pStyle w:val="afc"/>
                              <w:jc w:val="center"/>
                              <w:rPr>
                                <w:b w:val="0"/>
                              </w:rPr>
                            </w:pPr>
                            <w:r w:rsidRPr="00F261B5">
                              <w:rPr>
                                <w:b w:val="0"/>
                              </w:rPr>
                              <w:t>2403.8 ± 1111.8</w:t>
                            </w:r>
                          </w:p>
                          <w:p w:rsidR="005E5023" w:rsidRPr="00F261B5" w:rsidRDefault="005E5023">
                            <w:pPr>
                              <w:pStyle w:val="afc"/>
                              <w:jc w:val="center"/>
                              <w:rPr>
                                <w:b w:val="0"/>
                              </w:rPr>
                            </w:pPr>
                          </w:p>
                        </w:tc>
                        <w:tc>
                          <w:tcPr>
                            <w:tcW w:w="889" w:type="dxa"/>
                            <w:tcMar>
                              <w:top w:w="28" w:type="dxa"/>
                              <w:left w:w="28" w:type="dxa"/>
                              <w:bottom w:w="28" w:type="dxa"/>
                              <w:right w:w="28" w:type="dxa"/>
                            </w:tcMar>
                          </w:tcPr>
                          <w:p w:rsidR="005E5023" w:rsidRPr="00F261B5" w:rsidRDefault="005E5023">
                            <w:pPr>
                              <w:pStyle w:val="afc"/>
                              <w:jc w:val="center"/>
                              <w:rPr>
                                <w:b w:val="0"/>
                                <w:vertAlign w:val="superscript"/>
                              </w:rPr>
                            </w:pPr>
                            <w:r w:rsidRPr="00F261B5">
                              <w:rPr>
                                <w:b w:val="0"/>
                              </w:rPr>
                              <w:t>3.85 ± 0.96</w:t>
                            </w:r>
                            <w:r w:rsidRPr="00F261B5">
                              <w:rPr>
                                <w:b w:val="0"/>
                                <w:vertAlign w:val="superscript"/>
                              </w:rPr>
                              <w:t>b</w:t>
                            </w:r>
                          </w:p>
                          <w:p w:rsidR="005E5023" w:rsidRPr="00F261B5" w:rsidRDefault="005E5023">
                            <w:pPr>
                              <w:pStyle w:val="afc"/>
                              <w:jc w:val="center"/>
                              <w:rPr>
                                <w:b w:val="0"/>
                              </w:rPr>
                            </w:pPr>
                          </w:p>
                        </w:tc>
                        <w:tc>
                          <w:tcPr>
                            <w:tcW w:w="983" w:type="dxa"/>
                            <w:tcMar>
                              <w:top w:w="28" w:type="dxa"/>
                              <w:left w:w="28" w:type="dxa"/>
                              <w:bottom w:w="28" w:type="dxa"/>
                              <w:right w:w="28" w:type="dxa"/>
                            </w:tcMar>
                          </w:tcPr>
                          <w:p w:rsidR="005E5023" w:rsidRPr="00F261B5" w:rsidRDefault="005E5023">
                            <w:pPr>
                              <w:pStyle w:val="afc"/>
                              <w:jc w:val="center"/>
                              <w:rPr>
                                <w:b w:val="0"/>
                              </w:rPr>
                            </w:pPr>
                            <w:r w:rsidRPr="00F261B5">
                              <w:rPr>
                                <w:b w:val="0"/>
                              </w:rPr>
                              <w:t>987.9 ± 550.7</w:t>
                            </w:r>
                          </w:p>
                          <w:p w:rsidR="005E5023" w:rsidRPr="00F261B5" w:rsidRDefault="005E5023">
                            <w:pPr>
                              <w:pStyle w:val="afc"/>
                              <w:jc w:val="center"/>
                              <w:rPr>
                                <w:b w:val="0"/>
                              </w:rPr>
                            </w:pPr>
                          </w:p>
                        </w:tc>
                      </w:tr>
                    </w:tbl>
                    <w:p w:rsidR="005E5023" w:rsidRPr="00315067" w:rsidRDefault="005E5023" w:rsidP="005E5023">
                      <w:pPr>
                        <w:pStyle w:val="afd"/>
                      </w:pPr>
                      <w:r w:rsidRPr="00F261B5">
                        <w:rPr>
                          <w:b w:val="0"/>
                        </w:rPr>
                        <w:t xml:space="preserve">Data are presented as the mean </w:t>
                      </w:r>
                      <w:r w:rsidRPr="00F261B5">
                        <w:rPr>
                          <w:rFonts w:ascii="Garamond" w:hAnsi="Garamond" w:cs="Garamond"/>
                          <w:b w:val="0"/>
                          <w:bCs w:val="0"/>
                        </w:rPr>
                        <w:t>±</w:t>
                      </w:r>
                      <w:r w:rsidRPr="00F261B5">
                        <w:rPr>
                          <w:b w:val="0"/>
                        </w:rPr>
                        <w:t xml:space="preserve"> SD (</w:t>
                      </w:r>
                      <w:r w:rsidRPr="00F261B5">
                        <w:rPr>
                          <w:b w:val="0"/>
                          <w:bCs w:val="0"/>
                          <w:i/>
                          <w:iCs/>
                        </w:rPr>
                        <w:t>n</w:t>
                      </w:r>
                      <w:r w:rsidRPr="00F261B5">
                        <w:rPr>
                          <w:b w:val="0"/>
                        </w:rPr>
                        <w:t xml:space="preserve"> = 5-7). </w:t>
                      </w:r>
                      <w:proofErr w:type="gramStart"/>
                      <w:r w:rsidRPr="00F261B5">
                        <w:rPr>
                          <w:b w:val="0"/>
                          <w:vertAlign w:val="superscript"/>
                        </w:rPr>
                        <w:t>a</w:t>
                      </w:r>
                      <w:r w:rsidRPr="00F261B5">
                        <w:rPr>
                          <w:b w:val="0"/>
                          <w:bCs w:val="0"/>
                          <w:i/>
                          <w:iCs/>
                        </w:rPr>
                        <w:t>P</w:t>
                      </w:r>
                      <w:proofErr w:type="gramEnd"/>
                      <w:r w:rsidRPr="00F261B5">
                        <w:rPr>
                          <w:b w:val="0"/>
                        </w:rPr>
                        <w:t xml:space="preserve"> &lt; 0.05, </w:t>
                      </w:r>
                      <w:r w:rsidRPr="00F261B5">
                        <w:rPr>
                          <w:b w:val="0"/>
                          <w:vertAlign w:val="superscript"/>
                        </w:rPr>
                        <w:t>b</w:t>
                      </w:r>
                      <w:r w:rsidRPr="00F261B5">
                        <w:rPr>
                          <w:b w:val="0"/>
                          <w:bCs w:val="0"/>
                          <w:i/>
                          <w:iCs/>
                        </w:rPr>
                        <w:t>P</w:t>
                      </w:r>
                      <w:r w:rsidRPr="00F261B5">
                        <w:rPr>
                          <w:b w:val="0"/>
                        </w:rPr>
                        <w:t xml:space="preserve"> &lt; 0.01 </w:t>
                      </w:r>
                      <w:r w:rsidRPr="00F261B5">
                        <w:rPr>
                          <w:b w:val="0"/>
                          <w:bCs w:val="0"/>
                          <w:i/>
                          <w:iCs/>
                        </w:rPr>
                        <w:t>vs</w:t>
                      </w:r>
                      <w:r w:rsidRPr="00F261B5">
                        <w:rPr>
                          <w:b w:val="0"/>
                        </w:rPr>
                        <w:t xml:space="preserve"> other groups. NASH: Nonalcoholic steatohepatitis; ALT: Alanine aminotransferase; AST: Aspartate aminotransferase; PH: Partial hepatectomy; T-Bil: Total bilirubin; IL-6: Interleukin-6. </w:t>
                      </w:r>
                    </w:p>
                  </w:txbxContent>
                </v:textbox>
                <w10:wrap type="square"/>
              </v:shape>
            </w:pict>
          </mc:Fallback>
        </mc:AlternateContent>
      </w:r>
    </w:p>
    <w:p w:rsidR="005E5023" w:rsidRDefault="005E5023" w:rsidP="005E5023"/>
    <w:p w:rsidR="005E5023" w:rsidRDefault="005E5023" w:rsidP="005E5023"/>
    <w:p w:rsidR="005E5023" w:rsidRDefault="005E5023" w:rsidP="005E5023"/>
    <w:p w:rsidR="005E5023" w:rsidRPr="00F261B5" w:rsidRDefault="005E5023" w:rsidP="005E5023">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5E5023" w:rsidRPr="00F261B5" w:rsidRDefault="005E5023" w:rsidP="005E5023">
                            <w:pPr>
                              <w:rPr>
                                <w:b/>
                                <w:bCs/>
                              </w:rPr>
                            </w:pPr>
                            <w:r w:rsidRPr="00F261B5">
                              <w:rPr>
                                <w:b/>
                                <w:bCs/>
                              </w:rPr>
                              <w:t xml:space="preserve">Table </w:t>
                            </w:r>
                            <w:proofErr w:type="gramStart"/>
                            <w:r w:rsidRPr="00F261B5">
                              <w:rPr>
                                <w:b/>
                                <w:bCs/>
                              </w:rPr>
                              <w:t>2  Gene</w:t>
                            </w:r>
                            <w:proofErr w:type="gramEnd"/>
                            <w:r w:rsidRPr="00F261B5">
                              <w:rPr>
                                <w:b/>
                                <w:bCs/>
                              </w:rPr>
                              <w:t xml:space="preserve"> expression microarray</w:t>
                            </w:r>
                          </w:p>
                          <w:tbl>
                            <w:tblPr>
                              <w:tblW w:w="9537"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482"/>
                              <w:gridCol w:w="2922"/>
                              <w:gridCol w:w="1377"/>
                              <w:gridCol w:w="1378"/>
                              <w:gridCol w:w="1378"/>
                            </w:tblGrid>
                            <w:tr w:rsidR="005E5023" w:rsidRPr="00F261B5">
                              <w:trPr>
                                <w:trHeight w:val="266"/>
                              </w:trPr>
                              <w:tc>
                                <w:tcPr>
                                  <w:tcW w:w="2482" w:type="dxa"/>
                                  <w:tcBorders>
                                    <w:top w:val="single" w:sz="6" w:space="0" w:color="000000"/>
                                    <w:bottom w:val="single" w:sz="6" w:space="0" w:color="000000"/>
                                  </w:tcBorders>
                                  <w:tcMar>
                                    <w:top w:w="28" w:type="dxa"/>
                                    <w:left w:w="28" w:type="dxa"/>
                                    <w:bottom w:w="28" w:type="dxa"/>
                                    <w:right w:w="28" w:type="dxa"/>
                                  </w:tcMar>
                                </w:tcPr>
                                <w:p w:rsidR="005E5023" w:rsidRPr="00F261B5" w:rsidRDefault="005E5023" w:rsidP="00F261B5">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F261B5">
                                    <w:rPr>
                                      <w:rFonts w:ascii="Albertus" w:hAnsi="Albertus" w:cs="Albertus"/>
                                      <w:b/>
                                      <w:bCs/>
                                      <w:color w:val="000000"/>
                                      <w:kern w:val="0"/>
                                      <w:sz w:val="14"/>
                                      <w:szCs w:val="14"/>
                                      <w:lang w:val="zh-CN"/>
                                    </w:rPr>
                                    <w:t>Function</w:t>
                                  </w:r>
                                </w:p>
                                <w:p w:rsidR="005E5023" w:rsidRPr="00F261B5" w:rsidRDefault="005E5023" w:rsidP="00F261B5">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2922" w:type="dxa"/>
                                  <w:tcBorders>
                                    <w:top w:val="single" w:sz="6" w:space="0" w:color="000000"/>
                                    <w:bottom w:val="single" w:sz="6" w:space="0" w:color="000000"/>
                                  </w:tcBorders>
                                  <w:tcMar>
                                    <w:top w:w="28" w:type="dxa"/>
                                    <w:left w:w="28" w:type="dxa"/>
                                    <w:bottom w:w="28" w:type="dxa"/>
                                    <w:right w:w="28" w:type="dxa"/>
                                  </w:tcMar>
                                </w:tcPr>
                                <w:p w:rsidR="005E5023" w:rsidRPr="00F261B5" w:rsidRDefault="005E5023" w:rsidP="00F261B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261B5">
                                    <w:rPr>
                                      <w:rFonts w:ascii="Albertus" w:hAnsi="Albertus" w:cs="Albertus"/>
                                      <w:b/>
                                      <w:bCs/>
                                      <w:color w:val="000000"/>
                                      <w:kern w:val="0"/>
                                      <w:sz w:val="14"/>
                                      <w:szCs w:val="14"/>
                                      <w:lang w:val="zh-CN"/>
                                    </w:rPr>
                                    <w:t>Gene name</w:t>
                                  </w:r>
                                </w:p>
                                <w:p w:rsidR="005E5023" w:rsidRPr="00F261B5" w:rsidRDefault="005E5023" w:rsidP="00F261B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77" w:type="dxa"/>
                                  <w:tcBorders>
                                    <w:top w:val="single" w:sz="6" w:space="0" w:color="000000"/>
                                    <w:bottom w:val="single" w:sz="6" w:space="0" w:color="000000"/>
                                  </w:tcBorders>
                                  <w:tcMar>
                                    <w:top w:w="28" w:type="dxa"/>
                                    <w:left w:w="28" w:type="dxa"/>
                                    <w:bottom w:w="28" w:type="dxa"/>
                                    <w:right w:w="28" w:type="dxa"/>
                                  </w:tcMar>
                                </w:tcPr>
                                <w:p w:rsidR="005E5023" w:rsidRPr="00F261B5" w:rsidRDefault="005E5023" w:rsidP="00F261B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261B5">
                                    <w:rPr>
                                      <w:rFonts w:ascii="Albertus" w:hAnsi="Albertus" w:cs="Albertus"/>
                                      <w:b/>
                                      <w:bCs/>
                                      <w:color w:val="000000"/>
                                      <w:kern w:val="0"/>
                                      <w:sz w:val="14"/>
                                      <w:szCs w:val="14"/>
                                      <w:lang w:val="zh-CN"/>
                                    </w:rPr>
                                    <w:t>Gene abbreviation</w:t>
                                  </w:r>
                                </w:p>
                                <w:p w:rsidR="005E5023" w:rsidRPr="00F261B5" w:rsidRDefault="005E5023" w:rsidP="00F261B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78" w:type="dxa"/>
                                  <w:tcBorders>
                                    <w:top w:val="single" w:sz="6" w:space="0" w:color="000000"/>
                                    <w:bottom w:val="single" w:sz="6" w:space="0" w:color="000000"/>
                                  </w:tcBorders>
                                  <w:tcMar>
                                    <w:top w:w="28" w:type="dxa"/>
                                    <w:left w:w="28" w:type="dxa"/>
                                    <w:bottom w:w="28" w:type="dxa"/>
                                    <w:right w:w="28" w:type="dxa"/>
                                  </w:tcMar>
                                </w:tcPr>
                                <w:p w:rsidR="005E5023" w:rsidRPr="00F261B5" w:rsidRDefault="005E5023" w:rsidP="00F261B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261B5">
                                    <w:rPr>
                                      <w:rFonts w:ascii="Albertus" w:hAnsi="Albertus" w:cs="Albertus"/>
                                      <w:b/>
                                      <w:bCs/>
                                      <w:color w:val="000000"/>
                                      <w:kern w:val="0"/>
                                      <w:sz w:val="14"/>
                                      <w:szCs w:val="14"/>
                                      <w:lang w:val="zh-CN"/>
                                    </w:rPr>
                                    <w:t>Fold-change (&gt; 1.4)</w:t>
                                  </w:r>
                                </w:p>
                                <w:p w:rsidR="005E5023" w:rsidRPr="00F261B5" w:rsidRDefault="005E5023" w:rsidP="00F261B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78" w:type="dxa"/>
                                  <w:tcBorders>
                                    <w:top w:val="single" w:sz="6" w:space="0" w:color="000000"/>
                                    <w:bottom w:val="single" w:sz="6" w:space="0" w:color="000000"/>
                                  </w:tcBorders>
                                  <w:tcMar>
                                    <w:top w:w="28" w:type="dxa"/>
                                    <w:left w:w="28" w:type="dxa"/>
                                    <w:bottom w:w="28" w:type="dxa"/>
                                    <w:right w:w="28" w:type="dxa"/>
                                  </w:tcMar>
                                </w:tcPr>
                                <w:p w:rsidR="005E5023" w:rsidRPr="00F261B5" w:rsidRDefault="005E5023" w:rsidP="00F261B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261B5">
                                    <w:rPr>
                                      <w:rFonts w:ascii="Albertus Bold Italic" w:hAnsi="Albertus Bold Italic" w:cs="Albertus Bold Italic"/>
                                      <w:b/>
                                      <w:bCs/>
                                      <w:i/>
                                      <w:iCs/>
                                      <w:color w:val="000000"/>
                                      <w:kern w:val="0"/>
                                      <w:sz w:val="14"/>
                                      <w:szCs w:val="14"/>
                                      <w:lang w:val="zh-CN"/>
                                    </w:rPr>
                                    <w:t>P</w:t>
                                  </w:r>
                                  <w:r w:rsidRPr="00F261B5">
                                    <w:rPr>
                                      <w:rFonts w:ascii="Albertus" w:hAnsi="Albertus" w:cs="Albertus"/>
                                      <w:b/>
                                      <w:bCs/>
                                      <w:color w:val="000000"/>
                                      <w:kern w:val="0"/>
                                      <w:sz w:val="14"/>
                                      <w:szCs w:val="14"/>
                                      <w:lang w:val="zh-CN"/>
                                    </w:rPr>
                                    <w:t xml:space="preserve"> value (&lt; 0.05)</w:t>
                                  </w:r>
                                </w:p>
                                <w:p w:rsidR="005E5023" w:rsidRPr="00F261B5" w:rsidRDefault="005E5023" w:rsidP="00F261B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E5023" w:rsidRPr="00F261B5">
                              <w:trPr>
                                <w:trHeight w:val="60"/>
                              </w:trPr>
                              <w:tc>
                                <w:tcPr>
                                  <w:tcW w:w="2482" w:type="dxa"/>
                                  <w:tcBorders>
                                    <w:top w:val="single" w:sz="6" w:space="0" w:color="000000"/>
                                  </w:tcBorders>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261B5">
                                    <w:rPr>
                                      <w:rFonts w:ascii="Book Antiqua" w:hAnsi="Book Antiqua" w:cs="Book Antiqua"/>
                                      <w:bCs/>
                                      <w:color w:val="000000"/>
                                      <w:kern w:val="0"/>
                                      <w:sz w:val="14"/>
                                      <w:szCs w:val="14"/>
                                    </w:rPr>
                                    <w:t>Regulate the cellular concentrations of cyclic nucleotides</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2922" w:type="dxa"/>
                                  <w:tcBorders>
                                    <w:top w:val="single" w:sz="6" w:space="0" w:color="000000"/>
                                  </w:tcBorders>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Phosphodiesterase 4B, cAMP-specific</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7" w:type="dxa"/>
                                  <w:tcBorders>
                                    <w:top w:val="single" w:sz="6" w:space="0" w:color="000000"/>
                                  </w:tcBorders>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PDE4B</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Borders>
                                    <w:top w:val="single" w:sz="6" w:space="0" w:color="000000"/>
                                  </w:tcBorders>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2.102691211</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Borders>
                                    <w:top w:val="single" w:sz="6" w:space="0" w:color="000000"/>
                                  </w:tcBorders>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0.0063</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Growth arrest</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261B5">
                                    <w:rPr>
                                      <w:rFonts w:ascii="Book Antiqua" w:hAnsi="Book Antiqua" w:cs="Book Antiqua"/>
                                      <w:bCs/>
                                      <w:color w:val="000000"/>
                                      <w:kern w:val="0"/>
                                      <w:sz w:val="14"/>
                                      <w:szCs w:val="14"/>
                                    </w:rPr>
                                    <w:t>Growth arrest and DNA-damage-inducible, alpha</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GADD45A</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1.672778704</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0.013</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Signal transduction</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Coronin 1C</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CORO1C</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1.489851976</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0.031</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261B5">
                                    <w:rPr>
                                      <w:rFonts w:ascii="Book Antiqua" w:hAnsi="Book Antiqua" w:cs="Book Antiqua"/>
                                      <w:bCs/>
                                      <w:color w:val="000000"/>
                                      <w:kern w:val="0"/>
                                      <w:sz w:val="14"/>
                                      <w:szCs w:val="14"/>
                                    </w:rPr>
                                    <w:t>Stimulates expression of cytokines, including IL6, MIF and VEGFA</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Hypoxia inducible lipid droplet associated</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HILPDA</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1.481465541</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0.011</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EGF-like growth factor</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261B5">
                                    <w:rPr>
                                      <w:rFonts w:ascii="Book Antiqua" w:hAnsi="Book Antiqua" w:cs="Book Antiqua"/>
                                      <w:bCs/>
                                      <w:color w:val="000000"/>
                                      <w:kern w:val="0"/>
                                      <w:sz w:val="14"/>
                                      <w:szCs w:val="14"/>
                                    </w:rPr>
                                    <w:t>Heparin binding EGF-like growth factor</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HBEGF</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1.432049736</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0.043</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Cell-cell junctions</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261B5">
                                    <w:rPr>
                                      <w:rFonts w:ascii="Book Antiqua" w:hAnsi="Book Antiqua" w:cs="Book Antiqua"/>
                                      <w:bCs/>
                                      <w:color w:val="000000"/>
                                      <w:kern w:val="0"/>
                                      <w:sz w:val="14"/>
                                      <w:szCs w:val="14"/>
                                    </w:rPr>
                                    <w:t>Membrane associated guanylate kinase, WW And PDZ domain containing 1</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MAGI1</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1.430522907</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0.0222</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Innate immune system</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261B5">
                                    <w:rPr>
                                      <w:rFonts w:ascii="Book Antiqua" w:hAnsi="Book Antiqua" w:cs="Book Antiqua"/>
                                      <w:bCs/>
                                      <w:color w:val="000000"/>
                                      <w:kern w:val="0"/>
                                      <w:sz w:val="14"/>
                                      <w:szCs w:val="14"/>
                                    </w:rPr>
                                    <w:t>Ankyrin repeat and SOCS box containing 13</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ASB13</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0.515175325</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0.0042</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Apoptosis and autophagy</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261B5">
                                    <w:rPr>
                                      <w:rFonts w:ascii="Book Antiqua" w:hAnsi="Book Antiqua" w:cs="Book Antiqua"/>
                                      <w:bCs/>
                                      <w:color w:val="000000"/>
                                      <w:kern w:val="0"/>
                                      <w:sz w:val="14"/>
                                      <w:szCs w:val="14"/>
                                    </w:rPr>
                                    <w:t>TIA1 cytotoxic granule-associated RNA binding protein-like 1</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TIAL1</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0.609948905</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0.027</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Gene expression</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Nucleic acid binding protein 1</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NABP1</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0.6558797325</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0.042</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Cell cycle</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261B5">
                                    <w:rPr>
                                      <w:rFonts w:ascii="Book Antiqua" w:hAnsi="Book Antiqua" w:cs="Book Antiqua"/>
                                      <w:bCs/>
                                      <w:color w:val="000000"/>
                                      <w:kern w:val="0"/>
                                      <w:sz w:val="14"/>
                                      <w:szCs w:val="14"/>
                                    </w:rPr>
                                    <w:t>S-phase kinase-associated protein 2, E3 ubiquitin protein ligase</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SKP2</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0.6588204077</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0.044</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Mitochondrial metabolism</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261B5">
                                    <w:rPr>
                                      <w:rFonts w:ascii="Book Antiqua" w:hAnsi="Book Antiqua" w:cs="Book Antiqua"/>
                                      <w:bCs/>
                                      <w:color w:val="000000"/>
                                      <w:kern w:val="0"/>
                                      <w:sz w:val="14"/>
                                      <w:szCs w:val="14"/>
                                    </w:rPr>
                                    <w:t>Translocase of inner mitochondrial membrane 9 homolog (yeast)</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TIMM9</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0.6598542503</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0.042</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Cytokine signaling in immune system</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B-cell CLL/lymphoma 6</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BCL6</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0.6760241074</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0.0097</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Cell cycle</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Mutated in colorectal cancers</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MCC</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0.6761191711</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0.0076</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Gene expression</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Zinc finger protein 519</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ZNF519</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0.6864230003</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0.028</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Gene expression</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261B5">
                                    <w:rPr>
                                      <w:rFonts w:ascii="Book Antiqua" w:hAnsi="Book Antiqua" w:cs="Book Antiqua"/>
                                      <w:bCs/>
                                      <w:color w:val="000000"/>
                                      <w:kern w:val="0"/>
                                      <w:sz w:val="14"/>
                                      <w:szCs w:val="14"/>
                                    </w:rPr>
                                    <w:t>RNA binding motif protein, X-linked</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RBMX</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0.6983542235</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0.012</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5E5023" w:rsidRPr="005231E1" w:rsidRDefault="005E5023" w:rsidP="005E5023">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261B5">
                              <w:rPr>
                                <w:rFonts w:ascii="Book Antiqua" w:hAnsi="Book Antiqua" w:cs="Book Antiqua"/>
                                <w:bCs/>
                                <w:color w:val="000000"/>
                                <w:kern w:val="0"/>
                                <w:sz w:val="14"/>
                                <w:szCs w:val="14"/>
                              </w:rPr>
                              <w:t>In total, 6 genes were overexpressed greater than 1.4-fold in the nonalcoholic steatohepatitis (NASH) 70% PH group compared with their expression in the NASH 30% PH group, and 7 genes were downregulated by less than 0.70-fold in the NASH PH group compared with their expression in the NASH 30% PH group (</w:t>
                            </w:r>
                            <w:r w:rsidRPr="00F261B5">
                              <w:rPr>
                                <w:rFonts w:ascii="Book Antiqua" w:hAnsi="Book Antiqua" w:cs="Book Antiqua"/>
                                <w:i/>
                                <w:iCs/>
                                <w:color w:val="000000"/>
                                <w:kern w:val="0"/>
                                <w:sz w:val="14"/>
                                <w:szCs w:val="14"/>
                              </w:rPr>
                              <w:t>n</w:t>
                            </w:r>
                            <w:r w:rsidRPr="00F261B5">
                              <w:rPr>
                                <w:rFonts w:ascii="Book Antiqua" w:hAnsi="Book Antiqua" w:cs="Book Antiqua"/>
                                <w:bCs/>
                                <w:color w:val="000000"/>
                                <w:kern w:val="0"/>
                                <w:sz w:val="14"/>
                                <w:szCs w:val="14"/>
                              </w:rPr>
                              <w:t xml:space="preserve"> = 2). PH: Partial hepatectomy.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0;margin-top:0;width:2in;height:2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">
                <v:textbox style="mso-fit-shape-to-text:t">
                  <w:txbxContent>
                    <w:p w:rsidR="005E5023" w:rsidRPr="00F261B5" w:rsidRDefault="005E5023" w:rsidP="005E5023">
                      <w:pPr>
                        <w:rPr>
                          <w:b/>
                          <w:bCs/>
                        </w:rPr>
                      </w:pPr>
                      <w:r w:rsidRPr="00F261B5">
                        <w:rPr>
                          <w:b/>
                          <w:bCs/>
                        </w:rPr>
                        <w:t xml:space="preserve">Table </w:t>
                      </w:r>
                      <w:proofErr w:type="gramStart"/>
                      <w:r w:rsidRPr="00F261B5">
                        <w:rPr>
                          <w:b/>
                          <w:bCs/>
                        </w:rPr>
                        <w:t>2  Gene</w:t>
                      </w:r>
                      <w:proofErr w:type="gramEnd"/>
                      <w:r w:rsidRPr="00F261B5">
                        <w:rPr>
                          <w:b/>
                          <w:bCs/>
                        </w:rPr>
                        <w:t xml:space="preserve"> expression microarray</w:t>
                      </w:r>
                    </w:p>
                    <w:tbl>
                      <w:tblPr>
                        <w:tblW w:w="9537"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482"/>
                        <w:gridCol w:w="2922"/>
                        <w:gridCol w:w="1377"/>
                        <w:gridCol w:w="1378"/>
                        <w:gridCol w:w="1378"/>
                      </w:tblGrid>
                      <w:tr w:rsidR="005E5023" w:rsidRPr="00F261B5">
                        <w:trPr>
                          <w:trHeight w:val="266"/>
                        </w:trPr>
                        <w:tc>
                          <w:tcPr>
                            <w:tcW w:w="2482" w:type="dxa"/>
                            <w:tcBorders>
                              <w:top w:val="single" w:sz="6" w:space="0" w:color="000000"/>
                              <w:bottom w:val="single" w:sz="6" w:space="0" w:color="000000"/>
                            </w:tcBorders>
                            <w:tcMar>
                              <w:top w:w="28" w:type="dxa"/>
                              <w:left w:w="28" w:type="dxa"/>
                              <w:bottom w:w="28" w:type="dxa"/>
                              <w:right w:w="28" w:type="dxa"/>
                            </w:tcMar>
                          </w:tcPr>
                          <w:p w:rsidR="005E5023" w:rsidRPr="00F261B5" w:rsidRDefault="005E5023" w:rsidP="00F261B5">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F261B5">
                              <w:rPr>
                                <w:rFonts w:ascii="Albertus" w:hAnsi="Albertus" w:cs="Albertus"/>
                                <w:b/>
                                <w:bCs/>
                                <w:color w:val="000000"/>
                                <w:kern w:val="0"/>
                                <w:sz w:val="14"/>
                                <w:szCs w:val="14"/>
                                <w:lang w:val="zh-CN"/>
                              </w:rPr>
                              <w:t>Function</w:t>
                            </w:r>
                          </w:p>
                          <w:p w:rsidR="005E5023" w:rsidRPr="00F261B5" w:rsidRDefault="005E5023" w:rsidP="00F261B5">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2922" w:type="dxa"/>
                            <w:tcBorders>
                              <w:top w:val="single" w:sz="6" w:space="0" w:color="000000"/>
                              <w:bottom w:val="single" w:sz="6" w:space="0" w:color="000000"/>
                            </w:tcBorders>
                            <w:tcMar>
                              <w:top w:w="28" w:type="dxa"/>
                              <w:left w:w="28" w:type="dxa"/>
                              <w:bottom w:w="28" w:type="dxa"/>
                              <w:right w:w="28" w:type="dxa"/>
                            </w:tcMar>
                          </w:tcPr>
                          <w:p w:rsidR="005E5023" w:rsidRPr="00F261B5" w:rsidRDefault="005E5023" w:rsidP="00F261B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261B5">
                              <w:rPr>
                                <w:rFonts w:ascii="Albertus" w:hAnsi="Albertus" w:cs="Albertus"/>
                                <w:b/>
                                <w:bCs/>
                                <w:color w:val="000000"/>
                                <w:kern w:val="0"/>
                                <w:sz w:val="14"/>
                                <w:szCs w:val="14"/>
                                <w:lang w:val="zh-CN"/>
                              </w:rPr>
                              <w:t>Gene name</w:t>
                            </w:r>
                          </w:p>
                          <w:p w:rsidR="005E5023" w:rsidRPr="00F261B5" w:rsidRDefault="005E5023" w:rsidP="00F261B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77" w:type="dxa"/>
                            <w:tcBorders>
                              <w:top w:val="single" w:sz="6" w:space="0" w:color="000000"/>
                              <w:bottom w:val="single" w:sz="6" w:space="0" w:color="000000"/>
                            </w:tcBorders>
                            <w:tcMar>
                              <w:top w:w="28" w:type="dxa"/>
                              <w:left w:w="28" w:type="dxa"/>
                              <w:bottom w:w="28" w:type="dxa"/>
                              <w:right w:w="28" w:type="dxa"/>
                            </w:tcMar>
                          </w:tcPr>
                          <w:p w:rsidR="005E5023" w:rsidRPr="00F261B5" w:rsidRDefault="005E5023" w:rsidP="00F261B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261B5">
                              <w:rPr>
                                <w:rFonts w:ascii="Albertus" w:hAnsi="Albertus" w:cs="Albertus"/>
                                <w:b/>
                                <w:bCs/>
                                <w:color w:val="000000"/>
                                <w:kern w:val="0"/>
                                <w:sz w:val="14"/>
                                <w:szCs w:val="14"/>
                                <w:lang w:val="zh-CN"/>
                              </w:rPr>
                              <w:t>Gene abbreviation</w:t>
                            </w:r>
                          </w:p>
                          <w:p w:rsidR="005E5023" w:rsidRPr="00F261B5" w:rsidRDefault="005E5023" w:rsidP="00F261B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78" w:type="dxa"/>
                            <w:tcBorders>
                              <w:top w:val="single" w:sz="6" w:space="0" w:color="000000"/>
                              <w:bottom w:val="single" w:sz="6" w:space="0" w:color="000000"/>
                            </w:tcBorders>
                            <w:tcMar>
                              <w:top w:w="28" w:type="dxa"/>
                              <w:left w:w="28" w:type="dxa"/>
                              <w:bottom w:w="28" w:type="dxa"/>
                              <w:right w:w="28" w:type="dxa"/>
                            </w:tcMar>
                          </w:tcPr>
                          <w:p w:rsidR="005E5023" w:rsidRPr="00F261B5" w:rsidRDefault="005E5023" w:rsidP="00F261B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261B5">
                              <w:rPr>
                                <w:rFonts w:ascii="Albertus" w:hAnsi="Albertus" w:cs="Albertus"/>
                                <w:b/>
                                <w:bCs/>
                                <w:color w:val="000000"/>
                                <w:kern w:val="0"/>
                                <w:sz w:val="14"/>
                                <w:szCs w:val="14"/>
                                <w:lang w:val="zh-CN"/>
                              </w:rPr>
                              <w:t>Fold-change (&gt; 1.4)</w:t>
                            </w:r>
                          </w:p>
                          <w:p w:rsidR="005E5023" w:rsidRPr="00F261B5" w:rsidRDefault="005E5023" w:rsidP="00F261B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378" w:type="dxa"/>
                            <w:tcBorders>
                              <w:top w:val="single" w:sz="6" w:space="0" w:color="000000"/>
                              <w:bottom w:val="single" w:sz="6" w:space="0" w:color="000000"/>
                            </w:tcBorders>
                            <w:tcMar>
                              <w:top w:w="28" w:type="dxa"/>
                              <w:left w:w="28" w:type="dxa"/>
                              <w:bottom w:w="28" w:type="dxa"/>
                              <w:right w:w="28" w:type="dxa"/>
                            </w:tcMar>
                          </w:tcPr>
                          <w:p w:rsidR="005E5023" w:rsidRPr="00F261B5" w:rsidRDefault="005E5023" w:rsidP="00F261B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F261B5">
                              <w:rPr>
                                <w:rFonts w:ascii="Albertus Bold Italic" w:hAnsi="Albertus Bold Italic" w:cs="Albertus Bold Italic"/>
                                <w:b/>
                                <w:bCs/>
                                <w:i/>
                                <w:iCs/>
                                <w:color w:val="000000"/>
                                <w:kern w:val="0"/>
                                <w:sz w:val="14"/>
                                <w:szCs w:val="14"/>
                                <w:lang w:val="zh-CN"/>
                              </w:rPr>
                              <w:t>P</w:t>
                            </w:r>
                            <w:r w:rsidRPr="00F261B5">
                              <w:rPr>
                                <w:rFonts w:ascii="Albertus" w:hAnsi="Albertus" w:cs="Albertus"/>
                                <w:b/>
                                <w:bCs/>
                                <w:color w:val="000000"/>
                                <w:kern w:val="0"/>
                                <w:sz w:val="14"/>
                                <w:szCs w:val="14"/>
                                <w:lang w:val="zh-CN"/>
                              </w:rPr>
                              <w:t xml:space="preserve"> value (&lt; 0.05)</w:t>
                            </w:r>
                          </w:p>
                          <w:p w:rsidR="005E5023" w:rsidRPr="00F261B5" w:rsidRDefault="005E5023" w:rsidP="00F261B5">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E5023" w:rsidRPr="00F261B5">
                        <w:trPr>
                          <w:trHeight w:val="60"/>
                        </w:trPr>
                        <w:tc>
                          <w:tcPr>
                            <w:tcW w:w="2482" w:type="dxa"/>
                            <w:tcBorders>
                              <w:top w:val="single" w:sz="6" w:space="0" w:color="000000"/>
                            </w:tcBorders>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261B5">
                              <w:rPr>
                                <w:rFonts w:ascii="Book Antiqua" w:hAnsi="Book Antiqua" w:cs="Book Antiqua"/>
                                <w:bCs/>
                                <w:color w:val="000000"/>
                                <w:kern w:val="0"/>
                                <w:sz w:val="14"/>
                                <w:szCs w:val="14"/>
                              </w:rPr>
                              <w:t>Regulate the cellular concentrations of cyclic nucleotides</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2922" w:type="dxa"/>
                            <w:tcBorders>
                              <w:top w:val="single" w:sz="6" w:space="0" w:color="000000"/>
                            </w:tcBorders>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Phosphodiesterase 4B, cAMP-specific</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7" w:type="dxa"/>
                            <w:tcBorders>
                              <w:top w:val="single" w:sz="6" w:space="0" w:color="000000"/>
                            </w:tcBorders>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PDE4B</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Borders>
                              <w:top w:val="single" w:sz="6" w:space="0" w:color="000000"/>
                            </w:tcBorders>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2.102691211</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Borders>
                              <w:top w:val="single" w:sz="6" w:space="0" w:color="000000"/>
                            </w:tcBorders>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0.0063</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Growth arrest</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261B5">
                              <w:rPr>
                                <w:rFonts w:ascii="Book Antiqua" w:hAnsi="Book Antiqua" w:cs="Book Antiqua"/>
                                <w:bCs/>
                                <w:color w:val="000000"/>
                                <w:kern w:val="0"/>
                                <w:sz w:val="14"/>
                                <w:szCs w:val="14"/>
                              </w:rPr>
                              <w:t>Growth arrest and DNA-damage-inducible, alpha</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GADD45A</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1.672778704</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0.013</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Signal transduction</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Coronin 1C</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CORO1C</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1.489851976</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0.031</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261B5">
                              <w:rPr>
                                <w:rFonts w:ascii="Book Antiqua" w:hAnsi="Book Antiqua" w:cs="Book Antiqua"/>
                                <w:bCs/>
                                <w:color w:val="000000"/>
                                <w:kern w:val="0"/>
                                <w:sz w:val="14"/>
                                <w:szCs w:val="14"/>
                              </w:rPr>
                              <w:t>Stimulates expression of cytokines, including IL6, MIF and VEGFA</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Hypoxia inducible lipid droplet associated</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HILPDA</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1.481465541</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0.011</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EGF-like growth factor</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261B5">
                              <w:rPr>
                                <w:rFonts w:ascii="Book Antiqua" w:hAnsi="Book Antiqua" w:cs="Book Antiqua"/>
                                <w:bCs/>
                                <w:color w:val="000000"/>
                                <w:kern w:val="0"/>
                                <w:sz w:val="14"/>
                                <w:szCs w:val="14"/>
                              </w:rPr>
                              <w:t>Heparin binding EGF-like growth factor</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HBEGF</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1.432049736</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0.043</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Cell-cell junctions</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261B5">
                              <w:rPr>
                                <w:rFonts w:ascii="Book Antiqua" w:hAnsi="Book Antiqua" w:cs="Book Antiqua"/>
                                <w:bCs/>
                                <w:color w:val="000000"/>
                                <w:kern w:val="0"/>
                                <w:sz w:val="14"/>
                                <w:szCs w:val="14"/>
                              </w:rPr>
                              <w:t>Membrane associated guanylate kinase, WW And PDZ domain containing 1</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MAGI1</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1.430522907</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0.0222</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Innate immune system</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261B5">
                              <w:rPr>
                                <w:rFonts w:ascii="Book Antiqua" w:hAnsi="Book Antiqua" w:cs="Book Antiqua"/>
                                <w:bCs/>
                                <w:color w:val="000000"/>
                                <w:kern w:val="0"/>
                                <w:sz w:val="14"/>
                                <w:szCs w:val="14"/>
                              </w:rPr>
                              <w:t>Ankyrin repeat and SOCS box containing 13</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ASB13</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0.515175325</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0.0042</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Apoptosis and autophagy</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261B5">
                              <w:rPr>
                                <w:rFonts w:ascii="Book Antiqua" w:hAnsi="Book Antiqua" w:cs="Book Antiqua"/>
                                <w:bCs/>
                                <w:color w:val="000000"/>
                                <w:kern w:val="0"/>
                                <w:sz w:val="14"/>
                                <w:szCs w:val="14"/>
                              </w:rPr>
                              <w:t>TIA1 cytotoxic granule-associated RNA binding protein-like 1</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TIAL1</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0.609948905</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0.027</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Gene expression</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Nucleic acid binding protein 1</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NABP1</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0.6558797325</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0.042</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Cell cycle</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261B5">
                              <w:rPr>
                                <w:rFonts w:ascii="Book Antiqua" w:hAnsi="Book Antiqua" w:cs="Book Antiqua"/>
                                <w:bCs/>
                                <w:color w:val="000000"/>
                                <w:kern w:val="0"/>
                                <w:sz w:val="14"/>
                                <w:szCs w:val="14"/>
                              </w:rPr>
                              <w:t>S-phase kinase-associated protein 2, E3 ubiquitin protein ligase</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SKP2</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0.6588204077</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0.044</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Mitochondrial metabolism</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261B5">
                              <w:rPr>
                                <w:rFonts w:ascii="Book Antiqua" w:hAnsi="Book Antiqua" w:cs="Book Antiqua"/>
                                <w:bCs/>
                                <w:color w:val="000000"/>
                                <w:kern w:val="0"/>
                                <w:sz w:val="14"/>
                                <w:szCs w:val="14"/>
                              </w:rPr>
                              <w:t>Translocase of inner mitochondrial membrane 9 homolog (yeast)</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TIMM9</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0.6598542503</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0.042</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Cytokine signaling in immune system</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B-cell CLL/lymphoma 6</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BCL6</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0.6760241074</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0.0097</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Cell cycle</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Mutated in colorectal cancers</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MCC</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0.6761191711</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0.0076</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Gene expression</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Zinc finger protein 519</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ZNF519</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0.6864230003</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0.028</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E5023" w:rsidRPr="00F261B5">
                        <w:trPr>
                          <w:trHeight w:val="60"/>
                        </w:trPr>
                        <w:tc>
                          <w:tcPr>
                            <w:tcW w:w="248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Gene expression</w:t>
                            </w:r>
                          </w:p>
                          <w:p w:rsidR="005E5023" w:rsidRPr="00F261B5" w:rsidRDefault="005E5023" w:rsidP="00F261B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922"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F261B5">
                              <w:rPr>
                                <w:rFonts w:ascii="Book Antiqua" w:hAnsi="Book Antiqua" w:cs="Book Antiqua"/>
                                <w:bCs/>
                                <w:color w:val="000000"/>
                                <w:kern w:val="0"/>
                                <w:sz w:val="14"/>
                                <w:szCs w:val="14"/>
                              </w:rPr>
                              <w:t>RNA binding motif protein, X-linked</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1377"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i/>
                                <w:iCs/>
                                <w:color w:val="000000"/>
                                <w:kern w:val="0"/>
                                <w:sz w:val="14"/>
                                <w:szCs w:val="14"/>
                                <w:lang w:val="zh-CN"/>
                              </w:rPr>
                            </w:pPr>
                            <w:r w:rsidRPr="00F261B5">
                              <w:rPr>
                                <w:rFonts w:ascii="Book Antiqua" w:hAnsi="Book Antiqua" w:cs="Book Antiqua"/>
                                <w:i/>
                                <w:iCs/>
                                <w:color w:val="000000"/>
                                <w:kern w:val="0"/>
                                <w:sz w:val="14"/>
                                <w:szCs w:val="14"/>
                                <w:lang w:val="zh-CN"/>
                              </w:rPr>
                              <w:t>RBMX</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0.6983542235</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378" w:type="dxa"/>
                            <w:tcMar>
                              <w:top w:w="28" w:type="dxa"/>
                              <w:left w:w="28" w:type="dxa"/>
                              <w:bottom w:w="28" w:type="dxa"/>
                              <w:right w:w="28" w:type="dxa"/>
                            </w:tcMar>
                          </w:tcPr>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261B5">
                              <w:rPr>
                                <w:rFonts w:ascii="Book Antiqua" w:hAnsi="Book Antiqua" w:cs="Book Antiqua"/>
                                <w:bCs/>
                                <w:color w:val="000000"/>
                                <w:kern w:val="0"/>
                                <w:sz w:val="14"/>
                                <w:szCs w:val="14"/>
                                <w:lang w:val="zh-CN"/>
                              </w:rPr>
                              <w:t>0.012</w:t>
                            </w:r>
                          </w:p>
                          <w:p w:rsidR="005E5023" w:rsidRPr="00F261B5" w:rsidRDefault="005E5023" w:rsidP="00F261B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5E5023" w:rsidRPr="005231E1" w:rsidRDefault="005E5023" w:rsidP="005E5023">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F261B5">
                        <w:rPr>
                          <w:rFonts w:ascii="Book Antiqua" w:hAnsi="Book Antiqua" w:cs="Book Antiqua"/>
                          <w:bCs/>
                          <w:color w:val="000000"/>
                          <w:kern w:val="0"/>
                          <w:sz w:val="14"/>
                          <w:szCs w:val="14"/>
                        </w:rPr>
                        <w:t>In total, 6 genes were overexpressed greater than 1.4-fold in the nonalcoholic steatohepatitis (NASH) 70% PH group compared with their expression in the NASH 30% PH group, and 7 genes were downregulated by less than 0.70-fold in the NASH PH group compared with their expression in the NASH 30% PH group (</w:t>
                      </w:r>
                      <w:r w:rsidRPr="00F261B5">
                        <w:rPr>
                          <w:rFonts w:ascii="Book Antiqua" w:hAnsi="Book Antiqua" w:cs="Book Antiqua"/>
                          <w:i/>
                          <w:iCs/>
                          <w:color w:val="000000"/>
                          <w:kern w:val="0"/>
                          <w:sz w:val="14"/>
                          <w:szCs w:val="14"/>
                        </w:rPr>
                        <w:t>n</w:t>
                      </w:r>
                      <w:r w:rsidRPr="00F261B5">
                        <w:rPr>
                          <w:rFonts w:ascii="Book Antiqua" w:hAnsi="Book Antiqua" w:cs="Book Antiqua"/>
                          <w:bCs/>
                          <w:color w:val="000000"/>
                          <w:kern w:val="0"/>
                          <w:sz w:val="14"/>
                          <w:szCs w:val="14"/>
                        </w:rPr>
                        <w:t xml:space="preserve"> = 2). PH: Partial hepatectomy.</w:t>
                      </w:r>
                    </w:p>
                  </w:txbxContent>
                </v:textbox>
                <w10:wrap type="square"/>
              </v:shape>
            </w:pict>
          </mc:Fallback>
        </mc:AlternateContent>
      </w:r>
    </w:p>
    <w:p w:rsidR="00B657F9" w:rsidRPr="005E5023" w:rsidRDefault="00B657F9" w:rsidP="00B657F9"/>
    <w:p w:rsidR="00EE48DE" w:rsidRPr="00B657F9" w:rsidRDefault="00EE48DE" w:rsidP="00B657F9"/>
    <w:sectPr w:rsidR="00EE48DE" w:rsidRPr="00B657F9" w:rsidSect="00A21CED">
      <w:headerReference w:type="default" r:id="rId14"/>
      <w:footerReference w:type="default" r:id="rId15"/>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0BB" w:rsidRDefault="00B960BB">
      <w:r>
        <w:separator/>
      </w:r>
    </w:p>
  </w:endnote>
  <w:endnote w:type="continuationSeparator" w:id="0">
    <w:p w:rsidR="00B960BB" w:rsidRDefault="00B96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837D19">
          <w:rPr>
            <w:noProof/>
          </w:rPr>
          <w:t>14</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0BB" w:rsidRDefault="00B960BB">
      <w:r>
        <w:separator/>
      </w:r>
    </w:p>
  </w:footnote>
  <w:footnote w:type="continuationSeparator" w:id="0">
    <w:p w:rsidR="00B960BB" w:rsidRDefault="00B960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D61C5"/>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023"/>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37D19"/>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12C7"/>
    <w:rsid w:val="00B63A6D"/>
    <w:rsid w:val="00B64919"/>
    <w:rsid w:val="00B657F9"/>
    <w:rsid w:val="00B663F9"/>
    <w:rsid w:val="00B67184"/>
    <w:rsid w:val="00B7120E"/>
    <w:rsid w:val="00B750C0"/>
    <w:rsid w:val="00B93798"/>
    <w:rsid w:val="00B960BB"/>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5E5023"/>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5E5023"/>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6">
    <w:name w:val="嶌幰怣"/>
    <w:basedOn w:val="NormalParagraphStyle"/>
    <w:rsid w:val="005E5023"/>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5E5023"/>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5E5023"/>
    <w:pPr>
      <w:suppressAutoHyphens/>
    </w:pPr>
    <w:rPr>
      <w:rFonts w:ascii="Verdana" w:hAnsi="Verdana" w:cs="Verdana"/>
      <w:spacing w:val="-7"/>
      <w:sz w:val="18"/>
      <w:szCs w:val="18"/>
      <w:lang w:val="en-US"/>
    </w:rPr>
  </w:style>
  <w:style w:type="paragraph" w:customStyle="1" w:styleId="10">
    <w:name w:val="惓暥暥_1"/>
    <w:basedOn w:val="NormalParagraphStyle"/>
    <w:rsid w:val="005E5023"/>
    <w:pPr>
      <w:suppressAutoHyphens/>
      <w:ind w:firstLine="283"/>
    </w:pPr>
    <w:rPr>
      <w:rFonts w:ascii="Verdana" w:hAnsi="Verdana" w:cs="Verdana"/>
      <w:spacing w:val="-7"/>
      <w:sz w:val="18"/>
      <w:szCs w:val="18"/>
      <w:lang w:val="en-US"/>
    </w:rPr>
  </w:style>
  <w:style w:type="paragraph" w:customStyle="1" w:styleId="af9">
    <w:name w:val="二级标题"/>
    <w:basedOn w:val="a"/>
    <w:rsid w:val="005E5023"/>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NormalParagraphStyle"/>
    <w:rsid w:val="005E5023"/>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uiPriority w:val="99"/>
    <w:rsid w:val="005E5023"/>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5E5023"/>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Noparagraphstyle">
    <w:name w:val="[No paragraph style]"/>
    <w:rsid w:val="005E5023"/>
    <w:pPr>
      <w:widowControl w:val="0"/>
      <w:autoSpaceDE w:val="0"/>
      <w:autoSpaceDN w:val="0"/>
      <w:adjustRightInd w:val="0"/>
      <w:spacing w:line="288" w:lineRule="auto"/>
      <w:jc w:val="both"/>
      <w:textAlignment w:val="center"/>
    </w:pPr>
    <w:rPr>
      <w:rFonts w:ascii="Albertus" w:hAnsi="Albertus"/>
      <w:color w:val="000000"/>
      <w:sz w:val="24"/>
      <w:szCs w:val="24"/>
      <w:lang w:val="zh-CN"/>
    </w:rPr>
  </w:style>
  <w:style w:type="paragraph" w:customStyle="1" w:styleId="afb">
    <w:name w:val="表头"/>
    <w:basedOn w:val="NormalParagraphStyle"/>
    <w:rsid w:val="005E5023"/>
    <w:pPr>
      <w:suppressAutoHyphens/>
    </w:pPr>
    <w:rPr>
      <w:rFonts w:ascii="Albertus" w:hAnsi="Albertus" w:cs="Albertus"/>
      <w:b/>
      <w:bCs/>
      <w:sz w:val="14"/>
      <w:szCs w:val="14"/>
    </w:rPr>
  </w:style>
  <w:style w:type="paragraph" w:customStyle="1" w:styleId="afc">
    <w:name w:val="表格中文字"/>
    <w:basedOn w:val="a"/>
    <w:rsid w:val="005E5023"/>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rsid w:val="005E5023"/>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5E5023"/>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5E5023"/>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6">
    <w:name w:val="嶌幰怣"/>
    <w:basedOn w:val="NormalParagraphStyle"/>
    <w:rsid w:val="005E5023"/>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5E5023"/>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5E5023"/>
    <w:pPr>
      <w:suppressAutoHyphens/>
    </w:pPr>
    <w:rPr>
      <w:rFonts w:ascii="Verdana" w:hAnsi="Verdana" w:cs="Verdana"/>
      <w:spacing w:val="-7"/>
      <w:sz w:val="18"/>
      <w:szCs w:val="18"/>
      <w:lang w:val="en-US"/>
    </w:rPr>
  </w:style>
  <w:style w:type="paragraph" w:customStyle="1" w:styleId="10">
    <w:name w:val="惓暥暥_1"/>
    <w:basedOn w:val="NormalParagraphStyle"/>
    <w:rsid w:val="005E5023"/>
    <w:pPr>
      <w:suppressAutoHyphens/>
      <w:ind w:firstLine="283"/>
    </w:pPr>
    <w:rPr>
      <w:rFonts w:ascii="Verdana" w:hAnsi="Verdana" w:cs="Verdana"/>
      <w:spacing w:val="-7"/>
      <w:sz w:val="18"/>
      <w:szCs w:val="18"/>
      <w:lang w:val="en-US"/>
    </w:rPr>
  </w:style>
  <w:style w:type="paragraph" w:customStyle="1" w:styleId="af9">
    <w:name w:val="二级标题"/>
    <w:basedOn w:val="a"/>
    <w:rsid w:val="005E5023"/>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NormalParagraphStyle"/>
    <w:rsid w:val="005E5023"/>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uiPriority w:val="99"/>
    <w:rsid w:val="005E5023"/>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5E5023"/>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Noparagraphstyle">
    <w:name w:val="[No paragraph style]"/>
    <w:rsid w:val="005E5023"/>
    <w:pPr>
      <w:widowControl w:val="0"/>
      <w:autoSpaceDE w:val="0"/>
      <w:autoSpaceDN w:val="0"/>
      <w:adjustRightInd w:val="0"/>
      <w:spacing w:line="288" w:lineRule="auto"/>
      <w:jc w:val="both"/>
      <w:textAlignment w:val="center"/>
    </w:pPr>
    <w:rPr>
      <w:rFonts w:ascii="Albertus" w:hAnsi="Albertus"/>
      <w:color w:val="000000"/>
      <w:sz w:val="24"/>
      <w:szCs w:val="24"/>
      <w:lang w:val="zh-CN"/>
    </w:rPr>
  </w:style>
  <w:style w:type="paragraph" w:customStyle="1" w:styleId="afb">
    <w:name w:val="表头"/>
    <w:basedOn w:val="NormalParagraphStyle"/>
    <w:rsid w:val="005E5023"/>
    <w:pPr>
      <w:suppressAutoHyphens/>
    </w:pPr>
    <w:rPr>
      <w:rFonts w:ascii="Albertus" w:hAnsi="Albertus" w:cs="Albertus"/>
      <w:b/>
      <w:bCs/>
      <w:sz w:val="14"/>
      <w:szCs w:val="14"/>
    </w:rPr>
  </w:style>
  <w:style w:type="paragraph" w:customStyle="1" w:styleId="afc">
    <w:name w:val="表格中文字"/>
    <w:basedOn w:val="a"/>
    <w:rsid w:val="005E5023"/>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rsid w:val="005E502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E8ABC-5158-41F1-8B03-6BAA12C43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19</Pages>
  <Words>6519</Words>
  <Characters>37163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43595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112</cp:revision>
  <cp:lastPrinted>2017-07-31T17:15:00Z</cp:lastPrinted>
  <dcterms:created xsi:type="dcterms:W3CDTF">2017-06-13T15:12:00Z</dcterms:created>
  <dcterms:modified xsi:type="dcterms:W3CDTF">2018-04-19T08:45:00Z</dcterms:modified>
</cp:coreProperties>
</file>