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EE2D2F" w:rsidRDefault="007F336B">
            <w:pPr>
              <w:spacing w:line="360" w:lineRule="auto"/>
              <w:rPr>
                <w:rFonts w:ascii="Book Antiqua" w:hAnsi="Book Antiqua"/>
                <w:color w:val="000000"/>
                <w:sz w:val="24"/>
                <w:szCs w:val="24"/>
              </w:rPr>
            </w:pPr>
            <w:r>
              <w:rPr>
                <w:rFonts w:ascii="Book Antiqua" w:hAnsi="Book Antiqua"/>
                <w:color w:val="000000"/>
                <w:sz w:val="24"/>
                <w:szCs w:val="24"/>
              </w:rPr>
              <w:t>Favorable clinical outcome of nonalcoholic liver cirrhosis patients with coronary artery disease: A population-based study</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EE2D2F" w:rsidRDefault="007F336B">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Ming-Chang Tsai, Tzu-Wei Yang, Chi-</w:t>
            </w:r>
            <w:proofErr w:type="spellStart"/>
            <w:r>
              <w:rPr>
                <w:rFonts w:ascii="Book Antiqua" w:hAnsi="Book Antiqua" w:cs="Book Antiqua"/>
                <w:color w:val="000000"/>
                <w:sz w:val="24"/>
                <w:szCs w:val="24"/>
              </w:rPr>
              <w:t>Chih</w:t>
            </w:r>
            <w:proofErr w:type="spellEnd"/>
            <w:r>
              <w:rPr>
                <w:rFonts w:ascii="Book Antiqua" w:hAnsi="Book Antiqua" w:cs="Book Antiqua"/>
                <w:color w:val="000000"/>
                <w:sz w:val="24"/>
                <w:szCs w:val="24"/>
              </w:rPr>
              <w:t xml:space="preserve"> Wang, Yao-Tung Wang, Wen-Wei Sung, Ming-</w:t>
            </w:r>
            <w:proofErr w:type="spellStart"/>
            <w:r>
              <w:rPr>
                <w:rFonts w:ascii="Book Antiqua" w:hAnsi="Book Antiqua" w:cs="Book Antiqua"/>
                <w:color w:val="000000"/>
                <w:sz w:val="24"/>
                <w:szCs w:val="24"/>
              </w:rPr>
              <w:t>Hseng</w:t>
            </w:r>
            <w:proofErr w:type="spellEnd"/>
            <w:r>
              <w:rPr>
                <w:rFonts w:ascii="Book Antiqua" w:hAnsi="Book Antiqua" w:cs="Book Antiqua"/>
                <w:color w:val="000000"/>
                <w:sz w:val="24"/>
                <w:szCs w:val="24"/>
              </w:rPr>
              <w:t xml:space="preserve"> Tseng and Chun-</w:t>
            </w:r>
            <w:proofErr w:type="spellStart"/>
            <w:r>
              <w:rPr>
                <w:rFonts w:ascii="Book Antiqua" w:hAnsi="Book Antiqua" w:cs="Book Antiqua"/>
                <w:color w:val="000000"/>
                <w:sz w:val="24"/>
                <w:szCs w:val="24"/>
              </w:rPr>
              <w:t>Che</w:t>
            </w:r>
            <w:proofErr w:type="spellEnd"/>
            <w:r>
              <w:rPr>
                <w:rFonts w:ascii="Book Antiqua" w:hAnsi="Book Antiqua" w:cs="Book Antiqua"/>
                <w:color w:val="000000"/>
                <w:sz w:val="24"/>
                <w:szCs w:val="24"/>
              </w:rPr>
              <w:t xml:space="preserve"> Lin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EE2D2F" w:rsidRDefault="007F336B">
            <w:pPr>
              <w:pStyle w:val="af4"/>
              <w:spacing w:line="360" w:lineRule="auto"/>
              <w:rPr>
                <w:rFonts w:ascii="Book Antiqua" w:hAnsi="Book Antiqua"/>
                <w:sz w:val="24"/>
                <w:szCs w:val="24"/>
                <w:lang w:val="zh-CN"/>
              </w:rPr>
            </w:pPr>
            <w:r w:rsidRPr="00E86230">
              <w:rPr>
                <w:rFonts w:ascii="Book Antiqua" w:hAnsi="Book Antiqua"/>
                <w:sz w:val="24"/>
                <w:szCs w:val="24"/>
              </w:rPr>
              <w:t xml:space="preserve">Tsai MC, Yang TW, Wang CC, Wang YT, Sung WW, Tseng MH, Lin CC. Favorable clinical outcome of nonalcoholic liver cirrhosis </w:t>
            </w:r>
            <w:r w:rsidRPr="00E86230">
              <w:rPr>
                <w:rFonts w:ascii="Book Antiqua" w:hAnsi="Book Antiqua"/>
                <w:sz w:val="24"/>
                <w:szCs w:val="24"/>
              </w:rPr>
              <w:t xml:space="preserve">patients with coronary artery disease: A population-based study. </w:t>
            </w:r>
            <w:r>
              <w:rPr>
                <w:rFonts w:ascii="Book Antiqua" w:hAnsi="Book Antiqua"/>
                <w:sz w:val="24"/>
                <w:szCs w:val="24"/>
                <w:lang w:val="zh-CN"/>
              </w:rPr>
              <w:t>World J Gastroenterol 2018; 24(31): 3547-3555</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EE2D2F" w:rsidRDefault="007F336B">
            <w:pPr>
              <w:pStyle w:val="af3"/>
              <w:spacing w:line="360" w:lineRule="auto"/>
              <w:rPr>
                <w:rFonts w:ascii="Book Antiqua" w:hAnsi="Book Antiqua"/>
                <w:b w:val="0"/>
                <w:bCs w:val="0"/>
                <w:sz w:val="24"/>
                <w:szCs w:val="24"/>
                <w:lang w:val="en-US"/>
              </w:rPr>
            </w:pPr>
            <w:r w:rsidRPr="00E86230">
              <w:rPr>
                <w:rFonts w:ascii="Book Antiqua" w:hAnsi="Book Antiqua"/>
                <w:b w:val="0"/>
                <w:sz w:val="24"/>
                <w:szCs w:val="24"/>
                <w:lang w:val="en-US"/>
              </w:rPr>
              <w:t>http://www.wjgnet.com/1007-9327/full/v24/i31/3547.htm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EE2D2F" w:rsidRDefault="007F336B">
            <w:pPr>
              <w:pStyle w:val="af3"/>
              <w:spacing w:line="360" w:lineRule="auto"/>
              <w:rPr>
                <w:rFonts w:ascii="Book Antiqua" w:hAnsi="Book Antiqua"/>
                <w:b w:val="0"/>
                <w:bCs w:val="0"/>
                <w:sz w:val="24"/>
                <w:szCs w:val="24"/>
                <w:lang w:val="en-US"/>
              </w:rPr>
            </w:pPr>
            <w:r w:rsidRPr="00E86230">
              <w:rPr>
                <w:rFonts w:ascii="Book Antiqua" w:hAnsi="Book Antiqua"/>
                <w:b w:val="0"/>
                <w:sz w:val="24"/>
                <w:szCs w:val="24"/>
                <w:lang w:val="en-US"/>
              </w:rPr>
              <w:t>http://dx.doi.org/10.3748/wjg.v24.i31.3547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EE2D2F" w:rsidRDefault="007F336B">
            <w:pPr>
              <w:pStyle w:val="ad"/>
              <w:spacing w:line="360" w:lineRule="auto"/>
              <w:rPr>
                <w:rFonts w:ascii="Book Antiqua" w:hAnsi="Book Antiqua"/>
                <w:color w:val="000000"/>
                <w:sz w:val="24"/>
                <w:szCs w:val="24"/>
                <w:lang w:val="zh-CN"/>
              </w:rPr>
            </w:pPr>
            <w:r w:rsidRPr="00E86230">
              <w:rPr>
                <w:rFonts w:ascii="Book Antiqua" w:hAnsi="Book Antiqua"/>
                <w:color w:val="000000"/>
                <w:sz w:val="24"/>
                <w:szCs w:val="24"/>
              </w:rPr>
              <w:t xml:space="preserve">This article is an </w:t>
            </w:r>
            <w:r w:rsidRPr="00E86230">
              <w:rPr>
                <w:rFonts w:ascii="Book Antiqua" w:hAnsi="Book Antiqua"/>
                <w:color w:val="000000"/>
                <w:sz w:val="24"/>
                <w:szCs w:val="24"/>
              </w:rPr>
              <w:t>open-access article which was selected by an in-house editor and fully peer-reviewed by external reviewers. It is distributed in accordance with the Creative Commons Attribution Non Commercial (CC BY-NC 4.0) license, which permits others to distribute, rem</w:t>
            </w:r>
            <w:r w:rsidRPr="00E86230">
              <w:rPr>
                <w:rFonts w:ascii="Book Antiqua" w:hAnsi="Book Antiqua"/>
                <w:color w:val="000000"/>
                <w:sz w:val="24"/>
                <w:szCs w:val="24"/>
              </w:rPr>
              <w:t xml:space="preserve">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 xml:space="preserve">See: </w:t>
            </w:r>
            <w:r>
              <w:rPr>
                <w:rFonts w:ascii="Book Antiqua" w:hAnsi="Book Antiqua"/>
                <w:color w:val="000000"/>
                <w:sz w:val="24"/>
                <w:szCs w:val="24"/>
                <w:lang w:val="zh-CN"/>
              </w:rPr>
              <w:lastRenderedPageBreak/>
              <w:t>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EE2D2F" w:rsidRDefault="007F336B">
            <w:pPr>
              <w:pStyle w:val="E-1"/>
              <w:spacing w:line="360" w:lineRule="auto"/>
              <w:rPr>
                <w:rFonts w:ascii="Book Antiqua" w:hAnsi="Book Antiqua"/>
                <w:bCs/>
                <w:sz w:val="24"/>
                <w:szCs w:val="24"/>
              </w:rPr>
            </w:pPr>
            <w:r>
              <w:rPr>
                <w:rFonts w:ascii="Book Antiqua" w:hAnsi="Book Antiqua"/>
                <w:sz w:val="24"/>
                <w:szCs w:val="24"/>
              </w:rPr>
              <w:t xml:space="preserve">Coronary </w:t>
            </w:r>
            <w:r>
              <w:rPr>
                <w:rFonts w:ascii="Book Antiqua" w:hAnsi="Book Antiqua"/>
                <w:sz w:val="24"/>
                <w:szCs w:val="24"/>
              </w:rPr>
              <w:t xml:space="preserve">artery disease (CAD) is less prevalent and associated with a reduced risk of mortality in nonalcoholic liver cirrhosis (LC) patients. Nonalcoholic LC patients with CAD exhibit an increased six-year survival rate compared to cirrhotic patients without CAD. </w:t>
            </w:r>
            <w:r>
              <w:rPr>
                <w:rFonts w:ascii="Book Antiqua" w:hAnsi="Book Antiqua"/>
                <w:sz w:val="24"/>
                <w:szCs w:val="24"/>
              </w:rPr>
              <w:t>The LC complication rates did not differ between nonalcoholic LC patients with and without CAD. Of note, nonalcoholic LC patients with ascites or peritonitis exhibited the highest risk of mortality among LC complications.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EE2D2F" w:rsidRDefault="007F336B">
            <w:pPr>
              <w:pStyle w:val="E-1"/>
              <w:spacing w:line="360" w:lineRule="auto"/>
              <w:rPr>
                <w:rFonts w:ascii="Book Antiqua" w:hAnsi="Book Antiqua"/>
                <w:spacing w:val="-4"/>
                <w:sz w:val="24"/>
                <w:szCs w:val="24"/>
              </w:rPr>
            </w:pPr>
            <w:r>
              <w:rPr>
                <w:rFonts w:ascii="Book Antiqua" w:hAnsi="Book Antiqua"/>
                <w:sz w:val="24"/>
                <w:szCs w:val="24"/>
              </w:rPr>
              <w:t>Nonalcoholic liver cirr</w:t>
            </w:r>
            <w:r>
              <w:rPr>
                <w:rFonts w:ascii="Book Antiqua" w:hAnsi="Book Antiqua"/>
                <w:sz w:val="24"/>
                <w:szCs w:val="24"/>
              </w:rPr>
              <w:t>hosis, Coronary artery disease,  and Population-based study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EE2D2F" w:rsidRDefault="007F336B">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EE2D2F" w:rsidRDefault="007F336B">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EE2D2F" w:rsidRDefault="007F336B">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EE2D2F" w:rsidRDefault="007F336B">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w:t>
            </w:r>
            <w:r>
              <w:rPr>
                <w:rFonts w:ascii="Book Antiqua" w:hAnsi="Book Antiqua"/>
                <w:color w:val="000000"/>
                <w:sz w:val="24"/>
                <w:szCs w:val="24"/>
              </w:rPr>
              <w:t xml:space="preserve">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EE2D2F" w:rsidRDefault="007F336B">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E86230" w:rsidRDefault="00E86230" w:rsidP="00B657F9">
      <w:pPr>
        <w:rPr>
          <w:rFonts w:hint="eastAsia"/>
        </w:rPr>
      </w:pPr>
    </w:p>
    <w:p w:rsidR="00E86230" w:rsidRDefault="00E86230" w:rsidP="00B657F9">
      <w:pPr>
        <w:rPr>
          <w:rFonts w:hint="eastAsia"/>
        </w:rPr>
      </w:pPr>
    </w:p>
    <w:p w:rsidR="00E86230" w:rsidRDefault="00E86230" w:rsidP="00B657F9">
      <w:pPr>
        <w:rPr>
          <w:rFonts w:hint="eastAsia"/>
        </w:rPr>
      </w:pPr>
    </w:p>
    <w:p w:rsidR="00E86230" w:rsidRDefault="00E86230" w:rsidP="00B657F9">
      <w:pPr>
        <w:rPr>
          <w:rFonts w:hint="eastAsia"/>
        </w:rPr>
      </w:pPr>
    </w:p>
    <w:p w:rsidR="00E86230" w:rsidRPr="008622BB" w:rsidRDefault="00E86230" w:rsidP="00E86230">
      <w:pPr>
        <w:rPr>
          <w:b/>
          <w:bCs/>
        </w:rPr>
      </w:pPr>
      <w:r>
        <w:lastRenderedPageBreak/>
        <w:t xml:space="preserve">Ms. </w:t>
      </w:r>
      <w:proofErr w:type="spellStart"/>
      <w:r>
        <w:t>wjg</w:t>
      </w:r>
      <w:proofErr w:type="spellEnd"/>
      <w:r>
        <w:t xml:space="preserve">/20XX                                           </w:t>
      </w:r>
      <w:r w:rsidRPr="008622BB">
        <w:rPr>
          <w:b/>
          <w:bCs/>
        </w:rPr>
        <w:t>Retrospective Cohort Study</w:t>
      </w:r>
    </w:p>
    <w:p w:rsidR="00E86230" w:rsidRDefault="00E86230" w:rsidP="00E86230">
      <w:pPr>
        <w:rPr>
          <w:rFonts w:hint="eastAsia"/>
        </w:rPr>
      </w:pPr>
    </w:p>
    <w:p w:rsidR="00E86230" w:rsidRPr="008622BB" w:rsidRDefault="00E86230" w:rsidP="00E86230">
      <w:pPr>
        <w:pStyle w:val="af3"/>
        <w:rPr>
          <w:lang w:val="en-US"/>
        </w:rPr>
      </w:pPr>
      <w:r w:rsidRPr="008622BB">
        <w:rPr>
          <w:lang w:val="en-US"/>
        </w:rPr>
        <w:t>Favorable clinical outcome of nonalcoholic liver cirrhosis patients with coronary artery disease: A population-based study</w:t>
      </w:r>
    </w:p>
    <w:p w:rsidR="00E86230" w:rsidRDefault="00E86230" w:rsidP="00E86230">
      <w:pPr>
        <w:rPr>
          <w:rFonts w:hint="eastAsia"/>
        </w:rPr>
      </w:pPr>
    </w:p>
    <w:p w:rsidR="00E86230" w:rsidRPr="008622BB" w:rsidRDefault="00E86230" w:rsidP="00E86230">
      <w:pPr>
        <w:pStyle w:val="af5"/>
        <w:rPr>
          <w:spacing w:val="2"/>
          <w:lang w:val="en-US"/>
        </w:rPr>
      </w:pPr>
      <w:r w:rsidRPr="008622BB">
        <w:rPr>
          <w:spacing w:val="2"/>
          <w:lang w:val="en-US"/>
        </w:rPr>
        <w:t>Ming-Chang Tsai, Tzu-Wei Yang, Chi-</w:t>
      </w:r>
      <w:proofErr w:type="spellStart"/>
      <w:r w:rsidRPr="008622BB">
        <w:rPr>
          <w:spacing w:val="2"/>
          <w:lang w:val="en-US"/>
        </w:rPr>
        <w:t>Chih</w:t>
      </w:r>
      <w:proofErr w:type="spellEnd"/>
      <w:r w:rsidRPr="008622BB">
        <w:rPr>
          <w:spacing w:val="2"/>
          <w:lang w:val="en-US"/>
        </w:rPr>
        <w:t xml:space="preserve"> Wang, Yao-Tung Wang, Wen-Wei Sung, Ming-</w:t>
      </w:r>
      <w:proofErr w:type="spellStart"/>
      <w:r w:rsidRPr="008622BB">
        <w:rPr>
          <w:spacing w:val="2"/>
          <w:lang w:val="en-US"/>
        </w:rPr>
        <w:t>Hseng</w:t>
      </w:r>
      <w:proofErr w:type="spellEnd"/>
      <w:r w:rsidRPr="008622BB">
        <w:rPr>
          <w:spacing w:val="2"/>
          <w:lang w:val="en-US"/>
        </w:rPr>
        <w:t xml:space="preserve"> Tseng, Chun-</w:t>
      </w:r>
      <w:proofErr w:type="spellStart"/>
      <w:r w:rsidRPr="008622BB">
        <w:rPr>
          <w:spacing w:val="2"/>
          <w:lang w:val="en-US"/>
        </w:rPr>
        <w:t>Che</w:t>
      </w:r>
      <w:proofErr w:type="spellEnd"/>
      <w:r w:rsidRPr="008622BB">
        <w:rPr>
          <w:spacing w:val="2"/>
          <w:lang w:val="en-US"/>
        </w:rPr>
        <w:t xml:space="preserve"> Lin</w:t>
      </w:r>
    </w:p>
    <w:p w:rsidR="00E86230" w:rsidRDefault="00E86230" w:rsidP="00E86230">
      <w:pPr>
        <w:rPr>
          <w:rFonts w:hint="eastAsia"/>
        </w:rPr>
      </w:pPr>
    </w:p>
    <w:p w:rsidR="00E86230" w:rsidRDefault="00E86230" w:rsidP="00E86230">
      <w:pPr>
        <w:pStyle w:val="af6"/>
      </w:pPr>
      <w:r>
        <w:rPr>
          <w:rFonts w:ascii="Tahoma" w:hAnsi="Tahoma" w:cs="Tahoma"/>
        </w:rPr>
        <w:t>Ming-Chang Tsai, Tzu-Wei Yang, Chi-</w:t>
      </w:r>
      <w:proofErr w:type="spellStart"/>
      <w:r>
        <w:rPr>
          <w:rFonts w:ascii="Tahoma" w:hAnsi="Tahoma" w:cs="Tahoma"/>
        </w:rPr>
        <w:t>Chih</w:t>
      </w:r>
      <w:proofErr w:type="spellEnd"/>
      <w:r>
        <w:rPr>
          <w:rFonts w:ascii="Tahoma" w:hAnsi="Tahoma" w:cs="Tahoma"/>
        </w:rPr>
        <w:t xml:space="preserve"> Wang, Chun-</w:t>
      </w:r>
      <w:proofErr w:type="spellStart"/>
      <w:r>
        <w:rPr>
          <w:rFonts w:ascii="Tahoma" w:hAnsi="Tahoma" w:cs="Tahoma"/>
        </w:rPr>
        <w:t>Che</w:t>
      </w:r>
      <w:proofErr w:type="spellEnd"/>
      <w:r>
        <w:rPr>
          <w:rFonts w:ascii="Tahoma" w:hAnsi="Tahoma" w:cs="Tahoma"/>
        </w:rPr>
        <w:t xml:space="preserve"> Lin,</w:t>
      </w:r>
      <w:r>
        <w:t xml:space="preserve"> Division of Gastroenterology and </w:t>
      </w:r>
      <w:proofErr w:type="spellStart"/>
      <w:r>
        <w:t>Hepatology</w:t>
      </w:r>
      <w:proofErr w:type="spellEnd"/>
      <w:r>
        <w:t>, Department of Internal Medicine, Chung Shan Medical University Hospital, Taichung 402, Taiwan</w:t>
      </w:r>
    </w:p>
    <w:p w:rsidR="00E86230" w:rsidRDefault="00E86230" w:rsidP="00E86230">
      <w:pPr>
        <w:pStyle w:val="af6"/>
      </w:pPr>
      <w:r>
        <w:rPr>
          <w:rFonts w:ascii="Tahoma" w:hAnsi="Tahoma" w:cs="Tahoma"/>
        </w:rPr>
        <w:t>Ming-Chang Tsai, Chi-</w:t>
      </w:r>
      <w:proofErr w:type="spellStart"/>
      <w:r>
        <w:rPr>
          <w:rFonts w:ascii="Tahoma" w:hAnsi="Tahoma" w:cs="Tahoma"/>
        </w:rPr>
        <w:t>Chih</w:t>
      </w:r>
      <w:proofErr w:type="spellEnd"/>
      <w:r>
        <w:rPr>
          <w:rFonts w:ascii="Tahoma" w:hAnsi="Tahoma" w:cs="Tahoma"/>
        </w:rPr>
        <w:t xml:space="preserve"> Wang, Yao-Tung Wang, Wen-Wei Sung, Chun-</w:t>
      </w:r>
      <w:proofErr w:type="spellStart"/>
      <w:r>
        <w:rPr>
          <w:rFonts w:ascii="Tahoma" w:hAnsi="Tahoma" w:cs="Tahoma"/>
        </w:rPr>
        <w:t>Che</w:t>
      </w:r>
      <w:proofErr w:type="spellEnd"/>
      <w:r>
        <w:rPr>
          <w:rFonts w:ascii="Tahoma" w:hAnsi="Tahoma" w:cs="Tahoma"/>
        </w:rPr>
        <w:t xml:space="preserve"> Lin,</w:t>
      </w:r>
      <w:r>
        <w:t xml:space="preserve"> Institute of Medicine, Chung Shan Medical University, Taichung 402, Taiwan</w:t>
      </w:r>
    </w:p>
    <w:p w:rsidR="00E86230" w:rsidRDefault="00E86230" w:rsidP="00E86230">
      <w:pPr>
        <w:pStyle w:val="af6"/>
      </w:pPr>
      <w:r>
        <w:rPr>
          <w:rFonts w:ascii="Tahoma" w:hAnsi="Tahoma" w:cs="Tahoma"/>
        </w:rPr>
        <w:t>Ming-Chang Tsai, Tzu-Wei Yang, Chi-</w:t>
      </w:r>
      <w:proofErr w:type="spellStart"/>
      <w:r>
        <w:rPr>
          <w:rFonts w:ascii="Tahoma" w:hAnsi="Tahoma" w:cs="Tahoma"/>
        </w:rPr>
        <w:t>Chih</w:t>
      </w:r>
      <w:proofErr w:type="spellEnd"/>
      <w:r>
        <w:rPr>
          <w:rFonts w:ascii="Tahoma" w:hAnsi="Tahoma" w:cs="Tahoma"/>
        </w:rPr>
        <w:t xml:space="preserve"> Wang, Wen-Wei Sung, Ming-</w:t>
      </w:r>
      <w:proofErr w:type="spellStart"/>
      <w:r>
        <w:rPr>
          <w:rFonts w:ascii="Tahoma" w:hAnsi="Tahoma" w:cs="Tahoma"/>
        </w:rPr>
        <w:t>Hseng</w:t>
      </w:r>
      <w:proofErr w:type="spellEnd"/>
      <w:r>
        <w:rPr>
          <w:rFonts w:ascii="Tahoma" w:hAnsi="Tahoma" w:cs="Tahoma"/>
        </w:rPr>
        <w:t xml:space="preserve"> Tseng, Chun-</w:t>
      </w:r>
      <w:proofErr w:type="spellStart"/>
      <w:r>
        <w:rPr>
          <w:rFonts w:ascii="Tahoma" w:hAnsi="Tahoma" w:cs="Tahoma"/>
        </w:rPr>
        <w:t>Che</w:t>
      </w:r>
      <w:proofErr w:type="spellEnd"/>
      <w:r>
        <w:rPr>
          <w:rFonts w:ascii="Tahoma" w:hAnsi="Tahoma" w:cs="Tahoma"/>
        </w:rPr>
        <w:t xml:space="preserve"> Lin,</w:t>
      </w:r>
      <w:r>
        <w:t xml:space="preserve"> School of Medicine, Chung Shan Medical University, Taichung 402, Taiwan</w:t>
      </w:r>
    </w:p>
    <w:p w:rsidR="00E86230" w:rsidRDefault="00E86230" w:rsidP="00E86230">
      <w:pPr>
        <w:pStyle w:val="af6"/>
      </w:pPr>
      <w:r>
        <w:rPr>
          <w:rFonts w:ascii="Tahoma" w:hAnsi="Tahoma" w:cs="Tahoma"/>
        </w:rPr>
        <w:t>Tzu-Wei Yang,</w:t>
      </w:r>
      <w:r>
        <w:t xml:space="preserve"> Institute and Department of Biological Science and Technology, National </w:t>
      </w:r>
      <w:proofErr w:type="spellStart"/>
      <w:r>
        <w:t>Chiao</w:t>
      </w:r>
      <w:proofErr w:type="spellEnd"/>
      <w:r>
        <w:t xml:space="preserve"> Tung University, </w:t>
      </w:r>
      <w:proofErr w:type="spellStart"/>
      <w:r>
        <w:t>Hsinchu</w:t>
      </w:r>
      <w:proofErr w:type="spellEnd"/>
      <w:r>
        <w:t xml:space="preserve"> 300, Taiwan</w:t>
      </w:r>
    </w:p>
    <w:p w:rsidR="00E86230" w:rsidRDefault="00E86230" w:rsidP="00E86230">
      <w:pPr>
        <w:pStyle w:val="af6"/>
      </w:pPr>
      <w:r>
        <w:rPr>
          <w:rFonts w:ascii="Tahoma" w:hAnsi="Tahoma" w:cs="Tahoma"/>
        </w:rPr>
        <w:t>Yao-Tung Wang,</w:t>
      </w:r>
      <w:r>
        <w:t xml:space="preserve"> Division of Pulmonary Medicine, Chung Shan Medical University Hospital, Taichung 402, Taiwan</w:t>
      </w:r>
    </w:p>
    <w:p w:rsidR="00E86230" w:rsidRDefault="00E86230" w:rsidP="00E86230">
      <w:pPr>
        <w:pStyle w:val="af6"/>
      </w:pPr>
      <w:r>
        <w:rPr>
          <w:rFonts w:ascii="Tahoma" w:hAnsi="Tahoma" w:cs="Tahoma"/>
        </w:rPr>
        <w:t>Wen-Wei Sung,</w:t>
      </w:r>
      <w:r>
        <w:t xml:space="preserve"> Department of Urology, Chung Shan Medical University Hospital, Taichung 402, Taiwan</w:t>
      </w:r>
    </w:p>
    <w:p w:rsidR="00E86230" w:rsidRDefault="00E86230" w:rsidP="00E86230">
      <w:pPr>
        <w:pStyle w:val="af6"/>
      </w:pPr>
      <w:r>
        <w:rPr>
          <w:rFonts w:ascii="Tahoma" w:hAnsi="Tahoma" w:cs="Tahoma"/>
        </w:rPr>
        <w:t>Ming-</w:t>
      </w:r>
      <w:proofErr w:type="spellStart"/>
      <w:r>
        <w:rPr>
          <w:rFonts w:ascii="Tahoma" w:hAnsi="Tahoma" w:cs="Tahoma"/>
        </w:rPr>
        <w:t>Hseng</w:t>
      </w:r>
      <w:proofErr w:type="spellEnd"/>
      <w:r>
        <w:rPr>
          <w:rFonts w:ascii="Tahoma" w:hAnsi="Tahoma" w:cs="Tahoma"/>
        </w:rPr>
        <w:t xml:space="preserve"> Tseng,</w:t>
      </w:r>
      <w:r>
        <w:t xml:space="preserve"> Department of Medical Informatics, Chung Shan Medical University, Taichung 402, Taiwan</w:t>
      </w:r>
    </w:p>
    <w:p w:rsidR="00E86230" w:rsidRDefault="00E86230" w:rsidP="00E86230">
      <w:pPr>
        <w:pStyle w:val="NormalParagraphStyle"/>
        <w:rPr>
          <w:rFonts w:ascii="Times New Roman" w:hAnsi="Times New Roman" w:cs="Times New Roman"/>
          <w:spacing w:val="-2"/>
          <w:sz w:val="18"/>
          <w:szCs w:val="18"/>
          <w:lang w:val="en-US"/>
        </w:rPr>
      </w:pPr>
      <w:r w:rsidRPr="008622BB">
        <w:rPr>
          <w:rFonts w:ascii="Tahoma" w:hAnsi="Tahoma" w:cs="Tahoma"/>
          <w:sz w:val="18"/>
          <w:szCs w:val="18"/>
          <w:lang w:val="en-US"/>
        </w:rPr>
        <w:t xml:space="preserve">Author contributions: </w:t>
      </w:r>
      <w:r>
        <w:rPr>
          <w:rFonts w:ascii="Times New Roman" w:hAnsi="Times New Roman" w:cs="Times New Roman"/>
          <w:spacing w:val="-2"/>
          <w:sz w:val="18"/>
          <w:szCs w:val="18"/>
          <w:lang w:val="en-US"/>
        </w:rPr>
        <w:t>All authors reviewed the manuscript and completed final approval; Tsai MC, Yang TW, Tseng MH and Lin CC contributed to study concept and design; Tsai MC, Yang TW and Tseng MH acquired the data; Tsai MC, Yang TW, Wang YT</w:t>
      </w:r>
      <w:r w:rsidRPr="008622BB">
        <w:rPr>
          <w:rFonts w:ascii="KozMinPro-Regular" w:eastAsia="KozMinPro-Regular" w:cs="KozMinPro-Regular"/>
          <w:spacing w:val="-2"/>
          <w:sz w:val="18"/>
          <w:szCs w:val="18"/>
          <w:lang w:val="en-US"/>
        </w:rPr>
        <w:t>,</w:t>
      </w:r>
      <w:r>
        <w:rPr>
          <w:rFonts w:ascii="Times New Roman" w:hAnsi="Times New Roman" w:cs="Times New Roman"/>
          <w:spacing w:val="-2"/>
          <w:sz w:val="18"/>
          <w:szCs w:val="18"/>
          <w:lang w:val="en-US"/>
        </w:rPr>
        <w:t xml:space="preserve"> Sung WW, Tseng MH and Lin CC analyzed and interpreted the data; Tsai MC and Yang TW wrote the manuscript daft; Tsai MC, Yang TW, Wang CC, Wang YT</w:t>
      </w:r>
      <w:r w:rsidRPr="008622BB">
        <w:rPr>
          <w:rFonts w:ascii="KozMinPro-Regular" w:eastAsia="KozMinPro-Regular" w:cs="KozMinPro-Regular"/>
          <w:spacing w:val="-2"/>
          <w:sz w:val="18"/>
          <w:szCs w:val="18"/>
          <w:lang w:val="en-US"/>
        </w:rPr>
        <w:t>,</w:t>
      </w:r>
      <w:r>
        <w:rPr>
          <w:rFonts w:ascii="Times New Roman" w:hAnsi="Times New Roman" w:cs="Times New Roman"/>
          <w:spacing w:val="-2"/>
          <w:sz w:val="18"/>
          <w:szCs w:val="18"/>
          <w:lang w:val="en-US"/>
        </w:rPr>
        <w:t xml:space="preserve"> Sung WW, Tseng MH and Lin CC made critical revision on the manuscript for important intellectual content; Tsai MC, Yang TW and Tseng MH performed statistical analysis; Lin CC obtained funding; Tseng MH and Lin CC contributed to study supervision.</w:t>
      </w:r>
    </w:p>
    <w:p w:rsidR="00E86230" w:rsidRDefault="00E86230" w:rsidP="00E86230">
      <w:pPr>
        <w:pStyle w:val="af6"/>
      </w:pPr>
      <w:proofErr w:type="gramStart"/>
      <w:r w:rsidRPr="008622BB">
        <w:rPr>
          <w:rFonts w:ascii="Tahoma" w:hAnsi="Tahoma" w:cs="Tahoma"/>
          <w:spacing w:val="0"/>
        </w:rPr>
        <w:t>Supported by</w:t>
      </w:r>
      <w:r>
        <w:t xml:space="preserve"> Chung Shan Medical University Hospital, Taichung, Taiwan, No.</w:t>
      </w:r>
      <w:proofErr w:type="gramEnd"/>
      <w:r>
        <w:t xml:space="preserve"> </w:t>
      </w:r>
      <w:proofErr w:type="spellStart"/>
      <w:proofErr w:type="gramStart"/>
      <w:r>
        <w:t>CSH</w:t>
      </w:r>
      <w:proofErr w:type="spellEnd"/>
      <w:r>
        <w:t>- 2013-C-032.</w:t>
      </w:r>
      <w:proofErr w:type="gramEnd"/>
      <w:r>
        <w:t xml:space="preserve"> </w:t>
      </w:r>
    </w:p>
    <w:p w:rsidR="00E86230" w:rsidRDefault="00E86230" w:rsidP="00E86230">
      <w:pPr>
        <w:pStyle w:val="af6"/>
      </w:pPr>
      <w:r w:rsidRPr="008622BB">
        <w:rPr>
          <w:rFonts w:ascii="Tahoma" w:hAnsi="Tahoma" w:cs="Tahoma"/>
          <w:spacing w:val="0"/>
        </w:rPr>
        <w:t>Correspondence to:</w:t>
      </w:r>
      <w:r>
        <w:t xml:space="preserve"> </w:t>
      </w:r>
      <w:r>
        <w:rPr>
          <w:rFonts w:ascii="Tahoma" w:hAnsi="Tahoma" w:cs="Tahoma"/>
        </w:rPr>
        <w:t>Chun-</w:t>
      </w:r>
      <w:proofErr w:type="spellStart"/>
      <w:r>
        <w:rPr>
          <w:rFonts w:ascii="Tahoma" w:hAnsi="Tahoma" w:cs="Tahoma"/>
        </w:rPr>
        <w:t>Che</w:t>
      </w:r>
      <w:proofErr w:type="spellEnd"/>
      <w:r>
        <w:rPr>
          <w:rFonts w:ascii="Tahoma" w:hAnsi="Tahoma" w:cs="Tahoma"/>
        </w:rPr>
        <w:t xml:space="preserve"> Lin, MD, PhD, Professor, </w:t>
      </w:r>
      <w:r>
        <w:t xml:space="preserve">Division of Gastroenterology and </w:t>
      </w:r>
      <w:proofErr w:type="spellStart"/>
      <w:r>
        <w:t>Hepatology</w:t>
      </w:r>
      <w:proofErr w:type="spellEnd"/>
      <w:r>
        <w:t xml:space="preserve">, Department of Internal Medicine, Chung Shan Medical University Hospital, No.110, Sec. 1, </w:t>
      </w:r>
      <w:proofErr w:type="spellStart"/>
      <w:r>
        <w:t>Jianguo</w:t>
      </w:r>
      <w:proofErr w:type="spellEnd"/>
      <w:r>
        <w:t xml:space="preserve"> N. Rd., South Dist., Taichung 402, Taiwan. forest65@csmu.edu.tw</w:t>
      </w:r>
    </w:p>
    <w:p w:rsidR="00E86230" w:rsidRDefault="00E86230" w:rsidP="00E86230">
      <w:pPr>
        <w:pStyle w:val="af6"/>
      </w:pPr>
      <w:r w:rsidRPr="008622BB">
        <w:rPr>
          <w:rFonts w:ascii="Tahoma" w:hAnsi="Tahoma" w:cs="Tahoma"/>
          <w:spacing w:val="0"/>
        </w:rPr>
        <w:t>Telephone:</w:t>
      </w:r>
      <w:r>
        <w:t xml:space="preserve"> +886-4-24739595</w:t>
      </w:r>
      <w:r>
        <w:rPr>
          <w:rFonts w:hint="eastAsia"/>
        </w:rPr>
        <w:t xml:space="preserve">   </w:t>
      </w:r>
      <w:r w:rsidRPr="008622BB">
        <w:rPr>
          <w:rFonts w:ascii="Tahoma" w:hAnsi="Tahoma" w:cs="Tahoma"/>
          <w:spacing w:val="0"/>
        </w:rPr>
        <w:t>Fax:</w:t>
      </w:r>
      <w:r>
        <w:t xml:space="preserve"> +886-4-24739220</w:t>
      </w:r>
    </w:p>
    <w:p w:rsidR="00E86230" w:rsidRDefault="00E86230" w:rsidP="00E86230">
      <w:pPr>
        <w:pStyle w:val="af6"/>
      </w:pPr>
      <w:r>
        <w:rPr>
          <w:rFonts w:ascii="Tahoma" w:hAnsi="Tahoma" w:cs="Tahoma"/>
        </w:rPr>
        <w:t>Received:</w:t>
      </w:r>
      <w:r>
        <w:t xml:space="preserve"> April 19, 2018</w:t>
      </w:r>
      <w:r>
        <w:rPr>
          <w:rFonts w:hint="eastAsia"/>
        </w:rPr>
        <w:t xml:space="preserve">   </w:t>
      </w:r>
      <w:r>
        <w:rPr>
          <w:rFonts w:ascii="Tahoma" w:hAnsi="Tahoma" w:cs="Tahoma"/>
        </w:rPr>
        <w:t>Revised:</w:t>
      </w:r>
      <w:r>
        <w:t xml:space="preserve"> July 11, 2018 </w:t>
      </w:r>
      <w:r>
        <w:rPr>
          <w:rFonts w:hint="eastAsia"/>
        </w:rPr>
        <w:t xml:space="preserve">   </w:t>
      </w:r>
      <w:r>
        <w:rPr>
          <w:rFonts w:ascii="Tahoma" w:hAnsi="Tahoma" w:cs="Tahoma"/>
        </w:rPr>
        <w:t>Accepted:</w:t>
      </w:r>
      <w:r>
        <w:t xml:space="preserve"> July 16, 2018</w:t>
      </w:r>
    </w:p>
    <w:p w:rsidR="00E86230" w:rsidRPr="008622BB" w:rsidRDefault="00E86230" w:rsidP="00E86230">
      <w:pPr>
        <w:pStyle w:val="NormalParagraphStyle"/>
        <w:suppressAutoHyphens/>
        <w:rPr>
          <w:rFonts w:ascii="Book Antiqua" w:hAnsi="Book Antiqua" w:cs="Book Antiqua"/>
          <w:b/>
          <w:bCs/>
          <w:lang w:val="en-US"/>
        </w:rPr>
      </w:pPr>
      <w:r w:rsidRPr="008622BB">
        <w:rPr>
          <w:rFonts w:ascii="Tahoma" w:hAnsi="Tahoma" w:cs="Tahoma"/>
          <w:sz w:val="18"/>
          <w:szCs w:val="18"/>
          <w:lang w:val="en-US"/>
        </w:rPr>
        <w:t xml:space="preserve">Published online: </w:t>
      </w:r>
      <w:r w:rsidRPr="008622BB">
        <w:rPr>
          <w:rFonts w:ascii="Times New Roman" w:hAnsi="Times New Roman" w:cs="Times New Roman"/>
          <w:sz w:val="18"/>
          <w:szCs w:val="18"/>
          <w:lang w:val="en-US"/>
        </w:rPr>
        <w:t xml:space="preserve">August 21, 2018 </w:t>
      </w:r>
    </w:p>
    <w:p w:rsidR="00E86230" w:rsidRDefault="00E86230" w:rsidP="00E86230">
      <w:pPr>
        <w:pStyle w:val="NormalParagraphStyle"/>
        <w:rPr>
          <w:rFonts w:ascii="Century Gothic" w:hAnsi="Century Gothic" w:cs="Century Gothic" w:hint="eastAsia"/>
          <w:b/>
          <w:bCs/>
          <w:spacing w:val="12"/>
          <w:lang w:val="en-US"/>
        </w:rPr>
      </w:pPr>
    </w:p>
    <w:p w:rsidR="00E86230" w:rsidRPr="008622BB" w:rsidRDefault="00E86230" w:rsidP="00E86230">
      <w:pPr>
        <w:pStyle w:val="NormalParagraphStyle"/>
        <w:rPr>
          <w:rFonts w:ascii="Century Gothic" w:hAnsi="Century Gothic" w:cs="Century Gothic" w:hint="eastAsia"/>
          <w:b/>
          <w:bCs/>
          <w:spacing w:val="12"/>
          <w:lang w:val="en-US"/>
        </w:rPr>
      </w:pPr>
    </w:p>
    <w:p w:rsidR="00E86230" w:rsidRPr="008622BB" w:rsidRDefault="00E86230" w:rsidP="00E86230">
      <w:pPr>
        <w:pStyle w:val="NormalParagraphStyle"/>
        <w:rPr>
          <w:rFonts w:ascii="Century Gothic" w:hAnsi="Century Gothic" w:cs="Century Gothic"/>
          <w:b/>
          <w:bCs/>
          <w:spacing w:val="12"/>
          <w:lang w:val="en-US"/>
        </w:rPr>
      </w:pPr>
      <w:r w:rsidRPr="008622BB">
        <w:rPr>
          <w:rFonts w:ascii="Century Gothic" w:hAnsi="Century Gothic" w:cs="Century Gothic"/>
          <w:b/>
          <w:bCs/>
          <w:spacing w:val="12"/>
          <w:lang w:val="en-US"/>
        </w:rPr>
        <w:t>Abstract</w:t>
      </w:r>
    </w:p>
    <w:p w:rsidR="00E86230" w:rsidRPr="00A23BEB" w:rsidRDefault="00E86230" w:rsidP="00E86230">
      <w:pPr>
        <w:pStyle w:val="E-1"/>
        <w:rPr>
          <w:rFonts w:ascii="Tahoma Bold Italic" w:hAnsi="Tahoma Bold Italic" w:cs="Tahoma Bold Italic"/>
          <w:b/>
          <w:bCs/>
          <w:iCs/>
        </w:rPr>
      </w:pPr>
      <w:r w:rsidRPr="00A23BEB">
        <w:rPr>
          <w:rFonts w:ascii="Times New Roman" w:hAnsi="Times New Roman" w:cs="Times New Roman"/>
          <w:b/>
          <w:bCs/>
          <w:iCs/>
        </w:rPr>
        <w:t>AIM</w:t>
      </w:r>
    </w:p>
    <w:p w:rsidR="00E86230" w:rsidRDefault="00E86230" w:rsidP="00E86230">
      <w:pPr>
        <w:pStyle w:val="E-1"/>
      </w:pPr>
      <w:proofErr w:type="gramStart"/>
      <w:r>
        <w:t>To elucidate the prevalence and risk of mortality of nonalcoholic liver cirrhosis (LC) patients with coronary artery disease (CAD).</w:t>
      </w:r>
      <w:proofErr w:type="gramEnd"/>
    </w:p>
    <w:p w:rsidR="00E86230" w:rsidRPr="00A23BEB" w:rsidRDefault="00E86230" w:rsidP="00E86230">
      <w:pPr>
        <w:pStyle w:val="E-1"/>
        <w:rPr>
          <w:rFonts w:ascii="Tahoma Italic" w:hAnsi="Tahoma Italic" w:cs="Tahoma Italic"/>
          <w:iCs/>
        </w:rPr>
      </w:pPr>
      <w:r w:rsidRPr="00A23BEB">
        <w:rPr>
          <w:rFonts w:ascii="Times New Roman" w:hAnsi="Times New Roman" w:cs="Times New Roman"/>
          <w:b/>
          <w:bCs/>
          <w:iCs/>
        </w:rPr>
        <w:t>METHODS</w:t>
      </w:r>
    </w:p>
    <w:p w:rsidR="00E86230" w:rsidRDefault="00E86230" w:rsidP="00E86230">
      <w:pPr>
        <w:pStyle w:val="E-1"/>
        <w:rPr>
          <w:spacing w:val="-2"/>
        </w:rPr>
      </w:pPr>
      <w:r>
        <w:rPr>
          <w:spacing w:val="-2"/>
        </w:rPr>
        <w:t xml:space="preserve">The study cohort included newly diagnosed nonalcoholic LC patients age </w:t>
      </w:r>
      <w:r>
        <w:rPr>
          <w:rFonts w:ascii="宋体" w:cs="宋体" w:hint="eastAsia"/>
          <w:spacing w:val="0"/>
          <w:sz w:val="17"/>
          <w:szCs w:val="17"/>
        </w:rPr>
        <w:t>≥</w:t>
      </w:r>
      <w:r>
        <w:rPr>
          <w:spacing w:val="-2"/>
        </w:rPr>
        <w:t xml:space="preserve"> 40 years old without a diagnosis of CAD from 2006 until 2011 from a longitudinal health insurance database. The mean follow-up period for the study cohort was 1152 </w:t>
      </w:r>
      <w:r>
        <w:rPr>
          <w:rFonts w:ascii="Garamond" w:hAnsi="Garamond" w:cs="Garamond"/>
          <w:spacing w:val="0"/>
          <w:sz w:val="17"/>
          <w:szCs w:val="17"/>
        </w:rPr>
        <w:t>±</w:t>
      </w:r>
      <w:r>
        <w:rPr>
          <w:spacing w:val="-2"/>
        </w:rPr>
        <w:t xml:space="preserve"> 633 d. The control cohort was matched by sex, age, residence, and index date. Hazard ratios (</w:t>
      </w:r>
      <w:proofErr w:type="spellStart"/>
      <w:r>
        <w:rPr>
          <w:spacing w:val="-2"/>
        </w:rPr>
        <w:t>HRs</w:t>
      </w:r>
      <w:proofErr w:type="spellEnd"/>
      <w:r>
        <w:rPr>
          <w:spacing w:val="-2"/>
        </w:rPr>
        <w:t xml:space="preserve">) were calculated using the Cox proportional hazard model and the Kaplan-Meier method. </w:t>
      </w:r>
    </w:p>
    <w:p w:rsidR="00E86230" w:rsidRPr="00A23BEB" w:rsidRDefault="00E86230" w:rsidP="00E86230">
      <w:pPr>
        <w:pStyle w:val="E-1"/>
        <w:rPr>
          <w:rFonts w:ascii="Tahoma Italic" w:hAnsi="Tahoma Italic" w:cs="Tahoma Italic"/>
          <w:iCs/>
        </w:rPr>
      </w:pPr>
      <w:r w:rsidRPr="00A23BEB">
        <w:rPr>
          <w:rFonts w:ascii="Times New Roman" w:hAnsi="Times New Roman" w:cs="Times New Roman"/>
          <w:b/>
          <w:bCs/>
          <w:iCs/>
        </w:rPr>
        <w:t>RESULTS</w:t>
      </w:r>
    </w:p>
    <w:p w:rsidR="00E86230" w:rsidRDefault="00E86230" w:rsidP="00E86230">
      <w:pPr>
        <w:pStyle w:val="E-1"/>
        <w:rPr>
          <w:spacing w:val="-4"/>
        </w:rPr>
      </w:pPr>
      <w:r>
        <w:rPr>
          <w:spacing w:val="-4"/>
        </w:rPr>
        <w:t xml:space="preserve">After exclusion, a total of 3409 newly diagnosed nonalcoholic cirrhotic patients were identified from one million samples from the health insurance database. We found that CAD (5.1% </w:t>
      </w:r>
      <w:proofErr w:type="spellStart"/>
      <w:r>
        <w:rPr>
          <w:rFonts w:ascii="Tahoma Italic" w:hAnsi="Tahoma Italic" w:cs="Tahoma Italic"/>
          <w:i/>
          <w:iCs/>
          <w:spacing w:val="-4"/>
        </w:rPr>
        <w:t>vs</w:t>
      </w:r>
      <w:proofErr w:type="spellEnd"/>
      <w:r>
        <w:rPr>
          <w:spacing w:val="-4"/>
        </w:rPr>
        <w:t xml:space="preserve"> 17.4%) and hyperlipidemia (20.6% </w:t>
      </w:r>
      <w:proofErr w:type="spellStart"/>
      <w:r>
        <w:rPr>
          <w:rFonts w:ascii="Tahoma Italic" w:hAnsi="Tahoma Italic" w:cs="Tahoma Italic"/>
          <w:i/>
          <w:iCs/>
          <w:spacing w:val="-4"/>
        </w:rPr>
        <w:t>vs</w:t>
      </w:r>
      <w:proofErr w:type="spellEnd"/>
      <w:r>
        <w:rPr>
          <w:spacing w:val="-4"/>
        </w:rPr>
        <w:t xml:space="preserve"> 24.1%) were less prevalent in nonalcoholic LC patients than in normal subjects (all </w:t>
      </w:r>
      <w:r>
        <w:rPr>
          <w:rFonts w:ascii="Tahoma Italic" w:hAnsi="Tahoma Italic" w:cs="Tahoma Italic"/>
          <w:i/>
          <w:iCs/>
          <w:spacing w:val="-4"/>
        </w:rPr>
        <w:t>P</w:t>
      </w:r>
      <w:r>
        <w:rPr>
          <w:spacing w:val="-4"/>
        </w:rPr>
        <w:t xml:space="preserve"> &lt; 0.001), whereas other comorbidities exhibited an increased prevalence. Among the comorbidities, chronic kidney disease exhibited the highest risk for mortality (adjusted </w:t>
      </w:r>
      <w:proofErr w:type="spellStart"/>
      <w:r>
        <w:rPr>
          <w:spacing w:val="-4"/>
        </w:rPr>
        <w:t>HR</w:t>
      </w:r>
      <w:proofErr w:type="spellEnd"/>
      <w:r>
        <w:rPr>
          <w:spacing w:val="-4"/>
        </w:rPr>
        <w:t xml:space="preserve"> (</w:t>
      </w:r>
      <w:proofErr w:type="spellStart"/>
      <w:r>
        <w:rPr>
          <w:spacing w:val="-4"/>
        </w:rPr>
        <w:t>AHR</w:t>
      </w:r>
      <w:proofErr w:type="spellEnd"/>
      <w:r>
        <w:rPr>
          <w:spacing w:val="-4"/>
        </w:rPr>
        <w:t xml:space="preserve">) = 1.76; 95%CI: 1.55-2.00, </w:t>
      </w:r>
      <w:r>
        <w:rPr>
          <w:rFonts w:ascii="Tahoma Italic" w:hAnsi="Tahoma Italic" w:cs="Tahoma Italic"/>
          <w:i/>
          <w:iCs/>
          <w:spacing w:val="-4"/>
        </w:rPr>
        <w:t xml:space="preserve">P </w:t>
      </w:r>
      <w:r>
        <w:rPr>
          <w:spacing w:val="-4"/>
        </w:rPr>
        <w:t>&lt; 0.001). Ascites or peritonitis exhibited the highest risk of mortality among nonalcoholic cirrhotic patients (</w:t>
      </w:r>
      <w:proofErr w:type="spellStart"/>
      <w:r>
        <w:rPr>
          <w:spacing w:val="-4"/>
        </w:rPr>
        <w:t>AHR</w:t>
      </w:r>
      <w:proofErr w:type="spellEnd"/>
      <w:r>
        <w:rPr>
          <w:spacing w:val="-4"/>
        </w:rPr>
        <w:t xml:space="preserve"> = 2.34; 95%CI: 2.06-2.65, </w:t>
      </w:r>
      <w:r>
        <w:rPr>
          <w:rFonts w:ascii="Tahoma Italic" w:hAnsi="Tahoma Italic" w:cs="Tahoma Italic"/>
          <w:i/>
          <w:iCs/>
          <w:spacing w:val="-4"/>
        </w:rPr>
        <w:t>P</w:t>
      </w:r>
      <w:r>
        <w:rPr>
          <w:spacing w:val="-4"/>
        </w:rPr>
        <w:t xml:space="preserve"> &lt; 0.001). Finally, a total of 170 patients developed CAD after a diagnosis of nonalcoholic LC. The </w:t>
      </w:r>
      <w:proofErr w:type="spellStart"/>
      <w:r>
        <w:rPr>
          <w:spacing w:val="-4"/>
        </w:rPr>
        <w:t>AHR</w:t>
      </w:r>
      <w:proofErr w:type="spellEnd"/>
      <w:r>
        <w:rPr>
          <w:spacing w:val="-4"/>
        </w:rPr>
        <w:t xml:space="preserve"> of CAD in nonalcoholic LC patients was 0.56 (95%CI: 0.43-0.74, </w:t>
      </w:r>
      <w:r>
        <w:rPr>
          <w:rFonts w:ascii="Tahoma Italic" w:hAnsi="Tahoma Italic" w:cs="Tahoma Italic"/>
          <w:i/>
          <w:iCs/>
          <w:spacing w:val="-4"/>
        </w:rPr>
        <w:t xml:space="preserve">P </w:t>
      </w:r>
      <w:r>
        <w:rPr>
          <w:spacing w:val="-4"/>
        </w:rPr>
        <w:t>&lt; 0.001). The six-year survival rates for nonalcoholic LC patients with and without CAD were 52% and 50%, respectively (</w:t>
      </w:r>
      <w:r>
        <w:rPr>
          <w:rFonts w:ascii="Tahoma Italic" w:hAnsi="Tahoma Italic" w:cs="Tahoma Italic"/>
          <w:i/>
          <w:iCs/>
          <w:spacing w:val="-4"/>
        </w:rPr>
        <w:t xml:space="preserve">P </w:t>
      </w:r>
      <w:r>
        <w:rPr>
          <w:spacing w:val="-4"/>
        </w:rPr>
        <w:t xml:space="preserve">= 0.012). </w:t>
      </w:r>
    </w:p>
    <w:p w:rsidR="00E86230" w:rsidRPr="00A23BEB" w:rsidRDefault="00E86230" w:rsidP="00E86230">
      <w:pPr>
        <w:pStyle w:val="E-1"/>
        <w:rPr>
          <w:rFonts w:ascii="Tahoma Italic" w:hAnsi="Tahoma Italic" w:cs="Tahoma Italic"/>
          <w:iCs/>
        </w:rPr>
      </w:pPr>
      <w:r w:rsidRPr="00A23BEB">
        <w:rPr>
          <w:rFonts w:ascii="Times New Roman" w:hAnsi="Times New Roman" w:cs="Times New Roman"/>
          <w:b/>
          <w:bCs/>
          <w:iCs/>
        </w:rPr>
        <w:t>CONCLUSION</w:t>
      </w:r>
    </w:p>
    <w:p w:rsidR="00E86230" w:rsidRDefault="00E86230" w:rsidP="00E86230">
      <w:pPr>
        <w:pStyle w:val="E-1"/>
      </w:pPr>
      <w:r>
        <w:t>We conclude that CAD was less prevalent and associ</w:t>
      </w:r>
      <w:r>
        <w:softHyphen/>
        <w:t xml:space="preserve">ated with a reduced risk of mortality in nonalcoholic cirrhotic patients. </w:t>
      </w:r>
    </w:p>
    <w:p w:rsidR="00E86230" w:rsidRDefault="00E86230" w:rsidP="00E86230">
      <w:pPr>
        <w:pStyle w:val="E-1"/>
        <w:rPr>
          <w:rFonts w:ascii="Times New Roman" w:hAnsi="Times New Roman" w:cs="Times New Roman"/>
          <w:b/>
          <w:bCs/>
        </w:rPr>
      </w:pPr>
    </w:p>
    <w:p w:rsidR="00E86230" w:rsidRDefault="00E86230" w:rsidP="00E86230">
      <w:pPr>
        <w:pStyle w:val="E-1"/>
      </w:pPr>
      <w:r>
        <w:rPr>
          <w:rFonts w:ascii="Times New Roman" w:hAnsi="Times New Roman" w:cs="Times New Roman"/>
          <w:b/>
          <w:bCs/>
        </w:rPr>
        <w:t xml:space="preserve">Key words: </w:t>
      </w:r>
      <w:r>
        <w:t>Nonalcoholic liver cirrhosis; Coronary artery disease; Population-based study</w:t>
      </w:r>
    </w:p>
    <w:p w:rsidR="00E86230" w:rsidRDefault="00E86230" w:rsidP="00E86230">
      <w:pPr>
        <w:pStyle w:val="E-1"/>
        <w:rPr>
          <w:b/>
          <w:bCs/>
          <w:sz w:val="17"/>
          <w:szCs w:val="17"/>
        </w:rPr>
      </w:pPr>
    </w:p>
    <w:p w:rsidR="00E86230" w:rsidRDefault="00E86230" w:rsidP="00E86230">
      <w:pPr>
        <w:pStyle w:val="af4"/>
      </w:pPr>
      <w:r>
        <w:t>Tsai MC, Yang TW, Wang CC, Wang YT, Sung WW, Tseng MH, Lin CC. Favorable clinical outcome of nonalcoholic liver cirrhosis patients with coronary artery disease: A population-based study.</w:t>
      </w:r>
      <w:r>
        <w:rPr>
          <w:b/>
          <w:bCs/>
        </w:rPr>
        <w:t xml:space="preserve"> </w:t>
      </w:r>
      <w:r>
        <w:rPr>
          <w:i/>
          <w:iCs/>
        </w:rPr>
        <w:t xml:space="preserve">World J </w:t>
      </w:r>
      <w:proofErr w:type="spellStart"/>
      <w:r>
        <w:rPr>
          <w:i/>
          <w:iCs/>
        </w:rPr>
        <w:t>Gastroenterol</w:t>
      </w:r>
      <w:proofErr w:type="spellEnd"/>
      <w:r>
        <w:t xml:space="preserve"> 2018; 24(31): 3547-</w:t>
      </w:r>
      <w:proofErr w:type="gramStart"/>
      <w:r>
        <w:t>3555  Available</w:t>
      </w:r>
      <w:proofErr w:type="gramEnd"/>
      <w:r>
        <w:t xml:space="preserve"> from: URL: http://www.wjgnet.com/1007-9327/full/v24/i31/3547.htm  </w:t>
      </w:r>
      <w:proofErr w:type="spellStart"/>
      <w:r>
        <w:t>DOI</w:t>
      </w:r>
      <w:proofErr w:type="spellEnd"/>
      <w:r>
        <w:t>: http://dx.doi.org/10.3748/wjg.v24.i31.3547</w:t>
      </w:r>
    </w:p>
    <w:p w:rsidR="00E86230" w:rsidRPr="00A23BEB" w:rsidRDefault="00E86230" w:rsidP="00E86230">
      <w:pPr>
        <w:pStyle w:val="E-1"/>
        <w:rPr>
          <w:rFonts w:ascii="Times New Roman" w:hAnsi="Times New Roman" w:cs="Times New Roman"/>
          <w:b/>
          <w:bCs/>
          <w:spacing w:val="-3"/>
        </w:rPr>
      </w:pPr>
    </w:p>
    <w:p w:rsidR="00E86230" w:rsidRDefault="00E86230" w:rsidP="00E86230">
      <w:pPr>
        <w:pStyle w:val="E-1"/>
        <w:rPr>
          <w:b/>
          <w:bCs/>
          <w:spacing w:val="-2"/>
        </w:rPr>
      </w:pPr>
      <w:r>
        <w:rPr>
          <w:rFonts w:ascii="Times New Roman" w:hAnsi="Times New Roman" w:cs="Times New Roman"/>
          <w:b/>
          <w:bCs/>
          <w:spacing w:val="-3"/>
        </w:rPr>
        <w:t>Core tip:</w:t>
      </w:r>
      <w:r>
        <w:rPr>
          <w:b/>
          <w:bCs/>
        </w:rPr>
        <w:t xml:space="preserve"> </w:t>
      </w:r>
      <w:r>
        <w:rPr>
          <w:spacing w:val="-2"/>
        </w:rPr>
        <w:t>Coronary artery disease (CAD) is less prevalent and associated with a reduced risk of mortality in nonalcoholic liver cirrhosis (LC) patients. Nonalcoholic LC patients with CAD exhibit an increased six-year survival rate compared to cirrhotic patients without CAD. The LC complication rates did not differ between nonalcoholic LC patients with and without CAD. Of note, nonalcoholic LC patients with ascites or peritonitis exhibited the highest risk of mortality among LC complications.</w:t>
      </w:r>
      <w:r>
        <w:rPr>
          <w:b/>
          <w:bCs/>
          <w:spacing w:val="-2"/>
        </w:rPr>
        <w:t xml:space="preserve"> </w:t>
      </w:r>
    </w:p>
    <w:p w:rsidR="00E86230" w:rsidRDefault="00E86230" w:rsidP="00E86230">
      <w:pPr>
        <w:pStyle w:val="af4"/>
      </w:pPr>
    </w:p>
    <w:p w:rsidR="00E86230" w:rsidRDefault="00E86230" w:rsidP="00E86230">
      <w:pPr>
        <w:pStyle w:val="af4"/>
      </w:pPr>
    </w:p>
    <w:p w:rsidR="00E86230" w:rsidRPr="008622BB" w:rsidRDefault="00E86230" w:rsidP="00E86230">
      <w:pPr>
        <w:pStyle w:val="af7"/>
        <w:ind w:left="5250"/>
        <w:rPr>
          <w:lang w:val="en-US"/>
        </w:rPr>
      </w:pPr>
    </w:p>
    <w:p w:rsidR="00E86230" w:rsidRPr="008622BB" w:rsidRDefault="00E86230" w:rsidP="00E86230">
      <w:pPr>
        <w:pStyle w:val="af7"/>
        <w:ind w:left="5250"/>
        <w:rPr>
          <w:lang w:val="en-US"/>
        </w:rPr>
      </w:pPr>
    </w:p>
    <w:p w:rsidR="00E86230" w:rsidRPr="00A23BEB" w:rsidRDefault="00E86230" w:rsidP="00E86230">
      <w:pPr>
        <w:pStyle w:val="af7"/>
        <w:ind w:left="5250"/>
        <w:rPr>
          <w:u w:val="single"/>
          <w:lang w:val="en-US"/>
        </w:rPr>
      </w:pPr>
      <w:r w:rsidRPr="00A23BEB">
        <w:rPr>
          <w:u w:val="single"/>
          <w:lang w:val="en-US"/>
        </w:rPr>
        <w:t>INTRODUCTION</w:t>
      </w:r>
    </w:p>
    <w:p w:rsidR="00E86230" w:rsidRDefault="00E86230" w:rsidP="00E86230">
      <w:pPr>
        <w:pStyle w:val="af8"/>
      </w:pPr>
      <w:r>
        <w:t>Liver cirrhosis (LC) is the 14</w:t>
      </w:r>
      <w:r>
        <w:rPr>
          <w:vertAlign w:val="superscript"/>
        </w:rPr>
        <w:t>th</w:t>
      </w:r>
      <w:r>
        <w:t xml:space="preserve"> leading cause of death in adults and accounted for one million deaths in 2010 </w:t>
      </w:r>
      <w:proofErr w:type="gramStart"/>
      <w:r>
        <w:t>worldwide</w:t>
      </w:r>
      <w:r>
        <w:rPr>
          <w:vertAlign w:val="superscript"/>
        </w:rPr>
        <w:t>[</w:t>
      </w:r>
      <w:proofErr w:type="gramEnd"/>
      <w:r>
        <w:rPr>
          <w:vertAlign w:val="superscript"/>
        </w:rPr>
        <w:t>1]</w:t>
      </w:r>
      <w:r>
        <w:t>. In Taiwan, LC and chronic liver disease constituted the 8</w:t>
      </w:r>
      <w:r>
        <w:rPr>
          <w:vertAlign w:val="superscript"/>
        </w:rPr>
        <w:t>th</w:t>
      </w:r>
      <w:r>
        <w:t xml:space="preserve"> most common cause of death in 2011</w:t>
      </w:r>
      <w:r>
        <w:rPr>
          <w:vertAlign w:val="superscript"/>
        </w:rPr>
        <w:t>[2]</w:t>
      </w:r>
      <w:r>
        <w:t xml:space="preserve">. These conditions contribute to numerous lethal complications and comorbidities that result in poor clinical outcomes. </w:t>
      </w:r>
      <w:proofErr w:type="spellStart"/>
      <w:r>
        <w:t>Variceal</w:t>
      </w:r>
      <w:proofErr w:type="spellEnd"/>
      <w:r>
        <w:t xml:space="preserve"> bleeding, systemic infection, hepatic encephalopathy, and hepatocellular carcinoma (</w:t>
      </w:r>
      <w:proofErr w:type="spellStart"/>
      <w:r>
        <w:t>HCC</w:t>
      </w:r>
      <w:proofErr w:type="spellEnd"/>
      <w:r>
        <w:t xml:space="preserve">) are the primary complications of LC and causes of </w:t>
      </w:r>
      <w:proofErr w:type="gramStart"/>
      <w:r>
        <w:t>mortality</w:t>
      </w:r>
      <w:r>
        <w:rPr>
          <w:vertAlign w:val="superscript"/>
        </w:rPr>
        <w:t>[</w:t>
      </w:r>
      <w:proofErr w:type="gramEnd"/>
      <w:r>
        <w:rPr>
          <w:vertAlign w:val="superscript"/>
        </w:rPr>
        <w:t>3,4]</w:t>
      </w:r>
      <w:r>
        <w:t xml:space="preserve">. In addition, LC is associated with systemic comorbidities, such as hemorrhagic stroke and digestive tract </w:t>
      </w:r>
      <w:proofErr w:type="gramStart"/>
      <w:r>
        <w:t>malignancies</w:t>
      </w:r>
      <w:r>
        <w:rPr>
          <w:vertAlign w:val="superscript"/>
        </w:rPr>
        <w:t>[</w:t>
      </w:r>
      <w:proofErr w:type="gramEnd"/>
      <w:r>
        <w:rPr>
          <w:vertAlign w:val="superscript"/>
        </w:rPr>
        <w:t>5-7]</w:t>
      </w:r>
      <w:r>
        <w:t xml:space="preserve">. </w:t>
      </w:r>
    </w:p>
    <w:p w:rsidR="00E86230" w:rsidRDefault="00E86230" w:rsidP="00E86230">
      <w:pPr>
        <w:pStyle w:val="10"/>
      </w:pPr>
      <w:r>
        <w:t xml:space="preserve">Controversy has emerged regarding the association between LC and coronary artery disease (CAD) in recent </w:t>
      </w:r>
      <w:proofErr w:type="gramStart"/>
      <w:r>
        <w:t>decades</w:t>
      </w:r>
      <w:r>
        <w:rPr>
          <w:vertAlign w:val="superscript"/>
        </w:rPr>
        <w:t>[</w:t>
      </w:r>
      <w:proofErr w:type="gramEnd"/>
      <w:r>
        <w:rPr>
          <w:vertAlign w:val="superscript"/>
        </w:rPr>
        <w:t>7-17]</w:t>
      </w:r>
      <w:r>
        <w:t xml:space="preserve">. Several comorbidities of cirrhotic patients have been regarded as </w:t>
      </w:r>
      <w:proofErr w:type="spellStart"/>
      <w:r>
        <w:t>cardioprotective</w:t>
      </w:r>
      <w:proofErr w:type="spellEnd"/>
      <w:r>
        <w:t xml:space="preserve"> factors (</w:t>
      </w:r>
      <w:r>
        <w:rPr>
          <w:i/>
          <w:iCs/>
        </w:rPr>
        <w:t>e.g.,</w:t>
      </w:r>
      <w:r>
        <w:t xml:space="preserve"> low blood pressure, coagulopathy, thrombocytopenia, malnutrition, and lower serum cholesterol levels</w:t>
      </w:r>
      <w:proofErr w:type="gramStart"/>
      <w:r>
        <w:t>)</w:t>
      </w:r>
      <w:r>
        <w:rPr>
          <w:vertAlign w:val="superscript"/>
        </w:rPr>
        <w:t>[</w:t>
      </w:r>
      <w:proofErr w:type="gramEnd"/>
      <w:r>
        <w:rPr>
          <w:vertAlign w:val="superscript"/>
        </w:rPr>
        <w:t>8,18-20]</w:t>
      </w:r>
      <w:r>
        <w:t>. However, case-controlled studies have revealed con</w:t>
      </w:r>
      <w:r>
        <w:softHyphen/>
        <w:t xml:space="preserve">flicting results and an increased prevalence of CAD in LC patients compared to the normal </w:t>
      </w:r>
      <w:proofErr w:type="gramStart"/>
      <w:r>
        <w:t>population</w:t>
      </w:r>
      <w:r>
        <w:rPr>
          <w:vertAlign w:val="superscript"/>
        </w:rPr>
        <w:t>[</w:t>
      </w:r>
      <w:proofErr w:type="gramEnd"/>
      <w:r>
        <w:rPr>
          <w:vertAlign w:val="superscript"/>
        </w:rPr>
        <w:t>7,9,17,21,22]</w:t>
      </w:r>
      <w:r>
        <w:t xml:space="preserve">. A different etiology with an increased proportion of alcoholic and nonalcoholic </w:t>
      </w:r>
      <w:proofErr w:type="spellStart"/>
      <w:r>
        <w:t>steatohepatitis</w:t>
      </w:r>
      <w:proofErr w:type="spellEnd"/>
      <w:r>
        <w:t xml:space="preserve"> (NASH)-related LC in Western populations may have contributed to this result. Furthermore, the application of interferon and </w:t>
      </w:r>
      <w:proofErr w:type="spellStart"/>
      <w:r>
        <w:t>nucleot</w:t>
      </w:r>
      <w:proofErr w:type="spellEnd"/>
      <w:r>
        <w:t>(s</w:t>
      </w:r>
      <w:proofErr w:type="gramStart"/>
      <w:r>
        <w:t>)ide</w:t>
      </w:r>
      <w:proofErr w:type="gramEnd"/>
      <w:r>
        <w:t xml:space="preserve"> analogues for viral hepatitis aided in prolonging survival in recent decades</w:t>
      </w:r>
      <w:r>
        <w:rPr>
          <w:vertAlign w:val="superscript"/>
        </w:rPr>
        <w:t>[23,24]</w:t>
      </w:r>
      <w:r>
        <w:t>. Age-related risks associated with CAD also may have led to an increased prevalence of CAD.</w:t>
      </w:r>
    </w:p>
    <w:p w:rsidR="00E86230" w:rsidRDefault="00E86230" w:rsidP="00E86230">
      <w:pPr>
        <w:pStyle w:val="10"/>
      </w:pPr>
      <w:r>
        <w:t>There is a paucity of available data regarding the association between nonalcoholic LC and CAD. Taiwan is an endemic area of viral hepatitis where the majority of LC in patients is caused by hepatitis B (</w:t>
      </w:r>
      <w:proofErr w:type="spellStart"/>
      <w:r>
        <w:t>HBV</w:t>
      </w:r>
      <w:proofErr w:type="spellEnd"/>
      <w:r>
        <w:t>) and hepatitis C (</w:t>
      </w:r>
      <w:proofErr w:type="spellStart"/>
      <w:r>
        <w:t>HCV</w:t>
      </w:r>
      <w:proofErr w:type="spellEnd"/>
      <w:r>
        <w:t xml:space="preserve">) viral </w:t>
      </w:r>
      <w:proofErr w:type="gramStart"/>
      <w:r>
        <w:t>infections</w:t>
      </w:r>
      <w:r>
        <w:rPr>
          <w:vertAlign w:val="superscript"/>
        </w:rPr>
        <w:t>[</w:t>
      </w:r>
      <w:proofErr w:type="gramEnd"/>
      <w:r>
        <w:rPr>
          <w:vertAlign w:val="superscript"/>
        </w:rPr>
        <w:t>25]</w:t>
      </w:r>
      <w:r>
        <w:t>. Hence, the nonalcoholic LC population in Taiwan is an ideal cohort in which the confounding effect of alcohol consumption is minimized.</w:t>
      </w:r>
    </w:p>
    <w:p w:rsidR="00E86230" w:rsidRDefault="00E86230" w:rsidP="00E86230">
      <w:pPr>
        <w:pStyle w:val="10"/>
      </w:pPr>
      <w:r>
        <w:t>The aim of our study was to elucidate the associ</w:t>
      </w:r>
      <w:r>
        <w:softHyphen/>
        <w:t>ation between nonalcoholic LC and CAD using a national population-based database in Taiwan. Additionally, we analyzed the prevalence, hazard ratio (</w:t>
      </w:r>
      <w:proofErr w:type="spellStart"/>
      <w:r>
        <w:t>HR</w:t>
      </w:r>
      <w:proofErr w:type="spellEnd"/>
      <w:r>
        <w:t xml:space="preserve">), and survival for concomitant comorbidities and complications. </w:t>
      </w:r>
    </w:p>
    <w:p w:rsidR="00E86230" w:rsidRPr="008622BB" w:rsidRDefault="00E86230" w:rsidP="00E86230">
      <w:pPr>
        <w:pStyle w:val="af7"/>
        <w:ind w:left="5250"/>
        <w:rPr>
          <w:lang w:val="en-US"/>
        </w:rPr>
      </w:pPr>
    </w:p>
    <w:p w:rsidR="00E86230" w:rsidRPr="00A23BEB" w:rsidRDefault="00E86230" w:rsidP="00E86230">
      <w:pPr>
        <w:pStyle w:val="af7"/>
        <w:ind w:left="5250"/>
        <w:rPr>
          <w:w w:val="90"/>
          <w:u w:val="single"/>
          <w:lang w:val="en-US"/>
        </w:rPr>
      </w:pPr>
      <w:r w:rsidRPr="00A23BEB">
        <w:rPr>
          <w:u w:val="single"/>
          <w:lang w:val="en-US"/>
        </w:rPr>
        <w:t>MATERIALS AND METHODS</w:t>
      </w:r>
    </w:p>
    <w:p w:rsidR="00E86230" w:rsidRPr="008622BB" w:rsidRDefault="00E86230" w:rsidP="00E86230">
      <w:pPr>
        <w:pStyle w:val="af9"/>
        <w:rPr>
          <w:lang w:val="en-US"/>
        </w:rPr>
      </w:pPr>
      <w:r w:rsidRPr="008622BB">
        <w:rPr>
          <w:lang w:val="en-US"/>
        </w:rPr>
        <w:t>Study population and design</w:t>
      </w:r>
    </w:p>
    <w:p w:rsidR="00E86230" w:rsidRDefault="00E86230" w:rsidP="00E86230">
      <w:pPr>
        <w:pStyle w:val="af8"/>
      </w:pPr>
      <w:r>
        <w:t>This study was a nationwide retrospective longitudinal population-based cohort study based on the Taiwanese National Health Insurance research database (</w:t>
      </w:r>
      <w:proofErr w:type="spellStart"/>
      <w:r>
        <w:t>NHIRD</w:t>
      </w:r>
      <w:proofErr w:type="spellEnd"/>
      <w:r>
        <w:t>). The National Health Insurance program has provided compulsory medical insurance for greater than 99% of the Taiwanese population since March 1, 1995. We identified all LC patients with a first-time diagnosis of LC using International Classification of Disease, 9</w:t>
      </w:r>
      <w:r>
        <w:rPr>
          <w:vertAlign w:val="superscript"/>
        </w:rPr>
        <w:t>th</w:t>
      </w:r>
      <w:r>
        <w:t xml:space="preserve"> Revision, Clinical Modification (ICD-9-CM) codes (ICD-9-CM code: 571.5) for the period from 2004 to 2011. The following patients were excluded from the study: patients who had LC or CAD before the end of 2005, had LC after diagnosis of CAD </w:t>
      </w:r>
      <w:r>
        <w:lastRenderedPageBreak/>
        <w:t xml:space="preserve">from 2006 to 2011, were younger than 40 years old, had a diagnosis of alcoholic LC (ICD-9-CM code: 571.2) or biliary LC (ICD-9-CM code: 571.6), and were outpatients with less than two follow-up visits after the first visit. The control subjects were matched with the patients in the study cohort at a ratio of five to one (5 control subjects </w:t>
      </w:r>
      <w:r>
        <w:rPr>
          <w:i/>
          <w:iCs/>
        </w:rPr>
        <w:t>per</w:t>
      </w:r>
      <w:r>
        <w:t xml:space="preserve"> case patient) in terms of sex, age (40-49, 50-59, 60-69, and &gt; 69 years), residence, and entry year.</w:t>
      </w:r>
    </w:p>
    <w:p w:rsidR="00E86230" w:rsidRDefault="00E86230" w:rsidP="00E86230">
      <w:pPr>
        <w:pStyle w:val="10"/>
      </w:pPr>
      <w:r>
        <w:t>Other comorbidity data and the ICD-9-CM codes are summarized in Table Appendix 1. The diagnosis of comorbidities was defined as having three outpatient visits or one admission. Hyperlipidemia was defined as having a lipid profile with any one of the following factors: total cholesterol (</w:t>
      </w:r>
      <w:proofErr w:type="spellStart"/>
      <w:r>
        <w:t>TC</w:t>
      </w:r>
      <w:proofErr w:type="spellEnd"/>
      <w:r>
        <w:t xml:space="preserve">) </w:t>
      </w:r>
      <w:r>
        <w:rPr>
          <w:rFonts w:ascii="宋体" w:cs="宋体" w:hint="eastAsia"/>
          <w:spacing w:val="0"/>
          <w:sz w:val="17"/>
          <w:szCs w:val="17"/>
        </w:rPr>
        <w:t>≥</w:t>
      </w:r>
      <w:r>
        <w:t xml:space="preserve"> 2000 mg/L, low-density lipoprotein cholesterol (</w:t>
      </w:r>
      <w:proofErr w:type="spellStart"/>
      <w:r>
        <w:t>LDL</w:t>
      </w:r>
      <w:proofErr w:type="spellEnd"/>
      <w:r>
        <w:t xml:space="preserve">-C) </w:t>
      </w:r>
      <w:r>
        <w:rPr>
          <w:rFonts w:ascii="宋体" w:cs="宋体" w:hint="eastAsia"/>
          <w:spacing w:val="0"/>
          <w:sz w:val="17"/>
          <w:szCs w:val="17"/>
        </w:rPr>
        <w:t>≥</w:t>
      </w:r>
      <w:r>
        <w:t xml:space="preserve"> 1600 mg/L, or a triglyceride (TG) level </w:t>
      </w:r>
      <w:r>
        <w:rPr>
          <w:rFonts w:ascii="宋体" w:cs="宋体" w:hint="eastAsia"/>
          <w:spacing w:val="0"/>
          <w:sz w:val="17"/>
          <w:szCs w:val="17"/>
        </w:rPr>
        <w:t>≥</w:t>
      </w:r>
      <w:r>
        <w:t xml:space="preserve"> 1500 mg/L. Complications of LC that occurred after enrollment included esophageal </w:t>
      </w:r>
      <w:proofErr w:type="spellStart"/>
      <w:r>
        <w:t>varices</w:t>
      </w:r>
      <w:proofErr w:type="spellEnd"/>
      <w:r>
        <w:t xml:space="preserve"> (</w:t>
      </w:r>
      <w:proofErr w:type="spellStart"/>
      <w:r>
        <w:t>EV</w:t>
      </w:r>
      <w:proofErr w:type="spellEnd"/>
      <w:r>
        <w:t xml:space="preserve">) (ICD-9-CM codes: 456-456.21), </w:t>
      </w:r>
      <w:proofErr w:type="spellStart"/>
      <w:r>
        <w:t>EV</w:t>
      </w:r>
      <w:proofErr w:type="spellEnd"/>
      <w:r>
        <w:t xml:space="preserve"> with bleeding (ICD-9-CM codes: 456.0, 456.20) concomitant with ICD-9 procedure codes for ligation of </w:t>
      </w:r>
      <w:proofErr w:type="spellStart"/>
      <w:r>
        <w:t>EV</w:t>
      </w:r>
      <w:proofErr w:type="spellEnd"/>
      <w:r>
        <w:t xml:space="preserve"> or </w:t>
      </w:r>
      <w:proofErr w:type="spellStart"/>
      <w:r>
        <w:t>sclerotherapy</w:t>
      </w:r>
      <w:proofErr w:type="spellEnd"/>
      <w:r>
        <w:t>, ascites (ICD-9-CM codes: 789.5 and 568.82) or peritonitis (ICD-9-CM codes: 567.xx), and hepatic encephalopathy (ICD-9-CM code: 572.2).</w:t>
      </w:r>
    </w:p>
    <w:p w:rsidR="00E86230" w:rsidRPr="008622BB" w:rsidRDefault="00E86230" w:rsidP="00E86230">
      <w:pPr>
        <w:pStyle w:val="af9"/>
        <w:rPr>
          <w:lang w:val="en-US"/>
        </w:rPr>
      </w:pPr>
    </w:p>
    <w:p w:rsidR="00E86230" w:rsidRPr="008622BB" w:rsidRDefault="00E86230" w:rsidP="00E86230">
      <w:pPr>
        <w:pStyle w:val="af9"/>
        <w:rPr>
          <w:lang w:val="en-US"/>
        </w:rPr>
      </w:pPr>
      <w:r w:rsidRPr="008622BB">
        <w:rPr>
          <w:lang w:val="en-US"/>
        </w:rPr>
        <w:t>End point measurement</w:t>
      </w:r>
    </w:p>
    <w:p w:rsidR="00E86230" w:rsidRDefault="00E86230" w:rsidP="00E86230">
      <w:pPr>
        <w:pStyle w:val="af8"/>
      </w:pPr>
      <w:r>
        <w:t xml:space="preserve">We followed up all the subjects enrolled from the index date to the end of 2011. The mean follow-up period for the newly diagnosed nonalcoholic LC cohort (3409 patients) was 1152 </w:t>
      </w:r>
      <w:r>
        <w:rPr>
          <w:rFonts w:ascii="Garamond" w:hAnsi="Garamond" w:cs="Garamond"/>
          <w:spacing w:val="0"/>
          <w:sz w:val="17"/>
          <w:szCs w:val="17"/>
        </w:rPr>
        <w:t>±</w:t>
      </w:r>
      <w:r>
        <w:t xml:space="preserve"> 633 d with a median of 1169 d, maximum of 2920 d, and minimum of 7 d. Patients with newly diagnosed CAD (one inpatient or three outpatient codes) were categorized based on the first incidence of CAD. The first-time diagnosis of CAD was identified as the primary end point, and the death of the subject served as the secondary end point. All-cause mortality was analyzed in both the study and control cohorts. </w:t>
      </w:r>
    </w:p>
    <w:p w:rsidR="00E86230" w:rsidRPr="008622BB" w:rsidRDefault="00E86230" w:rsidP="00E86230">
      <w:pPr>
        <w:pStyle w:val="af9"/>
        <w:rPr>
          <w:lang w:val="en-US"/>
        </w:rPr>
      </w:pPr>
    </w:p>
    <w:p w:rsidR="00E86230" w:rsidRPr="008622BB" w:rsidRDefault="00E86230" w:rsidP="00E86230">
      <w:pPr>
        <w:pStyle w:val="af9"/>
        <w:rPr>
          <w:lang w:val="en-US"/>
        </w:rPr>
      </w:pPr>
      <w:r w:rsidRPr="008622BB">
        <w:rPr>
          <w:lang w:val="en-US"/>
        </w:rPr>
        <w:t xml:space="preserve">Statistical analysis </w:t>
      </w:r>
    </w:p>
    <w:p w:rsidR="00E86230" w:rsidRDefault="00E86230" w:rsidP="00E86230">
      <w:pPr>
        <w:pStyle w:val="af8"/>
      </w:pPr>
      <w:r>
        <w:t xml:space="preserve">Microsoft SQL Server 2008 R2 (Microsoft Corporation, Redmond, WA, United States) was used to perform data processing. Statistical analyses were conducted using SPSS software 19.0 (SPSS, Inc., Chicago, IL, United States). Chi-square tests and analysis of variance (ANOVA) were used to analyze the demographic data, concomitant comorbidities, and complications of cirrhosis. A Cox proportional hazards model was developed to calculate the overall mortality </w:t>
      </w:r>
      <w:proofErr w:type="spellStart"/>
      <w:r>
        <w:t>HRs</w:t>
      </w:r>
      <w:proofErr w:type="spellEnd"/>
      <w:r>
        <w:t xml:space="preserve"> of all comorbidities and complications in cirrhotic patients. The results are expressed in unadjusted and adjusted </w:t>
      </w:r>
      <w:proofErr w:type="spellStart"/>
      <w:r>
        <w:t>HRs</w:t>
      </w:r>
      <w:proofErr w:type="spellEnd"/>
      <w:r>
        <w:t xml:space="preserve"> (</w:t>
      </w:r>
      <w:proofErr w:type="spellStart"/>
      <w:r>
        <w:t>AHRs</w:t>
      </w:r>
      <w:proofErr w:type="spellEnd"/>
      <w:r>
        <w:t xml:space="preserve">) with 95% confidence intervals (CI). The six-year cumulative survival and survival curve were calculated using the Cox regression method and Kaplan-Meier method. A two-tailed </w:t>
      </w:r>
      <w:r>
        <w:rPr>
          <w:i/>
          <w:iCs/>
        </w:rPr>
        <w:t>P</w:t>
      </w:r>
      <w:r>
        <w:t xml:space="preserve"> value less than or equal to 0.05 was considered statistically significant. </w:t>
      </w:r>
    </w:p>
    <w:p w:rsidR="00E86230" w:rsidRPr="008622BB" w:rsidRDefault="00E86230" w:rsidP="00E86230">
      <w:pPr>
        <w:pStyle w:val="af7"/>
        <w:ind w:left="5250"/>
        <w:rPr>
          <w:lang w:val="en-US"/>
        </w:rPr>
      </w:pPr>
    </w:p>
    <w:p w:rsidR="00E86230" w:rsidRPr="00A23BEB" w:rsidRDefault="00E86230" w:rsidP="00E86230">
      <w:pPr>
        <w:pStyle w:val="af7"/>
        <w:ind w:left="5250"/>
        <w:rPr>
          <w:u w:val="single"/>
          <w:lang w:val="en-US"/>
        </w:rPr>
      </w:pPr>
      <w:r w:rsidRPr="00A23BEB">
        <w:rPr>
          <w:u w:val="single"/>
          <w:lang w:val="en-US"/>
        </w:rPr>
        <w:t>RESULTS</w:t>
      </w:r>
    </w:p>
    <w:p w:rsidR="00E86230" w:rsidRPr="008622BB" w:rsidRDefault="00E86230" w:rsidP="00E86230">
      <w:pPr>
        <w:pStyle w:val="af9"/>
        <w:rPr>
          <w:lang w:val="en-US"/>
        </w:rPr>
      </w:pPr>
      <w:r w:rsidRPr="008622BB">
        <w:rPr>
          <w:lang w:val="en-US"/>
        </w:rPr>
        <w:t xml:space="preserve">Primary outcome: CAD was less prevalent in patients with nonalcoholic LC </w:t>
      </w:r>
    </w:p>
    <w:p w:rsidR="00E86230" w:rsidRDefault="00E86230" w:rsidP="00E86230">
      <w:pPr>
        <w:pStyle w:val="af8"/>
        <w:rPr>
          <w:spacing w:val="-11"/>
        </w:rPr>
      </w:pPr>
      <w:r>
        <w:rPr>
          <w:spacing w:val="-11"/>
        </w:rPr>
        <w:t xml:space="preserve">A total of 10142 cases of LC were retrieved from one million random samples in the </w:t>
      </w:r>
      <w:proofErr w:type="spellStart"/>
      <w:r>
        <w:rPr>
          <w:spacing w:val="-11"/>
        </w:rPr>
        <w:t>NHIRD</w:t>
      </w:r>
      <w:proofErr w:type="spellEnd"/>
      <w:r>
        <w:rPr>
          <w:spacing w:val="-11"/>
        </w:rPr>
        <w:t xml:space="preserve"> from 2004 to 2011. To </w:t>
      </w:r>
      <w:r>
        <w:rPr>
          <w:spacing w:val="-11"/>
        </w:rPr>
        <w:lastRenderedPageBreak/>
        <w:t>ensure that only newly diagnosed LC cases were included, we excluded patients who met the following criteria: LC diagnosed before the end of 2005, CAD occurred before LC, alcoholic or biliary LC, and age younger than 40 years old. Finally, a total of 3409 newly diagnosed nonalcoholic LC patients between 2006 and 2011 were identified and included in the study (Figure 1). To select age-, sex-, residence-, and entry year-matched controls, we further excluded 173 cirrhotic patients to achieve 100% randomization. A total of 3236 patients with nonalcoholic LC and 16180 matched controls were analyzed for all demographic characteristics (Table 1). Patients with nonalcoholic LC were more likely to have comorbidities including hemorrhagic stroke, hypertension, heart failure (</w:t>
      </w:r>
      <w:proofErr w:type="spellStart"/>
      <w:r>
        <w:rPr>
          <w:spacing w:val="-11"/>
        </w:rPr>
        <w:t>HF</w:t>
      </w:r>
      <w:proofErr w:type="spellEnd"/>
      <w:r>
        <w:rPr>
          <w:spacing w:val="-11"/>
        </w:rPr>
        <w:t>), diabetes mellitus (</w:t>
      </w:r>
      <w:proofErr w:type="spellStart"/>
      <w:r>
        <w:rPr>
          <w:spacing w:val="-11"/>
        </w:rPr>
        <w:t>DM</w:t>
      </w:r>
      <w:proofErr w:type="spellEnd"/>
      <w:r>
        <w:rPr>
          <w:spacing w:val="-11"/>
        </w:rPr>
        <w:t>), chronic kidney disease (CKD), chronic obstructive pulmonary disease (</w:t>
      </w:r>
      <w:proofErr w:type="spellStart"/>
      <w:r>
        <w:rPr>
          <w:spacing w:val="-11"/>
        </w:rPr>
        <w:t>COPD</w:t>
      </w:r>
      <w:proofErr w:type="spellEnd"/>
      <w:r>
        <w:rPr>
          <w:spacing w:val="-11"/>
        </w:rPr>
        <w:t xml:space="preserve">) (all </w:t>
      </w:r>
      <w:r>
        <w:rPr>
          <w:i/>
          <w:iCs/>
          <w:spacing w:val="-11"/>
        </w:rPr>
        <w:t>P</w:t>
      </w:r>
      <w:r>
        <w:rPr>
          <w:spacing w:val="-11"/>
        </w:rPr>
        <w:t xml:space="preserve"> &lt; 0.001), and ischemic stroke (</w:t>
      </w:r>
      <w:r>
        <w:rPr>
          <w:i/>
          <w:iCs/>
          <w:spacing w:val="-11"/>
        </w:rPr>
        <w:t xml:space="preserve">P </w:t>
      </w:r>
      <w:r>
        <w:rPr>
          <w:spacing w:val="-11"/>
        </w:rPr>
        <w:t>= 0.005). In contrast, hyperlipidemia was less prevalent in nonalcoholic LC patients (</w:t>
      </w:r>
      <w:r>
        <w:rPr>
          <w:i/>
          <w:iCs/>
          <w:spacing w:val="-11"/>
        </w:rPr>
        <w:t>P</w:t>
      </w:r>
      <w:r>
        <w:rPr>
          <w:spacing w:val="-11"/>
        </w:rPr>
        <w:t xml:space="preserve"> &lt; 0.001). During six years of follow-up, 165 (5.1%) patients in the nonalcoholic LC cohort and 2814 (17.4%) subjects in the control cohort developed CAD (</w:t>
      </w:r>
      <w:r>
        <w:rPr>
          <w:i/>
          <w:iCs/>
          <w:spacing w:val="-11"/>
        </w:rPr>
        <w:t>P</w:t>
      </w:r>
      <w:r>
        <w:rPr>
          <w:spacing w:val="-11"/>
        </w:rPr>
        <w:t xml:space="preserve"> &lt; 0.001).</w:t>
      </w:r>
    </w:p>
    <w:p w:rsidR="00E86230" w:rsidRPr="008622BB" w:rsidRDefault="00E86230" w:rsidP="00E86230">
      <w:pPr>
        <w:pStyle w:val="af9"/>
        <w:rPr>
          <w:lang w:val="en-US"/>
        </w:rPr>
      </w:pPr>
    </w:p>
    <w:p w:rsidR="00E86230" w:rsidRPr="008622BB" w:rsidRDefault="00E86230" w:rsidP="00E86230">
      <w:pPr>
        <w:pStyle w:val="af9"/>
        <w:rPr>
          <w:lang w:val="en-US"/>
        </w:rPr>
      </w:pPr>
      <w:r w:rsidRPr="008622BB">
        <w:rPr>
          <w:lang w:val="en-US"/>
        </w:rPr>
        <w:t>Nonalcoholic LC patients with and without CAD</w:t>
      </w:r>
    </w:p>
    <w:p w:rsidR="00E86230" w:rsidRDefault="00E86230" w:rsidP="00E86230">
      <w:pPr>
        <w:pStyle w:val="af8"/>
      </w:pPr>
      <w:r>
        <w:t>As shown in Table 2, we stratified nonalcoholic LC patients (</w:t>
      </w:r>
      <w:r>
        <w:rPr>
          <w:i/>
          <w:iCs/>
        </w:rPr>
        <w:t>n</w:t>
      </w:r>
      <w:r>
        <w:t xml:space="preserve"> = 3409) into two groups according to the presence of CAD. Nonalcoholic LC patients with CAD were older (</w:t>
      </w:r>
      <w:r>
        <w:rPr>
          <w:rFonts w:ascii="宋体" w:cs="宋体" w:hint="eastAsia"/>
          <w:spacing w:val="0"/>
          <w:sz w:val="17"/>
          <w:szCs w:val="17"/>
        </w:rPr>
        <w:t>≥</w:t>
      </w:r>
      <w:r>
        <w:t xml:space="preserve"> 60 years old), more likely female, and exhibited increased concomitant comorbidities of ischemic stroke, hypertension, </w:t>
      </w:r>
      <w:proofErr w:type="spellStart"/>
      <w:r>
        <w:t>HF</w:t>
      </w:r>
      <w:proofErr w:type="spellEnd"/>
      <w:r>
        <w:t xml:space="preserve">, </w:t>
      </w:r>
      <w:proofErr w:type="spellStart"/>
      <w:r>
        <w:t>DM</w:t>
      </w:r>
      <w:proofErr w:type="spellEnd"/>
      <w:r>
        <w:t xml:space="preserve">, CKD, hyperlipidemia, and </w:t>
      </w:r>
      <w:proofErr w:type="spellStart"/>
      <w:r>
        <w:t>COPD</w:t>
      </w:r>
      <w:proofErr w:type="spellEnd"/>
      <w:r>
        <w:t xml:space="preserve"> (all </w:t>
      </w:r>
      <w:r>
        <w:rPr>
          <w:i/>
          <w:iCs/>
        </w:rPr>
        <w:t>P</w:t>
      </w:r>
      <w:r>
        <w:t xml:space="preserve"> &lt; 0.001). When we compared the complications of liver cirrhosis between the two groups, nonalcoholic LC patients with CAD had fewer LC-related complications, including </w:t>
      </w:r>
      <w:proofErr w:type="spellStart"/>
      <w:r>
        <w:t>EV</w:t>
      </w:r>
      <w:proofErr w:type="spellEnd"/>
      <w:r>
        <w:t xml:space="preserve"> with bleeding, ascites or peritonitis, and hepatic encephalo</w:t>
      </w:r>
      <w:r>
        <w:softHyphen/>
        <w:t>pathy (Supplementary Table 1). However, no significant differences were noted between the two groups.</w:t>
      </w:r>
    </w:p>
    <w:p w:rsidR="00E86230" w:rsidRPr="008622BB" w:rsidRDefault="00E86230" w:rsidP="00E86230">
      <w:pPr>
        <w:pStyle w:val="af9"/>
        <w:rPr>
          <w:lang w:val="en-US"/>
        </w:rPr>
      </w:pPr>
    </w:p>
    <w:p w:rsidR="00E86230" w:rsidRPr="008622BB" w:rsidRDefault="00E86230" w:rsidP="00E86230">
      <w:pPr>
        <w:pStyle w:val="af9"/>
        <w:rPr>
          <w:lang w:val="en-US"/>
        </w:rPr>
      </w:pPr>
      <w:r w:rsidRPr="008622BB">
        <w:rPr>
          <w:lang w:val="en-US"/>
        </w:rPr>
        <w:t xml:space="preserve">Secondary outcome: Increased survival rate in the nonalcoholic LC with CAD group </w:t>
      </w:r>
    </w:p>
    <w:p w:rsidR="00E86230" w:rsidRDefault="00E86230" w:rsidP="00E86230">
      <w:pPr>
        <w:pStyle w:val="af8"/>
        <w:rPr>
          <w:spacing w:val="-11"/>
        </w:rPr>
      </w:pPr>
      <w:r>
        <w:rPr>
          <w:spacing w:val="-11"/>
        </w:rPr>
        <w:t>We analyzed 3409 nonalcoholic LC patients and 16180 control subjects with a mean follow-up period of six years, and six-year survival rates were 50% and 85%, respectively (</w:t>
      </w:r>
      <w:r>
        <w:rPr>
          <w:i/>
          <w:iCs/>
          <w:spacing w:val="-11"/>
        </w:rPr>
        <w:t>P</w:t>
      </w:r>
      <w:r>
        <w:rPr>
          <w:spacing w:val="-11"/>
        </w:rPr>
        <w:t xml:space="preserve"> &lt; 0.001) (Figure 2A). When we compared nonalcoholic LC patients with and without CAD, the six-year survival rates were 52% and 50%, respectively (</w:t>
      </w:r>
      <w:r>
        <w:rPr>
          <w:i/>
          <w:iCs/>
          <w:spacing w:val="-11"/>
        </w:rPr>
        <w:t>P</w:t>
      </w:r>
      <w:r>
        <w:rPr>
          <w:spacing w:val="-11"/>
        </w:rPr>
        <w:t xml:space="preserve"> = 0.012) (Figure 2B). The Cox regression proportional hazard model corresponding to each group also demonstrated a better survival rate for the nonalcoholic LC with CAD group than for those without CAD (</w:t>
      </w:r>
      <w:proofErr w:type="spellStart"/>
      <w:r>
        <w:rPr>
          <w:spacing w:val="-11"/>
        </w:rPr>
        <w:t>AHR</w:t>
      </w:r>
      <w:proofErr w:type="spellEnd"/>
      <w:r>
        <w:rPr>
          <w:spacing w:val="-11"/>
        </w:rPr>
        <w:t>: 0.56; 95%CI: 0.43-0.74;</w:t>
      </w:r>
      <w:r>
        <w:rPr>
          <w:i/>
          <w:iCs/>
          <w:spacing w:val="-11"/>
        </w:rPr>
        <w:t xml:space="preserve"> P</w:t>
      </w:r>
      <w:r>
        <w:rPr>
          <w:spacing w:val="-11"/>
        </w:rPr>
        <w:t xml:space="preserve"> &lt; 0.001) (Table 3).</w:t>
      </w:r>
    </w:p>
    <w:p w:rsidR="00E86230" w:rsidRPr="008622BB" w:rsidRDefault="00E86230" w:rsidP="00E86230">
      <w:pPr>
        <w:pStyle w:val="af9"/>
        <w:rPr>
          <w:lang w:val="en-US"/>
        </w:rPr>
      </w:pPr>
    </w:p>
    <w:p w:rsidR="00E86230" w:rsidRPr="008622BB" w:rsidRDefault="00E86230" w:rsidP="00E86230">
      <w:pPr>
        <w:pStyle w:val="af9"/>
        <w:rPr>
          <w:lang w:val="en-US"/>
        </w:rPr>
      </w:pPr>
      <w:proofErr w:type="spellStart"/>
      <w:r w:rsidRPr="008622BB">
        <w:rPr>
          <w:lang w:val="en-US"/>
        </w:rPr>
        <w:t>HRs</w:t>
      </w:r>
      <w:proofErr w:type="spellEnd"/>
      <w:r w:rsidRPr="008622BB">
        <w:rPr>
          <w:lang w:val="en-US"/>
        </w:rPr>
        <w:t xml:space="preserve"> of mortality in LC patients with different comor</w:t>
      </w:r>
      <w:r w:rsidRPr="008622BB">
        <w:rPr>
          <w:lang w:val="en-US"/>
        </w:rPr>
        <w:softHyphen/>
        <w:t>bidities and complications</w:t>
      </w:r>
    </w:p>
    <w:p w:rsidR="00E86230" w:rsidRDefault="00E86230" w:rsidP="00E86230">
      <w:pPr>
        <w:pStyle w:val="af8"/>
      </w:pPr>
      <w:r>
        <w:t xml:space="preserve">Table 3 presents the </w:t>
      </w:r>
      <w:proofErr w:type="spellStart"/>
      <w:r>
        <w:t>HRs</w:t>
      </w:r>
      <w:proofErr w:type="spellEnd"/>
      <w:r>
        <w:t xml:space="preserve"> of mortality in LC patients with different comorbidities. Increased </w:t>
      </w:r>
      <w:proofErr w:type="spellStart"/>
      <w:r>
        <w:t>HRs</w:t>
      </w:r>
      <w:proofErr w:type="spellEnd"/>
      <w:r>
        <w:t xml:space="preserve"> </w:t>
      </w:r>
      <w:proofErr w:type="gramStart"/>
      <w:r>
        <w:t>were</w:t>
      </w:r>
      <w:proofErr w:type="gramEnd"/>
      <w:r>
        <w:t xml:space="preserve"> observed for males, older patients, cerebrovascular disease (</w:t>
      </w:r>
      <w:proofErr w:type="spellStart"/>
      <w:r>
        <w:t>CVD</w:t>
      </w:r>
      <w:proofErr w:type="spellEnd"/>
      <w:r>
        <w:t xml:space="preserve">), </w:t>
      </w:r>
      <w:proofErr w:type="spellStart"/>
      <w:r>
        <w:t>HF</w:t>
      </w:r>
      <w:proofErr w:type="spellEnd"/>
      <w:r>
        <w:t xml:space="preserve">, </w:t>
      </w:r>
      <w:proofErr w:type="spellStart"/>
      <w:r>
        <w:t>DM</w:t>
      </w:r>
      <w:proofErr w:type="spellEnd"/>
      <w:r>
        <w:t xml:space="preserve">, CKD and </w:t>
      </w:r>
      <w:proofErr w:type="spellStart"/>
      <w:r>
        <w:t>COPD</w:t>
      </w:r>
      <w:proofErr w:type="spellEnd"/>
      <w:r>
        <w:t xml:space="preserve">. Among these factors, CKD exhibited the highest </w:t>
      </w:r>
      <w:proofErr w:type="spellStart"/>
      <w:r>
        <w:t>AHR</w:t>
      </w:r>
      <w:proofErr w:type="spellEnd"/>
      <w:r>
        <w:t xml:space="preserve"> of mortality (</w:t>
      </w:r>
      <w:proofErr w:type="spellStart"/>
      <w:r>
        <w:t>AHR</w:t>
      </w:r>
      <w:proofErr w:type="spellEnd"/>
      <w:r>
        <w:t xml:space="preserve">: 1.76; 95%CI: 1.55-2.00). The </w:t>
      </w:r>
      <w:proofErr w:type="spellStart"/>
      <w:r>
        <w:t>AHRs</w:t>
      </w:r>
      <w:proofErr w:type="spellEnd"/>
      <w:r>
        <w:t xml:space="preserve"> of CAD, hypertension, and hyperlipidemia were reduced. Hyperlipidemia exhibited the lowest </w:t>
      </w:r>
      <w:proofErr w:type="spellStart"/>
      <w:r>
        <w:t>AHR</w:t>
      </w:r>
      <w:proofErr w:type="spellEnd"/>
      <w:r>
        <w:t xml:space="preserve"> of 0.52 (95%CI: 0.44-0.62). </w:t>
      </w:r>
    </w:p>
    <w:p w:rsidR="00E86230" w:rsidRDefault="00E86230" w:rsidP="00E86230">
      <w:pPr>
        <w:pStyle w:val="10"/>
      </w:pPr>
      <w:r>
        <w:t xml:space="preserve">When we analyzed the </w:t>
      </w:r>
      <w:proofErr w:type="spellStart"/>
      <w:r>
        <w:t>HRs</w:t>
      </w:r>
      <w:proofErr w:type="spellEnd"/>
      <w:r>
        <w:t xml:space="preserve"> of LC complications that occurred after enrollment, all complications exhibited </w:t>
      </w:r>
      <w:r>
        <w:lastRenderedPageBreak/>
        <w:t xml:space="preserve">increased values for both unadjusted </w:t>
      </w:r>
      <w:proofErr w:type="spellStart"/>
      <w:r>
        <w:t>HRs</w:t>
      </w:r>
      <w:proofErr w:type="spellEnd"/>
      <w:r>
        <w:t xml:space="preserve"> and </w:t>
      </w:r>
      <w:proofErr w:type="spellStart"/>
      <w:r>
        <w:t>AHRs</w:t>
      </w:r>
      <w:proofErr w:type="spellEnd"/>
      <w:r>
        <w:t xml:space="preserve">. Ascites or peritonitis exhibited the highest </w:t>
      </w:r>
      <w:proofErr w:type="spellStart"/>
      <w:r>
        <w:t>AHR</w:t>
      </w:r>
      <w:proofErr w:type="spellEnd"/>
      <w:r>
        <w:t xml:space="preserve"> at 2.34 (95%CI: 2.06-2.65) (Supplementary Table 2).</w:t>
      </w:r>
    </w:p>
    <w:p w:rsidR="00E86230" w:rsidRDefault="00E86230" w:rsidP="00E86230">
      <w:pPr>
        <w:pStyle w:val="10"/>
      </w:pPr>
      <w:r>
        <w:t xml:space="preserve">Finally, we compared the effect of the number of comorbidities and complications on the survival rate in LC patients. Cirrhotic patients with one, two, or three comorbidities had </w:t>
      </w:r>
      <w:proofErr w:type="spellStart"/>
      <w:r>
        <w:t>HRs</w:t>
      </w:r>
      <w:proofErr w:type="spellEnd"/>
      <w:r>
        <w:t xml:space="preserve"> of 1.35, 1.72, and 1.95 (95%CI: 1.19-1.55, 1.47-2.00, and 1.57-2.43), respectively (Supplementary Table 3). However, the </w:t>
      </w:r>
      <w:proofErr w:type="spellStart"/>
      <w:r>
        <w:t>HRs</w:t>
      </w:r>
      <w:proofErr w:type="spellEnd"/>
      <w:r>
        <w:t xml:space="preserve"> for one, two, or t three LC complications were 3.56, 4.63, and 5.15 (95%CI: 3.14-4.03, 3.94-5.44, and 3.82-6.94), respectively (Supplementary Table 4).</w:t>
      </w:r>
    </w:p>
    <w:p w:rsidR="00E86230" w:rsidRPr="008622BB" w:rsidRDefault="00E86230" w:rsidP="00E86230">
      <w:pPr>
        <w:pStyle w:val="af7"/>
        <w:ind w:left="5250"/>
        <w:rPr>
          <w:lang w:val="en-US"/>
        </w:rPr>
      </w:pPr>
    </w:p>
    <w:p w:rsidR="00E86230" w:rsidRPr="00A23BEB" w:rsidRDefault="00E86230" w:rsidP="00E86230">
      <w:pPr>
        <w:pStyle w:val="af7"/>
        <w:ind w:left="5250"/>
        <w:rPr>
          <w:u w:val="single"/>
          <w:lang w:val="en-US"/>
        </w:rPr>
      </w:pPr>
      <w:r w:rsidRPr="00A23BEB">
        <w:rPr>
          <w:u w:val="single"/>
          <w:lang w:val="en-US"/>
        </w:rPr>
        <w:t>DISCUSSION</w:t>
      </w:r>
    </w:p>
    <w:p w:rsidR="00E86230" w:rsidRDefault="00E86230" w:rsidP="00E86230">
      <w:pPr>
        <w:pStyle w:val="af8"/>
      </w:pPr>
      <w:r>
        <w:t>In the present study, we observed a reduced prevalence of CAD and an increased survival rate for concomitant CAD in nonalcoholic LC patients. A lower prevalence of atherosclerosis and CAD was first described in an autopsy-based study in 1960</w:t>
      </w:r>
      <w:r>
        <w:rPr>
          <w:vertAlign w:val="superscript"/>
        </w:rPr>
        <w:t>[10]</w:t>
      </w:r>
      <w:r>
        <w:t xml:space="preserve">. A reduced prevalence of ischemic events was also reported for ischemic </w:t>
      </w:r>
      <w:proofErr w:type="gramStart"/>
      <w:r>
        <w:t>stroke</w:t>
      </w:r>
      <w:r>
        <w:rPr>
          <w:vertAlign w:val="superscript"/>
        </w:rPr>
        <w:t>[</w:t>
      </w:r>
      <w:proofErr w:type="gramEnd"/>
      <w:r>
        <w:rPr>
          <w:vertAlign w:val="superscript"/>
        </w:rPr>
        <w:t>8,26]</w:t>
      </w:r>
      <w:r>
        <w:t xml:space="preserve">. However, conflicting data have been reported in some retrospective cohort and case-controlled </w:t>
      </w:r>
      <w:proofErr w:type="gramStart"/>
      <w:r>
        <w:t>studies</w:t>
      </w:r>
      <w:r>
        <w:rPr>
          <w:vertAlign w:val="superscript"/>
        </w:rPr>
        <w:t>[</w:t>
      </w:r>
      <w:proofErr w:type="gramEnd"/>
      <w:r>
        <w:rPr>
          <w:vertAlign w:val="superscript"/>
        </w:rPr>
        <w:t>8,9,13,16,17,21,22]</w:t>
      </w:r>
      <w:r>
        <w:t xml:space="preserve">. First, the increased prevalence of CAD found in LC patients might be due to the different etiologies of LC in these Western population-based cohorts. An increased proportion of NASH and alcohol-related LC was noted compared to cohorts in viral hepatitis endemic </w:t>
      </w:r>
      <w:proofErr w:type="gramStart"/>
      <w:r>
        <w:t>areas</w:t>
      </w:r>
      <w:r>
        <w:rPr>
          <w:vertAlign w:val="superscript"/>
        </w:rPr>
        <w:t>[</w:t>
      </w:r>
      <w:proofErr w:type="gramEnd"/>
      <w:r>
        <w:rPr>
          <w:vertAlign w:val="superscript"/>
        </w:rPr>
        <w:t>13,16,21,22]</w:t>
      </w:r>
      <w:r>
        <w:t xml:space="preserve">. NASH and alcohol consumption are generally associated with increased CAD risk factors. Nonetheless, the prevalence of CAD was reduced in end-stage liver disease patients assessed for liver transplantation who had alcoholic LC when compared to those with nonalcoholic </w:t>
      </w:r>
      <w:proofErr w:type="gramStart"/>
      <w:r>
        <w:t>LC</w:t>
      </w:r>
      <w:r>
        <w:rPr>
          <w:vertAlign w:val="superscript"/>
        </w:rPr>
        <w:t>[</w:t>
      </w:r>
      <w:proofErr w:type="gramEnd"/>
      <w:r>
        <w:rPr>
          <w:vertAlign w:val="superscript"/>
        </w:rPr>
        <w:t>27]</w:t>
      </w:r>
      <w:r>
        <w:t xml:space="preserve">. Although moderate consumption of alcohol (&lt; 30 g/d) has been reported as a protective factor against </w:t>
      </w:r>
      <w:proofErr w:type="gramStart"/>
      <w:r>
        <w:t>CAD</w:t>
      </w:r>
      <w:r>
        <w:rPr>
          <w:vertAlign w:val="superscript"/>
        </w:rPr>
        <w:t>[</w:t>
      </w:r>
      <w:proofErr w:type="gramEnd"/>
      <w:r>
        <w:rPr>
          <w:vertAlign w:val="superscript"/>
        </w:rPr>
        <w:t>12]</w:t>
      </w:r>
      <w:r>
        <w:t xml:space="preserve">, controversy still exists regarding heavy drinkers. In comparison, most subjects in our study had viral hepatitis-related LC. Few metabolic disorders were associated with </w:t>
      </w:r>
      <w:proofErr w:type="spellStart"/>
      <w:r>
        <w:t>steatohepatitis</w:t>
      </w:r>
      <w:proofErr w:type="spellEnd"/>
      <w:r>
        <w:t xml:space="preserve"> (such as hyperlipidemia), and no alcohol consumption was reported in our study cohort.</w:t>
      </w:r>
    </w:p>
    <w:p w:rsidR="00E86230" w:rsidRDefault="00E86230" w:rsidP="00E86230">
      <w:pPr>
        <w:pStyle w:val="10"/>
        <w:rPr>
          <w:spacing w:val="-11"/>
        </w:rPr>
      </w:pPr>
      <w:r>
        <w:rPr>
          <w:spacing w:val="-11"/>
        </w:rPr>
        <w:t xml:space="preserve">Second, lower blood pressure, better serum lipid profiles (including lower </w:t>
      </w:r>
      <w:proofErr w:type="spellStart"/>
      <w:r>
        <w:rPr>
          <w:spacing w:val="-11"/>
        </w:rPr>
        <w:t>LDL</w:t>
      </w:r>
      <w:proofErr w:type="spellEnd"/>
      <w:r>
        <w:rPr>
          <w:spacing w:val="-11"/>
        </w:rPr>
        <w:t xml:space="preserve">-C, </w:t>
      </w:r>
      <w:proofErr w:type="spellStart"/>
      <w:r>
        <w:rPr>
          <w:spacing w:val="-11"/>
        </w:rPr>
        <w:t>TC</w:t>
      </w:r>
      <w:proofErr w:type="spellEnd"/>
      <w:r>
        <w:rPr>
          <w:spacing w:val="-11"/>
        </w:rPr>
        <w:t>, and TG), and co</w:t>
      </w:r>
      <w:r>
        <w:rPr>
          <w:spacing w:val="-11"/>
        </w:rPr>
        <w:softHyphen/>
        <w:t>agulopathy in LC patients were regarded as protective factors against CAD</w:t>
      </w:r>
      <w:r>
        <w:rPr>
          <w:spacing w:val="-11"/>
          <w:vertAlign w:val="superscript"/>
        </w:rPr>
        <w:t>[8,18-20,22]</w:t>
      </w:r>
      <w:r>
        <w:rPr>
          <w:spacing w:val="-11"/>
        </w:rPr>
        <w:t xml:space="preserve">. However, viral hepatitis </w:t>
      </w:r>
      <w:r>
        <w:rPr>
          <w:i/>
          <w:iCs/>
          <w:spacing w:val="-11"/>
        </w:rPr>
        <w:t>per se</w:t>
      </w:r>
      <w:r>
        <w:rPr>
          <w:spacing w:val="-11"/>
        </w:rPr>
        <w:t xml:space="preserve"> can influence vessel function and cause endothelial dysfunction, which is correlated with atherosclerotic disease </w:t>
      </w:r>
      <w:proofErr w:type="gramStart"/>
      <w:r>
        <w:rPr>
          <w:spacing w:val="-11"/>
        </w:rPr>
        <w:t>progression</w:t>
      </w:r>
      <w:r>
        <w:rPr>
          <w:spacing w:val="-11"/>
          <w:vertAlign w:val="superscript"/>
        </w:rPr>
        <w:t>[</w:t>
      </w:r>
      <w:proofErr w:type="gramEnd"/>
      <w:r>
        <w:rPr>
          <w:spacing w:val="-11"/>
          <w:vertAlign w:val="superscript"/>
        </w:rPr>
        <w:t>28]</w:t>
      </w:r>
      <w:r>
        <w:rPr>
          <w:spacing w:val="-11"/>
        </w:rPr>
        <w:t xml:space="preserve">. A retrospective cohort study indicated that hepatitis C virus-infected subjects exhibited an increased risk for CAD, although better blood pressure and lipid profiles were observed in the </w:t>
      </w:r>
      <w:proofErr w:type="gramStart"/>
      <w:r>
        <w:rPr>
          <w:spacing w:val="-11"/>
        </w:rPr>
        <w:t>population</w:t>
      </w:r>
      <w:r>
        <w:rPr>
          <w:spacing w:val="-11"/>
          <w:vertAlign w:val="superscript"/>
        </w:rPr>
        <w:t>[</w:t>
      </w:r>
      <w:proofErr w:type="gramEnd"/>
      <w:r>
        <w:rPr>
          <w:spacing w:val="-11"/>
          <w:vertAlign w:val="superscript"/>
        </w:rPr>
        <w:t>29,30]</w:t>
      </w:r>
      <w:r>
        <w:rPr>
          <w:spacing w:val="-11"/>
        </w:rPr>
        <w:t xml:space="preserve">. Consistent with previous reports, we observed a reduced prevalence of hyperlipidemia in cirrhotic patients. The proportion of comorbidities, including </w:t>
      </w:r>
      <w:proofErr w:type="spellStart"/>
      <w:r>
        <w:rPr>
          <w:spacing w:val="-11"/>
        </w:rPr>
        <w:t>CVD</w:t>
      </w:r>
      <w:proofErr w:type="spellEnd"/>
      <w:r>
        <w:rPr>
          <w:spacing w:val="-11"/>
        </w:rPr>
        <w:t xml:space="preserve">, hypertension, </w:t>
      </w:r>
      <w:proofErr w:type="spellStart"/>
      <w:r>
        <w:rPr>
          <w:spacing w:val="-11"/>
        </w:rPr>
        <w:t>HF</w:t>
      </w:r>
      <w:proofErr w:type="spellEnd"/>
      <w:r>
        <w:rPr>
          <w:spacing w:val="-11"/>
        </w:rPr>
        <w:t xml:space="preserve">, </w:t>
      </w:r>
      <w:proofErr w:type="spellStart"/>
      <w:r>
        <w:rPr>
          <w:spacing w:val="-11"/>
        </w:rPr>
        <w:t>DM</w:t>
      </w:r>
      <w:proofErr w:type="spellEnd"/>
      <w:r>
        <w:rPr>
          <w:spacing w:val="-11"/>
        </w:rPr>
        <w:t xml:space="preserve">, CKD, hyperlipidemia, and </w:t>
      </w:r>
      <w:proofErr w:type="spellStart"/>
      <w:r>
        <w:rPr>
          <w:spacing w:val="-11"/>
        </w:rPr>
        <w:t>COPD</w:t>
      </w:r>
      <w:proofErr w:type="spellEnd"/>
      <w:r>
        <w:rPr>
          <w:spacing w:val="-11"/>
        </w:rPr>
        <w:t xml:space="preserve">, was increased in the nonalcoholic LC with CAD </w:t>
      </w:r>
      <w:proofErr w:type="gramStart"/>
      <w:r>
        <w:rPr>
          <w:spacing w:val="-11"/>
        </w:rPr>
        <w:t>patients</w:t>
      </w:r>
      <w:r>
        <w:rPr>
          <w:spacing w:val="-11"/>
          <w:vertAlign w:val="superscript"/>
        </w:rPr>
        <w:t>[</w:t>
      </w:r>
      <w:proofErr w:type="gramEnd"/>
      <w:r>
        <w:rPr>
          <w:spacing w:val="-11"/>
          <w:vertAlign w:val="superscript"/>
        </w:rPr>
        <w:t>7]</w:t>
      </w:r>
      <w:r>
        <w:rPr>
          <w:spacing w:val="-11"/>
        </w:rPr>
        <w:t xml:space="preserve">. The increase in these age-related comorbidities may be attributed to the older age in this study cohort. Third, CAD is an age-related disease. We hypothesize that better liver function may contribute to increased survival in the cirrhotic patients with CAD cohort. When survival is prolonged, age-related CAD risks also </w:t>
      </w:r>
      <w:proofErr w:type="gramStart"/>
      <w:r>
        <w:rPr>
          <w:spacing w:val="-11"/>
        </w:rPr>
        <w:t>increase</w:t>
      </w:r>
      <w:r>
        <w:rPr>
          <w:spacing w:val="-11"/>
          <w:vertAlign w:val="superscript"/>
        </w:rPr>
        <w:t>[</w:t>
      </w:r>
      <w:proofErr w:type="gramEnd"/>
      <w:r>
        <w:rPr>
          <w:spacing w:val="-11"/>
          <w:vertAlign w:val="superscript"/>
        </w:rPr>
        <w:t>31]</w:t>
      </w:r>
      <w:r>
        <w:rPr>
          <w:spacing w:val="-11"/>
        </w:rPr>
        <w:t>.</w:t>
      </w:r>
    </w:p>
    <w:p w:rsidR="00E86230" w:rsidRDefault="00E86230" w:rsidP="00E86230">
      <w:pPr>
        <w:pStyle w:val="10"/>
      </w:pPr>
      <w:r>
        <w:lastRenderedPageBreak/>
        <w:t xml:space="preserve">Ischemic stroke is a systemic thromboembolic event. Compared to normal subjects, the prevalence of ischemic stroke was reduced in cirrhotic </w:t>
      </w:r>
      <w:proofErr w:type="gramStart"/>
      <w:r>
        <w:t>patients</w:t>
      </w:r>
      <w:r>
        <w:rPr>
          <w:vertAlign w:val="superscript"/>
        </w:rPr>
        <w:t>[</w:t>
      </w:r>
      <w:proofErr w:type="gramEnd"/>
      <w:r>
        <w:rPr>
          <w:vertAlign w:val="superscript"/>
        </w:rPr>
        <w:t>32]</w:t>
      </w:r>
      <w:r>
        <w:t xml:space="preserve">. In contrast, hemorrhagic events </w:t>
      </w:r>
      <w:proofErr w:type="gramStart"/>
      <w:r>
        <w:t>increased</w:t>
      </w:r>
      <w:r>
        <w:rPr>
          <w:vertAlign w:val="superscript"/>
        </w:rPr>
        <w:t>[</w:t>
      </w:r>
      <w:proofErr w:type="gramEnd"/>
      <w:r>
        <w:rPr>
          <w:vertAlign w:val="superscript"/>
        </w:rPr>
        <w:t>7,33]</w:t>
      </w:r>
      <w:r>
        <w:t>. However, in our study, both ischemic and hemorrhagic stroke were significantly increased in nonalcoholic LC subjects. Of note, the prevalence of hemorrhagic stroke in non</w:t>
      </w:r>
      <w:r>
        <w:softHyphen/>
        <w:t xml:space="preserve">alcoholic LC patients was two-fold higher than that in normal subjects (3.4% </w:t>
      </w:r>
      <w:proofErr w:type="spellStart"/>
      <w:r>
        <w:rPr>
          <w:i/>
          <w:iCs/>
        </w:rPr>
        <w:t>vs</w:t>
      </w:r>
      <w:proofErr w:type="spellEnd"/>
      <w:r>
        <w:t xml:space="preserve"> 1.7%, </w:t>
      </w:r>
      <w:r>
        <w:rPr>
          <w:i/>
          <w:iCs/>
        </w:rPr>
        <w:t xml:space="preserve">P </w:t>
      </w:r>
      <w:r>
        <w:t xml:space="preserve">&lt; 0.001), which was considerably increased compared to ischemic stroke (10.3% </w:t>
      </w:r>
      <w:proofErr w:type="spellStart"/>
      <w:r>
        <w:rPr>
          <w:i/>
          <w:iCs/>
        </w:rPr>
        <w:t>vs</w:t>
      </w:r>
      <w:proofErr w:type="spellEnd"/>
      <w:r>
        <w:t xml:space="preserve"> 8.7%, </w:t>
      </w:r>
      <w:r>
        <w:rPr>
          <w:i/>
          <w:iCs/>
        </w:rPr>
        <w:t xml:space="preserve">P </w:t>
      </w:r>
      <w:r>
        <w:t xml:space="preserve">= 0.005). Older age and higher proportions of concomitant hypertension, </w:t>
      </w:r>
      <w:proofErr w:type="spellStart"/>
      <w:r>
        <w:t>DM</w:t>
      </w:r>
      <w:proofErr w:type="spellEnd"/>
      <w:r>
        <w:t xml:space="preserve">, and </w:t>
      </w:r>
      <w:proofErr w:type="spellStart"/>
      <w:r>
        <w:t>COPD</w:t>
      </w:r>
      <w:proofErr w:type="spellEnd"/>
      <w:r>
        <w:t xml:space="preserve"> (as a result of smoking) in our nonalcoholic LC cohort might explain this result. These comorbidities have been reported as significant risk factors for all types of </w:t>
      </w:r>
      <w:proofErr w:type="gramStart"/>
      <w:r>
        <w:t>stroke</w:t>
      </w:r>
      <w:r>
        <w:rPr>
          <w:vertAlign w:val="superscript"/>
        </w:rPr>
        <w:t>[</w:t>
      </w:r>
      <w:proofErr w:type="gramEnd"/>
      <w:r>
        <w:rPr>
          <w:vertAlign w:val="superscript"/>
        </w:rPr>
        <w:t>34]</w:t>
      </w:r>
      <w:r>
        <w:t xml:space="preserve">. </w:t>
      </w:r>
    </w:p>
    <w:p w:rsidR="00E86230" w:rsidRDefault="00E86230" w:rsidP="00E86230">
      <w:pPr>
        <w:pStyle w:val="10"/>
      </w:pPr>
      <w:r>
        <w:t xml:space="preserve">We analyzed the association among comorbidities, complications, and </w:t>
      </w:r>
      <w:proofErr w:type="spellStart"/>
      <w:r>
        <w:t>HRs</w:t>
      </w:r>
      <w:proofErr w:type="spellEnd"/>
      <w:r>
        <w:t xml:space="preserve"> in LC patients. Consistent with previous studies, cirrhosis concomitant with </w:t>
      </w:r>
      <w:proofErr w:type="spellStart"/>
      <w:r>
        <w:t>CVD</w:t>
      </w:r>
      <w:proofErr w:type="spellEnd"/>
      <w:r>
        <w:t xml:space="preserve">, </w:t>
      </w:r>
      <w:proofErr w:type="spellStart"/>
      <w:r>
        <w:t>HF</w:t>
      </w:r>
      <w:proofErr w:type="spellEnd"/>
      <w:r>
        <w:t xml:space="preserve">, CKD, or </w:t>
      </w:r>
      <w:proofErr w:type="spellStart"/>
      <w:r>
        <w:t>COPD</w:t>
      </w:r>
      <w:proofErr w:type="spellEnd"/>
      <w:r>
        <w:t xml:space="preserve"> was regarded as a risk factor for mortality in both the </w:t>
      </w:r>
      <w:proofErr w:type="spellStart"/>
      <w:r>
        <w:t>Charlson</w:t>
      </w:r>
      <w:proofErr w:type="spellEnd"/>
      <w:r>
        <w:t xml:space="preserve"> comorbidity index and the Cirrhosis-specific Comorbidity Scoring System (</w:t>
      </w:r>
      <w:proofErr w:type="spellStart"/>
      <w:r>
        <w:t>CirCom</w:t>
      </w:r>
      <w:proofErr w:type="spellEnd"/>
      <w:proofErr w:type="gramStart"/>
      <w:r>
        <w:t>)</w:t>
      </w:r>
      <w:r>
        <w:rPr>
          <w:vertAlign w:val="superscript"/>
        </w:rPr>
        <w:t>[</w:t>
      </w:r>
      <w:proofErr w:type="gramEnd"/>
      <w:r>
        <w:rPr>
          <w:vertAlign w:val="superscript"/>
        </w:rPr>
        <w:t>35-37]</w:t>
      </w:r>
      <w:r>
        <w:t xml:space="preserve">. In addition, CKD had the highest </w:t>
      </w:r>
      <w:proofErr w:type="spellStart"/>
      <w:r>
        <w:t>HR</w:t>
      </w:r>
      <w:proofErr w:type="spellEnd"/>
      <w:r>
        <w:t xml:space="preserve"> in our study and exhibited increased risk scores in the two prognostic scoring systems. All the complications in LC patients were risk factors in our study. However, CAD, hypertension, and hyperlipidemia were associated with a lower </w:t>
      </w:r>
      <w:proofErr w:type="spellStart"/>
      <w:r>
        <w:t>HR</w:t>
      </w:r>
      <w:proofErr w:type="spellEnd"/>
      <w:r>
        <w:t xml:space="preserve"> and improved survival in this study. Although acute myocardial infarction was found to be a risk factor of mortality in nonalcoholic LC </w:t>
      </w:r>
      <w:proofErr w:type="gramStart"/>
      <w:r>
        <w:t>patients</w:t>
      </w:r>
      <w:r>
        <w:rPr>
          <w:vertAlign w:val="superscript"/>
        </w:rPr>
        <w:t>[</w:t>
      </w:r>
      <w:proofErr w:type="gramEnd"/>
      <w:r>
        <w:rPr>
          <w:vertAlign w:val="superscript"/>
        </w:rPr>
        <w:t>36]</w:t>
      </w:r>
      <w:r>
        <w:t xml:space="preserve">, the relationship among chronic stable CAD, hypertension, hyperlipidemia, and LC mortality remains unclear. Among these factors, cirrhotic patients with greater than three comorbidities exhibited the worst prognosis with at least a 1.954-fold increased risk of mortality. </w:t>
      </w:r>
    </w:p>
    <w:p w:rsidR="00E86230" w:rsidRPr="008622BB" w:rsidRDefault="00E86230" w:rsidP="00E86230">
      <w:pPr>
        <w:pStyle w:val="af9"/>
        <w:rPr>
          <w:lang w:val="en-US"/>
        </w:rPr>
      </w:pPr>
    </w:p>
    <w:p w:rsidR="00E86230" w:rsidRPr="008622BB" w:rsidRDefault="00E86230" w:rsidP="00E86230">
      <w:pPr>
        <w:pStyle w:val="af9"/>
        <w:rPr>
          <w:lang w:val="en-US"/>
        </w:rPr>
      </w:pPr>
      <w:r w:rsidRPr="008622BB">
        <w:rPr>
          <w:lang w:val="en-US"/>
        </w:rPr>
        <w:t>Limitations</w:t>
      </w:r>
    </w:p>
    <w:p w:rsidR="00E86230" w:rsidRDefault="00E86230" w:rsidP="00E86230">
      <w:pPr>
        <w:pStyle w:val="af8"/>
      </w:pPr>
      <w:r>
        <w:t xml:space="preserve">There were some limitations in our study. First, this is a retrospective cohort study. Although nonalcoholic LC and CAD subjects were retrieved from the Taiwanese </w:t>
      </w:r>
      <w:proofErr w:type="spellStart"/>
      <w:r>
        <w:t>NHIRD</w:t>
      </w:r>
      <w:proofErr w:type="spellEnd"/>
      <w:r>
        <w:t xml:space="preserve"> database according to ICD-9 codes, data were lacking regarding the severity of cirrhosis (</w:t>
      </w:r>
      <w:r>
        <w:rPr>
          <w:i/>
          <w:iCs/>
        </w:rPr>
        <w:t>e.g.,</w:t>
      </w:r>
      <w:r>
        <w:t xml:space="preserve"> Child-</w:t>
      </w:r>
      <w:proofErr w:type="spellStart"/>
      <w:r>
        <w:t>Turcotte</w:t>
      </w:r>
      <w:proofErr w:type="spellEnd"/>
      <w:r>
        <w:t xml:space="preserve">-Pugh scores). In this study, we excluded patients who had less than three outpatient visits with the same diagnosis. Furthermore, we analyzed the complications of cirrhosis to evaluate the severity. Second, the severity of concomitant comorbidities, such as hypertension, </w:t>
      </w:r>
      <w:proofErr w:type="spellStart"/>
      <w:r>
        <w:t>DM</w:t>
      </w:r>
      <w:proofErr w:type="spellEnd"/>
      <w:r>
        <w:t xml:space="preserve">, and hyperlipidemia, cannot be evaluated. In addition, other known risk factors, such as smoking status and family history of CAD, were not recorded in the database. Third, the severity of CAD was not recorded in the database. A prospective case-controlled study revealed an increased prevalence of </w:t>
      </w:r>
      <w:proofErr w:type="spellStart"/>
      <w:r>
        <w:t>nonobstructive</w:t>
      </w:r>
      <w:proofErr w:type="spellEnd"/>
      <w:r>
        <w:t xml:space="preserve"> CAD (</w:t>
      </w:r>
      <w:r>
        <w:rPr>
          <w:i/>
          <w:iCs/>
        </w:rPr>
        <w:t>i.e.,</w:t>
      </w:r>
      <w:r>
        <w:t xml:space="preserve"> narrowing &lt; 50%) in cirrhotic patients compared to normal controls using computerized coronary angiography. This feature may contribute to the increased survival rates for LC patients with CAD. The severity of CAD should be further evaluated in future </w:t>
      </w:r>
      <w:proofErr w:type="gramStart"/>
      <w:r>
        <w:t>studies</w:t>
      </w:r>
      <w:r>
        <w:rPr>
          <w:vertAlign w:val="superscript"/>
        </w:rPr>
        <w:t>[</w:t>
      </w:r>
      <w:proofErr w:type="gramEnd"/>
      <w:r>
        <w:rPr>
          <w:vertAlign w:val="superscript"/>
        </w:rPr>
        <w:t>17]</w:t>
      </w:r>
      <w:r>
        <w:t xml:space="preserve">. Finally, the different follow-up periods for each patient may impact the </w:t>
      </w:r>
      <w:proofErr w:type="spellStart"/>
      <w:r>
        <w:t>HRs</w:t>
      </w:r>
      <w:proofErr w:type="spellEnd"/>
      <w:r>
        <w:t xml:space="preserve"> of mortality in nonalcoholic LC patients.</w:t>
      </w:r>
    </w:p>
    <w:p w:rsidR="00E86230" w:rsidRDefault="00E86230" w:rsidP="00E86230">
      <w:pPr>
        <w:pStyle w:val="10"/>
      </w:pPr>
      <w:r>
        <w:lastRenderedPageBreak/>
        <w:t xml:space="preserve">In conclusion, CAD was less prevalent in nonalcoholic LC patients. Among cirrhotic patients, an increased number of concomitant comorbidities </w:t>
      </w:r>
      <w:proofErr w:type="gramStart"/>
      <w:r>
        <w:t>was</w:t>
      </w:r>
      <w:proofErr w:type="gramEnd"/>
      <w:r>
        <w:t xml:space="preserve"> found in cirrhotic patients with CAD. However, improved survival was found in nonalcoholic LC patients with CAD when compared to those without CAD. </w:t>
      </w:r>
    </w:p>
    <w:p w:rsidR="00E86230" w:rsidRPr="008622BB" w:rsidRDefault="00E86230" w:rsidP="00E86230">
      <w:pPr>
        <w:pStyle w:val="af7"/>
        <w:ind w:left="5250"/>
        <w:rPr>
          <w:lang w:val="en-US"/>
        </w:rPr>
      </w:pPr>
    </w:p>
    <w:p w:rsidR="00E86230" w:rsidRPr="00A23BEB" w:rsidRDefault="00E86230" w:rsidP="00E86230">
      <w:pPr>
        <w:pStyle w:val="af7"/>
        <w:ind w:left="5250"/>
        <w:rPr>
          <w:u w:val="single"/>
          <w:lang w:val="en-US"/>
        </w:rPr>
      </w:pPr>
      <w:r w:rsidRPr="00A23BEB">
        <w:rPr>
          <w:u w:val="single"/>
          <w:lang w:val="en-US"/>
        </w:rPr>
        <w:t>ARTICLE HIGHLIGHTS</w:t>
      </w:r>
    </w:p>
    <w:p w:rsidR="00E86230" w:rsidRPr="008622BB" w:rsidRDefault="00E86230" w:rsidP="00E86230">
      <w:pPr>
        <w:pStyle w:val="af9"/>
        <w:rPr>
          <w:lang w:val="en-US"/>
        </w:rPr>
      </w:pPr>
      <w:r w:rsidRPr="008622BB">
        <w:rPr>
          <w:lang w:val="en-US"/>
        </w:rPr>
        <w:t>Research background</w:t>
      </w:r>
    </w:p>
    <w:p w:rsidR="00E86230" w:rsidRDefault="00E86230" w:rsidP="00E86230">
      <w:pPr>
        <w:pStyle w:val="8BF4"/>
      </w:pPr>
      <w:r>
        <w:t xml:space="preserve">The risk of mortality in nonalcoholic liver cirrhosis (LC) patients with coronary artery disease (CAD) is unclear. Previous case-control studies demonstrated conflicting results potentially due to the different etiologies of LC. LC patients with alcoholic and nonalcoholic fatty liver disease-related metabolic disorders exhibit an increased risk of CAD. In contrast, hemostatic defects that occur in LC, such as thrombocytopenia, coagulopathy, and low blood pressure, are not considered as potential protective factors of cirrhosis against atherosclerotic events. </w:t>
      </w:r>
    </w:p>
    <w:p w:rsidR="00E86230" w:rsidRPr="008622BB" w:rsidRDefault="00E86230" w:rsidP="00E86230">
      <w:pPr>
        <w:pStyle w:val="af9"/>
        <w:rPr>
          <w:lang w:val="en-US"/>
        </w:rPr>
      </w:pPr>
    </w:p>
    <w:p w:rsidR="00E86230" w:rsidRPr="008622BB" w:rsidRDefault="00E86230" w:rsidP="00E86230">
      <w:pPr>
        <w:pStyle w:val="af9"/>
        <w:rPr>
          <w:lang w:val="en-US"/>
        </w:rPr>
      </w:pPr>
      <w:r w:rsidRPr="008622BB">
        <w:rPr>
          <w:lang w:val="en-US"/>
        </w:rPr>
        <w:t>Research motivation</w:t>
      </w:r>
    </w:p>
    <w:p w:rsidR="00E86230" w:rsidRDefault="00E86230" w:rsidP="00E86230">
      <w:pPr>
        <w:pStyle w:val="8BF4"/>
      </w:pPr>
      <w:r>
        <w:t xml:space="preserve">The results of CAD risk in LC patients are controversial. In contrast to the present study, previous works using alcoholic LC-based cohorts may have been confounded by the increased risk of metabolic syndrome in heavy drinkers. To the best of our knowledge, the risk of CAD in nonalcoholic cirrhotic patients is not well established. </w:t>
      </w:r>
    </w:p>
    <w:p w:rsidR="00E86230" w:rsidRPr="008622BB" w:rsidRDefault="00E86230" w:rsidP="00E86230">
      <w:pPr>
        <w:pStyle w:val="af9"/>
        <w:rPr>
          <w:lang w:val="en-US"/>
        </w:rPr>
      </w:pPr>
    </w:p>
    <w:p w:rsidR="00E86230" w:rsidRPr="008622BB" w:rsidRDefault="00E86230" w:rsidP="00E86230">
      <w:pPr>
        <w:pStyle w:val="af9"/>
        <w:rPr>
          <w:lang w:val="en-US"/>
        </w:rPr>
      </w:pPr>
      <w:r w:rsidRPr="008622BB">
        <w:rPr>
          <w:lang w:val="en-US"/>
        </w:rPr>
        <w:t>Research objectives</w:t>
      </w:r>
    </w:p>
    <w:p w:rsidR="00E86230" w:rsidRDefault="00E86230" w:rsidP="00E86230">
      <w:pPr>
        <w:pStyle w:val="8BF4"/>
      </w:pPr>
      <w:r>
        <w:t xml:space="preserve">The aim of the study was to elucidate the prevalence and risk of mortality in nonalcoholic cirrhotic patients. The comorbidities and LC-related complications were also important prognostic factors among cirrhotic patients. The result of this study can provide a better understanding of CAD risk in LC patients. </w:t>
      </w:r>
    </w:p>
    <w:p w:rsidR="00E86230" w:rsidRPr="008622BB" w:rsidRDefault="00E86230" w:rsidP="00E86230">
      <w:pPr>
        <w:pStyle w:val="af9"/>
        <w:rPr>
          <w:lang w:val="en-US"/>
        </w:rPr>
      </w:pPr>
    </w:p>
    <w:p w:rsidR="00E86230" w:rsidRPr="008622BB" w:rsidRDefault="00E86230" w:rsidP="00E86230">
      <w:pPr>
        <w:pStyle w:val="af9"/>
        <w:rPr>
          <w:lang w:val="en-US"/>
        </w:rPr>
      </w:pPr>
      <w:r w:rsidRPr="008622BB">
        <w:rPr>
          <w:lang w:val="en-US"/>
        </w:rPr>
        <w:t>Research methods</w:t>
      </w:r>
    </w:p>
    <w:p w:rsidR="00E86230" w:rsidRDefault="00E86230" w:rsidP="00E86230">
      <w:pPr>
        <w:pStyle w:val="8BF4"/>
      </w:pPr>
      <w:r>
        <w:t>We collected 10142 LC patients diagnosed from 2004 to 2011 using the Taiwanese National Health Insurance research database. After exclusion of subjects who were treated before the end of 2005, had alcoholic or biliary cirrhosis, had LC occurring after CAD, and were younger than 40 years old, a total of 3409 LC patients were enrolled in the study. The comorbidities and complications of LC were collected. The first-time diagnosis of CAD was identified as the primary end point, and the death of the subject served as the secondary end point. All-cause mortality was analyzed in both the study and control cohorts. A Cox proportional hazards model was developed to calculate the overall mortality hazard ratios of all comorbidities and complications in cirrhotic patients. The six-year cumulative survival and survival curve were calculated using the Cox regression method and the Kaplan-Meier method.</w:t>
      </w:r>
    </w:p>
    <w:p w:rsidR="00E86230" w:rsidRPr="008622BB" w:rsidRDefault="00E86230" w:rsidP="00E86230">
      <w:pPr>
        <w:pStyle w:val="af9"/>
        <w:rPr>
          <w:lang w:val="en-US"/>
        </w:rPr>
      </w:pPr>
    </w:p>
    <w:p w:rsidR="00E86230" w:rsidRPr="008622BB" w:rsidRDefault="00E86230" w:rsidP="00E86230">
      <w:pPr>
        <w:pStyle w:val="af9"/>
        <w:rPr>
          <w:lang w:val="en-US"/>
        </w:rPr>
      </w:pPr>
      <w:r w:rsidRPr="008622BB">
        <w:rPr>
          <w:lang w:val="en-US"/>
        </w:rPr>
        <w:t>Research results</w:t>
      </w:r>
    </w:p>
    <w:p w:rsidR="00E86230" w:rsidRDefault="00E86230" w:rsidP="00E86230">
      <w:pPr>
        <w:pStyle w:val="8BF4"/>
      </w:pPr>
      <w:r>
        <w:t>CAD was less prevalent in nonalcoholic LC patients than in controls. Nonalcoholic LC patients with CAD were associated with a reduced risk of mortality. The six-year survival rates were increased in patients with CAD compared to patients without CAD in the nonalcoholic LC cohort. As this is a retrospective cohort study, further prospective studies are needed to confirm this finding.</w:t>
      </w:r>
    </w:p>
    <w:p w:rsidR="00E86230" w:rsidRPr="008622BB" w:rsidRDefault="00E86230" w:rsidP="00E86230">
      <w:pPr>
        <w:pStyle w:val="af9"/>
        <w:rPr>
          <w:lang w:val="en-US"/>
        </w:rPr>
      </w:pPr>
    </w:p>
    <w:p w:rsidR="00E86230" w:rsidRPr="008622BB" w:rsidRDefault="00E86230" w:rsidP="00E86230">
      <w:pPr>
        <w:pStyle w:val="af9"/>
        <w:rPr>
          <w:lang w:val="en-US"/>
        </w:rPr>
      </w:pPr>
      <w:r w:rsidRPr="008622BB">
        <w:rPr>
          <w:lang w:val="en-US"/>
        </w:rPr>
        <w:t>Research conclusions</w:t>
      </w:r>
    </w:p>
    <w:p w:rsidR="00E86230" w:rsidRDefault="00E86230" w:rsidP="00E86230">
      <w:pPr>
        <w:pStyle w:val="8BF4"/>
      </w:pPr>
      <w:r>
        <w:t>In this study, we demonstrate that CAD is less prevalent and associated with a reduced risk for mortality in nonalcoholic LC patients. This result confirms previous studies regarding the lower risk for atherosclerotic events (</w:t>
      </w:r>
      <w:r>
        <w:rPr>
          <w:i/>
          <w:iCs/>
        </w:rPr>
        <w:t>i.e.</w:t>
      </w:r>
      <w:r>
        <w:t xml:space="preserve"> ischemic stroke and coronary artery disease) in alcohol-related and </w:t>
      </w:r>
      <w:proofErr w:type="spellStart"/>
      <w:r>
        <w:t>nonalcohol</w:t>
      </w:r>
      <w:proofErr w:type="spellEnd"/>
      <w:r>
        <w:t xml:space="preserve">-related LC cohorts. Although viral hepatitis can cause endothelial dysfunction, which correlates with atherosclerotic disease progression, we propose that LC has a more powerful protective effect against atherosclerotic events based on the favorable cardiovascular risk profiles, such as thrombocytopenia, coagulopathy, and low blood </w:t>
      </w:r>
      <w:r>
        <w:lastRenderedPageBreak/>
        <w:t xml:space="preserve">pressure. The strengths of the study include the large sample size cohort and risk adjustments for comorbidities and complications. Finally, we conclude that nonalcoholic LC patients with CAD exhibit a favorable outcome. </w:t>
      </w:r>
    </w:p>
    <w:p w:rsidR="00E86230" w:rsidRPr="008622BB" w:rsidRDefault="00E86230" w:rsidP="00E86230">
      <w:pPr>
        <w:pStyle w:val="af9"/>
        <w:rPr>
          <w:lang w:val="en-US"/>
        </w:rPr>
      </w:pPr>
    </w:p>
    <w:p w:rsidR="00E86230" w:rsidRPr="008622BB" w:rsidRDefault="00E86230" w:rsidP="00E86230">
      <w:pPr>
        <w:pStyle w:val="af9"/>
        <w:rPr>
          <w:lang w:val="en-US"/>
        </w:rPr>
      </w:pPr>
      <w:r w:rsidRPr="008622BB">
        <w:rPr>
          <w:lang w:val="en-US"/>
        </w:rPr>
        <w:t>Research perspectives</w:t>
      </w:r>
    </w:p>
    <w:p w:rsidR="00E86230" w:rsidRDefault="00E86230" w:rsidP="00E86230">
      <w:pPr>
        <w:pStyle w:val="8BF4"/>
      </w:pPr>
      <w:r>
        <w:t>Future prospective research should focus on the advantages and dis</w:t>
      </w:r>
      <w:r>
        <w:softHyphen/>
        <w:t xml:space="preserve">advantages of antiplatelet therapy in the prevention of CAD in nonalcoholic LC patients. Additionally, it is advised that future studies should compare alcoholic and nonalcoholic LC cohorts and evaluate the effect of viral treatment. </w:t>
      </w:r>
    </w:p>
    <w:p w:rsidR="00E86230" w:rsidRPr="008622BB" w:rsidRDefault="00E86230" w:rsidP="00E86230">
      <w:pPr>
        <w:pStyle w:val="af7"/>
        <w:ind w:left="5250"/>
        <w:rPr>
          <w:lang w:val="en-US"/>
        </w:rPr>
      </w:pPr>
    </w:p>
    <w:p w:rsidR="00E86230" w:rsidRPr="008622BB" w:rsidRDefault="00E86230" w:rsidP="00E86230">
      <w:pPr>
        <w:pStyle w:val="af7"/>
        <w:ind w:left="5250"/>
        <w:rPr>
          <w:lang w:val="en-US"/>
        </w:rPr>
      </w:pPr>
      <w:r w:rsidRPr="008622BB">
        <w:rPr>
          <w:lang w:val="en-US"/>
        </w:rPr>
        <w:t>REFERENCES</w:t>
      </w:r>
    </w:p>
    <w:p w:rsidR="00E86230" w:rsidRDefault="00E86230" w:rsidP="00E86230">
      <w:pPr>
        <w:pStyle w:val="-1"/>
      </w:pPr>
      <w:r>
        <w:t>1</w:t>
      </w:r>
      <w:r>
        <w:tab/>
      </w:r>
      <w:r>
        <w:rPr>
          <w:b/>
          <w:bCs/>
        </w:rPr>
        <w:t>Lozano R</w:t>
      </w:r>
      <w:r>
        <w:t xml:space="preserve">, </w:t>
      </w:r>
      <w:proofErr w:type="spellStart"/>
      <w:r>
        <w:t>Naghavi</w:t>
      </w:r>
      <w:proofErr w:type="spellEnd"/>
      <w:r>
        <w:t xml:space="preserve"> M, Foreman K, Lim S, Shibuya K, </w:t>
      </w:r>
      <w:proofErr w:type="spellStart"/>
      <w:r>
        <w:t>Aboyans</w:t>
      </w:r>
      <w:proofErr w:type="spellEnd"/>
      <w:r>
        <w:t xml:space="preserve"> V, Abraham J, Adair T, </w:t>
      </w:r>
      <w:proofErr w:type="spellStart"/>
      <w:r>
        <w:t>Aggarwal</w:t>
      </w:r>
      <w:proofErr w:type="spellEnd"/>
      <w:r>
        <w:t xml:space="preserve"> R, </w:t>
      </w:r>
      <w:proofErr w:type="spellStart"/>
      <w:r>
        <w:t>Ahn</w:t>
      </w:r>
      <w:proofErr w:type="spellEnd"/>
      <w:r>
        <w:t xml:space="preserve"> </w:t>
      </w:r>
      <w:proofErr w:type="spellStart"/>
      <w:r>
        <w:t>SY</w:t>
      </w:r>
      <w:proofErr w:type="spellEnd"/>
      <w:r>
        <w:t xml:space="preserve">, Alvarado M, Anderson </w:t>
      </w:r>
      <w:proofErr w:type="spellStart"/>
      <w:r>
        <w:t>HR</w:t>
      </w:r>
      <w:proofErr w:type="spellEnd"/>
      <w:r>
        <w:t xml:space="preserve">, Anderson LM, Andrews KG, Atkinson C, </w:t>
      </w:r>
      <w:proofErr w:type="spellStart"/>
      <w:r>
        <w:t>Baddour</w:t>
      </w:r>
      <w:proofErr w:type="spellEnd"/>
      <w:r>
        <w:t xml:space="preserve"> LM, Barker-</w:t>
      </w:r>
      <w:proofErr w:type="spellStart"/>
      <w:r>
        <w:t>Collo</w:t>
      </w:r>
      <w:proofErr w:type="spellEnd"/>
      <w:r>
        <w:t xml:space="preserve"> S, Bartels DH, Bell ML, Benjamin </w:t>
      </w:r>
      <w:proofErr w:type="spellStart"/>
      <w:r>
        <w:t>EJ</w:t>
      </w:r>
      <w:proofErr w:type="spellEnd"/>
      <w:r>
        <w:t xml:space="preserve">, Bennett D, </w:t>
      </w:r>
      <w:proofErr w:type="spellStart"/>
      <w:r>
        <w:t>Bhalla</w:t>
      </w:r>
      <w:proofErr w:type="spellEnd"/>
      <w:r>
        <w:t xml:space="preserve"> K, </w:t>
      </w:r>
      <w:proofErr w:type="spellStart"/>
      <w:r>
        <w:t>Bikbov</w:t>
      </w:r>
      <w:proofErr w:type="spellEnd"/>
      <w:r>
        <w:t xml:space="preserve"> B, Bin </w:t>
      </w:r>
      <w:proofErr w:type="spellStart"/>
      <w:r>
        <w:t>Abdulhak</w:t>
      </w:r>
      <w:proofErr w:type="spellEnd"/>
      <w:r>
        <w:t xml:space="preserve"> A, </w:t>
      </w:r>
      <w:proofErr w:type="spellStart"/>
      <w:r>
        <w:t>Birbeck</w:t>
      </w:r>
      <w:proofErr w:type="spellEnd"/>
      <w:r>
        <w:t xml:space="preserve"> G, Blyth F, </w:t>
      </w:r>
      <w:proofErr w:type="spellStart"/>
      <w:r>
        <w:t>Bolliger</w:t>
      </w:r>
      <w:proofErr w:type="spellEnd"/>
      <w:r>
        <w:t xml:space="preserve"> I, </w:t>
      </w:r>
      <w:proofErr w:type="spellStart"/>
      <w:r>
        <w:t>Boufous</w:t>
      </w:r>
      <w:proofErr w:type="spellEnd"/>
      <w:r>
        <w:t xml:space="preserve"> S, </w:t>
      </w:r>
      <w:proofErr w:type="spellStart"/>
      <w:r>
        <w:t>Bucello</w:t>
      </w:r>
      <w:proofErr w:type="spellEnd"/>
      <w:r>
        <w:t xml:space="preserve"> C, Burch M, Burney P, </w:t>
      </w:r>
      <w:proofErr w:type="spellStart"/>
      <w:r>
        <w:t>Carapetis</w:t>
      </w:r>
      <w:proofErr w:type="spellEnd"/>
      <w:r>
        <w:t xml:space="preserve"> J, Chen H, Chou D, </w:t>
      </w:r>
      <w:proofErr w:type="spellStart"/>
      <w:r>
        <w:t>Chugh</w:t>
      </w:r>
      <w:proofErr w:type="spellEnd"/>
      <w:r>
        <w:t xml:space="preserve"> SS, </w:t>
      </w:r>
      <w:proofErr w:type="spellStart"/>
      <w:r>
        <w:t>Coffeng</w:t>
      </w:r>
      <w:proofErr w:type="spellEnd"/>
      <w:r>
        <w:t xml:space="preserve"> LE, </w:t>
      </w:r>
      <w:proofErr w:type="spellStart"/>
      <w:r>
        <w:t>Colan</w:t>
      </w:r>
      <w:proofErr w:type="spellEnd"/>
      <w:r>
        <w:t xml:space="preserve"> SD, Colquhoun S, Colson </w:t>
      </w:r>
      <w:proofErr w:type="spellStart"/>
      <w:r>
        <w:t>KE</w:t>
      </w:r>
      <w:proofErr w:type="spellEnd"/>
      <w:r>
        <w:t xml:space="preserve">, Condon J, Connor MD, Cooper LT, </w:t>
      </w:r>
      <w:proofErr w:type="spellStart"/>
      <w:r>
        <w:t>Corriere</w:t>
      </w:r>
      <w:proofErr w:type="spellEnd"/>
      <w:r>
        <w:t xml:space="preserve"> M, </w:t>
      </w:r>
      <w:proofErr w:type="spellStart"/>
      <w:r>
        <w:t>Cortinovis</w:t>
      </w:r>
      <w:proofErr w:type="spellEnd"/>
      <w:r>
        <w:t xml:space="preserve"> M, de </w:t>
      </w:r>
      <w:proofErr w:type="spellStart"/>
      <w:r>
        <w:t>Vaccaro</w:t>
      </w:r>
      <w:proofErr w:type="spellEnd"/>
      <w:r>
        <w:t xml:space="preserve"> KC, </w:t>
      </w:r>
      <w:proofErr w:type="spellStart"/>
      <w:r>
        <w:t>Couser</w:t>
      </w:r>
      <w:proofErr w:type="spellEnd"/>
      <w:r>
        <w:t xml:space="preserve"> W, </w:t>
      </w:r>
      <w:proofErr w:type="spellStart"/>
      <w:r>
        <w:t>Cowie</w:t>
      </w:r>
      <w:proofErr w:type="spellEnd"/>
      <w:r>
        <w:t xml:space="preserve"> BC, </w:t>
      </w:r>
      <w:proofErr w:type="spellStart"/>
      <w:r>
        <w:t>Criqui</w:t>
      </w:r>
      <w:proofErr w:type="spellEnd"/>
      <w:r>
        <w:t xml:space="preserve"> MH, Cross M, </w:t>
      </w:r>
      <w:proofErr w:type="spellStart"/>
      <w:r>
        <w:t>Dabhadkar</w:t>
      </w:r>
      <w:proofErr w:type="spellEnd"/>
      <w:r>
        <w:t xml:space="preserve"> KC, </w:t>
      </w:r>
      <w:proofErr w:type="spellStart"/>
      <w:r>
        <w:t>Dahodwala</w:t>
      </w:r>
      <w:proofErr w:type="spellEnd"/>
      <w:r>
        <w:t xml:space="preserve"> N, De Leo D, </w:t>
      </w:r>
      <w:proofErr w:type="spellStart"/>
      <w:r>
        <w:t>Degenhardt</w:t>
      </w:r>
      <w:proofErr w:type="spellEnd"/>
      <w:r>
        <w:t xml:space="preserve"> L, </w:t>
      </w:r>
      <w:proofErr w:type="spellStart"/>
      <w:r>
        <w:t>Delossantos</w:t>
      </w:r>
      <w:proofErr w:type="spellEnd"/>
      <w:r>
        <w:t xml:space="preserve"> A, </w:t>
      </w:r>
      <w:proofErr w:type="spellStart"/>
      <w:r>
        <w:t>Denenberg</w:t>
      </w:r>
      <w:proofErr w:type="spellEnd"/>
      <w:r>
        <w:t xml:space="preserve"> J, Des </w:t>
      </w:r>
      <w:proofErr w:type="spellStart"/>
      <w:r>
        <w:t>Jarlais</w:t>
      </w:r>
      <w:proofErr w:type="spellEnd"/>
      <w:r>
        <w:t xml:space="preserve"> DC, </w:t>
      </w:r>
      <w:proofErr w:type="spellStart"/>
      <w:r>
        <w:t>Dharmaratne</w:t>
      </w:r>
      <w:proofErr w:type="spellEnd"/>
      <w:r>
        <w:t xml:space="preserve"> SD, Dorsey ER, Driscoll T, </w:t>
      </w:r>
      <w:proofErr w:type="spellStart"/>
      <w:r>
        <w:t>Duber</w:t>
      </w:r>
      <w:proofErr w:type="spellEnd"/>
      <w:r>
        <w:t xml:space="preserve"> H, </w:t>
      </w:r>
      <w:proofErr w:type="spellStart"/>
      <w:r>
        <w:t>Ebel</w:t>
      </w:r>
      <w:proofErr w:type="spellEnd"/>
      <w:r>
        <w:t xml:space="preserve"> B, Erwin </w:t>
      </w:r>
      <w:proofErr w:type="spellStart"/>
      <w:r>
        <w:t>PJ</w:t>
      </w:r>
      <w:proofErr w:type="spellEnd"/>
      <w:r>
        <w:t xml:space="preserve">, </w:t>
      </w:r>
      <w:proofErr w:type="spellStart"/>
      <w:r>
        <w:t>Espindola</w:t>
      </w:r>
      <w:proofErr w:type="spellEnd"/>
      <w:r>
        <w:t xml:space="preserve"> P, </w:t>
      </w:r>
      <w:proofErr w:type="spellStart"/>
      <w:r>
        <w:t>Ezzati</w:t>
      </w:r>
      <w:proofErr w:type="spellEnd"/>
      <w:r>
        <w:t xml:space="preserve"> M, </w:t>
      </w:r>
      <w:proofErr w:type="spellStart"/>
      <w:r>
        <w:t>Feigin</w:t>
      </w:r>
      <w:proofErr w:type="spellEnd"/>
      <w:r>
        <w:t xml:space="preserve"> V, Flaxman AD, </w:t>
      </w:r>
      <w:proofErr w:type="spellStart"/>
      <w:r>
        <w:t>Forouzanfar</w:t>
      </w:r>
      <w:proofErr w:type="spellEnd"/>
      <w:r>
        <w:t xml:space="preserve"> MH, </w:t>
      </w:r>
      <w:proofErr w:type="spellStart"/>
      <w:r>
        <w:t>Fowkes</w:t>
      </w:r>
      <w:proofErr w:type="spellEnd"/>
      <w:r>
        <w:t xml:space="preserve"> </w:t>
      </w:r>
      <w:proofErr w:type="spellStart"/>
      <w:r>
        <w:t>FG</w:t>
      </w:r>
      <w:proofErr w:type="spellEnd"/>
      <w:r>
        <w:t xml:space="preserve">, Franklin R, </w:t>
      </w:r>
      <w:proofErr w:type="spellStart"/>
      <w:r>
        <w:t>Fransen</w:t>
      </w:r>
      <w:proofErr w:type="spellEnd"/>
      <w:r>
        <w:t xml:space="preserve"> M, Freeman MK, Gabriel SE, </w:t>
      </w:r>
      <w:proofErr w:type="spellStart"/>
      <w:r>
        <w:t>Gakidou</w:t>
      </w:r>
      <w:proofErr w:type="spellEnd"/>
      <w:r>
        <w:t xml:space="preserve"> E, </w:t>
      </w:r>
      <w:proofErr w:type="spellStart"/>
      <w:r>
        <w:t>Gaspari</w:t>
      </w:r>
      <w:proofErr w:type="spellEnd"/>
      <w:r>
        <w:t xml:space="preserve"> F, </w:t>
      </w:r>
      <w:proofErr w:type="spellStart"/>
      <w:r>
        <w:t>Gillum</w:t>
      </w:r>
      <w:proofErr w:type="spellEnd"/>
      <w:r>
        <w:t xml:space="preserve"> </w:t>
      </w:r>
      <w:proofErr w:type="spellStart"/>
      <w:r>
        <w:t>RF</w:t>
      </w:r>
      <w:proofErr w:type="spellEnd"/>
      <w:r>
        <w:t xml:space="preserve">, Gonzalez-Medina D, </w:t>
      </w:r>
      <w:proofErr w:type="spellStart"/>
      <w:r>
        <w:t>Halasa</w:t>
      </w:r>
      <w:proofErr w:type="spellEnd"/>
      <w:r>
        <w:t xml:space="preserve"> YA, Haring D, Harrison JE, </w:t>
      </w:r>
      <w:proofErr w:type="spellStart"/>
      <w:r>
        <w:t>Havmoeller</w:t>
      </w:r>
      <w:proofErr w:type="spellEnd"/>
      <w:r>
        <w:t xml:space="preserve"> R, Hay RJ, </w:t>
      </w:r>
      <w:proofErr w:type="spellStart"/>
      <w:r>
        <w:t>Hoen</w:t>
      </w:r>
      <w:proofErr w:type="spellEnd"/>
      <w:r>
        <w:t xml:space="preserve"> B, </w:t>
      </w:r>
      <w:proofErr w:type="spellStart"/>
      <w:r>
        <w:t>Hotez</w:t>
      </w:r>
      <w:proofErr w:type="spellEnd"/>
      <w:r>
        <w:t xml:space="preserve"> </w:t>
      </w:r>
      <w:proofErr w:type="spellStart"/>
      <w:r>
        <w:t>PJ</w:t>
      </w:r>
      <w:proofErr w:type="spellEnd"/>
      <w:r>
        <w:t xml:space="preserve">, Hoy D, Jacobsen </w:t>
      </w:r>
      <w:proofErr w:type="spellStart"/>
      <w:r>
        <w:t>KH</w:t>
      </w:r>
      <w:proofErr w:type="spellEnd"/>
      <w:r>
        <w:t xml:space="preserve">, James SL, </w:t>
      </w:r>
      <w:proofErr w:type="spellStart"/>
      <w:r>
        <w:t>Jasrasaria</w:t>
      </w:r>
      <w:proofErr w:type="spellEnd"/>
      <w:r>
        <w:t xml:space="preserve"> R, </w:t>
      </w:r>
      <w:proofErr w:type="spellStart"/>
      <w:r>
        <w:t>Jayaraman</w:t>
      </w:r>
      <w:proofErr w:type="spellEnd"/>
      <w:r>
        <w:t xml:space="preserve"> S, Johns N, </w:t>
      </w:r>
      <w:proofErr w:type="spellStart"/>
      <w:r>
        <w:t>Karthikeyan</w:t>
      </w:r>
      <w:proofErr w:type="spellEnd"/>
      <w:r>
        <w:t xml:space="preserve"> G, </w:t>
      </w:r>
      <w:proofErr w:type="spellStart"/>
      <w:r>
        <w:t>Kassebaum</w:t>
      </w:r>
      <w:proofErr w:type="spellEnd"/>
      <w:r>
        <w:t xml:space="preserve"> N, </w:t>
      </w:r>
      <w:proofErr w:type="spellStart"/>
      <w:r>
        <w:t>Keren</w:t>
      </w:r>
      <w:proofErr w:type="spellEnd"/>
      <w:r>
        <w:t xml:space="preserve"> A, </w:t>
      </w:r>
      <w:proofErr w:type="spellStart"/>
      <w:r>
        <w:t>Khoo</w:t>
      </w:r>
      <w:proofErr w:type="spellEnd"/>
      <w:r>
        <w:t xml:space="preserve"> JP, Knowlton LM, </w:t>
      </w:r>
      <w:proofErr w:type="spellStart"/>
      <w:r>
        <w:t>Kobusingye</w:t>
      </w:r>
      <w:proofErr w:type="spellEnd"/>
      <w:r>
        <w:t xml:space="preserve"> O, </w:t>
      </w:r>
      <w:proofErr w:type="spellStart"/>
      <w:r>
        <w:t>Koranteng</w:t>
      </w:r>
      <w:proofErr w:type="spellEnd"/>
      <w:r>
        <w:t xml:space="preserve"> A, </w:t>
      </w:r>
      <w:proofErr w:type="spellStart"/>
      <w:r>
        <w:t>Krishnamurthi</w:t>
      </w:r>
      <w:proofErr w:type="spellEnd"/>
      <w:r>
        <w:t xml:space="preserve"> R, </w:t>
      </w:r>
      <w:proofErr w:type="spellStart"/>
      <w:r>
        <w:t>Lipnick</w:t>
      </w:r>
      <w:proofErr w:type="spellEnd"/>
      <w:r>
        <w:t xml:space="preserve"> M, </w:t>
      </w:r>
      <w:proofErr w:type="spellStart"/>
      <w:r>
        <w:t>Lipshultz</w:t>
      </w:r>
      <w:proofErr w:type="spellEnd"/>
      <w:r>
        <w:t xml:space="preserve"> SE, </w:t>
      </w:r>
      <w:proofErr w:type="spellStart"/>
      <w:r>
        <w:t>Ohno</w:t>
      </w:r>
      <w:proofErr w:type="spellEnd"/>
      <w:r>
        <w:t xml:space="preserve"> SL, </w:t>
      </w:r>
      <w:proofErr w:type="spellStart"/>
      <w:r>
        <w:t>Mabweijano</w:t>
      </w:r>
      <w:proofErr w:type="spellEnd"/>
      <w:r>
        <w:t xml:space="preserve"> J, </w:t>
      </w:r>
      <w:proofErr w:type="spellStart"/>
      <w:r>
        <w:t>MacIntyre</w:t>
      </w:r>
      <w:proofErr w:type="spellEnd"/>
      <w:r>
        <w:t xml:space="preserve"> MF, </w:t>
      </w:r>
      <w:proofErr w:type="spellStart"/>
      <w:r>
        <w:t>Mallinger</w:t>
      </w:r>
      <w:proofErr w:type="spellEnd"/>
      <w:r>
        <w:t xml:space="preserve"> L, March L, Marks GB, Marks R, </w:t>
      </w:r>
      <w:proofErr w:type="spellStart"/>
      <w:r>
        <w:t>Matsumori</w:t>
      </w:r>
      <w:proofErr w:type="spellEnd"/>
      <w:r>
        <w:t xml:space="preserve"> A, </w:t>
      </w:r>
      <w:proofErr w:type="spellStart"/>
      <w:r>
        <w:t>Matzopoulos</w:t>
      </w:r>
      <w:proofErr w:type="spellEnd"/>
      <w:r>
        <w:t xml:space="preserve"> R, </w:t>
      </w:r>
      <w:proofErr w:type="spellStart"/>
      <w:r>
        <w:t>Mayosi</w:t>
      </w:r>
      <w:proofErr w:type="spellEnd"/>
      <w:r>
        <w:t xml:space="preserve"> BM, </w:t>
      </w:r>
      <w:proofErr w:type="spellStart"/>
      <w:r>
        <w:t>McAnulty</w:t>
      </w:r>
      <w:proofErr w:type="spellEnd"/>
      <w:r>
        <w:t xml:space="preserve"> </w:t>
      </w:r>
      <w:proofErr w:type="spellStart"/>
      <w:r>
        <w:t>JH</w:t>
      </w:r>
      <w:proofErr w:type="spellEnd"/>
      <w:r>
        <w:t xml:space="preserve">, McDermott MM, McGrath J, </w:t>
      </w:r>
      <w:proofErr w:type="spellStart"/>
      <w:r>
        <w:t>Mensah</w:t>
      </w:r>
      <w:proofErr w:type="spellEnd"/>
      <w:r>
        <w:t xml:space="preserve"> GA, Merriman </w:t>
      </w:r>
      <w:proofErr w:type="spellStart"/>
      <w:r>
        <w:t>TR</w:t>
      </w:r>
      <w:proofErr w:type="spellEnd"/>
      <w:r>
        <w:t xml:space="preserve">, Michaud C, Miller M, Miller </w:t>
      </w:r>
      <w:proofErr w:type="spellStart"/>
      <w:r>
        <w:t>TR</w:t>
      </w:r>
      <w:proofErr w:type="spellEnd"/>
      <w:r>
        <w:t xml:space="preserve">, Mock C, </w:t>
      </w:r>
      <w:proofErr w:type="spellStart"/>
      <w:r>
        <w:t>Mocumbi</w:t>
      </w:r>
      <w:proofErr w:type="spellEnd"/>
      <w:r>
        <w:t xml:space="preserve"> AO, </w:t>
      </w:r>
      <w:proofErr w:type="spellStart"/>
      <w:r>
        <w:t>Mokdad</w:t>
      </w:r>
      <w:proofErr w:type="spellEnd"/>
      <w:r>
        <w:t xml:space="preserve"> AA, Moran A, Mulholland K, Nair MN, </w:t>
      </w:r>
      <w:proofErr w:type="spellStart"/>
      <w:r>
        <w:t>Naldi</w:t>
      </w:r>
      <w:proofErr w:type="spellEnd"/>
      <w:r>
        <w:t xml:space="preserve"> L, Narayan KM, </w:t>
      </w:r>
      <w:proofErr w:type="spellStart"/>
      <w:r>
        <w:t>Nasseri</w:t>
      </w:r>
      <w:proofErr w:type="spellEnd"/>
      <w:r>
        <w:t xml:space="preserve"> K, Norman P, O’Donnell M, Omer SB, </w:t>
      </w:r>
      <w:proofErr w:type="spellStart"/>
      <w:r>
        <w:t>Ortblad</w:t>
      </w:r>
      <w:proofErr w:type="spellEnd"/>
      <w:r>
        <w:t xml:space="preserve"> K, Osborne R, </w:t>
      </w:r>
      <w:proofErr w:type="spellStart"/>
      <w:r>
        <w:t>Ozgediz</w:t>
      </w:r>
      <w:proofErr w:type="spellEnd"/>
      <w:r>
        <w:t xml:space="preserve"> D, </w:t>
      </w:r>
      <w:proofErr w:type="spellStart"/>
      <w:r>
        <w:t>Pahari</w:t>
      </w:r>
      <w:proofErr w:type="spellEnd"/>
      <w:r>
        <w:t xml:space="preserve"> B, </w:t>
      </w:r>
      <w:proofErr w:type="spellStart"/>
      <w:r>
        <w:t>Pandian</w:t>
      </w:r>
      <w:proofErr w:type="spellEnd"/>
      <w:r>
        <w:t xml:space="preserve"> JD, </w:t>
      </w:r>
      <w:proofErr w:type="spellStart"/>
      <w:r>
        <w:t>Rivero</w:t>
      </w:r>
      <w:proofErr w:type="spellEnd"/>
      <w:r>
        <w:t xml:space="preserve"> AP, Padilla RP, Perez-Ruiz F, </w:t>
      </w:r>
      <w:proofErr w:type="spellStart"/>
      <w:r>
        <w:t>Perico</w:t>
      </w:r>
      <w:proofErr w:type="spellEnd"/>
      <w:r>
        <w:t xml:space="preserve"> N, Phillips D, Pierce K, Pope CA 3rd, </w:t>
      </w:r>
      <w:proofErr w:type="spellStart"/>
      <w:r>
        <w:t>Porrini</w:t>
      </w:r>
      <w:proofErr w:type="spellEnd"/>
      <w:r>
        <w:t xml:space="preserve"> E, </w:t>
      </w:r>
      <w:proofErr w:type="spellStart"/>
      <w:r>
        <w:t>Pourmalek</w:t>
      </w:r>
      <w:proofErr w:type="spellEnd"/>
      <w:r>
        <w:t xml:space="preserve"> F, </w:t>
      </w:r>
      <w:proofErr w:type="spellStart"/>
      <w:r>
        <w:t>Raju</w:t>
      </w:r>
      <w:proofErr w:type="spellEnd"/>
      <w:r>
        <w:t xml:space="preserve"> M, </w:t>
      </w:r>
      <w:proofErr w:type="spellStart"/>
      <w:r>
        <w:t>Ranganathan</w:t>
      </w:r>
      <w:proofErr w:type="spellEnd"/>
      <w:r>
        <w:t xml:space="preserve"> D, </w:t>
      </w:r>
      <w:proofErr w:type="spellStart"/>
      <w:r>
        <w:t>Rehm</w:t>
      </w:r>
      <w:proofErr w:type="spellEnd"/>
      <w:r>
        <w:t xml:space="preserve"> JT, Rein DB, </w:t>
      </w:r>
      <w:proofErr w:type="spellStart"/>
      <w:r>
        <w:t>Remuzzi</w:t>
      </w:r>
      <w:proofErr w:type="spellEnd"/>
      <w:r>
        <w:t xml:space="preserve"> G, </w:t>
      </w:r>
      <w:proofErr w:type="spellStart"/>
      <w:r>
        <w:t>Rivara</w:t>
      </w:r>
      <w:proofErr w:type="spellEnd"/>
      <w:r>
        <w:t xml:space="preserve"> FP, Roberts T, De León </w:t>
      </w:r>
      <w:proofErr w:type="spellStart"/>
      <w:r>
        <w:t>FR</w:t>
      </w:r>
      <w:proofErr w:type="spellEnd"/>
      <w:r>
        <w:t xml:space="preserve">, Rosenfeld LC, Rushton L, Sacco </w:t>
      </w:r>
      <w:proofErr w:type="spellStart"/>
      <w:r>
        <w:t>RL</w:t>
      </w:r>
      <w:proofErr w:type="spellEnd"/>
      <w:r>
        <w:t xml:space="preserve">, Salomon JA, Sampson U, </w:t>
      </w:r>
      <w:proofErr w:type="spellStart"/>
      <w:r>
        <w:t>Sanman</w:t>
      </w:r>
      <w:proofErr w:type="spellEnd"/>
      <w:r>
        <w:t xml:space="preserve"> E, </w:t>
      </w:r>
      <w:proofErr w:type="spellStart"/>
      <w:r>
        <w:t>Schwebel</w:t>
      </w:r>
      <w:proofErr w:type="spellEnd"/>
      <w:r>
        <w:t xml:space="preserve"> DC, </w:t>
      </w:r>
      <w:proofErr w:type="spellStart"/>
      <w:r>
        <w:t>Segui</w:t>
      </w:r>
      <w:proofErr w:type="spellEnd"/>
      <w:r>
        <w:t xml:space="preserve">-Gomez M, Shepard DS, Singh D, Singleton J, </w:t>
      </w:r>
      <w:proofErr w:type="spellStart"/>
      <w:r>
        <w:t>Sliwa</w:t>
      </w:r>
      <w:proofErr w:type="spellEnd"/>
      <w:r>
        <w:t xml:space="preserve"> K, Smith E, Steer A, Taylor JA, Thomas B, </w:t>
      </w:r>
      <w:proofErr w:type="spellStart"/>
      <w:r>
        <w:t>Tleyjeh</w:t>
      </w:r>
      <w:proofErr w:type="spellEnd"/>
      <w:r>
        <w:t xml:space="preserve"> IM, </w:t>
      </w:r>
      <w:proofErr w:type="spellStart"/>
      <w:r>
        <w:t>Towbin</w:t>
      </w:r>
      <w:proofErr w:type="spellEnd"/>
      <w:r>
        <w:t xml:space="preserve"> JA, </w:t>
      </w:r>
      <w:proofErr w:type="spellStart"/>
      <w:r>
        <w:t>Truelsen</w:t>
      </w:r>
      <w:proofErr w:type="spellEnd"/>
      <w:r>
        <w:t xml:space="preserve"> T, </w:t>
      </w:r>
      <w:proofErr w:type="spellStart"/>
      <w:r>
        <w:t>Undurraga</w:t>
      </w:r>
      <w:proofErr w:type="spellEnd"/>
      <w:r>
        <w:t xml:space="preserve"> </w:t>
      </w:r>
      <w:proofErr w:type="spellStart"/>
      <w:r>
        <w:t>EA</w:t>
      </w:r>
      <w:proofErr w:type="spellEnd"/>
      <w:r>
        <w:t xml:space="preserve">, </w:t>
      </w:r>
      <w:proofErr w:type="spellStart"/>
      <w:r>
        <w:t>Venketasubramanian</w:t>
      </w:r>
      <w:proofErr w:type="spellEnd"/>
      <w:r>
        <w:t xml:space="preserve"> N, </w:t>
      </w:r>
      <w:proofErr w:type="spellStart"/>
      <w:r>
        <w:t>Vijayakumar</w:t>
      </w:r>
      <w:proofErr w:type="spellEnd"/>
      <w:r>
        <w:t xml:space="preserve"> L, </w:t>
      </w:r>
      <w:proofErr w:type="spellStart"/>
      <w:r>
        <w:t>Vos</w:t>
      </w:r>
      <w:proofErr w:type="spellEnd"/>
      <w:r>
        <w:t xml:space="preserve"> T, Wagner GR, Wang M, Wang W, Watt K, Weinstock MA, </w:t>
      </w:r>
      <w:proofErr w:type="spellStart"/>
      <w:r>
        <w:t>Weintraub</w:t>
      </w:r>
      <w:proofErr w:type="spellEnd"/>
      <w:r>
        <w:t xml:space="preserve"> R, Wilkinson JD, Woolf AD, </w:t>
      </w:r>
      <w:proofErr w:type="spellStart"/>
      <w:r>
        <w:t>Wulf</w:t>
      </w:r>
      <w:proofErr w:type="spellEnd"/>
      <w:r>
        <w:t xml:space="preserve"> S, </w:t>
      </w:r>
      <w:proofErr w:type="spellStart"/>
      <w:r>
        <w:t>Yeh</w:t>
      </w:r>
      <w:proofErr w:type="spellEnd"/>
      <w:r>
        <w:t xml:space="preserve"> PH, Yip P, </w:t>
      </w:r>
      <w:proofErr w:type="spellStart"/>
      <w:r>
        <w:t>Zabetian</w:t>
      </w:r>
      <w:proofErr w:type="spellEnd"/>
      <w:r>
        <w:t xml:space="preserve"> A, </w:t>
      </w:r>
      <w:proofErr w:type="spellStart"/>
      <w:r>
        <w:t>Zheng</w:t>
      </w:r>
      <w:proofErr w:type="spellEnd"/>
      <w:r>
        <w:t xml:space="preserve"> </w:t>
      </w:r>
      <w:proofErr w:type="spellStart"/>
      <w:r>
        <w:t>ZJ</w:t>
      </w:r>
      <w:proofErr w:type="spellEnd"/>
      <w:r>
        <w:t xml:space="preserve">, Lopez AD, Murray CJ, </w:t>
      </w:r>
      <w:proofErr w:type="spellStart"/>
      <w:r>
        <w:t>AlMazroa</w:t>
      </w:r>
      <w:proofErr w:type="spellEnd"/>
      <w:r>
        <w:t xml:space="preserve"> MA, </w:t>
      </w:r>
      <w:proofErr w:type="spellStart"/>
      <w:r>
        <w:t>Memish</w:t>
      </w:r>
      <w:proofErr w:type="spellEnd"/>
      <w:r>
        <w:t xml:space="preserve"> </w:t>
      </w:r>
      <w:proofErr w:type="spellStart"/>
      <w:r>
        <w:t>ZA</w:t>
      </w:r>
      <w:proofErr w:type="spellEnd"/>
      <w:r>
        <w:t xml:space="preserve">. Global and regional mortality from 235 causes of death for 20 age groups in 1990 and 2010: a systematic analysis for the Global Burden of Disease Study 2010. </w:t>
      </w:r>
      <w:r>
        <w:rPr>
          <w:i/>
          <w:iCs/>
        </w:rPr>
        <w:t>Lancet</w:t>
      </w:r>
      <w:r>
        <w:t xml:space="preserve"> 2012; </w:t>
      </w:r>
      <w:r>
        <w:rPr>
          <w:b/>
          <w:bCs/>
        </w:rPr>
        <w:t>380</w:t>
      </w:r>
      <w:r>
        <w:t>: 2095-2128 [</w:t>
      </w:r>
      <w:proofErr w:type="spellStart"/>
      <w:r>
        <w:t>PMID</w:t>
      </w:r>
      <w:proofErr w:type="spellEnd"/>
      <w:r>
        <w:t xml:space="preserve">: 23245604 </w:t>
      </w:r>
      <w:proofErr w:type="spellStart"/>
      <w:r>
        <w:t>DOI</w:t>
      </w:r>
      <w:proofErr w:type="spellEnd"/>
      <w:r>
        <w:t>: 10.1016/S0140-6736(12)61728-0]</w:t>
      </w:r>
    </w:p>
    <w:p w:rsidR="00E86230" w:rsidRDefault="00E86230" w:rsidP="00E86230">
      <w:pPr>
        <w:pStyle w:val="-1"/>
      </w:pPr>
      <w:r>
        <w:t>2</w:t>
      </w:r>
      <w:r>
        <w:tab/>
      </w:r>
      <w:r>
        <w:rPr>
          <w:b/>
          <w:bCs/>
        </w:rPr>
        <w:t xml:space="preserve">Department of Health </w:t>
      </w:r>
      <w:proofErr w:type="spellStart"/>
      <w:r>
        <w:rPr>
          <w:b/>
          <w:bCs/>
        </w:rPr>
        <w:t>EY</w:t>
      </w:r>
      <w:proofErr w:type="spellEnd"/>
      <w:r>
        <w:t xml:space="preserve">, ROC. </w:t>
      </w:r>
      <w:proofErr w:type="gramStart"/>
      <w:r>
        <w:t>Statistics of Causes of Death.</w:t>
      </w:r>
      <w:proofErr w:type="gramEnd"/>
      <w:r>
        <w:t xml:space="preserve"> 2011</w:t>
      </w:r>
    </w:p>
    <w:p w:rsidR="00E86230" w:rsidRDefault="00E86230" w:rsidP="00E86230">
      <w:pPr>
        <w:pStyle w:val="-1"/>
      </w:pPr>
      <w:r>
        <w:t>3</w:t>
      </w:r>
      <w:r>
        <w:tab/>
      </w:r>
      <w:proofErr w:type="spellStart"/>
      <w:r>
        <w:rPr>
          <w:b/>
          <w:bCs/>
        </w:rPr>
        <w:t>Tsochatzis</w:t>
      </w:r>
      <w:proofErr w:type="spellEnd"/>
      <w:r>
        <w:rPr>
          <w:b/>
          <w:bCs/>
        </w:rPr>
        <w:t xml:space="preserve"> </w:t>
      </w:r>
      <w:proofErr w:type="spellStart"/>
      <w:r>
        <w:rPr>
          <w:b/>
          <w:bCs/>
        </w:rPr>
        <w:t>EA</w:t>
      </w:r>
      <w:proofErr w:type="spellEnd"/>
      <w:r>
        <w:t xml:space="preserve">, Bosch J, Burroughs AK. </w:t>
      </w:r>
      <w:proofErr w:type="gramStart"/>
      <w:r>
        <w:t>Liver cirrhosis.</w:t>
      </w:r>
      <w:proofErr w:type="gramEnd"/>
      <w:r>
        <w:t xml:space="preserve"> </w:t>
      </w:r>
      <w:r>
        <w:rPr>
          <w:i/>
          <w:iCs/>
        </w:rPr>
        <w:t>Lancet</w:t>
      </w:r>
      <w:r>
        <w:t xml:space="preserve"> 2014; </w:t>
      </w:r>
      <w:r>
        <w:rPr>
          <w:b/>
          <w:bCs/>
        </w:rPr>
        <w:t>383</w:t>
      </w:r>
      <w:r>
        <w:t>: 1749-1761 [</w:t>
      </w:r>
      <w:proofErr w:type="spellStart"/>
      <w:r>
        <w:t>PMID</w:t>
      </w:r>
      <w:proofErr w:type="spellEnd"/>
      <w:r>
        <w:t xml:space="preserve">: 24480518 </w:t>
      </w:r>
      <w:proofErr w:type="spellStart"/>
      <w:r>
        <w:t>DOI</w:t>
      </w:r>
      <w:proofErr w:type="spellEnd"/>
      <w:r>
        <w:t>: 10.1016/S0140-6736(14)60121-5]</w:t>
      </w:r>
    </w:p>
    <w:p w:rsidR="00E86230" w:rsidRDefault="00E86230" w:rsidP="00E86230">
      <w:pPr>
        <w:pStyle w:val="-1"/>
      </w:pPr>
      <w:r>
        <w:t>4</w:t>
      </w:r>
      <w:r>
        <w:tab/>
      </w:r>
      <w:r>
        <w:rPr>
          <w:b/>
          <w:bCs/>
        </w:rPr>
        <w:t>Amin J</w:t>
      </w:r>
      <w:r>
        <w:t xml:space="preserve">, Law MG, Bartlett M, </w:t>
      </w:r>
      <w:proofErr w:type="spellStart"/>
      <w:r>
        <w:t>Kaldor</w:t>
      </w:r>
      <w:proofErr w:type="spellEnd"/>
      <w:r>
        <w:t xml:space="preserve"> </w:t>
      </w:r>
      <w:proofErr w:type="spellStart"/>
      <w:r>
        <w:t>JM</w:t>
      </w:r>
      <w:proofErr w:type="spellEnd"/>
      <w:r>
        <w:t xml:space="preserve">, Dore </w:t>
      </w:r>
      <w:proofErr w:type="spellStart"/>
      <w:r>
        <w:t>GJ</w:t>
      </w:r>
      <w:proofErr w:type="spellEnd"/>
      <w:r>
        <w:t xml:space="preserve">. Causes of death after diagnosis of hepatitis B or hepatitis C infection: a large community-based linkage study. </w:t>
      </w:r>
      <w:r>
        <w:rPr>
          <w:i/>
          <w:iCs/>
        </w:rPr>
        <w:t>Lancet</w:t>
      </w:r>
      <w:r>
        <w:t xml:space="preserve"> 2006; </w:t>
      </w:r>
      <w:r>
        <w:rPr>
          <w:b/>
          <w:bCs/>
        </w:rPr>
        <w:t>368</w:t>
      </w:r>
      <w:r>
        <w:t>: 938-945 [</w:t>
      </w:r>
      <w:proofErr w:type="spellStart"/>
      <w:r>
        <w:t>PMID</w:t>
      </w:r>
      <w:proofErr w:type="spellEnd"/>
      <w:r>
        <w:t xml:space="preserve">: 16962883 </w:t>
      </w:r>
      <w:proofErr w:type="spellStart"/>
      <w:r>
        <w:t>DOI</w:t>
      </w:r>
      <w:proofErr w:type="spellEnd"/>
      <w:r>
        <w:t>: 10.1016/S0140-6736(06)69374-4]</w:t>
      </w:r>
    </w:p>
    <w:p w:rsidR="00E86230" w:rsidRDefault="00E86230" w:rsidP="00E86230">
      <w:pPr>
        <w:pStyle w:val="-1"/>
      </w:pPr>
      <w:r>
        <w:t>5</w:t>
      </w:r>
      <w:r>
        <w:tab/>
      </w:r>
      <w:r>
        <w:rPr>
          <w:b/>
          <w:bCs/>
        </w:rPr>
        <w:t>Sun LM</w:t>
      </w:r>
      <w:r>
        <w:t xml:space="preserve">, Lin MC, Lin CL, Liang JA, </w:t>
      </w:r>
      <w:proofErr w:type="spellStart"/>
      <w:r>
        <w:t>Jeng</w:t>
      </w:r>
      <w:proofErr w:type="spellEnd"/>
      <w:r>
        <w:t xml:space="preserve"> </w:t>
      </w:r>
      <w:proofErr w:type="spellStart"/>
      <w:r>
        <w:t>LB</w:t>
      </w:r>
      <w:proofErr w:type="spellEnd"/>
      <w:r>
        <w:t xml:space="preserve">, Kao CH, Lu CY. Nonalcoholic Cirrhosis Increased Risk of Digestive Tract Malignancies: A Population-Based Cohort Study. </w:t>
      </w:r>
      <w:r>
        <w:rPr>
          <w:i/>
          <w:iCs/>
        </w:rPr>
        <w:t xml:space="preserve">Medicine </w:t>
      </w:r>
      <w:r>
        <w:t xml:space="preserve">(Baltimore) 2015; </w:t>
      </w:r>
      <w:r>
        <w:rPr>
          <w:b/>
          <w:bCs/>
        </w:rPr>
        <w:t>94</w:t>
      </w:r>
      <w:r>
        <w:t>: e2080 [</w:t>
      </w:r>
      <w:proofErr w:type="spellStart"/>
      <w:r>
        <w:t>PMID</w:t>
      </w:r>
      <w:proofErr w:type="spellEnd"/>
      <w:r>
        <w:t xml:space="preserve">: 26656334 </w:t>
      </w:r>
      <w:proofErr w:type="spellStart"/>
      <w:r>
        <w:t>DOI</w:t>
      </w:r>
      <w:proofErr w:type="spellEnd"/>
      <w:r>
        <w:t>: 10.1097/MD.0000000000002080]</w:t>
      </w:r>
    </w:p>
    <w:p w:rsidR="00E86230" w:rsidRDefault="00E86230" w:rsidP="00E86230">
      <w:pPr>
        <w:pStyle w:val="-1"/>
      </w:pPr>
      <w:r>
        <w:t>6</w:t>
      </w:r>
      <w:r>
        <w:tab/>
      </w:r>
      <w:proofErr w:type="spellStart"/>
      <w:r>
        <w:rPr>
          <w:b/>
          <w:bCs/>
        </w:rPr>
        <w:t>Jepsen</w:t>
      </w:r>
      <w:proofErr w:type="spellEnd"/>
      <w:r>
        <w:rPr>
          <w:b/>
          <w:bCs/>
        </w:rPr>
        <w:t xml:space="preserve"> P</w:t>
      </w:r>
      <w:r>
        <w:t xml:space="preserve">, Lash TL, </w:t>
      </w:r>
      <w:proofErr w:type="spellStart"/>
      <w:r>
        <w:t>Vilstrup</w:t>
      </w:r>
      <w:proofErr w:type="spellEnd"/>
      <w:r>
        <w:t xml:space="preserve"> H. The clinical course of alcoholic cirrhosis: development of comorbid diseases. </w:t>
      </w:r>
      <w:proofErr w:type="gramStart"/>
      <w:r>
        <w:t>A Danish nationwide cohort study.</w:t>
      </w:r>
      <w:proofErr w:type="gramEnd"/>
      <w:r>
        <w:t xml:space="preserve"> </w:t>
      </w:r>
      <w:r>
        <w:rPr>
          <w:i/>
          <w:iCs/>
        </w:rPr>
        <w:t xml:space="preserve">Liver </w:t>
      </w:r>
      <w:proofErr w:type="spellStart"/>
      <w:r>
        <w:rPr>
          <w:i/>
          <w:iCs/>
        </w:rPr>
        <w:t>Int</w:t>
      </w:r>
      <w:proofErr w:type="spellEnd"/>
      <w:r>
        <w:t xml:space="preserve"> 2016; </w:t>
      </w:r>
      <w:r>
        <w:rPr>
          <w:b/>
          <w:bCs/>
        </w:rPr>
        <w:t>36</w:t>
      </w:r>
      <w:r>
        <w:t>: 1696-1703 [</w:t>
      </w:r>
      <w:proofErr w:type="spellStart"/>
      <w:r>
        <w:t>PMID</w:t>
      </w:r>
      <w:proofErr w:type="spellEnd"/>
      <w:r>
        <w:t xml:space="preserve">: 27124269 </w:t>
      </w:r>
      <w:proofErr w:type="spellStart"/>
      <w:r>
        <w:t>DOI</w:t>
      </w:r>
      <w:proofErr w:type="spellEnd"/>
      <w:r>
        <w:t>: 10.1111/liv.13151]</w:t>
      </w:r>
    </w:p>
    <w:p w:rsidR="00E86230" w:rsidRDefault="00E86230" w:rsidP="00E86230">
      <w:pPr>
        <w:pStyle w:val="-1"/>
      </w:pPr>
      <w:r>
        <w:t>7</w:t>
      </w:r>
      <w:r>
        <w:tab/>
      </w:r>
      <w:r>
        <w:rPr>
          <w:b/>
          <w:bCs/>
        </w:rPr>
        <w:t>Parikh NS</w:t>
      </w:r>
      <w:r>
        <w:t xml:space="preserve">, </w:t>
      </w:r>
      <w:proofErr w:type="spellStart"/>
      <w:r>
        <w:t>Navi</w:t>
      </w:r>
      <w:proofErr w:type="spellEnd"/>
      <w:r>
        <w:t xml:space="preserve"> BB, Kumar S, </w:t>
      </w:r>
      <w:proofErr w:type="spellStart"/>
      <w:r>
        <w:t>Kamel</w:t>
      </w:r>
      <w:proofErr w:type="spellEnd"/>
      <w:r>
        <w:t xml:space="preserve"> H. Association between Liver Disease and Intracranial Hemorrhage. </w:t>
      </w:r>
      <w:r>
        <w:rPr>
          <w:i/>
          <w:iCs/>
        </w:rPr>
        <w:t xml:space="preserve">J Stroke </w:t>
      </w:r>
      <w:proofErr w:type="spellStart"/>
      <w:r>
        <w:rPr>
          <w:i/>
          <w:iCs/>
        </w:rPr>
        <w:t>Cerebrovasc</w:t>
      </w:r>
      <w:proofErr w:type="spellEnd"/>
      <w:r>
        <w:rPr>
          <w:i/>
          <w:iCs/>
        </w:rPr>
        <w:t xml:space="preserve"> Dis</w:t>
      </w:r>
      <w:r>
        <w:t xml:space="preserve"> 2016; </w:t>
      </w:r>
      <w:r>
        <w:rPr>
          <w:b/>
          <w:bCs/>
        </w:rPr>
        <w:t>25</w:t>
      </w:r>
      <w:r>
        <w:t>: 543-548 [</w:t>
      </w:r>
      <w:proofErr w:type="spellStart"/>
      <w:r>
        <w:t>PMID</w:t>
      </w:r>
      <w:proofErr w:type="spellEnd"/>
      <w:r>
        <w:t xml:space="preserve">: 26679070 </w:t>
      </w:r>
      <w:proofErr w:type="spellStart"/>
      <w:r>
        <w:t>DOI</w:t>
      </w:r>
      <w:proofErr w:type="spellEnd"/>
      <w:r>
        <w:t>: 10.1016/j.jstrokecerebrovasdis.2015.11.005]</w:t>
      </w:r>
    </w:p>
    <w:p w:rsidR="00E86230" w:rsidRDefault="00E86230" w:rsidP="00E86230">
      <w:pPr>
        <w:pStyle w:val="-1"/>
      </w:pPr>
      <w:r>
        <w:lastRenderedPageBreak/>
        <w:t>8</w:t>
      </w:r>
      <w:r>
        <w:tab/>
      </w:r>
      <w:proofErr w:type="spellStart"/>
      <w:r>
        <w:rPr>
          <w:b/>
          <w:bCs/>
        </w:rPr>
        <w:t>Berzigotti</w:t>
      </w:r>
      <w:proofErr w:type="spellEnd"/>
      <w:r>
        <w:rPr>
          <w:b/>
          <w:bCs/>
        </w:rPr>
        <w:t xml:space="preserve"> A</w:t>
      </w:r>
      <w:r>
        <w:t xml:space="preserve">, </w:t>
      </w:r>
      <w:proofErr w:type="spellStart"/>
      <w:r>
        <w:t>Bonfiglioli</w:t>
      </w:r>
      <w:proofErr w:type="spellEnd"/>
      <w:r>
        <w:t xml:space="preserve"> A, </w:t>
      </w:r>
      <w:proofErr w:type="spellStart"/>
      <w:r>
        <w:t>Muscari</w:t>
      </w:r>
      <w:proofErr w:type="spellEnd"/>
      <w:r>
        <w:t xml:space="preserve"> A, Bianchi G, </w:t>
      </w:r>
      <w:proofErr w:type="spellStart"/>
      <w:r>
        <w:t>Libassi</w:t>
      </w:r>
      <w:proofErr w:type="spellEnd"/>
      <w:r>
        <w:t xml:space="preserve"> S, </w:t>
      </w:r>
      <w:proofErr w:type="spellStart"/>
      <w:r>
        <w:t>Bernardi</w:t>
      </w:r>
      <w:proofErr w:type="spellEnd"/>
      <w:r>
        <w:t xml:space="preserve"> M, </w:t>
      </w:r>
      <w:proofErr w:type="spellStart"/>
      <w:r>
        <w:t>Zoli</w:t>
      </w:r>
      <w:proofErr w:type="spellEnd"/>
      <w:r>
        <w:t xml:space="preserve"> M. Reduced prevalence of ischemic events and abnormal </w:t>
      </w:r>
      <w:proofErr w:type="spellStart"/>
      <w:r>
        <w:t>supraortic</w:t>
      </w:r>
      <w:proofErr w:type="spellEnd"/>
      <w:r>
        <w:t xml:space="preserve"> flow patterns in patients with liver cirrhosis. </w:t>
      </w:r>
      <w:r>
        <w:rPr>
          <w:i/>
          <w:iCs/>
        </w:rPr>
        <w:t xml:space="preserve">Liver </w:t>
      </w:r>
      <w:proofErr w:type="spellStart"/>
      <w:r>
        <w:rPr>
          <w:i/>
          <w:iCs/>
        </w:rPr>
        <w:t>Int</w:t>
      </w:r>
      <w:proofErr w:type="spellEnd"/>
      <w:r>
        <w:t xml:space="preserve"> 2005; </w:t>
      </w:r>
      <w:r>
        <w:rPr>
          <w:b/>
          <w:bCs/>
        </w:rPr>
        <w:t>25</w:t>
      </w:r>
      <w:r>
        <w:t>: 331-336 [</w:t>
      </w:r>
      <w:proofErr w:type="spellStart"/>
      <w:r>
        <w:t>PMID</w:t>
      </w:r>
      <w:proofErr w:type="spellEnd"/>
      <w:r>
        <w:t xml:space="preserve">: 15780058 </w:t>
      </w:r>
      <w:proofErr w:type="spellStart"/>
      <w:r>
        <w:t>DOI</w:t>
      </w:r>
      <w:proofErr w:type="spellEnd"/>
      <w:r>
        <w:t>: 10.1111/j.1478-3231.2005.01002.x]</w:t>
      </w:r>
    </w:p>
    <w:p w:rsidR="00E86230" w:rsidRDefault="00E86230" w:rsidP="00E86230">
      <w:pPr>
        <w:pStyle w:val="-1"/>
      </w:pPr>
      <w:r>
        <w:t>9</w:t>
      </w:r>
      <w:r>
        <w:tab/>
      </w:r>
      <w:proofErr w:type="spellStart"/>
      <w:r>
        <w:rPr>
          <w:b/>
          <w:bCs/>
        </w:rPr>
        <w:t>Tiukinhoy</w:t>
      </w:r>
      <w:proofErr w:type="spellEnd"/>
      <w:r>
        <w:rPr>
          <w:b/>
          <w:bCs/>
        </w:rPr>
        <w:t>-Laing SD</w:t>
      </w:r>
      <w:r>
        <w:t xml:space="preserve">, Rossi </w:t>
      </w:r>
      <w:proofErr w:type="spellStart"/>
      <w:r>
        <w:t>JS</w:t>
      </w:r>
      <w:proofErr w:type="spellEnd"/>
      <w:r>
        <w:t xml:space="preserve">, </w:t>
      </w:r>
      <w:proofErr w:type="spellStart"/>
      <w:r>
        <w:t>Bayram</w:t>
      </w:r>
      <w:proofErr w:type="spellEnd"/>
      <w:r>
        <w:t xml:space="preserve"> M, De Luca L, </w:t>
      </w:r>
      <w:proofErr w:type="spellStart"/>
      <w:r>
        <w:t>Gafoor</w:t>
      </w:r>
      <w:proofErr w:type="spellEnd"/>
      <w:r>
        <w:t xml:space="preserve"> S, </w:t>
      </w:r>
      <w:proofErr w:type="spellStart"/>
      <w:r>
        <w:t>Blei</w:t>
      </w:r>
      <w:proofErr w:type="spellEnd"/>
      <w:r>
        <w:t xml:space="preserve"> A, </w:t>
      </w:r>
      <w:proofErr w:type="spellStart"/>
      <w:r>
        <w:t>Flamm</w:t>
      </w:r>
      <w:proofErr w:type="spellEnd"/>
      <w:r>
        <w:t xml:space="preserve"> S, Davidson CJ, </w:t>
      </w:r>
      <w:proofErr w:type="spellStart"/>
      <w:r>
        <w:t>Gheorghiade</w:t>
      </w:r>
      <w:proofErr w:type="spellEnd"/>
      <w:r>
        <w:t xml:space="preserve"> M. Cardiac hemodynamic and coronary angiographic characteristics of patients being evaluated for liver transplantation. </w:t>
      </w:r>
      <w:r>
        <w:rPr>
          <w:i/>
          <w:iCs/>
        </w:rPr>
        <w:t xml:space="preserve">Am J </w:t>
      </w:r>
      <w:proofErr w:type="spellStart"/>
      <w:r>
        <w:rPr>
          <w:i/>
          <w:iCs/>
        </w:rPr>
        <w:t>Cardiol</w:t>
      </w:r>
      <w:proofErr w:type="spellEnd"/>
      <w:r>
        <w:t xml:space="preserve"> 2006; </w:t>
      </w:r>
      <w:r>
        <w:rPr>
          <w:b/>
          <w:bCs/>
        </w:rPr>
        <w:t>98</w:t>
      </w:r>
      <w:r>
        <w:t>: 178-181 [</w:t>
      </w:r>
      <w:proofErr w:type="spellStart"/>
      <w:r>
        <w:t>PMID</w:t>
      </w:r>
      <w:proofErr w:type="spellEnd"/>
      <w:r>
        <w:t xml:space="preserve">: 16828588 </w:t>
      </w:r>
      <w:proofErr w:type="spellStart"/>
      <w:r>
        <w:t>DOI</w:t>
      </w:r>
      <w:proofErr w:type="spellEnd"/>
      <w:r>
        <w:t>: 10.1016/j.amjcard.2006.01.089]</w:t>
      </w:r>
    </w:p>
    <w:p w:rsidR="00E86230" w:rsidRDefault="00E86230" w:rsidP="00E86230">
      <w:pPr>
        <w:pStyle w:val="-1"/>
      </w:pPr>
      <w:r>
        <w:t>10</w:t>
      </w:r>
      <w:r>
        <w:tab/>
      </w:r>
      <w:r>
        <w:rPr>
          <w:b/>
          <w:bCs/>
        </w:rPr>
        <w:t>HOWELL WL</w:t>
      </w:r>
      <w:r>
        <w:t xml:space="preserve">, </w:t>
      </w:r>
      <w:proofErr w:type="spellStart"/>
      <w:r>
        <w:t>MANION</w:t>
      </w:r>
      <w:proofErr w:type="spellEnd"/>
      <w:r>
        <w:t xml:space="preserve"> WC. The low incidence of myocardial infarction in patients with portal cirrhosis of the liver: A review of 639 cases of cirrhosis of the liver from 17,731 autopsies. </w:t>
      </w:r>
      <w:r>
        <w:rPr>
          <w:i/>
          <w:iCs/>
        </w:rPr>
        <w:t>Am Heart J</w:t>
      </w:r>
      <w:r>
        <w:t xml:space="preserve"> 1960; </w:t>
      </w:r>
      <w:r>
        <w:rPr>
          <w:b/>
          <w:bCs/>
        </w:rPr>
        <w:t>60</w:t>
      </w:r>
      <w:r>
        <w:t>: 341-344 [</w:t>
      </w:r>
      <w:proofErr w:type="spellStart"/>
      <w:r>
        <w:t>PMID</w:t>
      </w:r>
      <w:proofErr w:type="spellEnd"/>
      <w:r>
        <w:t>: 14403495</w:t>
      </w:r>
      <w:r w:rsidRPr="008622BB">
        <w:t xml:space="preserve"> </w:t>
      </w:r>
      <w:proofErr w:type="spellStart"/>
      <w:r w:rsidRPr="008622BB">
        <w:t>DOI</w:t>
      </w:r>
      <w:proofErr w:type="spellEnd"/>
      <w:r w:rsidRPr="008622BB">
        <w:t xml:space="preserve">: </w:t>
      </w:r>
      <w:r>
        <w:t>10.1016/0002-8703(60)90192-7]</w:t>
      </w:r>
    </w:p>
    <w:p w:rsidR="00E86230" w:rsidRDefault="00E86230" w:rsidP="00E86230">
      <w:pPr>
        <w:pStyle w:val="-1"/>
        <w:rPr>
          <w:spacing w:val="-3"/>
        </w:rPr>
      </w:pPr>
      <w:r>
        <w:rPr>
          <w:spacing w:val="-3"/>
        </w:rPr>
        <w:t>11</w:t>
      </w:r>
      <w:r>
        <w:rPr>
          <w:spacing w:val="-3"/>
        </w:rPr>
        <w:tab/>
      </w:r>
      <w:r>
        <w:rPr>
          <w:b/>
          <w:bCs/>
          <w:spacing w:val="-3"/>
        </w:rPr>
        <w:t xml:space="preserve">Carey </w:t>
      </w:r>
      <w:proofErr w:type="spellStart"/>
      <w:r>
        <w:rPr>
          <w:b/>
          <w:bCs/>
          <w:spacing w:val="-3"/>
        </w:rPr>
        <w:t>WD</w:t>
      </w:r>
      <w:proofErr w:type="spellEnd"/>
      <w:r>
        <w:rPr>
          <w:spacing w:val="-3"/>
        </w:rPr>
        <w:t xml:space="preserve">, </w:t>
      </w:r>
      <w:proofErr w:type="spellStart"/>
      <w:r>
        <w:rPr>
          <w:spacing w:val="-3"/>
        </w:rPr>
        <w:t>Dumot</w:t>
      </w:r>
      <w:proofErr w:type="spellEnd"/>
      <w:r>
        <w:rPr>
          <w:spacing w:val="-3"/>
        </w:rPr>
        <w:t xml:space="preserve"> JA, Pimentel RR, Barnes DS, Hobbs RE, Henderson </w:t>
      </w:r>
      <w:proofErr w:type="spellStart"/>
      <w:r>
        <w:rPr>
          <w:spacing w:val="-3"/>
        </w:rPr>
        <w:t>JM</w:t>
      </w:r>
      <w:proofErr w:type="spellEnd"/>
      <w:r>
        <w:rPr>
          <w:spacing w:val="-3"/>
        </w:rPr>
        <w:t xml:space="preserve">, Vogt DP, Mayes JT, </w:t>
      </w:r>
      <w:proofErr w:type="spellStart"/>
      <w:r>
        <w:rPr>
          <w:spacing w:val="-3"/>
        </w:rPr>
        <w:t>Westveer</w:t>
      </w:r>
      <w:proofErr w:type="spellEnd"/>
      <w:r>
        <w:rPr>
          <w:spacing w:val="-3"/>
        </w:rPr>
        <w:t xml:space="preserve"> MK, Easley KA. </w:t>
      </w:r>
      <w:proofErr w:type="gramStart"/>
      <w:r>
        <w:rPr>
          <w:spacing w:val="-3"/>
        </w:rPr>
        <w:t>The prevalence of coronary artery disease in liver transplant candidates over age 50.</w:t>
      </w:r>
      <w:proofErr w:type="gramEnd"/>
      <w:r>
        <w:rPr>
          <w:spacing w:val="-3"/>
        </w:rPr>
        <w:t xml:space="preserve"> </w:t>
      </w:r>
      <w:r>
        <w:rPr>
          <w:i/>
          <w:iCs/>
          <w:spacing w:val="-3"/>
        </w:rPr>
        <w:t>Transplantation</w:t>
      </w:r>
      <w:r>
        <w:rPr>
          <w:spacing w:val="-3"/>
        </w:rPr>
        <w:t xml:space="preserve"> 1995; </w:t>
      </w:r>
      <w:r>
        <w:rPr>
          <w:b/>
          <w:bCs/>
          <w:spacing w:val="-3"/>
        </w:rPr>
        <w:t>59</w:t>
      </w:r>
      <w:r>
        <w:rPr>
          <w:spacing w:val="-3"/>
        </w:rPr>
        <w:t>: 859-864 [</w:t>
      </w:r>
      <w:proofErr w:type="spellStart"/>
      <w:r>
        <w:rPr>
          <w:spacing w:val="-3"/>
        </w:rPr>
        <w:t>PMID</w:t>
      </w:r>
      <w:proofErr w:type="spellEnd"/>
      <w:r>
        <w:rPr>
          <w:spacing w:val="-3"/>
        </w:rPr>
        <w:t>: 7701580</w:t>
      </w:r>
      <w:r w:rsidRPr="008622BB">
        <w:rPr>
          <w:spacing w:val="-3"/>
        </w:rPr>
        <w:t xml:space="preserve"> </w:t>
      </w:r>
      <w:proofErr w:type="spellStart"/>
      <w:r w:rsidRPr="008622BB">
        <w:rPr>
          <w:spacing w:val="-3"/>
        </w:rPr>
        <w:t>DOI</w:t>
      </w:r>
      <w:proofErr w:type="spellEnd"/>
      <w:r w:rsidRPr="008622BB">
        <w:rPr>
          <w:spacing w:val="-3"/>
        </w:rPr>
        <w:t xml:space="preserve">: </w:t>
      </w:r>
      <w:r>
        <w:rPr>
          <w:spacing w:val="-3"/>
        </w:rPr>
        <w:t>10.1097/00007890-199503270-00010]</w:t>
      </w:r>
    </w:p>
    <w:p w:rsidR="00E86230" w:rsidRDefault="00E86230" w:rsidP="00E86230">
      <w:pPr>
        <w:pStyle w:val="-1"/>
      </w:pPr>
      <w:r>
        <w:t>12</w:t>
      </w:r>
      <w:r>
        <w:tab/>
      </w:r>
      <w:proofErr w:type="spellStart"/>
      <w:r>
        <w:rPr>
          <w:b/>
          <w:bCs/>
        </w:rPr>
        <w:t>Mukamal</w:t>
      </w:r>
      <w:proofErr w:type="spellEnd"/>
      <w:r>
        <w:rPr>
          <w:b/>
          <w:bCs/>
        </w:rPr>
        <w:t xml:space="preserve"> KJ</w:t>
      </w:r>
      <w:r>
        <w:t xml:space="preserve">, </w:t>
      </w:r>
      <w:proofErr w:type="spellStart"/>
      <w:r>
        <w:t>Rimm</w:t>
      </w:r>
      <w:proofErr w:type="spellEnd"/>
      <w:r>
        <w:t xml:space="preserve"> </w:t>
      </w:r>
      <w:proofErr w:type="spellStart"/>
      <w:r>
        <w:t>EB</w:t>
      </w:r>
      <w:proofErr w:type="spellEnd"/>
      <w:r>
        <w:t xml:space="preserve">. </w:t>
      </w:r>
      <w:proofErr w:type="gramStart"/>
      <w:r>
        <w:t>Alcohol’s effects on the risk for coronary heart disease.</w:t>
      </w:r>
      <w:proofErr w:type="gramEnd"/>
      <w:r>
        <w:t xml:space="preserve"> </w:t>
      </w:r>
      <w:r>
        <w:rPr>
          <w:i/>
          <w:iCs/>
        </w:rPr>
        <w:t>Alcohol Res Health</w:t>
      </w:r>
      <w:r>
        <w:t xml:space="preserve"> 2001; </w:t>
      </w:r>
      <w:r>
        <w:rPr>
          <w:b/>
          <w:bCs/>
        </w:rPr>
        <w:t>25</w:t>
      </w:r>
      <w:r>
        <w:t>: 255-261 [</w:t>
      </w:r>
      <w:proofErr w:type="spellStart"/>
      <w:r>
        <w:t>PMID</w:t>
      </w:r>
      <w:proofErr w:type="spellEnd"/>
      <w:r>
        <w:t>: 11910702]</w:t>
      </w:r>
    </w:p>
    <w:p w:rsidR="00E86230" w:rsidRDefault="00E86230" w:rsidP="00E86230">
      <w:pPr>
        <w:pStyle w:val="-1"/>
      </w:pPr>
      <w:r>
        <w:t>13</w:t>
      </w:r>
      <w:r>
        <w:tab/>
      </w:r>
      <w:proofErr w:type="spellStart"/>
      <w:r>
        <w:rPr>
          <w:b/>
          <w:bCs/>
        </w:rPr>
        <w:t>Kalaitzakis</w:t>
      </w:r>
      <w:proofErr w:type="spellEnd"/>
      <w:r>
        <w:rPr>
          <w:b/>
          <w:bCs/>
        </w:rPr>
        <w:t xml:space="preserve"> E</w:t>
      </w:r>
      <w:r>
        <w:t xml:space="preserve">, </w:t>
      </w:r>
      <w:proofErr w:type="spellStart"/>
      <w:r>
        <w:t>Björnsson</w:t>
      </w:r>
      <w:proofErr w:type="spellEnd"/>
      <w:r>
        <w:t xml:space="preserve"> E. Coronary artery disease in liver cirrhosis: does the </w:t>
      </w:r>
      <w:proofErr w:type="spellStart"/>
      <w:r>
        <w:t>aetiology</w:t>
      </w:r>
      <w:proofErr w:type="spellEnd"/>
      <w:r>
        <w:t xml:space="preserve"> of liver disease matter? </w:t>
      </w:r>
      <w:r>
        <w:rPr>
          <w:i/>
          <w:iCs/>
        </w:rPr>
        <w:t xml:space="preserve">J </w:t>
      </w:r>
      <w:proofErr w:type="spellStart"/>
      <w:r>
        <w:rPr>
          <w:i/>
          <w:iCs/>
        </w:rPr>
        <w:t>Hepatol</w:t>
      </w:r>
      <w:proofErr w:type="spellEnd"/>
      <w:r>
        <w:t xml:space="preserve"> 2009; </w:t>
      </w:r>
      <w:r>
        <w:rPr>
          <w:b/>
          <w:bCs/>
        </w:rPr>
        <w:t>51</w:t>
      </w:r>
      <w:r>
        <w:t>: 962-963; author reply 963-964 [</w:t>
      </w:r>
      <w:proofErr w:type="spellStart"/>
      <w:r>
        <w:t>PMID</w:t>
      </w:r>
      <w:proofErr w:type="spellEnd"/>
      <w:r>
        <w:t xml:space="preserve">: 19692136 </w:t>
      </w:r>
      <w:proofErr w:type="spellStart"/>
      <w:r>
        <w:t>DOI</w:t>
      </w:r>
      <w:proofErr w:type="spellEnd"/>
      <w:r>
        <w:t>: 10.1016/j.jhep.2009.06.012]</w:t>
      </w:r>
    </w:p>
    <w:p w:rsidR="00E86230" w:rsidRDefault="00E86230" w:rsidP="00E86230">
      <w:pPr>
        <w:pStyle w:val="-1"/>
      </w:pPr>
      <w:r>
        <w:t>14</w:t>
      </w:r>
      <w:r>
        <w:tab/>
      </w:r>
      <w:r>
        <w:rPr>
          <w:b/>
          <w:bCs/>
        </w:rPr>
        <w:t>Marui A</w:t>
      </w:r>
      <w:r>
        <w:t xml:space="preserve">, Kimura T, Tanaka S, Miwa S, Yamazaki K, </w:t>
      </w:r>
      <w:proofErr w:type="spellStart"/>
      <w:r>
        <w:t>Minakata</w:t>
      </w:r>
      <w:proofErr w:type="spellEnd"/>
      <w:r>
        <w:t xml:space="preserve"> K, Nakata T, Ikeda T, Furukawa Y, Kita T, Sakata R; CREDO-Kyoto Investigators. </w:t>
      </w:r>
      <w:proofErr w:type="gramStart"/>
      <w:r>
        <w:t>Coronary revascularization in patients with liver cirrhosis.</w:t>
      </w:r>
      <w:proofErr w:type="gramEnd"/>
      <w:r>
        <w:t xml:space="preserve"> </w:t>
      </w:r>
      <w:r>
        <w:rPr>
          <w:i/>
          <w:iCs/>
        </w:rPr>
        <w:t xml:space="preserve">Ann </w:t>
      </w:r>
      <w:proofErr w:type="spellStart"/>
      <w:r>
        <w:rPr>
          <w:i/>
          <w:iCs/>
        </w:rPr>
        <w:t>Thorac</w:t>
      </w:r>
      <w:proofErr w:type="spellEnd"/>
      <w:r>
        <w:rPr>
          <w:i/>
          <w:iCs/>
        </w:rPr>
        <w:t xml:space="preserve"> </w:t>
      </w:r>
      <w:proofErr w:type="spellStart"/>
      <w:r>
        <w:rPr>
          <w:i/>
          <w:iCs/>
        </w:rPr>
        <w:t>Surg</w:t>
      </w:r>
      <w:proofErr w:type="spellEnd"/>
      <w:r>
        <w:t xml:space="preserve"> 2011; </w:t>
      </w:r>
      <w:r>
        <w:rPr>
          <w:b/>
          <w:bCs/>
        </w:rPr>
        <w:t>91</w:t>
      </w:r>
      <w:r>
        <w:t>: 1393-1399 [</w:t>
      </w:r>
      <w:proofErr w:type="spellStart"/>
      <w:r>
        <w:t>PMID</w:t>
      </w:r>
      <w:proofErr w:type="spellEnd"/>
      <w:r>
        <w:t xml:space="preserve">: 21396626 </w:t>
      </w:r>
      <w:proofErr w:type="spellStart"/>
      <w:r>
        <w:t>DOI</w:t>
      </w:r>
      <w:proofErr w:type="spellEnd"/>
      <w:r>
        <w:t>: 10.1016/j.athoracsur.2011.01.022]</w:t>
      </w:r>
    </w:p>
    <w:p w:rsidR="00E86230" w:rsidRDefault="00E86230" w:rsidP="00E86230">
      <w:pPr>
        <w:pStyle w:val="-1"/>
      </w:pPr>
      <w:r>
        <w:t>15</w:t>
      </w:r>
      <w:r>
        <w:tab/>
      </w:r>
      <w:proofErr w:type="spellStart"/>
      <w:r>
        <w:rPr>
          <w:b/>
          <w:bCs/>
        </w:rPr>
        <w:t>Raval</w:t>
      </w:r>
      <w:proofErr w:type="spellEnd"/>
      <w:r>
        <w:rPr>
          <w:b/>
          <w:bCs/>
        </w:rPr>
        <w:t xml:space="preserve"> Z</w:t>
      </w:r>
      <w:r>
        <w:t xml:space="preserve">, </w:t>
      </w:r>
      <w:proofErr w:type="spellStart"/>
      <w:r>
        <w:t>Harinstein</w:t>
      </w:r>
      <w:proofErr w:type="spellEnd"/>
      <w:r>
        <w:t xml:space="preserve"> ME, </w:t>
      </w:r>
      <w:proofErr w:type="spellStart"/>
      <w:r>
        <w:t>Skaro</w:t>
      </w:r>
      <w:proofErr w:type="spellEnd"/>
      <w:r>
        <w:t xml:space="preserve"> AI, </w:t>
      </w:r>
      <w:proofErr w:type="spellStart"/>
      <w:r>
        <w:t>Erdogan</w:t>
      </w:r>
      <w:proofErr w:type="spellEnd"/>
      <w:r>
        <w:t xml:space="preserve"> A, </w:t>
      </w:r>
      <w:proofErr w:type="spellStart"/>
      <w:r>
        <w:t>DeWolf</w:t>
      </w:r>
      <w:proofErr w:type="spellEnd"/>
      <w:r>
        <w:t xml:space="preserve"> AM, Shah </w:t>
      </w:r>
      <w:proofErr w:type="spellStart"/>
      <w:r>
        <w:t>SJ</w:t>
      </w:r>
      <w:proofErr w:type="spellEnd"/>
      <w:r>
        <w:t xml:space="preserve">, Fix OK, Kay N, </w:t>
      </w:r>
      <w:proofErr w:type="spellStart"/>
      <w:r>
        <w:t>Abecassis</w:t>
      </w:r>
      <w:proofErr w:type="spellEnd"/>
      <w:r>
        <w:t xml:space="preserve"> MI, </w:t>
      </w:r>
      <w:proofErr w:type="spellStart"/>
      <w:r>
        <w:t>Gheorghiade</w:t>
      </w:r>
      <w:proofErr w:type="spellEnd"/>
      <w:r>
        <w:t xml:space="preserve"> M, Flaherty JD. </w:t>
      </w:r>
      <w:proofErr w:type="gramStart"/>
      <w:r>
        <w:t>Cardiovascular risk assessment of the liver transplant candidate.</w:t>
      </w:r>
      <w:proofErr w:type="gramEnd"/>
      <w:r>
        <w:t xml:space="preserve"> </w:t>
      </w:r>
      <w:r>
        <w:rPr>
          <w:i/>
          <w:iCs/>
        </w:rPr>
        <w:t xml:space="preserve">J Am </w:t>
      </w:r>
      <w:proofErr w:type="spellStart"/>
      <w:r>
        <w:rPr>
          <w:i/>
          <w:iCs/>
        </w:rPr>
        <w:t>Coll</w:t>
      </w:r>
      <w:proofErr w:type="spellEnd"/>
      <w:r>
        <w:rPr>
          <w:i/>
          <w:iCs/>
        </w:rPr>
        <w:t xml:space="preserve"> </w:t>
      </w:r>
      <w:proofErr w:type="spellStart"/>
      <w:r>
        <w:rPr>
          <w:i/>
          <w:iCs/>
        </w:rPr>
        <w:t>Cardiol</w:t>
      </w:r>
      <w:proofErr w:type="spellEnd"/>
      <w:r>
        <w:t xml:space="preserve"> 2011; </w:t>
      </w:r>
      <w:r>
        <w:rPr>
          <w:b/>
          <w:bCs/>
        </w:rPr>
        <w:t>58</w:t>
      </w:r>
      <w:r>
        <w:t>: 223-231 [</w:t>
      </w:r>
      <w:proofErr w:type="spellStart"/>
      <w:r>
        <w:t>PMID</w:t>
      </w:r>
      <w:proofErr w:type="spellEnd"/>
      <w:r>
        <w:t xml:space="preserve">: 21737011 </w:t>
      </w:r>
      <w:proofErr w:type="spellStart"/>
      <w:r>
        <w:t>DOI</w:t>
      </w:r>
      <w:proofErr w:type="spellEnd"/>
      <w:r>
        <w:t>: 10.1016/j.jacc.2011.03.026]</w:t>
      </w:r>
    </w:p>
    <w:p w:rsidR="00E86230" w:rsidRDefault="00E86230" w:rsidP="00E86230">
      <w:pPr>
        <w:pStyle w:val="-1"/>
      </w:pPr>
      <w:r>
        <w:t>16</w:t>
      </w:r>
      <w:r>
        <w:tab/>
      </w:r>
      <w:proofErr w:type="spellStart"/>
      <w:r>
        <w:rPr>
          <w:b/>
          <w:bCs/>
        </w:rPr>
        <w:t>Gologorsky</w:t>
      </w:r>
      <w:proofErr w:type="spellEnd"/>
      <w:r>
        <w:rPr>
          <w:b/>
          <w:bCs/>
        </w:rPr>
        <w:t xml:space="preserve"> E</w:t>
      </w:r>
      <w:r>
        <w:t xml:space="preserve">, </w:t>
      </w:r>
      <w:proofErr w:type="spellStart"/>
      <w:r>
        <w:t>Pretto</w:t>
      </w:r>
      <w:proofErr w:type="spellEnd"/>
      <w:r>
        <w:t xml:space="preserve"> </w:t>
      </w:r>
      <w:proofErr w:type="spellStart"/>
      <w:r>
        <w:t>EA</w:t>
      </w:r>
      <w:proofErr w:type="spellEnd"/>
      <w:r>
        <w:t xml:space="preserve"> </w:t>
      </w:r>
      <w:proofErr w:type="spellStart"/>
      <w:r>
        <w:t>Jr</w:t>
      </w:r>
      <w:proofErr w:type="spellEnd"/>
      <w:r>
        <w:t xml:space="preserve">, Fukazawa K. Coronary artery disease and its risk factors in patients presenting for liver transplantation. </w:t>
      </w:r>
      <w:r>
        <w:rPr>
          <w:i/>
          <w:iCs/>
        </w:rPr>
        <w:t xml:space="preserve">J </w:t>
      </w:r>
      <w:proofErr w:type="spellStart"/>
      <w:r>
        <w:rPr>
          <w:i/>
          <w:iCs/>
        </w:rPr>
        <w:t>Clin</w:t>
      </w:r>
      <w:proofErr w:type="spellEnd"/>
      <w:r>
        <w:rPr>
          <w:i/>
          <w:iCs/>
        </w:rPr>
        <w:t xml:space="preserve"> </w:t>
      </w:r>
      <w:proofErr w:type="spellStart"/>
      <w:r>
        <w:rPr>
          <w:i/>
          <w:iCs/>
        </w:rPr>
        <w:t>Anesth</w:t>
      </w:r>
      <w:proofErr w:type="spellEnd"/>
      <w:r>
        <w:t xml:space="preserve"> 2013; </w:t>
      </w:r>
      <w:r>
        <w:rPr>
          <w:b/>
          <w:bCs/>
        </w:rPr>
        <w:t>25</w:t>
      </w:r>
      <w:r>
        <w:t>: 618-623 [</w:t>
      </w:r>
      <w:proofErr w:type="spellStart"/>
      <w:r>
        <w:t>PMID</w:t>
      </w:r>
      <w:proofErr w:type="spellEnd"/>
      <w:r>
        <w:t xml:space="preserve">: 23994032 </w:t>
      </w:r>
      <w:proofErr w:type="spellStart"/>
      <w:r>
        <w:t>DOI</w:t>
      </w:r>
      <w:proofErr w:type="spellEnd"/>
      <w:r>
        <w:t>: 10.1016/j.jclinane.2013.06.001]</w:t>
      </w:r>
    </w:p>
    <w:p w:rsidR="00E86230" w:rsidRDefault="00E86230" w:rsidP="00E86230">
      <w:pPr>
        <w:pStyle w:val="-1"/>
      </w:pPr>
      <w:r>
        <w:t>17</w:t>
      </w:r>
      <w:r>
        <w:tab/>
      </w:r>
      <w:r>
        <w:rPr>
          <w:b/>
          <w:bCs/>
        </w:rPr>
        <w:t>An J</w:t>
      </w:r>
      <w:r>
        <w:t xml:space="preserve">, Shim </w:t>
      </w:r>
      <w:proofErr w:type="spellStart"/>
      <w:r>
        <w:t>JH</w:t>
      </w:r>
      <w:proofErr w:type="spellEnd"/>
      <w:r>
        <w:t xml:space="preserve">, Kim SO, Lee D, Kim KM, Lim </w:t>
      </w:r>
      <w:proofErr w:type="spellStart"/>
      <w:r>
        <w:t>YS</w:t>
      </w:r>
      <w:proofErr w:type="spellEnd"/>
      <w:r>
        <w:t xml:space="preserve">, Lee HC, Chung </w:t>
      </w:r>
      <w:proofErr w:type="spellStart"/>
      <w:r>
        <w:t>YH</w:t>
      </w:r>
      <w:proofErr w:type="spellEnd"/>
      <w:r>
        <w:t xml:space="preserve">, Lee </w:t>
      </w:r>
      <w:proofErr w:type="spellStart"/>
      <w:r>
        <w:t>YS</w:t>
      </w:r>
      <w:proofErr w:type="spellEnd"/>
      <w:r>
        <w:t xml:space="preserve">. Prevalence and prediction of coronary artery disease in patients with liver cirrhosis: a registry-based matched case-control study. </w:t>
      </w:r>
      <w:r>
        <w:rPr>
          <w:i/>
          <w:iCs/>
        </w:rPr>
        <w:t>Circulation</w:t>
      </w:r>
      <w:r>
        <w:t xml:space="preserve"> 2014; </w:t>
      </w:r>
      <w:r>
        <w:rPr>
          <w:b/>
          <w:bCs/>
        </w:rPr>
        <w:t>130</w:t>
      </w:r>
      <w:r>
        <w:t>: 1353-1362 [</w:t>
      </w:r>
      <w:proofErr w:type="spellStart"/>
      <w:r>
        <w:t>PMID</w:t>
      </w:r>
      <w:proofErr w:type="spellEnd"/>
      <w:r>
        <w:t xml:space="preserve">: 25095888 </w:t>
      </w:r>
      <w:proofErr w:type="spellStart"/>
      <w:r>
        <w:t>DOI</w:t>
      </w:r>
      <w:proofErr w:type="spellEnd"/>
      <w:r>
        <w:t>: 10.1161/CIRCULATIONAHA.114.009278]</w:t>
      </w:r>
    </w:p>
    <w:p w:rsidR="00E86230" w:rsidRDefault="00E86230" w:rsidP="00E86230">
      <w:pPr>
        <w:pStyle w:val="-1"/>
      </w:pPr>
      <w:r>
        <w:t>18</w:t>
      </w:r>
      <w:r>
        <w:tab/>
      </w:r>
      <w:proofErr w:type="spellStart"/>
      <w:r>
        <w:rPr>
          <w:b/>
          <w:bCs/>
        </w:rPr>
        <w:t>Tripodi</w:t>
      </w:r>
      <w:proofErr w:type="spellEnd"/>
      <w:r>
        <w:rPr>
          <w:b/>
          <w:bCs/>
        </w:rPr>
        <w:t xml:space="preserve"> A</w:t>
      </w:r>
      <w:r>
        <w:t xml:space="preserve">, </w:t>
      </w:r>
      <w:proofErr w:type="spellStart"/>
      <w:r>
        <w:t>Mannucci</w:t>
      </w:r>
      <w:proofErr w:type="spellEnd"/>
      <w:r>
        <w:t xml:space="preserve"> PM. </w:t>
      </w:r>
      <w:proofErr w:type="gramStart"/>
      <w:r>
        <w:t>The coagulopathy of chronic liver disease.</w:t>
      </w:r>
      <w:proofErr w:type="gramEnd"/>
      <w:r>
        <w:t xml:space="preserve"> </w:t>
      </w:r>
      <w:r>
        <w:rPr>
          <w:i/>
          <w:iCs/>
        </w:rPr>
        <w:t xml:space="preserve">N </w:t>
      </w:r>
      <w:proofErr w:type="spellStart"/>
      <w:r>
        <w:rPr>
          <w:i/>
          <w:iCs/>
        </w:rPr>
        <w:t>Engl</w:t>
      </w:r>
      <w:proofErr w:type="spellEnd"/>
      <w:r>
        <w:rPr>
          <w:i/>
          <w:iCs/>
        </w:rPr>
        <w:t xml:space="preserve"> J Med</w:t>
      </w:r>
      <w:r>
        <w:t xml:space="preserve"> 2011; </w:t>
      </w:r>
      <w:r>
        <w:rPr>
          <w:b/>
          <w:bCs/>
        </w:rPr>
        <w:t>365</w:t>
      </w:r>
      <w:r>
        <w:t>: 147-156 [</w:t>
      </w:r>
      <w:proofErr w:type="spellStart"/>
      <w:r>
        <w:t>PMID</w:t>
      </w:r>
      <w:proofErr w:type="spellEnd"/>
      <w:r>
        <w:t xml:space="preserve">: 21751907 </w:t>
      </w:r>
      <w:proofErr w:type="spellStart"/>
      <w:r>
        <w:t>DOI</w:t>
      </w:r>
      <w:proofErr w:type="spellEnd"/>
      <w:r>
        <w:t>: 10.1056/NEJMra1011170]</w:t>
      </w:r>
    </w:p>
    <w:p w:rsidR="00E86230" w:rsidRDefault="00E86230" w:rsidP="00E86230">
      <w:pPr>
        <w:pStyle w:val="-1"/>
      </w:pPr>
      <w:r>
        <w:t>19</w:t>
      </w:r>
      <w:r>
        <w:tab/>
      </w:r>
      <w:proofErr w:type="spellStart"/>
      <w:r>
        <w:rPr>
          <w:b/>
          <w:bCs/>
        </w:rPr>
        <w:t>D’Arienzo</w:t>
      </w:r>
      <w:proofErr w:type="spellEnd"/>
      <w:r>
        <w:rPr>
          <w:b/>
          <w:bCs/>
        </w:rPr>
        <w:t xml:space="preserve"> A</w:t>
      </w:r>
      <w:r>
        <w:t xml:space="preserve">, </w:t>
      </w:r>
      <w:proofErr w:type="spellStart"/>
      <w:r>
        <w:t>Manguso</w:t>
      </w:r>
      <w:proofErr w:type="spellEnd"/>
      <w:r>
        <w:t xml:space="preserve"> F, </w:t>
      </w:r>
      <w:proofErr w:type="spellStart"/>
      <w:r>
        <w:t>Scaglione</w:t>
      </w:r>
      <w:proofErr w:type="spellEnd"/>
      <w:r>
        <w:t xml:space="preserve"> G, </w:t>
      </w:r>
      <w:proofErr w:type="spellStart"/>
      <w:r>
        <w:t>Vicinanza</w:t>
      </w:r>
      <w:proofErr w:type="spellEnd"/>
      <w:r>
        <w:t xml:space="preserve"> G, </w:t>
      </w:r>
      <w:proofErr w:type="spellStart"/>
      <w:r>
        <w:t>Bennato</w:t>
      </w:r>
      <w:proofErr w:type="spellEnd"/>
      <w:r>
        <w:t xml:space="preserve"> R, </w:t>
      </w:r>
      <w:proofErr w:type="spellStart"/>
      <w:r>
        <w:t>Mazzacca</w:t>
      </w:r>
      <w:proofErr w:type="spellEnd"/>
      <w:r>
        <w:t xml:space="preserve"> G. Prognostic value of progressive decrease in serum cholesterol in predicting survival in Child-Pugh C viral cirrhosis. </w:t>
      </w:r>
      <w:proofErr w:type="spellStart"/>
      <w:r>
        <w:rPr>
          <w:i/>
          <w:iCs/>
        </w:rPr>
        <w:t>Scand</w:t>
      </w:r>
      <w:proofErr w:type="spellEnd"/>
      <w:r>
        <w:rPr>
          <w:i/>
          <w:iCs/>
        </w:rPr>
        <w:t xml:space="preserve"> J </w:t>
      </w:r>
      <w:proofErr w:type="spellStart"/>
      <w:r>
        <w:rPr>
          <w:i/>
          <w:iCs/>
        </w:rPr>
        <w:t>Gastroenterol</w:t>
      </w:r>
      <w:proofErr w:type="spellEnd"/>
      <w:r>
        <w:rPr>
          <w:i/>
          <w:iCs/>
        </w:rPr>
        <w:t xml:space="preserve"> </w:t>
      </w:r>
      <w:r>
        <w:t xml:space="preserve">1998; </w:t>
      </w:r>
      <w:r>
        <w:rPr>
          <w:b/>
          <w:bCs/>
        </w:rPr>
        <w:t>33</w:t>
      </w:r>
      <w:r>
        <w:t>: 1213-1218 [</w:t>
      </w:r>
      <w:proofErr w:type="spellStart"/>
      <w:r>
        <w:t>PMID</w:t>
      </w:r>
      <w:proofErr w:type="spellEnd"/>
      <w:r>
        <w:t>: 9867102</w:t>
      </w:r>
      <w:r w:rsidRPr="008622BB">
        <w:t xml:space="preserve"> </w:t>
      </w:r>
      <w:proofErr w:type="spellStart"/>
      <w:r w:rsidRPr="008622BB">
        <w:t>DOI</w:t>
      </w:r>
      <w:proofErr w:type="spellEnd"/>
      <w:r w:rsidRPr="008622BB">
        <w:t xml:space="preserve">: </w:t>
      </w:r>
      <w:r>
        <w:t>10.1080/00365529850172593]</w:t>
      </w:r>
    </w:p>
    <w:p w:rsidR="00E86230" w:rsidRDefault="00E86230" w:rsidP="00E86230">
      <w:pPr>
        <w:pStyle w:val="-1"/>
      </w:pPr>
      <w:r>
        <w:t>20</w:t>
      </w:r>
      <w:r>
        <w:tab/>
      </w:r>
      <w:proofErr w:type="spellStart"/>
      <w:r>
        <w:rPr>
          <w:b/>
          <w:bCs/>
        </w:rPr>
        <w:t>Lisman</w:t>
      </w:r>
      <w:proofErr w:type="spellEnd"/>
      <w:r>
        <w:rPr>
          <w:b/>
          <w:bCs/>
        </w:rPr>
        <w:t xml:space="preserve"> T</w:t>
      </w:r>
      <w:r>
        <w:t xml:space="preserve">, Caldwell </w:t>
      </w:r>
      <w:proofErr w:type="spellStart"/>
      <w:r>
        <w:t>SH</w:t>
      </w:r>
      <w:proofErr w:type="spellEnd"/>
      <w:r>
        <w:t xml:space="preserve">, Burroughs AK, Northup PG, </w:t>
      </w:r>
      <w:proofErr w:type="spellStart"/>
      <w:r>
        <w:t>Senzolo</w:t>
      </w:r>
      <w:proofErr w:type="spellEnd"/>
      <w:r>
        <w:t xml:space="preserve"> M, </w:t>
      </w:r>
      <w:proofErr w:type="spellStart"/>
      <w:r>
        <w:t>Stravitz</w:t>
      </w:r>
      <w:proofErr w:type="spellEnd"/>
      <w:r>
        <w:t xml:space="preserve"> </w:t>
      </w:r>
      <w:proofErr w:type="spellStart"/>
      <w:r>
        <w:t>RT</w:t>
      </w:r>
      <w:proofErr w:type="spellEnd"/>
      <w:r>
        <w:t xml:space="preserve">, </w:t>
      </w:r>
      <w:proofErr w:type="spellStart"/>
      <w:r>
        <w:t>Tripodi</w:t>
      </w:r>
      <w:proofErr w:type="spellEnd"/>
      <w:r>
        <w:t xml:space="preserve"> A, Trotter </w:t>
      </w:r>
      <w:proofErr w:type="spellStart"/>
      <w:r>
        <w:t>JF</w:t>
      </w:r>
      <w:proofErr w:type="spellEnd"/>
      <w:r>
        <w:t xml:space="preserve">, Valla DC, Porte RJ; Coagulation in Liver Disease Study Group. Hemostasis and thrombosis in patients with liver disease: the ups and downs. </w:t>
      </w:r>
      <w:r>
        <w:rPr>
          <w:i/>
          <w:iCs/>
        </w:rPr>
        <w:t xml:space="preserve">J </w:t>
      </w:r>
      <w:proofErr w:type="spellStart"/>
      <w:r>
        <w:rPr>
          <w:i/>
          <w:iCs/>
        </w:rPr>
        <w:t>Hepatol</w:t>
      </w:r>
      <w:proofErr w:type="spellEnd"/>
      <w:r>
        <w:t xml:space="preserve"> 2010; </w:t>
      </w:r>
      <w:r>
        <w:rPr>
          <w:b/>
          <w:bCs/>
        </w:rPr>
        <w:t>53</w:t>
      </w:r>
      <w:r>
        <w:t>: 362-371 [</w:t>
      </w:r>
      <w:proofErr w:type="spellStart"/>
      <w:r>
        <w:t>PMID</w:t>
      </w:r>
      <w:proofErr w:type="spellEnd"/>
      <w:r>
        <w:t xml:space="preserve">: 20546962 </w:t>
      </w:r>
      <w:proofErr w:type="spellStart"/>
      <w:r>
        <w:t>DOI</w:t>
      </w:r>
      <w:proofErr w:type="spellEnd"/>
      <w:r>
        <w:t>: 10.1016/j.jhep.2010.01.042]</w:t>
      </w:r>
    </w:p>
    <w:p w:rsidR="00E86230" w:rsidRDefault="00E86230" w:rsidP="00E86230">
      <w:pPr>
        <w:pStyle w:val="-1"/>
      </w:pPr>
      <w:r>
        <w:t>21</w:t>
      </w:r>
      <w:r>
        <w:tab/>
      </w:r>
      <w:proofErr w:type="spellStart"/>
      <w:r>
        <w:rPr>
          <w:b/>
          <w:bCs/>
        </w:rPr>
        <w:t>Kadayifci</w:t>
      </w:r>
      <w:proofErr w:type="spellEnd"/>
      <w:r>
        <w:rPr>
          <w:b/>
          <w:bCs/>
        </w:rPr>
        <w:t xml:space="preserve"> A</w:t>
      </w:r>
      <w:r>
        <w:t xml:space="preserve">, Tan V, </w:t>
      </w:r>
      <w:proofErr w:type="spellStart"/>
      <w:r>
        <w:t>Ursell</w:t>
      </w:r>
      <w:proofErr w:type="spellEnd"/>
      <w:r>
        <w:t xml:space="preserve"> PC, Merriman </w:t>
      </w:r>
      <w:proofErr w:type="spellStart"/>
      <w:r>
        <w:t>RB</w:t>
      </w:r>
      <w:proofErr w:type="spellEnd"/>
      <w:r>
        <w:t xml:space="preserve">, Bass NM. Clinical and pathologic risk factors for atherosclerosis in cirrhosis: a comparison between NASH-related cirrhosis and cirrhosis due to other </w:t>
      </w:r>
      <w:proofErr w:type="spellStart"/>
      <w:r>
        <w:t>aetiologies</w:t>
      </w:r>
      <w:proofErr w:type="spellEnd"/>
      <w:r>
        <w:t xml:space="preserve">. </w:t>
      </w:r>
      <w:r>
        <w:rPr>
          <w:i/>
          <w:iCs/>
        </w:rPr>
        <w:t xml:space="preserve">J </w:t>
      </w:r>
      <w:proofErr w:type="spellStart"/>
      <w:r>
        <w:rPr>
          <w:i/>
          <w:iCs/>
        </w:rPr>
        <w:t>Hepatol</w:t>
      </w:r>
      <w:proofErr w:type="spellEnd"/>
      <w:r>
        <w:rPr>
          <w:i/>
          <w:iCs/>
        </w:rPr>
        <w:t xml:space="preserve"> </w:t>
      </w:r>
      <w:r>
        <w:t xml:space="preserve">2008; </w:t>
      </w:r>
      <w:r>
        <w:rPr>
          <w:b/>
          <w:bCs/>
        </w:rPr>
        <w:t>49</w:t>
      </w:r>
      <w:r>
        <w:t>: 595-599 [</w:t>
      </w:r>
      <w:proofErr w:type="spellStart"/>
      <w:r>
        <w:t>PMID</w:t>
      </w:r>
      <w:proofErr w:type="spellEnd"/>
      <w:r>
        <w:t xml:space="preserve">: 18662837 </w:t>
      </w:r>
      <w:proofErr w:type="spellStart"/>
      <w:r>
        <w:t>DOI</w:t>
      </w:r>
      <w:proofErr w:type="spellEnd"/>
      <w:r>
        <w:t>: 10.1016/j.jhep.2008.05.024]</w:t>
      </w:r>
    </w:p>
    <w:p w:rsidR="00E86230" w:rsidRDefault="00E86230" w:rsidP="00E86230">
      <w:pPr>
        <w:pStyle w:val="-1"/>
        <w:rPr>
          <w:spacing w:val="-2"/>
        </w:rPr>
      </w:pPr>
      <w:r>
        <w:rPr>
          <w:spacing w:val="-2"/>
        </w:rPr>
        <w:t>22</w:t>
      </w:r>
      <w:r>
        <w:rPr>
          <w:spacing w:val="-2"/>
        </w:rPr>
        <w:tab/>
      </w:r>
      <w:proofErr w:type="spellStart"/>
      <w:r>
        <w:rPr>
          <w:b/>
          <w:bCs/>
          <w:spacing w:val="-2"/>
        </w:rPr>
        <w:t>Kalaitzakis</w:t>
      </w:r>
      <w:proofErr w:type="spellEnd"/>
      <w:r>
        <w:rPr>
          <w:b/>
          <w:bCs/>
          <w:spacing w:val="-2"/>
        </w:rPr>
        <w:t xml:space="preserve"> E</w:t>
      </w:r>
      <w:r>
        <w:rPr>
          <w:spacing w:val="-2"/>
        </w:rPr>
        <w:t xml:space="preserve">, </w:t>
      </w:r>
      <w:proofErr w:type="spellStart"/>
      <w:r>
        <w:rPr>
          <w:spacing w:val="-2"/>
        </w:rPr>
        <w:t>Rosengren</w:t>
      </w:r>
      <w:proofErr w:type="spellEnd"/>
      <w:r>
        <w:rPr>
          <w:spacing w:val="-2"/>
        </w:rPr>
        <w:t xml:space="preserve"> A, </w:t>
      </w:r>
      <w:proofErr w:type="spellStart"/>
      <w:r>
        <w:rPr>
          <w:spacing w:val="-2"/>
        </w:rPr>
        <w:t>Skommevik</w:t>
      </w:r>
      <w:proofErr w:type="spellEnd"/>
      <w:r>
        <w:rPr>
          <w:spacing w:val="-2"/>
        </w:rPr>
        <w:t xml:space="preserve"> T, </w:t>
      </w:r>
      <w:proofErr w:type="spellStart"/>
      <w:r>
        <w:rPr>
          <w:spacing w:val="-2"/>
        </w:rPr>
        <w:t>Björnsson</w:t>
      </w:r>
      <w:proofErr w:type="spellEnd"/>
      <w:r>
        <w:rPr>
          <w:spacing w:val="-2"/>
        </w:rPr>
        <w:t xml:space="preserve"> E. Coronary artery disease in patients with liver cirrhosis. </w:t>
      </w:r>
      <w:r>
        <w:rPr>
          <w:i/>
          <w:iCs/>
          <w:spacing w:val="-2"/>
        </w:rPr>
        <w:t xml:space="preserve">Dig Dis </w:t>
      </w:r>
      <w:proofErr w:type="spellStart"/>
      <w:r>
        <w:rPr>
          <w:i/>
          <w:iCs/>
          <w:spacing w:val="-2"/>
        </w:rPr>
        <w:t>Sci</w:t>
      </w:r>
      <w:proofErr w:type="spellEnd"/>
      <w:r>
        <w:rPr>
          <w:spacing w:val="-2"/>
        </w:rPr>
        <w:t xml:space="preserve"> 2010; </w:t>
      </w:r>
      <w:r>
        <w:rPr>
          <w:b/>
          <w:bCs/>
          <w:spacing w:val="-2"/>
        </w:rPr>
        <w:t>55</w:t>
      </w:r>
      <w:r>
        <w:rPr>
          <w:spacing w:val="-2"/>
        </w:rPr>
        <w:t>: 467-475 [</w:t>
      </w:r>
      <w:proofErr w:type="spellStart"/>
      <w:r>
        <w:rPr>
          <w:spacing w:val="-2"/>
        </w:rPr>
        <w:t>PMID</w:t>
      </w:r>
      <w:proofErr w:type="spellEnd"/>
      <w:r>
        <w:rPr>
          <w:spacing w:val="-2"/>
        </w:rPr>
        <w:t xml:space="preserve">: 19242795 </w:t>
      </w:r>
      <w:proofErr w:type="spellStart"/>
      <w:r>
        <w:rPr>
          <w:spacing w:val="-2"/>
        </w:rPr>
        <w:t>DOI</w:t>
      </w:r>
      <w:proofErr w:type="spellEnd"/>
      <w:r>
        <w:rPr>
          <w:spacing w:val="-2"/>
        </w:rPr>
        <w:t>: 10.1007/s10620-009-0738-z]</w:t>
      </w:r>
    </w:p>
    <w:p w:rsidR="00E86230" w:rsidRDefault="00E86230" w:rsidP="00E86230">
      <w:pPr>
        <w:pStyle w:val="-1"/>
      </w:pPr>
      <w:r>
        <w:t>23</w:t>
      </w:r>
      <w:r>
        <w:tab/>
      </w:r>
      <w:r>
        <w:rPr>
          <w:b/>
          <w:bCs/>
        </w:rPr>
        <w:t xml:space="preserve">Morgan </w:t>
      </w:r>
      <w:proofErr w:type="spellStart"/>
      <w:r>
        <w:rPr>
          <w:b/>
          <w:bCs/>
        </w:rPr>
        <w:t>TR</w:t>
      </w:r>
      <w:proofErr w:type="spellEnd"/>
      <w:r>
        <w:t xml:space="preserve">, </w:t>
      </w:r>
      <w:proofErr w:type="spellStart"/>
      <w:r>
        <w:t>Ghany</w:t>
      </w:r>
      <w:proofErr w:type="spellEnd"/>
      <w:r>
        <w:t xml:space="preserve"> MG, Kim </w:t>
      </w:r>
      <w:proofErr w:type="spellStart"/>
      <w:r>
        <w:t>HY</w:t>
      </w:r>
      <w:proofErr w:type="spellEnd"/>
      <w:r>
        <w:t xml:space="preserve">, Snow </w:t>
      </w:r>
      <w:proofErr w:type="spellStart"/>
      <w:r>
        <w:t>KK</w:t>
      </w:r>
      <w:proofErr w:type="spellEnd"/>
      <w:r>
        <w:t xml:space="preserve">, </w:t>
      </w:r>
      <w:proofErr w:type="spellStart"/>
      <w:r>
        <w:t>Shiffman</w:t>
      </w:r>
      <w:proofErr w:type="spellEnd"/>
      <w:r>
        <w:t xml:space="preserve"> ML, De Santo </w:t>
      </w:r>
      <w:proofErr w:type="spellStart"/>
      <w:r>
        <w:t>JL</w:t>
      </w:r>
      <w:proofErr w:type="spellEnd"/>
      <w:r>
        <w:t xml:space="preserve">, Lee </w:t>
      </w:r>
      <w:proofErr w:type="spellStart"/>
      <w:r>
        <w:t>WM</w:t>
      </w:r>
      <w:proofErr w:type="spellEnd"/>
      <w:r>
        <w:t xml:space="preserve">, Di </w:t>
      </w:r>
      <w:proofErr w:type="spellStart"/>
      <w:r>
        <w:t>Bisceglie</w:t>
      </w:r>
      <w:proofErr w:type="spellEnd"/>
      <w:r>
        <w:t xml:space="preserve"> AM, </w:t>
      </w:r>
      <w:proofErr w:type="spellStart"/>
      <w:r>
        <w:t>Bonkovsky</w:t>
      </w:r>
      <w:proofErr w:type="spellEnd"/>
      <w:r>
        <w:t xml:space="preserve"> HL, </w:t>
      </w:r>
      <w:proofErr w:type="spellStart"/>
      <w:r>
        <w:t>Dienstag</w:t>
      </w:r>
      <w:proofErr w:type="spellEnd"/>
      <w:r>
        <w:t xml:space="preserve"> </w:t>
      </w:r>
      <w:proofErr w:type="spellStart"/>
      <w:r>
        <w:t>JL</w:t>
      </w:r>
      <w:proofErr w:type="spellEnd"/>
      <w:r>
        <w:t xml:space="preserve">, </w:t>
      </w:r>
      <w:proofErr w:type="spellStart"/>
      <w:r>
        <w:lastRenderedPageBreak/>
        <w:t>Morishima</w:t>
      </w:r>
      <w:proofErr w:type="spellEnd"/>
      <w:r>
        <w:t xml:space="preserve"> C, Lindsay KL, </w:t>
      </w:r>
      <w:proofErr w:type="spellStart"/>
      <w:r>
        <w:t>Lok</w:t>
      </w:r>
      <w:proofErr w:type="spellEnd"/>
      <w:r>
        <w:t xml:space="preserve"> AS; HALT-C Trial Group. Outcome of sustained </w:t>
      </w:r>
      <w:proofErr w:type="spellStart"/>
      <w:r>
        <w:t>virological</w:t>
      </w:r>
      <w:proofErr w:type="spellEnd"/>
      <w:r>
        <w:t xml:space="preserve"> responders with histologically advanced chronic hepatitis C. </w:t>
      </w:r>
      <w:proofErr w:type="spellStart"/>
      <w:r>
        <w:rPr>
          <w:i/>
          <w:iCs/>
        </w:rPr>
        <w:t>Hepatology</w:t>
      </w:r>
      <w:proofErr w:type="spellEnd"/>
      <w:r>
        <w:t xml:space="preserve"> 2010; </w:t>
      </w:r>
      <w:r>
        <w:rPr>
          <w:b/>
          <w:bCs/>
        </w:rPr>
        <w:t>52</w:t>
      </w:r>
      <w:r>
        <w:t>: 833-844 [</w:t>
      </w:r>
      <w:proofErr w:type="spellStart"/>
      <w:r>
        <w:t>PMID</w:t>
      </w:r>
      <w:proofErr w:type="spellEnd"/>
      <w:r>
        <w:t xml:space="preserve">: 20564351 </w:t>
      </w:r>
      <w:proofErr w:type="spellStart"/>
      <w:r>
        <w:t>DOI</w:t>
      </w:r>
      <w:proofErr w:type="spellEnd"/>
      <w:r>
        <w:t>: 10.1002/hep.23744]</w:t>
      </w:r>
    </w:p>
    <w:p w:rsidR="00E86230" w:rsidRDefault="00E86230" w:rsidP="00E86230">
      <w:pPr>
        <w:pStyle w:val="-1"/>
      </w:pPr>
      <w:r>
        <w:t>24</w:t>
      </w:r>
      <w:r>
        <w:tab/>
      </w:r>
      <w:r>
        <w:rPr>
          <w:b/>
          <w:bCs/>
        </w:rPr>
        <w:t>European Association For The Study Of The Liver</w:t>
      </w:r>
      <w:proofErr w:type="gramStart"/>
      <w:r>
        <w:rPr>
          <w:b/>
          <w:bCs/>
        </w:rPr>
        <w:t>.</w:t>
      </w:r>
      <w:r>
        <w:t>.</w:t>
      </w:r>
      <w:proofErr w:type="gramEnd"/>
      <w:r>
        <w:t xml:space="preserve"> </w:t>
      </w:r>
      <w:proofErr w:type="spellStart"/>
      <w:r>
        <w:t>EASL</w:t>
      </w:r>
      <w:proofErr w:type="spellEnd"/>
      <w:r>
        <w:t xml:space="preserve"> clinical practice guidelines: Management of chronic hepatitis B virus infection. </w:t>
      </w:r>
      <w:r>
        <w:rPr>
          <w:i/>
          <w:iCs/>
        </w:rPr>
        <w:t xml:space="preserve">J </w:t>
      </w:r>
      <w:proofErr w:type="spellStart"/>
      <w:r>
        <w:rPr>
          <w:i/>
          <w:iCs/>
        </w:rPr>
        <w:t>Hepatol</w:t>
      </w:r>
      <w:proofErr w:type="spellEnd"/>
      <w:r>
        <w:t xml:space="preserve"> 2012; </w:t>
      </w:r>
      <w:r>
        <w:rPr>
          <w:b/>
          <w:bCs/>
        </w:rPr>
        <w:t>57</w:t>
      </w:r>
      <w:r>
        <w:t>: 167-185 [</w:t>
      </w:r>
      <w:proofErr w:type="spellStart"/>
      <w:r>
        <w:t>PMID</w:t>
      </w:r>
      <w:proofErr w:type="spellEnd"/>
      <w:r>
        <w:t xml:space="preserve">: 22436845 </w:t>
      </w:r>
      <w:proofErr w:type="spellStart"/>
      <w:r>
        <w:t>DOI</w:t>
      </w:r>
      <w:proofErr w:type="spellEnd"/>
      <w:r>
        <w:t>: 10.1016/j.jhep.2012.02.010]</w:t>
      </w:r>
    </w:p>
    <w:p w:rsidR="00E86230" w:rsidRDefault="00E86230" w:rsidP="00E86230">
      <w:pPr>
        <w:pStyle w:val="-1"/>
        <w:rPr>
          <w:spacing w:val="-3"/>
        </w:rPr>
      </w:pPr>
      <w:r>
        <w:rPr>
          <w:spacing w:val="-3"/>
        </w:rPr>
        <w:t>25</w:t>
      </w:r>
      <w:r>
        <w:rPr>
          <w:spacing w:val="-3"/>
        </w:rPr>
        <w:tab/>
      </w:r>
      <w:proofErr w:type="spellStart"/>
      <w:r>
        <w:rPr>
          <w:b/>
          <w:bCs/>
          <w:spacing w:val="-3"/>
        </w:rPr>
        <w:t>Mokdad</w:t>
      </w:r>
      <w:proofErr w:type="spellEnd"/>
      <w:r>
        <w:rPr>
          <w:b/>
          <w:bCs/>
          <w:spacing w:val="-3"/>
        </w:rPr>
        <w:t xml:space="preserve"> AA</w:t>
      </w:r>
      <w:r>
        <w:rPr>
          <w:spacing w:val="-3"/>
        </w:rPr>
        <w:t xml:space="preserve">, Lopez AD, </w:t>
      </w:r>
      <w:proofErr w:type="spellStart"/>
      <w:r>
        <w:rPr>
          <w:spacing w:val="-3"/>
        </w:rPr>
        <w:t>Shahraz</w:t>
      </w:r>
      <w:proofErr w:type="spellEnd"/>
      <w:r>
        <w:rPr>
          <w:spacing w:val="-3"/>
        </w:rPr>
        <w:t xml:space="preserve"> S, Lozano R, </w:t>
      </w:r>
      <w:proofErr w:type="spellStart"/>
      <w:r>
        <w:rPr>
          <w:spacing w:val="-3"/>
        </w:rPr>
        <w:t>Mokdad</w:t>
      </w:r>
      <w:proofErr w:type="spellEnd"/>
      <w:r>
        <w:rPr>
          <w:spacing w:val="-3"/>
        </w:rPr>
        <w:t xml:space="preserve"> AH, </w:t>
      </w:r>
      <w:proofErr w:type="spellStart"/>
      <w:r>
        <w:rPr>
          <w:spacing w:val="-3"/>
        </w:rPr>
        <w:t>Stanaway</w:t>
      </w:r>
      <w:proofErr w:type="spellEnd"/>
      <w:r>
        <w:rPr>
          <w:spacing w:val="-3"/>
        </w:rPr>
        <w:t xml:space="preserve"> J, Murray CJ, </w:t>
      </w:r>
      <w:proofErr w:type="spellStart"/>
      <w:r>
        <w:rPr>
          <w:spacing w:val="-3"/>
        </w:rPr>
        <w:t>Naghavi</w:t>
      </w:r>
      <w:proofErr w:type="spellEnd"/>
      <w:r>
        <w:rPr>
          <w:spacing w:val="-3"/>
        </w:rPr>
        <w:t xml:space="preserve"> M. Liver cirrhosis mortality in 187 countries between 1980 and 2010: a systematic analysis. </w:t>
      </w:r>
      <w:r>
        <w:rPr>
          <w:i/>
          <w:iCs/>
          <w:spacing w:val="-3"/>
        </w:rPr>
        <w:t>BMC Med</w:t>
      </w:r>
      <w:r>
        <w:rPr>
          <w:spacing w:val="-3"/>
        </w:rPr>
        <w:t xml:space="preserve"> 2014; </w:t>
      </w:r>
      <w:r>
        <w:rPr>
          <w:b/>
          <w:bCs/>
          <w:spacing w:val="-3"/>
        </w:rPr>
        <w:t>12</w:t>
      </w:r>
      <w:r>
        <w:rPr>
          <w:spacing w:val="-3"/>
        </w:rPr>
        <w:t>: 145 [</w:t>
      </w:r>
      <w:proofErr w:type="spellStart"/>
      <w:r>
        <w:rPr>
          <w:spacing w:val="-3"/>
        </w:rPr>
        <w:t>PMID</w:t>
      </w:r>
      <w:proofErr w:type="spellEnd"/>
      <w:r>
        <w:rPr>
          <w:spacing w:val="-3"/>
        </w:rPr>
        <w:t xml:space="preserve">: 25242656 </w:t>
      </w:r>
      <w:proofErr w:type="spellStart"/>
      <w:r>
        <w:rPr>
          <w:spacing w:val="-3"/>
        </w:rPr>
        <w:t>DOI</w:t>
      </w:r>
      <w:proofErr w:type="spellEnd"/>
      <w:r>
        <w:rPr>
          <w:spacing w:val="-3"/>
        </w:rPr>
        <w:t>: 10.1186/s12916-014-0145-y]</w:t>
      </w:r>
    </w:p>
    <w:p w:rsidR="00E86230" w:rsidRDefault="00E86230" w:rsidP="00E86230">
      <w:pPr>
        <w:pStyle w:val="-1"/>
      </w:pPr>
      <w:r>
        <w:t>26</w:t>
      </w:r>
      <w:r>
        <w:tab/>
      </w:r>
      <w:r>
        <w:rPr>
          <w:b/>
          <w:bCs/>
        </w:rPr>
        <w:t>Kane WC</w:t>
      </w:r>
      <w:r>
        <w:t xml:space="preserve">, Aronson SM. Cerebrovascular disease in an autopsy population. 4. Reduced frequency of stroke in patients with liver cirrhosis. </w:t>
      </w:r>
      <w:r>
        <w:rPr>
          <w:i/>
          <w:iCs/>
        </w:rPr>
        <w:t xml:space="preserve">Trans Am </w:t>
      </w:r>
      <w:proofErr w:type="spellStart"/>
      <w:r>
        <w:rPr>
          <w:i/>
          <w:iCs/>
        </w:rPr>
        <w:t>Neurol</w:t>
      </w:r>
      <w:proofErr w:type="spellEnd"/>
      <w:r>
        <w:rPr>
          <w:i/>
          <w:iCs/>
        </w:rPr>
        <w:t xml:space="preserve"> </w:t>
      </w:r>
      <w:proofErr w:type="spellStart"/>
      <w:r>
        <w:rPr>
          <w:i/>
          <w:iCs/>
        </w:rPr>
        <w:t>Assoc</w:t>
      </w:r>
      <w:proofErr w:type="spellEnd"/>
      <w:r>
        <w:t xml:space="preserve"> 1971; </w:t>
      </w:r>
      <w:r>
        <w:rPr>
          <w:b/>
          <w:bCs/>
        </w:rPr>
        <w:t>96</w:t>
      </w:r>
      <w:r>
        <w:t>: 259-260 [</w:t>
      </w:r>
      <w:proofErr w:type="spellStart"/>
      <w:r>
        <w:t>PMID</w:t>
      </w:r>
      <w:proofErr w:type="spellEnd"/>
      <w:r>
        <w:t>: 5159099]</w:t>
      </w:r>
    </w:p>
    <w:p w:rsidR="00E86230" w:rsidRDefault="00E86230" w:rsidP="00E86230">
      <w:pPr>
        <w:pStyle w:val="-1"/>
      </w:pPr>
      <w:r>
        <w:t>27</w:t>
      </w:r>
      <w:r>
        <w:tab/>
      </w:r>
      <w:r>
        <w:rPr>
          <w:b/>
          <w:bCs/>
        </w:rPr>
        <w:t>Patel S</w:t>
      </w:r>
      <w:r>
        <w:t xml:space="preserve">, Kiefer TL, Ahmed A, Ali </w:t>
      </w:r>
      <w:proofErr w:type="spellStart"/>
      <w:r>
        <w:t>ZA</w:t>
      </w:r>
      <w:proofErr w:type="spellEnd"/>
      <w:r>
        <w:t xml:space="preserve">, </w:t>
      </w:r>
      <w:proofErr w:type="spellStart"/>
      <w:r>
        <w:t>Tremmel</w:t>
      </w:r>
      <w:proofErr w:type="spellEnd"/>
      <w:r>
        <w:t xml:space="preserve"> JA, Lee DP, </w:t>
      </w:r>
      <w:proofErr w:type="spellStart"/>
      <w:r>
        <w:t>Yeung</w:t>
      </w:r>
      <w:proofErr w:type="spellEnd"/>
      <w:r>
        <w:t xml:space="preserve"> AC, </w:t>
      </w:r>
      <w:proofErr w:type="spellStart"/>
      <w:r>
        <w:t>Fearon</w:t>
      </w:r>
      <w:proofErr w:type="spellEnd"/>
      <w:r>
        <w:t xml:space="preserve"> </w:t>
      </w:r>
      <w:proofErr w:type="spellStart"/>
      <w:r>
        <w:t>WF</w:t>
      </w:r>
      <w:proofErr w:type="spellEnd"/>
      <w:r>
        <w:t xml:space="preserve">. </w:t>
      </w:r>
      <w:proofErr w:type="gramStart"/>
      <w:r>
        <w:t xml:space="preserve">Comparison of the frequency of coronary artery disease in alcohol-related versus non-alcohol-related </w:t>
      </w:r>
      <w:proofErr w:type="spellStart"/>
      <w:r>
        <w:t>endstage</w:t>
      </w:r>
      <w:proofErr w:type="spellEnd"/>
      <w:r>
        <w:t xml:space="preserve"> liver disease.</w:t>
      </w:r>
      <w:proofErr w:type="gramEnd"/>
      <w:r>
        <w:t xml:space="preserve"> </w:t>
      </w:r>
      <w:r>
        <w:rPr>
          <w:i/>
          <w:iCs/>
        </w:rPr>
        <w:t xml:space="preserve">Am J </w:t>
      </w:r>
      <w:proofErr w:type="spellStart"/>
      <w:r>
        <w:rPr>
          <w:i/>
          <w:iCs/>
        </w:rPr>
        <w:t>Cardiol</w:t>
      </w:r>
      <w:proofErr w:type="spellEnd"/>
      <w:r>
        <w:t xml:space="preserve"> 2011; </w:t>
      </w:r>
      <w:r>
        <w:rPr>
          <w:b/>
          <w:bCs/>
        </w:rPr>
        <w:t>108</w:t>
      </w:r>
      <w:r>
        <w:t>: 1552-1555 [</w:t>
      </w:r>
      <w:proofErr w:type="spellStart"/>
      <w:r>
        <w:t>PMID</w:t>
      </w:r>
      <w:proofErr w:type="spellEnd"/>
      <w:r>
        <w:t xml:space="preserve">: 21890080 </w:t>
      </w:r>
      <w:proofErr w:type="spellStart"/>
      <w:r>
        <w:t>DOI</w:t>
      </w:r>
      <w:proofErr w:type="spellEnd"/>
      <w:r>
        <w:t>: 10.1016/j.amjcard.2011.07.013]</w:t>
      </w:r>
    </w:p>
    <w:p w:rsidR="00E86230" w:rsidRDefault="00E86230" w:rsidP="00E86230">
      <w:pPr>
        <w:pStyle w:val="-1"/>
      </w:pPr>
      <w:r>
        <w:t>28</w:t>
      </w:r>
      <w:r>
        <w:tab/>
      </w:r>
      <w:proofErr w:type="spellStart"/>
      <w:r>
        <w:rPr>
          <w:b/>
          <w:bCs/>
        </w:rPr>
        <w:t>Ciccone</w:t>
      </w:r>
      <w:proofErr w:type="spellEnd"/>
      <w:r>
        <w:rPr>
          <w:b/>
          <w:bCs/>
        </w:rPr>
        <w:t xml:space="preserve"> MM</w:t>
      </w:r>
      <w:r>
        <w:t xml:space="preserve">, </w:t>
      </w:r>
      <w:proofErr w:type="spellStart"/>
      <w:r>
        <w:t>Principi</w:t>
      </w:r>
      <w:proofErr w:type="spellEnd"/>
      <w:r>
        <w:t xml:space="preserve"> M, </w:t>
      </w:r>
      <w:proofErr w:type="spellStart"/>
      <w:r>
        <w:t>Ierardi</w:t>
      </w:r>
      <w:proofErr w:type="spellEnd"/>
      <w:r>
        <w:t xml:space="preserve"> E, Di Leo A, Ricci G, </w:t>
      </w:r>
      <w:proofErr w:type="spellStart"/>
      <w:r>
        <w:t>Carbonara</w:t>
      </w:r>
      <w:proofErr w:type="spellEnd"/>
      <w:r>
        <w:t xml:space="preserve"> S, </w:t>
      </w:r>
      <w:proofErr w:type="spellStart"/>
      <w:r>
        <w:t>Gesualdo</w:t>
      </w:r>
      <w:proofErr w:type="spellEnd"/>
      <w:r>
        <w:t xml:space="preserve"> M, </w:t>
      </w:r>
      <w:proofErr w:type="spellStart"/>
      <w:r>
        <w:t>Devito</w:t>
      </w:r>
      <w:proofErr w:type="spellEnd"/>
      <w:r>
        <w:t xml:space="preserve"> F, </w:t>
      </w:r>
      <w:proofErr w:type="spellStart"/>
      <w:r>
        <w:t>Zito</w:t>
      </w:r>
      <w:proofErr w:type="spellEnd"/>
      <w:r>
        <w:t xml:space="preserve"> A, </w:t>
      </w:r>
      <w:proofErr w:type="spellStart"/>
      <w:r>
        <w:t>Cortese</w:t>
      </w:r>
      <w:proofErr w:type="spellEnd"/>
      <w:r>
        <w:t xml:space="preserve"> F, </w:t>
      </w:r>
      <w:proofErr w:type="spellStart"/>
      <w:r>
        <w:t>Scicchitano</w:t>
      </w:r>
      <w:proofErr w:type="spellEnd"/>
      <w:r>
        <w:t xml:space="preserve"> P. Inflammatory bowel disease, liver diseases and endothelial function: is there a linkage? </w:t>
      </w:r>
      <w:r>
        <w:rPr>
          <w:i/>
          <w:iCs/>
        </w:rPr>
        <w:t xml:space="preserve">J </w:t>
      </w:r>
      <w:proofErr w:type="spellStart"/>
      <w:r>
        <w:rPr>
          <w:i/>
          <w:iCs/>
        </w:rPr>
        <w:t>Cardiovasc</w:t>
      </w:r>
      <w:proofErr w:type="spellEnd"/>
      <w:r>
        <w:rPr>
          <w:i/>
          <w:iCs/>
        </w:rPr>
        <w:t xml:space="preserve"> Med </w:t>
      </w:r>
      <w:r>
        <w:t xml:space="preserve">(Hagerstown) 2015; </w:t>
      </w:r>
      <w:r>
        <w:rPr>
          <w:b/>
          <w:bCs/>
        </w:rPr>
        <w:t>16</w:t>
      </w:r>
      <w:r>
        <w:t>: 11-21 [</w:t>
      </w:r>
      <w:proofErr w:type="spellStart"/>
      <w:r>
        <w:t>PMID</w:t>
      </w:r>
      <w:proofErr w:type="spellEnd"/>
      <w:r>
        <w:t xml:space="preserve">: 25427048 </w:t>
      </w:r>
      <w:proofErr w:type="spellStart"/>
      <w:r>
        <w:t>DOI</w:t>
      </w:r>
      <w:proofErr w:type="spellEnd"/>
      <w:r>
        <w:t>: 10.2459/JCM.0000000000000149]</w:t>
      </w:r>
    </w:p>
    <w:p w:rsidR="00E86230" w:rsidRDefault="00E86230" w:rsidP="00E86230">
      <w:pPr>
        <w:pStyle w:val="-1"/>
      </w:pPr>
      <w:r>
        <w:t>29</w:t>
      </w:r>
      <w:r>
        <w:tab/>
      </w:r>
      <w:r>
        <w:rPr>
          <w:b/>
          <w:bCs/>
        </w:rPr>
        <w:t>Butt AA</w:t>
      </w:r>
      <w:r>
        <w:t xml:space="preserve">, </w:t>
      </w:r>
      <w:proofErr w:type="spellStart"/>
      <w:r>
        <w:t>Xiaoqiang</w:t>
      </w:r>
      <w:proofErr w:type="spellEnd"/>
      <w:r>
        <w:t xml:space="preserve"> W, </w:t>
      </w:r>
      <w:proofErr w:type="spellStart"/>
      <w:r>
        <w:t>Budoff</w:t>
      </w:r>
      <w:proofErr w:type="spellEnd"/>
      <w:r>
        <w:t xml:space="preserve"> M, Leaf D, </w:t>
      </w:r>
      <w:proofErr w:type="spellStart"/>
      <w:r>
        <w:t>Kuller</w:t>
      </w:r>
      <w:proofErr w:type="spellEnd"/>
      <w:r>
        <w:t xml:space="preserve"> </w:t>
      </w:r>
      <w:proofErr w:type="spellStart"/>
      <w:r>
        <w:t>LH</w:t>
      </w:r>
      <w:proofErr w:type="spellEnd"/>
      <w:r>
        <w:t xml:space="preserve">, Justice AC. Hepatitis C virus infection and the risk of coronary disease. </w:t>
      </w:r>
      <w:proofErr w:type="spellStart"/>
      <w:r>
        <w:rPr>
          <w:i/>
          <w:iCs/>
        </w:rPr>
        <w:t>Clin</w:t>
      </w:r>
      <w:proofErr w:type="spellEnd"/>
      <w:r>
        <w:rPr>
          <w:i/>
          <w:iCs/>
        </w:rPr>
        <w:t xml:space="preserve"> Infect Dis</w:t>
      </w:r>
      <w:r>
        <w:t xml:space="preserve"> 2009; </w:t>
      </w:r>
      <w:r>
        <w:rPr>
          <w:b/>
          <w:bCs/>
        </w:rPr>
        <w:t>49</w:t>
      </w:r>
      <w:r>
        <w:t>: 225-232 [</w:t>
      </w:r>
      <w:proofErr w:type="spellStart"/>
      <w:r>
        <w:t>PMID</w:t>
      </w:r>
      <w:proofErr w:type="spellEnd"/>
      <w:r>
        <w:t xml:space="preserve">: 19508169 </w:t>
      </w:r>
      <w:proofErr w:type="spellStart"/>
      <w:r>
        <w:t>DOI</w:t>
      </w:r>
      <w:proofErr w:type="spellEnd"/>
      <w:r>
        <w:t>: 10.1086/599371]</w:t>
      </w:r>
    </w:p>
    <w:p w:rsidR="00E86230" w:rsidRDefault="00E86230" w:rsidP="00E86230">
      <w:pPr>
        <w:pStyle w:val="-1"/>
      </w:pPr>
      <w:r>
        <w:t>30</w:t>
      </w:r>
      <w:r>
        <w:tab/>
      </w:r>
      <w:proofErr w:type="spellStart"/>
      <w:r>
        <w:rPr>
          <w:b/>
          <w:bCs/>
        </w:rPr>
        <w:t>Roed</w:t>
      </w:r>
      <w:proofErr w:type="spellEnd"/>
      <w:r>
        <w:rPr>
          <w:b/>
          <w:bCs/>
        </w:rPr>
        <w:t xml:space="preserve"> T</w:t>
      </w:r>
      <w:r>
        <w:t xml:space="preserve">, </w:t>
      </w:r>
      <w:proofErr w:type="spellStart"/>
      <w:r>
        <w:t>Lebech</w:t>
      </w:r>
      <w:proofErr w:type="spellEnd"/>
      <w:r>
        <w:t xml:space="preserve"> AM, </w:t>
      </w:r>
      <w:proofErr w:type="spellStart"/>
      <w:r>
        <w:t>Kjaer</w:t>
      </w:r>
      <w:proofErr w:type="spellEnd"/>
      <w:r>
        <w:t xml:space="preserve"> A, Weis N. Hepatitis C virus infection and risk of coronary artery disease: a systematic review of the literature. </w:t>
      </w:r>
      <w:proofErr w:type="spellStart"/>
      <w:r>
        <w:rPr>
          <w:i/>
          <w:iCs/>
        </w:rPr>
        <w:t>Clin</w:t>
      </w:r>
      <w:proofErr w:type="spellEnd"/>
      <w:r>
        <w:rPr>
          <w:i/>
          <w:iCs/>
        </w:rPr>
        <w:t xml:space="preserve"> </w:t>
      </w:r>
      <w:proofErr w:type="spellStart"/>
      <w:r>
        <w:rPr>
          <w:i/>
          <w:iCs/>
        </w:rPr>
        <w:t>Physiol</w:t>
      </w:r>
      <w:proofErr w:type="spellEnd"/>
      <w:r>
        <w:rPr>
          <w:i/>
          <w:iCs/>
        </w:rPr>
        <w:t xml:space="preserve"> </w:t>
      </w:r>
      <w:proofErr w:type="spellStart"/>
      <w:r>
        <w:rPr>
          <w:i/>
          <w:iCs/>
        </w:rPr>
        <w:t>Funct</w:t>
      </w:r>
      <w:proofErr w:type="spellEnd"/>
      <w:r>
        <w:rPr>
          <w:i/>
          <w:iCs/>
        </w:rPr>
        <w:t xml:space="preserve"> Imaging</w:t>
      </w:r>
      <w:r>
        <w:t xml:space="preserve"> 2012; </w:t>
      </w:r>
      <w:r>
        <w:rPr>
          <w:b/>
          <w:bCs/>
        </w:rPr>
        <w:t>32</w:t>
      </w:r>
      <w:r>
        <w:t>: 421-430 [</w:t>
      </w:r>
      <w:proofErr w:type="spellStart"/>
      <w:r>
        <w:t>PMID</w:t>
      </w:r>
      <w:proofErr w:type="spellEnd"/>
      <w:r>
        <w:t xml:space="preserve">: 23031062 </w:t>
      </w:r>
      <w:proofErr w:type="spellStart"/>
      <w:r>
        <w:t>DOI</w:t>
      </w:r>
      <w:proofErr w:type="spellEnd"/>
      <w:r>
        <w:t>: 10.1111/j.1475-097X.2012.01152.x]</w:t>
      </w:r>
    </w:p>
    <w:p w:rsidR="00E86230" w:rsidRDefault="00E86230" w:rsidP="00E86230">
      <w:pPr>
        <w:pStyle w:val="-1"/>
      </w:pPr>
      <w:r>
        <w:t>31</w:t>
      </w:r>
      <w:r>
        <w:tab/>
      </w:r>
      <w:proofErr w:type="spellStart"/>
      <w:r>
        <w:rPr>
          <w:b/>
          <w:bCs/>
        </w:rPr>
        <w:t>Savji</w:t>
      </w:r>
      <w:proofErr w:type="spellEnd"/>
      <w:r>
        <w:rPr>
          <w:b/>
          <w:bCs/>
        </w:rPr>
        <w:t xml:space="preserve"> N</w:t>
      </w:r>
      <w:r>
        <w:t xml:space="preserve">, </w:t>
      </w:r>
      <w:proofErr w:type="spellStart"/>
      <w:r>
        <w:t>Rockman</w:t>
      </w:r>
      <w:proofErr w:type="spellEnd"/>
      <w:r>
        <w:t xml:space="preserve"> CB, Skolnick AH, </w:t>
      </w:r>
      <w:proofErr w:type="spellStart"/>
      <w:r>
        <w:t>Guo</w:t>
      </w:r>
      <w:proofErr w:type="spellEnd"/>
      <w:r>
        <w:t xml:space="preserve"> Y, Adelman MA, Riles T, Berger </w:t>
      </w:r>
      <w:proofErr w:type="spellStart"/>
      <w:r>
        <w:t>JS</w:t>
      </w:r>
      <w:proofErr w:type="spellEnd"/>
      <w:r>
        <w:t xml:space="preserve">. Association between advanced age and vascular disease in different arterial territories: a population database of over 3.6 million subjects. </w:t>
      </w:r>
      <w:r>
        <w:rPr>
          <w:i/>
          <w:iCs/>
        </w:rPr>
        <w:t xml:space="preserve">J Am </w:t>
      </w:r>
      <w:proofErr w:type="spellStart"/>
      <w:r>
        <w:rPr>
          <w:i/>
          <w:iCs/>
        </w:rPr>
        <w:t>Coll</w:t>
      </w:r>
      <w:proofErr w:type="spellEnd"/>
      <w:r>
        <w:rPr>
          <w:i/>
          <w:iCs/>
        </w:rPr>
        <w:t xml:space="preserve"> </w:t>
      </w:r>
      <w:proofErr w:type="spellStart"/>
      <w:r>
        <w:rPr>
          <w:i/>
          <w:iCs/>
        </w:rPr>
        <w:t>Cardiol</w:t>
      </w:r>
      <w:proofErr w:type="spellEnd"/>
      <w:r>
        <w:t xml:space="preserve"> 2013; </w:t>
      </w:r>
      <w:r>
        <w:rPr>
          <w:b/>
          <w:bCs/>
        </w:rPr>
        <w:t>61</w:t>
      </w:r>
      <w:r>
        <w:t>: 1736-1743 [</w:t>
      </w:r>
      <w:proofErr w:type="spellStart"/>
      <w:r>
        <w:t>PMID</w:t>
      </w:r>
      <w:proofErr w:type="spellEnd"/>
      <w:r>
        <w:t xml:space="preserve">: 23500290 </w:t>
      </w:r>
      <w:proofErr w:type="spellStart"/>
      <w:r>
        <w:t>DOI</w:t>
      </w:r>
      <w:proofErr w:type="spellEnd"/>
      <w:r>
        <w:t>: 10.1016/j.jacc.2013.01.054]</w:t>
      </w:r>
    </w:p>
    <w:p w:rsidR="00E86230" w:rsidRDefault="00E86230" w:rsidP="00E86230">
      <w:pPr>
        <w:pStyle w:val="-1"/>
      </w:pPr>
      <w:proofErr w:type="gramStart"/>
      <w:r>
        <w:t>32</w:t>
      </w:r>
      <w:r>
        <w:tab/>
      </w:r>
      <w:r>
        <w:rPr>
          <w:b/>
          <w:bCs/>
        </w:rPr>
        <w:t xml:space="preserve">Chen </w:t>
      </w:r>
      <w:proofErr w:type="spellStart"/>
      <w:r>
        <w:rPr>
          <w:b/>
          <w:bCs/>
        </w:rPr>
        <w:t>YH</w:t>
      </w:r>
      <w:proofErr w:type="spellEnd"/>
      <w:r>
        <w:t>, Chen KY, Lin HC.</w:t>
      </w:r>
      <w:proofErr w:type="gramEnd"/>
      <w:r>
        <w:t xml:space="preserve"> Non-alcoholic cirrhosis and the risk of stroke: a 5-year follow-up study. </w:t>
      </w:r>
      <w:r>
        <w:rPr>
          <w:i/>
          <w:iCs/>
        </w:rPr>
        <w:t xml:space="preserve">Liver </w:t>
      </w:r>
      <w:proofErr w:type="spellStart"/>
      <w:r>
        <w:rPr>
          <w:i/>
          <w:iCs/>
        </w:rPr>
        <w:t>Int</w:t>
      </w:r>
      <w:proofErr w:type="spellEnd"/>
      <w:r>
        <w:t xml:space="preserve"> 2011; </w:t>
      </w:r>
      <w:r>
        <w:rPr>
          <w:b/>
          <w:bCs/>
        </w:rPr>
        <w:t>31</w:t>
      </w:r>
      <w:r>
        <w:t>: 354-360 [</w:t>
      </w:r>
      <w:proofErr w:type="spellStart"/>
      <w:r>
        <w:t>PMID</w:t>
      </w:r>
      <w:proofErr w:type="spellEnd"/>
      <w:r>
        <w:t xml:space="preserve">: 20860634 </w:t>
      </w:r>
      <w:proofErr w:type="spellStart"/>
      <w:r>
        <w:t>DOI</w:t>
      </w:r>
      <w:proofErr w:type="spellEnd"/>
      <w:r>
        <w:t>: 10.1111/j.1478-3231.2010.02350.x]</w:t>
      </w:r>
    </w:p>
    <w:p w:rsidR="00E86230" w:rsidRDefault="00E86230" w:rsidP="00E86230">
      <w:pPr>
        <w:pStyle w:val="-1"/>
        <w:rPr>
          <w:spacing w:val="-3"/>
        </w:rPr>
      </w:pPr>
      <w:r>
        <w:rPr>
          <w:spacing w:val="-3"/>
        </w:rPr>
        <w:t>33</w:t>
      </w:r>
      <w:r>
        <w:rPr>
          <w:spacing w:val="-3"/>
        </w:rPr>
        <w:tab/>
      </w:r>
      <w:r>
        <w:rPr>
          <w:b/>
          <w:bCs/>
          <w:spacing w:val="-3"/>
        </w:rPr>
        <w:t>Lai CH</w:t>
      </w:r>
      <w:r>
        <w:rPr>
          <w:spacing w:val="-3"/>
        </w:rPr>
        <w:t xml:space="preserve">, Cheng </w:t>
      </w:r>
      <w:proofErr w:type="spellStart"/>
      <w:r>
        <w:rPr>
          <w:spacing w:val="-3"/>
        </w:rPr>
        <w:t>PY</w:t>
      </w:r>
      <w:proofErr w:type="spellEnd"/>
      <w:r>
        <w:rPr>
          <w:spacing w:val="-3"/>
        </w:rPr>
        <w:t xml:space="preserve">, Chen </w:t>
      </w:r>
      <w:proofErr w:type="spellStart"/>
      <w:r>
        <w:rPr>
          <w:spacing w:val="-3"/>
        </w:rPr>
        <w:t>YY</w:t>
      </w:r>
      <w:proofErr w:type="spellEnd"/>
      <w:r>
        <w:rPr>
          <w:spacing w:val="-3"/>
        </w:rPr>
        <w:t xml:space="preserve">. Liver cirrhosis and risk of </w:t>
      </w:r>
      <w:proofErr w:type="spellStart"/>
      <w:r>
        <w:rPr>
          <w:spacing w:val="-3"/>
        </w:rPr>
        <w:t>intracerebral</w:t>
      </w:r>
      <w:proofErr w:type="spellEnd"/>
      <w:r>
        <w:rPr>
          <w:spacing w:val="-3"/>
        </w:rPr>
        <w:t xml:space="preserve"> hemorrhage: a 9-year follow-up study. </w:t>
      </w:r>
      <w:r>
        <w:rPr>
          <w:i/>
          <w:iCs/>
          <w:spacing w:val="-3"/>
        </w:rPr>
        <w:t>Stroke</w:t>
      </w:r>
      <w:r>
        <w:rPr>
          <w:spacing w:val="-3"/>
        </w:rPr>
        <w:t xml:space="preserve"> 2011; </w:t>
      </w:r>
      <w:r>
        <w:rPr>
          <w:b/>
          <w:bCs/>
          <w:spacing w:val="-3"/>
        </w:rPr>
        <w:t>42</w:t>
      </w:r>
      <w:r>
        <w:rPr>
          <w:spacing w:val="-3"/>
        </w:rPr>
        <w:t>: 2615-2617 [</w:t>
      </w:r>
      <w:proofErr w:type="spellStart"/>
      <w:r>
        <w:rPr>
          <w:spacing w:val="-3"/>
        </w:rPr>
        <w:t>PMID</w:t>
      </w:r>
      <w:proofErr w:type="spellEnd"/>
      <w:r>
        <w:rPr>
          <w:spacing w:val="-3"/>
        </w:rPr>
        <w:t xml:space="preserve">: 21757678 </w:t>
      </w:r>
      <w:proofErr w:type="spellStart"/>
      <w:r>
        <w:rPr>
          <w:spacing w:val="-3"/>
        </w:rPr>
        <w:t>DOI</w:t>
      </w:r>
      <w:proofErr w:type="spellEnd"/>
      <w:r>
        <w:rPr>
          <w:spacing w:val="-3"/>
        </w:rPr>
        <w:t>: 10.1161/STROKEAHA.111.617076]</w:t>
      </w:r>
    </w:p>
    <w:p w:rsidR="00E86230" w:rsidRDefault="00E86230" w:rsidP="00E86230">
      <w:pPr>
        <w:pStyle w:val="-1"/>
      </w:pPr>
      <w:r>
        <w:t>34</w:t>
      </w:r>
      <w:r>
        <w:tab/>
      </w:r>
      <w:r>
        <w:rPr>
          <w:b/>
          <w:bCs/>
        </w:rPr>
        <w:t xml:space="preserve">O’Donnell </w:t>
      </w:r>
      <w:proofErr w:type="spellStart"/>
      <w:r>
        <w:rPr>
          <w:b/>
          <w:bCs/>
        </w:rPr>
        <w:t>MJ</w:t>
      </w:r>
      <w:proofErr w:type="spellEnd"/>
      <w:r>
        <w:t xml:space="preserve">, Xavier D, Liu L, Zhang H, Chin SL, </w:t>
      </w:r>
      <w:proofErr w:type="spellStart"/>
      <w:r>
        <w:t>Rao-Melacini</w:t>
      </w:r>
      <w:proofErr w:type="spellEnd"/>
      <w:r>
        <w:t xml:space="preserve"> P, </w:t>
      </w:r>
      <w:proofErr w:type="spellStart"/>
      <w:r>
        <w:t>Rangarajan</w:t>
      </w:r>
      <w:proofErr w:type="spellEnd"/>
      <w:r>
        <w:t xml:space="preserve"> S, Islam S, </w:t>
      </w:r>
      <w:proofErr w:type="spellStart"/>
      <w:r>
        <w:t>Pais</w:t>
      </w:r>
      <w:proofErr w:type="spellEnd"/>
      <w:r>
        <w:t xml:space="preserve"> P, McQueen </w:t>
      </w:r>
      <w:proofErr w:type="spellStart"/>
      <w:r>
        <w:t>MJ</w:t>
      </w:r>
      <w:proofErr w:type="spellEnd"/>
      <w:r>
        <w:t xml:space="preserve">, Mondo C, </w:t>
      </w:r>
      <w:proofErr w:type="spellStart"/>
      <w:r>
        <w:t>Damasceno</w:t>
      </w:r>
      <w:proofErr w:type="spellEnd"/>
      <w:r>
        <w:t xml:space="preserve"> A, Lopez-Jaramillo P, </w:t>
      </w:r>
      <w:proofErr w:type="spellStart"/>
      <w:r>
        <w:t>Hankey</w:t>
      </w:r>
      <w:proofErr w:type="spellEnd"/>
      <w:r>
        <w:t xml:space="preserve"> </w:t>
      </w:r>
      <w:proofErr w:type="spellStart"/>
      <w:r>
        <w:t>GJ</w:t>
      </w:r>
      <w:proofErr w:type="spellEnd"/>
      <w:r>
        <w:t xml:space="preserve">, </w:t>
      </w:r>
      <w:proofErr w:type="spellStart"/>
      <w:r>
        <w:t>Dans</w:t>
      </w:r>
      <w:proofErr w:type="spellEnd"/>
      <w:r>
        <w:t xml:space="preserve"> AL, </w:t>
      </w:r>
      <w:proofErr w:type="spellStart"/>
      <w:r>
        <w:t>Yusoff</w:t>
      </w:r>
      <w:proofErr w:type="spellEnd"/>
      <w:r>
        <w:t xml:space="preserve"> K, </w:t>
      </w:r>
      <w:proofErr w:type="spellStart"/>
      <w:r>
        <w:t>Truelsen</w:t>
      </w:r>
      <w:proofErr w:type="spellEnd"/>
      <w:r>
        <w:t xml:space="preserve"> T, </w:t>
      </w:r>
      <w:proofErr w:type="spellStart"/>
      <w:r>
        <w:t>Diener</w:t>
      </w:r>
      <w:proofErr w:type="spellEnd"/>
      <w:r>
        <w:t xml:space="preserve"> HC, Sacco </w:t>
      </w:r>
      <w:proofErr w:type="spellStart"/>
      <w:r>
        <w:t>RL</w:t>
      </w:r>
      <w:proofErr w:type="spellEnd"/>
      <w:r>
        <w:t xml:space="preserve">, </w:t>
      </w:r>
      <w:proofErr w:type="spellStart"/>
      <w:r>
        <w:t>Ryglewicz</w:t>
      </w:r>
      <w:proofErr w:type="spellEnd"/>
      <w:r>
        <w:t xml:space="preserve"> D, </w:t>
      </w:r>
      <w:proofErr w:type="spellStart"/>
      <w:r>
        <w:t>Czlonkowska</w:t>
      </w:r>
      <w:proofErr w:type="spellEnd"/>
      <w:r>
        <w:t xml:space="preserve"> A, Weimar C, Wang X, Yusuf S; </w:t>
      </w:r>
      <w:proofErr w:type="spellStart"/>
      <w:r>
        <w:t>INTERSTROKE</w:t>
      </w:r>
      <w:proofErr w:type="spellEnd"/>
      <w:r>
        <w:t xml:space="preserve"> investigators. Risk factors for </w:t>
      </w:r>
      <w:proofErr w:type="spellStart"/>
      <w:r>
        <w:t>ischaemic</w:t>
      </w:r>
      <w:proofErr w:type="spellEnd"/>
      <w:r>
        <w:t xml:space="preserve"> and </w:t>
      </w:r>
      <w:proofErr w:type="spellStart"/>
      <w:r>
        <w:t>intracerebral</w:t>
      </w:r>
      <w:proofErr w:type="spellEnd"/>
      <w:r>
        <w:t xml:space="preserve"> </w:t>
      </w:r>
      <w:proofErr w:type="spellStart"/>
      <w:r>
        <w:t>haemorrhagic</w:t>
      </w:r>
      <w:proofErr w:type="spellEnd"/>
      <w:r>
        <w:t xml:space="preserve"> stroke in 22 countries (the </w:t>
      </w:r>
      <w:proofErr w:type="spellStart"/>
      <w:r>
        <w:t>INTERSTROKE</w:t>
      </w:r>
      <w:proofErr w:type="spellEnd"/>
      <w:r>
        <w:t xml:space="preserve"> study): a case-control study. </w:t>
      </w:r>
      <w:r>
        <w:rPr>
          <w:i/>
          <w:iCs/>
        </w:rPr>
        <w:t>Lancet</w:t>
      </w:r>
      <w:r>
        <w:t xml:space="preserve"> 2010; </w:t>
      </w:r>
      <w:r>
        <w:rPr>
          <w:b/>
          <w:bCs/>
        </w:rPr>
        <w:t>376</w:t>
      </w:r>
      <w:r>
        <w:t>: 112-123 [</w:t>
      </w:r>
      <w:proofErr w:type="spellStart"/>
      <w:r>
        <w:t>PMID</w:t>
      </w:r>
      <w:proofErr w:type="spellEnd"/>
      <w:r>
        <w:t xml:space="preserve">: 20561675 </w:t>
      </w:r>
      <w:proofErr w:type="spellStart"/>
      <w:r>
        <w:t>DOI</w:t>
      </w:r>
      <w:proofErr w:type="spellEnd"/>
      <w:r>
        <w:t>: 10.1016/S0140-6736(10)60834-3]</w:t>
      </w:r>
    </w:p>
    <w:p w:rsidR="00E86230" w:rsidRDefault="00E86230" w:rsidP="00E86230">
      <w:pPr>
        <w:pStyle w:val="-1"/>
      </w:pPr>
      <w:r>
        <w:t>35</w:t>
      </w:r>
      <w:r>
        <w:tab/>
      </w:r>
      <w:proofErr w:type="spellStart"/>
      <w:r>
        <w:rPr>
          <w:b/>
          <w:bCs/>
        </w:rPr>
        <w:t>Charlson</w:t>
      </w:r>
      <w:proofErr w:type="spellEnd"/>
      <w:r>
        <w:rPr>
          <w:b/>
          <w:bCs/>
        </w:rPr>
        <w:t xml:space="preserve"> ME</w:t>
      </w:r>
      <w:r>
        <w:t xml:space="preserve">, </w:t>
      </w:r>
      <w:proofErr w:type="spellStart"/>
      <w:r>
        <w:t>Pompei</w:t>
      </w:r>
      <w:proofErr w:type="spellEnd"/>
      <w:r>
        <w:t xml:space="preserve"> P, Ales KL, </w:t>
      </w:r>
      <w:proofErr w:type="spellStart"/>
      <w:r>
        <w:t>MacKenzie</w:t>
      </w:r>
      <w:proofErr w:type="spellEnd"/>
      <w:r>
        <w:t xml:space="preserve"> CR. A new method of classifying prognostic comorbidity in longitudinal studies: development and validation. </w:t>
      </w:r>
      <w:r>
        <w:rPr>
          <w:i/>
          <w:iCs/>
        </w:rPr>
        <w:t>J Chronic Dis</w:t>
      </w:r>
      <w:r>
        <w:t xml:space="preserve"> 1987; </w:t>
      </w:r>
      <w:r>
        <w:rPr>
          <w:b/>
          <w:bCs/>
        </w:rPr>
        <w:t>40</w:t>
      </w:r>
      <w:r>
        <w:t>: 373-383 [</w:t>
      </w:r>
      <w:proofErr w:type="spellStart"/>
      <w:r>
        <w:t>PMID</w:t>
      </w:r>
      <w:proofErr w:type="spellEnd"/>
      <w:r>
        <w:t>: 3558716</w:t>
      </w:r>
      <w:r w:rsidRPr="008622BB">
        <w:t xml:space="preserve"> </w:t>
      </w:r>
      <w:proofErr w:type="spellStart"/>
      <w:r w:rsidRPr="008622BB">
        <w:t>DOI</w:t>
      </w:r>
      <w:proofErr w:type="spellEnd"/>
      <w:r w:rsidRPr="008622BB">
        <w:t xml:space="preserve">: </w:t>
      </w:r>
      <w:r>
        <w:t>10.1016/0021-9681(87)90171-8]</w:t>
      </w:r>
    </w:p>
    <w:p w:rsidR="00E86230" w:rsidRDefault="00E86230" w:rsidP="00E86230">
      <w:pPr>
        <w:pStyle w:val="-1"/>
      </w:pPr>
      <w:r>
        <w:t>36</w:t>
      </w:r>
      <w:r>
        <w:tab/>
      </w:r>
      <w:proofErr w:type="spellStart"/>
      <w:r>
        <w:rPr>
          <w:b/>
          <w:bCs/>
        </w:rPr>
        <w:t>Jepsen</w:t>
      </w:r>
      <w:proofErr w:type="spellEnd"/>
      <w:r>
        <w:rPr>
          <w:b/>
          <w:bCs/>
        </w:rPr>
        <w:t xml:space="preserve"> P</w:t>
      </w:r>
      <w:r>
        <w:t xml:space="preserve">, </w:t>
      </w:r>
      <w:proofErr w:type="spellStart"/>
      <w:r>
        <w:t>Vilstrup</w:t>
      </w:r>
      <w:proofErr w:type="spellEnd"/>
      <w:r>
        <w:t xml:space="preserve"> H, Andersen </w:t>
      </w:r>
      <w:proofErr w:type="spellStart"/>
      <w:r>
        <w:t>PK</w:t>
      </w:r>
      <w:proofErr w:type="spellEnd"/>
      <w:r>
        <w:t xml:space="preserve">, Lash TL, </w:t>
      </w:r>
      <w:proofErr w:type="spellStart"/>
      <w:r>
        <w:t>Sørensen</w:t>
      </w:r>
      <w:proofErr w:type="spellEnd"/>
      <w:r>
        <w:t xml:space="preserve"> HT. Comorbidity and survival of Danish cirrhosis patients: a nationwide population-based cohort study. </w:t>
      </w:r>
      <w:proofErr w:type="spellStart"/>
      <w:r>
        <w:rPr>
          <w:i/>
          <w:iCs/>
        </w:rPr>
        <w:t>Hepatology</w:t>
      </w:r>
      <w:proofErr w:type="spellEnd"/>
      <w:r>
        <w:t xml:space="preserve"> 2008; </w:t>
      </w:r>
      <w:r>
        <w:rPr>
          <w:b/>
          <w:bCs/>
        </w:rPr>
        <w:t>48</w:t>
      </w:r>
      <w:r>
        <w:t>: 214-220 [</w:t>
      </w:r>
      <w:proofErr w:type="spellStart"/>
      <w:r>
        <w:t>PMID</w:t>
      </w:r>
      <w:proofErr w:type="spellEnd"/>
      <w:r>
        <w:t xml:space="preserve">: 18537190 </w:t>
      </w:r>
      <w:proofErr w:type="spellStart"/>
      <w:r>
        <w:t>DOI</w:t>
      </w:r>
      <w:proofErr w:type="spellEnd"/>
      <w:r>
        <w:t>: 10.1002/hep.22341]</w:t>
      </w:r>
    </w:p>
    <w:p w:rsidR="00E86230" w:rsidRDefault="00E86230" w:rsidP="00E86230">
      <w:pPr>
        <w:pStyle w:val="-1"/>
      </w:pPr>
      <w:r>
        <w:t>37</w:t>
      </w:r>
      <w:r>
        <w:tab/>
      </w:r>
      <w:proofErr w:type="spellStart"/>
      <w:r>
        <w:rPr>
          <w:b/>
          <w:bCs/>
        </w:rPr>
        <w:t>Jepsen</w:t>
      </w:r>
      <w:proofErr w:type="spellEnd"/>
      <w:r>
        <w:rPr>
          <w:b/>
          <w:bCs/>
        </w:rPr>
        <w:t xml:space="preserve"> P</w:t>
      </w:r>
      <w:r>
        <w:t xml:space="preserve">, </w:t>
      </w:r>
      <w:proofErr w:type="spellStart"/>
      <w:r>
        <w:t>Vilstrup</w:t>
      </w:r>
      <w:proofErr w:type="spellEnd"/>
      <w:r>
        <w:t xml:space="preserve"> H, Lash TL. </w:t>
      </w:r>
      <w:proofErr w:type="gramStart"/>
      <w:r>
        <w:t>Development and validation of a comorbidity scoring system for patients with cirrhosis.</w:t>
      </w:r>
      <w:proofErr w:type="gramEnd"/>
      <w:r>
        <w:t xml:space="preserve"> </w:t>
      </w:r>
      <w:r>
        <w:rPr>
          <w:i/>
          <w:iCs/>
        </w:rPr>
        <w:t>Gastroenterology</w:t>
      </w:r>
      <w:r>
        <w:t xml:space="preserve"> 2014; </w:t>
      </w:r>
      <w:r>
        <w:rPr>
          <w:b/>
          <w:bCs/>
        </w:rPr>
        <w:t>146</w:t>
      </w:r>
      <w:r>
        <w:t>: 147-156; quiz e15-e16 [</w:t>
      </w:r>
      <w:proofErr w:type="spellStart"/>
      <w:r>
        <w:t>PMID</w:t>
      </w:r>
      <w:proofErr w:type="spellEnd"/>
      <w:r>
        <w:t xml:space="preserve">: 24055278 </w:t>
      </w:r>
      <w:proofErr w:type="spellStart"/>
      <w:r>
        <w:t>DOI</w:t>
      </w:r>
      <w:proofErr w:type="spellEnd"/>
      <w:r>
        <w:t>: 10.1053/j.gastro.2013.09.019]</w:t>
      </w:r>
    </w:p>
    <w:p w:rsidR="00E86230" w:rsidRDefault="00E86230" w:rsidP="00E86230">
      <w:pPr>
        <w:pStyle w:val="-1"/>
        <w:jc w:val="right"/>
        <w:rPr>
          <w:b/>
          <w:bCs/>
        </w:rPr>
      </w:pPr>
    </w:p>
    <w:p w:rsidR="00E86230" w:rsidRDefault="00E86230" w:rsidP="00E86230"/>
    <w:p w:rsidR="00E86230" w:rsidRDefault="00E86230" w:rsidP="00E86230">
      <w:pPr>
        <w:rPr>
          <w:rFonts w:hint="eastAsia"/>
        </w:rPr>
      </w:pPr>
      <w:r>
        <w:t>Figure Legends</w:t>
      </w:r>
    </w:p>
    <w:p w:rsidR="00E86230" w:rsidRDefault="00E86230" w:rsidP="00E86230">
      <w:r>
        <w:rPr>
          <w:noProof/>
        </w:rPr>
        <w:lastRenderedPageBreak/>
        <w:drawing>
          <wp:inline distT="0" distB="0" distL="0" distR="0">
            <wp:extent cx="1725295" cy="1089025"/>
            <wp:effectExtent l="0" t="0" r="8255" b="0"/>
            <wp:docPr id="6" name="图片 6" descr="E:\黄燕\已出版\WJGv24i31\xml\fig-31\WJG-24-3547-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31\xml\fig-31\WJG-24-3547-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1089025"/>
                    </a:xfrm>
                    <a:prstGeom prst="rect">
                      <a:avLst/>
                    </a:prstGeom>
                    <a:noFill/>
                    <a:ln>
                      <a:noFill/>
                    </a:ln>
                  </pic:spPr>
                </pic:pic>
              </a:graphicData>
            </a:graphic>
          </wp:inline>
        </w:drawing>
      </w:r>
    </w:p>
    <w:p w:rsidR="00E86230" w:rsidRPr="008622BB" w:rsidRDefault="00E86230" w:rsidP="00E86230">
      <w:pPr>
        <w:suppressAutoHyphens/>
        <w:autoSpaceDE w:val="0"/>
        <w:autoSpaceDN w:val="0"/>
        <w:adjustRightInd w:val="0"/>
        <w:spacing w:line="200" w:lineRule="atLeast"/>
        <w:textAlignment w:val="center"/>
        <w:rPr>
          <w:rFonts w:ascii="Arial Narrow" w:hAnsi="Arial Narrow" w:cs="Arial Narrow"/>
          <w:b/>
          <w:bCs/>
          <w:color w:val="000000"/>
          <w:kern w:val="0"/>
          <w:sz w:val="16"/>
          <w:szCs w:val="16"/>
        </w:rPr>
      </w:pPr>
      <w:r w:rsidRPr="008622BB">
        <w:rPr>
          <w:rFonts w:ascii="Arial Narrow" w:hAnsi="Arial Narrow" w:cs="Arial Narrow"/>
          <w:b/>
          <w:bCs/>
          <w:color w:val="000000"/>
          <w:kern w:val="0"/>
          <w:sz w:val="16"/>
          <w:szCs w:val="16"/>
        </w:rPr>
        <w:t xml:space="preserve">Figure </w:t>
      </w:r>
      <w:proofErr w:type="gramStart"/>
      <w:r w:rsidRPr="008622BB">
        <w:rPr>
          <w:rFonts w:ascii="Arial Narrow" w:hAnsi="Arial Narrow" w:cs="Arial Narrow"/>
          <w:b/>
          <w:bCs/>
          <w:color w:val="000000"/>
          <w:kern w:val="0"/>
          <w:sz w:val="16"/>
          <w:szCs w:val="16"/>
        </w:rPr>
        <w:t>1  Study</w:t>
      </w:r>
      <w:proofErr w:type="gramEnd"/>
      <w:r w:rsidRPr="008622BB">
        <w:rPr>
          <w:rFonts w:ascii="Arial Narrow" w:hAnsi="Arial Narrow" w:cs="Arial Narrow"/>
          <w:b/>
          <w:bCs/>
          <w:color w:val="000000"/>
          <w:kern w:val="0"/>
          <w:sz w:val="16"/>
          <w:szCs w:val="16"/>
        </w:rPr>
        <w:t xml:space="preserve"> design.</w:t>
      </w:r>
    </w:p>
    <w:p w:rsidR="00E86230" w:rsidRDefault="00E86230" w:rsidP="00E86230">
      <w:pPr>
        <w:rPr>
          <w:rFonts w:hint="eastAsia"/>
        </w:rPr>
      </w:pPr>
      <w:r>
        <w:rPr>
          <w:noProof/>
        </w:rPr>
        <w:drawing>
          <wp:inline distT="0" distB="0" distL="0" distR="0">
            <wp:extent cx="1043940" cy="409575"/>
            <wp:effectExtent l="0" t="0" r="3810" b="9525"/>
            <wp:docPr id="7" name="图片 7" descr="E:\黄燕\已出版\WJGv24i31\xml\fig-31\WJG-24-3547-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31\xml\fig-31\WJG-24-3547-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3940" cy="409575"/>
                    </a:xfrm>
                    <a:prstGeom prst="rect">
                      <a:avLst/>
                    </a:prstGeom>
                    <a:noFill/>
                    <a:ln>
                      <a:noFill/>
                    </a:ln>
                  </pic:spPr>
                </pic:pic>
              </a:graphicData>
            </a:graphic>
          </wp:inline>
        </w:drawing>
      </w:r>
      <w:bookmarkStart w:id="0" w:name="_GoBack"/>
      <w:bookmarkEnd w:id="0"/>
    </w:p>
    <w:p w:rsidR="00E86230" w:rsidRPr="008622BB" w:rsidRDefault="00E86230" w:rsidP="00E86230">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8622BB">
        <w:rPr>
          <w:rFonts w:ascii="Arial Narrow" w:hAnsi="Arial Narrow" w:cs="Arial Narrow"/>
          <w:b/>
          <w:bCs/>
          <w:color w:val="000000"/>
          <w:kern w:val="0"/>
          <w:sz w:val="16"/>
          <w:szCs w:val="16"/>
        </w:rPr>
        <w:t xml:space="preserve">Figure </w:t>
      </w:r>
      <w:proofErr w:type="gramStart"/>
      <w:r w:rsidRPr="008622BB">
        <w:rPr>
          <w:rFonts w:ascii="Arial Narrow" w:hAnsi="Arial Narrow" w:cs="Arial Narrow"/>
          <w:b/>
          <w:bCs/>
          <w:color w:val="000000"/>
          <w:kern w:val="0"/>
          <w:sz w:val="16"/>
          <w:szCs w:val="16"/>
        </w:rPr>
        <w:t>2  Kaplan</w:t>
      </w:r>
      <w:proofErr w:type="gramEnd"/>
      <w:r w:rsidRPr="008622BB">
        <w:rPr>
          <w:rFonts w:ascii="Arial Narrow" w:hAnsi="Arial Narrow" w:cs="Arial Narrow"/>
          <w:b/>
          <w:bCs/>
          <w:color w:val="000000"/>
          <w:kern w:val="0"/>
          <w:sz w:val="16"/>
          <w:szCs w:val="16"/>
        </w:rPr>
        <w:t>-Meier analysis of overall survival.</w:t>
      </w:r>
      <w:r w:rsidRPr="008622BB">
        <w:rPr>
          <w:rFonts w:ascii="Arial Narrow" w:hAnsi="Arial Narrow" w:cs="Arial Narrow"/>
          <w:color w:val="000000"/>
          <w:kern w:val="0"/>
          <w:sz w:val="16"/>
          <w:szCs w:val="16"/>
        </w:rPr>
        <w:t xml:space="preserve"> A: Cumulative survival using the Kaplan-Meier method for nonalcoholic LC patients and controls during the follow-up period; B: Cumulative survival using the Kaplan-Meier method for nonalcoholic LC patients with and without CAD during the follow-up period. LC: Liver cirrhosis; CAD: Coronary artery disease. </w:t>
      </w:r>
    </w:p>
    <w:p w:rsidR="00E86230" w:rsidRDefault="00E86230" w:rsidP="00E86230">
      <w:pPr>
        <w:rPr>
          <w:rFonts w:hint="eastAsia"/>
        </w:rPr>
      </w:pPr>
    </w:p>
    <w:p w:rsidR="00E86230" w:rsidRPr="008622BB" w:rsidRDefault="00E86230" w:rsidP="00E86230">
      <w:pPr>
        <w:rPr>
          <w:rFonts w:hint="eastAsia"/>
        </w:rPr>
      </w:pPr>
    </w:p>
    <w:p w:rsidR="00E86230" w:rsidRDefault="00E86230" w:rsidP="00E86230">
      <w:pPr>
        <w:rPr>
          <w:rFonts w:hint="eastAsia"/>
        </w:rPr>
      </w:pPr>
      <w:r>
        <w:t>Footnotes</w:t>
      </w:r>
    </w:p>
    <w:p w:rsidR="00E86230" w:rsidRDefault="00E86230" w:rsidP="00E86230">
      <w:pPr>
        <w:pStyle w:val="af6"/>
      </w:pPr>
      <w:r>
        <w:rPr>
          <w:rFonts w:ascii="Tahoma" w:hAnsi="Tahoma" w:cs="Tahoma"/>
        </w:rPr>
        <w:t>Manuscript source:</w:t>
      </w:r>
      <w:r>
        <w:t xml:space="preserve"> Unsolicited manuscript</w:t>
      </w:r>
    </w:p>
    <w:p w:rsidR="00E86230" w:rsidRPr="008622BB" w:rsidRDefault="00E86230" w:rsidP="00E86230">
      <w:pPr>
        <w:rPr>
          <w:b/>
        </w:rPr>
      </w:pPr>
      <w:bookmarkStart w:id="1" w:name="OLE_LINK881"/>
      <w:bookmarkStart w:id="2" w:name="OLE_LINK880"/>
      <w:r w:rsidRPr="008622BB">
        <w:rPr>
          <w:b/>
        </w:rPr>
        <w:t xml:space="preserve">Specialty type: </w:t>
      </w:r>
      <w:r w:rsidRPr="008622BB">
        <w:t xml:space="preserve">Gastroenterology and </w:t>
      </w:r>
      <w:proofErr w:type="spellStart"/>
      <w:r w:rsidRPr="008622BB">
        <w:t>hepatology</w:t>
      </w:r>
      <w:proofErr w:type="spellEnd"/>
    </w:p>
    <w:p w:rsidR="00E86230" w:rsidRPr="008622BB" w:rsidRDefault="00E86230" w:rsidP="00E86230">
      <w:pPr>
        <w:rPr>
          <w:b/>
        </w:rPr>
      </w:pPr>
      <w:r w:rsidRPr="008622BB">
        <w:rPr>
          <w:b/>
        </w:rPr>
        <w:t xml:space="preserve">Country of origin: </w:t>
      </w:r>
      <w:r w:rsidRPr="008622BB">
        <w:t>Taiwan</w:t>
      </w:r>
    </w:p>
    <w:p w:rsidR="00E86230" w:rsidRPr="008622BB" w:rsidRDefault="00E86230" w:rsidP="00E86230">
      <w:pPr>
        <w:rPr>
          <w:b/>
        </w:rPr>
      </w:pPr>
      <w:r w:rsidRPr="008622BB">
        <w:rPr>
          <w:b/>
        </w:rPr>
        <w:t>Peer-review report classification</w:t>
      </w:r>
    </w:p>
    <w:p w:rsidR="00E86230" w:rsidRPr="008622BB" w:rsidRDefault="00E86230" w:rsidP="00E86230">
      <w:r w:rsidRPr="008622BB">
        <w:t xml:space="preserve">Grade </w:t>
      </w:r>
      <w:proofErr w:type="gramStart"/>
      <w:r w:rsidRPr="008622BB">
        <w:t>A</w:t>
      </w:r>
      <w:proofErr w:type="gramEnd"/>
      <w:r w:rsidRPr="008622BB">
        <w:t xml:space="preserve"> (Excellent): 0</w:t>
      </w:r>
    </w:p>
    <w:p w:rsidR="00E86230" w:rsidRPr="008622BB" w:rsidRDefault="00E86230" w:rsidP="00E86230">
      <w:r w:rsidRPr="008622BB">
        <w:t>Grade B (Very good): B</w:t>
      </w:r>
    </w:p>
    <w:p w:rsidR="00E86230" w:rsidRPr="008622BB" w:rsidRDefault="00E86230" w:rsidP="00E86230">
      <w:r w:rsidRPr="008622BB">
        <w:t>Grade C (Good): C, C</w:t>
      </w:r>
    </w:p>
    <w:p w:rsidR="00E86230" w:rsidRPr="008622BB" w:rsidRDefault="00E86230" w:rsidP="00E86230">
      <w:r w:rsidRPr="008622BB">
        <w:t>Grade D (Fair): 0</w:t>
      </w:r>
    </w:p>
    <w:p w:rsidR="00E86230" w:rsidRPr="008622BB" w:rsidRDefault="00E86230" w:rsidP="00E86230">
      <w:pPr>
        <w:rPr>
          <w:b/>
          <w:iCs/>
        </w:rPr>
      </w:pPr>
      <w:r w:rsidRPr="008622BB">
        <w:t>Grade E (Poor): 0</w:t>
      </w:r>
      <w:bookmarkEnd w:id="1"/>
      <w:bookmarkEnd w:id="2"/>
    </w:p>
    <w:p w:rsidR="00E86230" w:rsidRDefault="00E86230" w:rsidP="00E86230">
      <w:pPr>
        <w:pStyle w:val="af6"/>
      </w:pPr>
      <w:r>
        <w:rPr>
          <w:rFonts w:ascii="Tahoma" w:hAnsi="Tahoma" w:cs="Tahoma"/>
          <w:lang w:val="it-IT"/>
        </w:rPr>
        <w:t>Institutional review board statement</w:t>
      </w:r>
      <w:r w:rsidRPr="008622BB">
        <w:rPr>
          <w:rFonts w:ascii="Tahoma" w:hAnsi="Tahoma" w:cs="Tahoma"/>
        </w:rPr>
        <w:t>:</w:t>
      </w:r>
      <w:r>
        <w:t xml:space="preserve"> This study was approved by the Institutional Review Board (</w:t>
      </w:r>
      <w:proofErr w:type="spellStart"/>
      <w:r>
        <w:t>IRB</w:t>
      </w:r>
      <w:proofErr w:type="spellEnd"/>
      <w:r>
        <w:t>) of Chung Shan Medical University Hospital, Taiwan.</w:t>
      </w:r>
    </w:p>
    <w:p w:rsidR="00E86230" w:rsidRDefault="00E86230" w:rsidP="00E86230">
      <w:pPr>
        <w:pStyle w:val="af6"/>
      </w:pPr>
      <w:r>
        <w:rPr>
          <w:rFonts w:ascii="Tahoma" w:hAnsi="Tahoma" w:cs="Tahoma"/>
          <w:lang w:val="it-IT"/>
        </w:rPr>
        <w:t>Informed consent statement</w:t>
      </w:r>
      <w:r w:rsidRPr="008622BB">
        <w:rPr>
          <w:rFonts w:ascii="Tahoma" w:hAnsi="Tahoma" w:cs="Tahoma"/>
        </w:rPr>
        <w:t>:</w:t>
      </w:r>
      <w:r>
        <w:t xml:space="preserve"> The </w:t>
      </w:r>
      <w:proofErr w:type="spellStart"/>
      <w:r>
        <w:t>IRB</w:t>
      </w:r>
      <w:proofErr w:type="spellEnd"/>
      <w:r>
        <w:t xml:space="preserve"> waived the need of informed consent for this retrospective study based on an encrypted National Health Insurance Research Database (</w:t>
      </w:r>
      <w:proofErr w:type="spellStart"/>
      <w:r>
        <w:t>NHIRD</w:t>
      </w:r>
      <w:proofErr w:type="spellEnd"/>
      <w:r>
        <w:t>).</w:t>
      </w:r>
    </w:p>
    <w:p w:rsidR="00E86230" w:rsidRDefault="00E86230" w:rsidP="00E86230">
      <w:pPr>
        <w:pStyle w:val="af6"/>
      </w:pPr>
      <w:r>
        <w:rPr>
          <w:rFonts w:ascii="Tahoma" w:hAnsi="Tahoma" w:cs="Tahoma"/>
          <w:lang w:val="it-IT"/>
        </w:rPr>
        <w:t>Conflict-of-interest statement</w:t>
      </w:r>
      <w:r w:rsidRPr="008622BB">
        <w:rPr>
          <w:rFonts w:ascii="Tahoma" w:hAnsi="Tahoma" w:cs="Tahoma"/>
        </w:rPr>
        <w:t>:</w:t>
      </w:r>
      <w:r>
        <w:t xml:space="preserve"> The authors declare that they have no competing interests.</w:t>
      </w:r>
    </w:p>
    <w:p w:rsidR="00E86230" w:rsidRDefault="00E86230" w:rsidP="00E86230">
      <w:pPr>
        <w:pStyle w:val="af6"/>
      </w:pPr>
      <w:r>
        <w:rPr>
          <w:rFonts w:ascii="Tahoma" w:hAnsi="Tahoma" w:cs="Tahoma"/>
          <w:lang w:val="it-IT"/>
        </w:rPr>
        <w:t>Data sharing statement</w:t>
      </w:r>
      <w:r w:rsidRPr="008622BB">
        <w:rPr>
          <w:rFonts w:ascii="Tahoma" w:hAnsi="Tahoma" w:cs="Tahoma"/>
        </w:rPr>
        <w:t>:</w:t>
      </w:r>
      <w:r>
        <w:t xml:space="preserve"> The data of our study were retrieved from the National Health Insurance Research Database (</w:t>
      </w:r>
      <w:proofErr w:type="spellStart"/>
      <w:r>
        <w:t>NHIRD</w:t>
      </w:r>
      <w:proofErr w:type="spellEnd"/>
      <w:r>
        <w:t>) in Taiwan. The application for the data was reviewed and approved by the National Health Insurance (</w:t>
      </w:r>
      <w:proofErr w:type="spellStart"/>
      <w:r>
        <w:t>NHI</w:t>
      </w:r>
      <w:proofErr w:type="spellEnd"/>
      <w:r>
        <w:t xml:space="preserve">). </w:t>
      </w:r>
      <w:proofErr w:type="spellStart"/>
      <w:r>
        <w:t>NHIRD</w:t>
      </w:r>
      <w:proofErr w:type="spellEnd"/>
      <w:r>
        <w:t xml:space="preserve"> are available </w:t>
      </w:r>
      <w:r>
        <w:rPr>
          <w:i/>
          <w:iCs/>
        </w:rPr>
        <w:t>via</w:t>
      </w:r>
      <w:r>
        <w:t xml:space="preserve"> http://nhird.nhri.org.tw/.</w:t>
      </w:r>
    </w:p>
    <w:p w:rsidR="00E86230" w:rsidRDefault="00E86230" w:rsidP="00E86230">
      <w:pPr>
        <w:pStyle w:val="af6"/>
        <w:rPr>
          <w:spacing w:val="-4"/>
        </w:rPr>
      </w:pPr>
      <w:r>
        <w:rPr>
          <w:rFonts w:ascii="Tahoma" w:hAnsi="Tahoma" w:cs="Tahoma"/>
          <w:spacing w:val="-4"/>
        </w:rPr>
        <w:t>STROBE statement:</w:t>
      </w:r>
      <w:r>
        <w:rPr>
          <w:spacing w:val="-4"/>
        </w:rPr>
        <w:t xml:space="preserve"> The authors have read the STROBE Statement-checklist of items, and the manuscript was prepared and revised according to the STROBE Statement-checklist of items. </w:t>
      </w:r>
    </w:p>
    <w:p w:rsidR="00E86230" w:rsidRDefault="00E86230" w:rsidP="00E86230">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86230" w:rsidRDefault="00E86230" w:rsidP="00E86230">
      <w:pPr>
        <w:pStyle w:val="af6"/>
      </w:pPr>
      <w:r>
        <w:rPr>
          <w:rFonts w:ascii="Tahoma" w:hAnsi="Tahoma" w:cs="Tahoma"/>
        </w:rPr>
        <w:lastRenderedPageBreak/>
        <w:t>Peer-review started:</w:t>
      </w:r>
      <w:r>
        <w:t xml:space="preserve"> April 19, 2018</w:t>
      </w:r>
    </w:p>
    <w:p w:rsidR="00E86230" w:rsidRDefault="00E86230" w:rsidP="00E86230">
      <w:pPr>
        <w:pStyle w:val="af6"/>
      </w:pPr>
      <w:r>
        <w:rPr>
          <w:rFonts w:ascii="Tahoma" w:hAnsi="Tahoma" w:cs="Tahoma"/>
        </w:rPr>
        <w:t>First decision:</w:t>
      </w:r>
      <w:r>
        <w:t xml:space="preserve"> June 6, 2018</w:t>
      </w:r>
    </w:p>
    <w:p w:rsidR="00E86230" w:rsidRDefault="00E86230" w:rsidP="00E86230">
      <w:pPr>
        <w:pStyle w:val="af6"/>
      </w:pPr>
      <w:r>
        <w:rPr>
          <w:rFonts w:ascii="Tahoma" w:hAnsi="Tahoma" w:cs="Tahoma"/>
        </w:rPr>
        <w:t>Article in press:</w:t>
      </w:r>
      <w:r>
        <w:t xml:space="preserve"> July 16, 2018</w:t>
      </w:r>
    </w:p>
    <w:p w:rsidR="00E86230" w:rsidRPr="008622BB" w:rsidRDefault="00E86230" w:rsidP="00E86230">
      <w:pPr>
        <w:pStyle w:val="-1"/>
        <w:jc w:val="right"/>
        <w:rPr>
          <w:rFonts w:hint="eastAsia"/>
        </w:rPr>
      </w:pPr>
      <w:r>
        <w:rPr>
          <w:b/>
          <w:bCs/>
        </w:rPr>
        <w:t>P- Reviewer</w:t>
      </w:r>
      <w:r>
        <w:rPr>
          <w:spacing w:val="0"/>
        </w:rPr>
        <w:t>:</w:t>
      </w:r>
      <w:r>
        <w:rPr>
          <w:rFonts w:ascii="Book Antiqua" w:hAnsi="Book Antiqua" w:cs="Book Antiqua"/>
          <w:b/>
          <w:bCs/>
        </w:rPr>
        <w:t xml:space="preserve"> </w:t>
      </w:r>
      <w:r>
        <w:rPr>
          <w:rFonts w:ascii="Book Antiqua" w:hAnsi="Book Antiqua" w:cs="Book Antiqua"/>
        </w:rPr>
        <w:t xml:space="preserve">Chang ST, </w:t>
      </w:r>
      <w:proofErr w:type="spellStart"/>
      <w:r>
        <w:rPr>
          <w:rFonts w:ascii="Book Antiqua" w:hAnsi="Book Antiqua" w:cs="Book Antiqua"/>
        </w:rPr>
        <w:t>Ciccone</w:t>
      </w:r>
      <w:proofErr w:type="spellEnd"/>
      <w:r>
        <w:rPr>
          <w:rFonts w:ascii="Book Antiqua" w:hAnsi="Book Antiqua" w:cs="Book Antiqua"/>
        </w:rPr>
        <w:t xml:space="preserve"> MM, Posadas-Sánchez R</w:t>
      </w:r>
      <w:r>
        <w:t xml:space="preserve">    </w:t>
      </w:r>
      <w:r>
        <w:rPr>
          <w:b/>
          <w:bCs/>
          <w:spacing w:val="0"/>
        </w:rPr>
        <w:t>S- Editor</w:t>
      </w:r>
      <w:r>
        <w:rPr>
          <w:spacing w:val="0"/>
        </w:rPr>
        <w:t>:</w:t>
      </w:r>
      <w:r>
        <w:rPr>
          <w:rFonts w:ascii="Book Antiqua" w:hAnsi="Book Antiqua" w:cs="Book Antiqua"/>
        </w:rPr>
        <w:t xml:space="preserve"> Gong </w:t>
      </w:r>
      <w:proofErr w:type="spellStart"/>
      <w:r>
        <w:rPr>
          <w:rFonts w:ascii="Book Antiqua" w:hAnsi="Book Antiqua" w:cs="Book Antiqua"/>
        </w:rPr>
        <w:t>ZM</w:t>
      </w:r>
      <w:proofErr w:type="spellEnd"/>
      <w:r>
        <w:rPr>
          <w:spacing w:val="0"/>
        </w:rPr>
        <w:t xml:space="preserve">    </w:t>
      </w:r>
      <w:r>
        <w:rPr>
          <w:b/>
          <w:bCs/>
          <w:spacing w:val="0"/>
        </w:rPr>
        <w:t>L- Editor</w:t>
      </w:r>
      <w:r>
        <w:rPr>
          <w:spacing w:val="0"/>
        </w:rPr>
        <w:t>:</w:t>
      </w:r>
      <w:r>
        <w:rPr>
          <w:rFonts w:ascii="Book Antiqua" w:hAnsi="Book Antiqua" w:cs="Book Antiqua"/>
          <w:b/>
          <w:bCs/>
        </w:rPr>
        <w:t xml:space="preserve"> </w:t>
      </w:r>
      <w:proofErr w:type="spellStart"/>
      <w:r>
        <w:rPr>
          <w:rFonts w:ascii="Book Antiqua" w:hAnsi="Book Antiqua" w:cs="Book Antiqua"/>
        </w:rPr>
        <w:t>Filipodia</w:t>
      </w:r>
      <w:proofErr w:type="spellEnd"/>
      <w:r>
        <w:rPr>
          <w:spacing w:val="0"/>
        </w:rPr>
        <w:t xml:space="preserve">    </w:t>
      </w:r>
      <w:r>
        <w:rPr>
          <w:b/>
          <w:bCs/>
          <w:spacing w:val="0"/>
        </w:rPr>
        <w:t>E- Editor</w:t>
      </w:r>
      <w:r>
        <w:rPr>
          <w:spacing w:val="0"/>
        </w:rPr>
        <w:t>:</w:t>
      </w:r>
      <w:r>
        <w:rPr>
          <w:b/>
          <w:bCs/>
          <w:spacing w:val="0"/>
        </w:rPr>
        <w:t xml:space="preserve"> </w:t>
      </w:r>
      <w:r>
        <w:rPr>
          <w:spacing w:val="0"/>
        </w:rPr>
        <w:t>Huang Y</w:t>
      </w: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11170285"/>
                <wp:effectExtent l="9525" t="9525" r="12065" b="1206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1170285"/>
                        </a:xfrm>
                        <a:prstGeom prst="rect">
                          <a:avLst/>
                        </a:prstGeom>
                        <a:solidFill>
                          <a:srgbClr val="FFFFFF"/>
                        </a:solidFill>
                        <a:ln w="9525">
                          <a:solidFill>
                            <a:srgbClr val="000000"/>
                          </a:solidFill>
                          <a:miter lim="800000"/>
                          <a:headEnd/>
                          <a:tailEnd/>
                        </a:ln>
                      </wps:spPr>
                      <wps:txbx>
                        <w:txbxContent>
                          <w:p w:rsidR="00E86230" w:rsidRPr="008622BB" w:rsidRDefault="00E86230" w:rsidP="00E86230">
                            <w:pPr>
                              <w:rPr>
                                <w:b/>
                                <w:bCs/>
                              </w:rPr>
                            </w:pPr>
                            <w:r w:rsidRPr="008622BB">
                              <w:rPr>
                                <w:b/>
                                <w:bCs/>
                              </w:rPr>
                              <w:t xml:space="preserve">Table </w:t>
                            </w:r>
                            <w:proofErr w:type="gramStart"/>
                            <w:r w:rsidRPr="008622BB">
                              <w:rPr>
                                <w:b/>
                                <w:bCs/>
                              </w:rPr>
                              <w:t>1  Characteristics</w:t>
                            </w:r>
                            <w:proofErr w:type="gramEnd"/>
                            <w:r w:rsidRPr="008622BB">
                              <w:rPr>
                                <w:b/>
                                <w:bCs/>
                              </w:rPr>
                              <w:t xml:space="preserve"> of non-alcoholic liver cirrhosis cohort and the matched control cohort </w:t>
                            </w:r>
                            <w:r w:rsidRPr="008622BB">
                              <w:rPr>
                                <w:b/>
                                <w:bCs/>
                                <w:i/>
                                <w:iCs/>
                              </w:rPr>
                              <w:t>n</w:t>
                            </w:r>
                            <w:r w:rsidRPr="008622BB">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18"/>
                              <w:gridCol w:w="1330"/>
                              <w:gridCol w:w="891"/>
                              <w:gridCol w:w="669"/>
                            </w:tblGrid>
                            <w:tr w:rsidR="00E86230" w:rsidRPr="008622BB">
                              <w:tblPrEx>
                                <w:tblCellMar>
                                  <w:top w:w="0" w:type="dxa"/>
                                  <w:left w:w="0" w:type="dxa"/>
                                  <w:bottom w:w="0" w:type="dxa"/>
                                  <w:right w:w="0" w:type="dxa"/>
                                </w:tblCellMar>
                              </w:tblPrEx>
                              <w:trPr>
                                <w:trHeight w:val="436"/>
                              </w:trPr>
                              <w:tc>
                                <w:tcPr>
                                  <w:tcW w:w="1618" w:type="dxa"/>
                                  <w:tcBorders>
                                    <w:top w:val="single" w:sz="6" w:space="0" w:color="000000"/>
                                    <w:bottom w:val="single" w:sz="6" w:space="0" w:color="000000"/>
                                  </w:tcBorders>
                                  <w:tcMar>
                                    <w:top w:w="28" w:type="dxa"/>
                                    <w:left w:w="28" w:type="dxa"/>
                                    <w:bottom w:w="28" w:type="dxa"/>
                                    <w:right w:w="28" w:type="dxa"/>
                                  </w:tcMar>
                                </w:tcPr>
                                <w:p w:rsidR="00E86230" w:rsidRPr="008622BB" w:rsidRDefault="00E86230">
                                  <w:pPr>
                                    <w:pStyle w:val="afa"/>
                                    <w:jc w:val="left"/>
                                  </w:pPr>
                                  <w:r w:rsidRPr="008622BB">
                                    <w:t>Variable</w:t>
                                  </w:r>
                                </w:p>
                                <w:p w:rsidR="00E86230" w:rsidRPr="008622BB" w:rsidRDefault="00E86230">
                                  <w:pPr>
                                    <w:pStyle w:val="afa"/>
                                    <w:jc w:val="left"/>
                                  </w:pPr>
                                </w:p>
                              </w:tc>
                              <w:tc>
                                <w:tcPr>
                                  <w:tcW w:w="1330" w:type="dxa"/>
                                  <w:tcBorders>
                                    <w:top w:val="single" w:sz="6" w:space="0" w:color="000000"/>
                                    <w:bottom w:val="single" w:sz="6" w:space="0" w:color="000000"/>
                                  </w:tcBorders>
                                  <w:tcMar>
                                    <w:top w:w="28" w:type="dxa"/>
                                    <w:left w:w="28" w:type="dxa"/>
                                    <w:bottom w:w="28" w:type="dxa"/>
                                    <w:right w:w="28" w:type="dxa"/>
                                  </w:tcMar>
                                </w:tcPr>
                                <w:p w:rsidR="00E86230" w:rsidRPr="008622BB" w:rsidRDefault="00E86230">
                                  <w:pPr>
                                    <w:pStyle w:val="afa"/>
                                    <w:jc w:val="center"/>
                                    <w:rPr>
                                      <w:lang w:val="en-US"/>
                                    </w:rPr>
                                  </w:pPr>
                                  <w:r w:rsidRPr="008622BB">
                                    <w:rPr>
                                      <w:lang w:val="en-US"/>
                                    </w:rPr>
                                    <w:t xml:space="preserve">Non-alcoholic LC patients, </w:t>
                                  </w:r>
                                  <w:r w:rsidRPr="008622BB">
                                    <w:rPr>
                                      <w:rFonts w:ascii="Albertus Bold Italic" w:hAnsi="Albertus Bold Italic" w:cs="Albertus Bold Italic"/>
                                      <w:i/>
                                      <w:iCs/>
                                      <w:lang w:val="en-US"/>
                                    </w:rPr>
                                    <w:t>n</w:t>
                                  </w:r>
                                  <w:r w:rsidRPr="008622BB">
                                    <w:rPr>
                                      <w:lang w:val="en-US"/>
                                    </w:rPr>
                                    <w:t xml:space="preserve"> = 3236</w:t>
                                  </w:r>
                                </w:p>
                                <w:p w:rsidR="00E86230" w:rsidRPr="008622BB" w:rsidRDefault="00E86230">
                                  <w:pPr>
                                    <w:pStyle w:val="afa"/>
                                    <w:jc w:val="center"/>
                                    <w:rPr>
                                      <w:lang w:val="en-US"/>
                                    </w:rPr>
                                  </w:pPr>
                                </w:p>
                              </w:tc>
                              <w:tc>
                                <w:tcPr>
                                  <w:tcW w:w="891" w:type="dxa"/>
                                  <w:tcBorders>
                                    <w:top w:val="single" w:sz="6" w:space="0" w:color="000000"/>
                                    <w:bottom w:val="single" w:sz="6" w:space="0" w:color="000000"/>
                                  </w:tcBorders>
                                  <w:tcMar>
                                    <w:top w:w="28" w:type="dxa"/>
                                    <w:left w:w="28" w:type="dxa"/>
                                    <w:bottom w:w="28" w:type="dxa"/>
                                    <w:right w:w="28" w:type="dxa"/>
                                  </w:tcMar>
                                </w:tcPr>
                                <w:p w:rsidR="00E86230" w:rsidRPr="008622BB" w:rsidRDefault="00E86230" w:rsidP="008622BB">
                                  <w:pPr>
                                    <w:pStyle w:val="afa"/>
                                    <w:jc w:val="center"/>
                                  </w:pPr>
                                  <w:r>
                                    <w:t>Control,</w:t>
                                  </w:r>
                                  <w:r>
                                    <w:rPr>
                                      <w:rFonts w:hint="eastAsia"/>
                                    </w:rPr>
                                    <w:t xml:space="preserve"> </w:t>
                                  </w:r>
                                  <w:r w:rsidRPr="008622BB">
                                    <w:rPr>
                                      <w:rFonts w:ascii="Albertus Bold Italic" w:hAnsi="Albertus Bold Italic" w:cs="Albertus Bold Italic"/>
                                      <w:i/>
                                      <w:iCs/>
                                    </w:rPr>
                                    <w:t>n</w:t>
                                  </w:r>
                                  <w:r w:rsidRPr="008622BB">
                                    <w:t xml:space="preserve"> = 16180</w:t>
                                  </w:r>
                                </w:p>
                              </w:tc>
                              <w:tc>
                                <w:tcPr>
                                  <w:tcW w:w="669" w:type="dxa"/>
                                  <w:tcBorders>
                                    <w:top w:val="single" w:sz="6" w:space="0" w:color="000000"/>
                                    <w:bottom w:val="single" w:sz="6" w:space="0" w:color="000000"/>
                                  </w:tcBorders>
                                  <w:tcMar>
                                    <w:top w:w="28" w:type="dxa"/>
                                    <w:left w:w="28" w:type="dxa"/>
                                    <w:bottom w:w="28" w:type="dxa"/>
                                    <w:right w:w="28" w:type="dxa"/>
                                  </w:tcMar>
                                </w:tcPr>
                                <w:p w:rsidR="00E86230" w:rsidRPr="008622BB" w:rsidRDefault="00E86230">
                                  <w:pPr>
                                    <w:pStyle w:val="afa"/>
                                    <w:jc w:val="center"/>
                                  </w:pPr>
                                  <w:r w:rsidRPr="008622BB">
                                    <w:rPr>
                                      <w:rFonts w:ascii="Albertus Bold Italic" w:hAnsi="Albertus Bold Italic" w:cs="Albertus Bold Italic"/>
                                      <w:i/>
                                      <w:iCs/>
                                    </w:rPr>
                                    <w:t>P</w:t>
                                  </w:r>
                                  <w:r w:rsidRPr="008622BB">
                                    <w:t xml:space="preserve"> value</w:t>
                                  </w:r>
                                </w:p>
                                <w:p w:rsidR="00E86230" w:rsidRPr="008622BB" w:rsidRDefault="00E86230">
                                  <w:pPr>
                                    <w:pStyle w:val="afa"/>
                                    <w:jc w:val="center"/>
                                  </w:pPr>
                                </w:p>
                              </w:tc>
                            </w:tr>
                            <w:tr w:rsidR="00E86230" w:rsidRPr="008622BB">
                              <w:tblPrEx>
                                <w:tblCellMar>
                                  <w:top w:w="0" w:type="dxa"/>
                                  <w:left w:w="0" w:type="dxa"/>
                                  <w:bottom w:w="0" w:type="dxa"/>
                                  <w:right w:w="0" w:type="dxa"/>
                                </w:tblCellMar>
                              </w:tblPrEx>
                              <w:trPr>
                                <w:trHeight w:val="60"/>
                              </w:trPr>
                              <w:tc>
                                <w:tcPr>
                                  <w:tcW w:w="1618" w:type="dxa"/>
                                  <w:tcBorders>
                                    <w:top w:val="single" w:sz="6" w:space="0" w:color="000000"/>
                                  </w:tcBorders>
                                  <w:tcMar>
                                    <w:top w:w="28" w:type="dxa"/>
                                    <w:left w:w="28" w:type="dxa"/>
                                    <w:bottom w:w="28" w:type="dxa"/>
                                    <w:right w:w="28" w:type="dxa"/>
                                  </w:tcMar>
                                </w:tcPr>
                                <w:p w:rsidR="00E86230" w:rsidRPr="008622BB" w:rsidRDefault="00E86230">
                                  <w:pPr>
                                    <w:pStyle w:val="afb"/>
                                    <w:jc w:val="left"/>
                                    <w:rPr>
                                      <w:b w:val="0"/>
                                    </w:rPr>
                                  </w:pPr>
                                  <w:r w:rsidRPr="008622BB">
                                    <w:rPr>
                                      <w:b w:val="0"/>
                                    </w:rPr>
                                    <w:t>Sex</w:t>
                                  </w:r>
                                </w:p>
                                <w:p w:rsidR="00E86230" w:rsidRPr="008622BB" w:rsidRDefault="00E86230">
                                  <w:pPr>
                                    <w:pStyle w:val="afb"/>
                                    <w:jc w:val="left"/>
                                    <w:rPr>
                                      <w:b w:val="0"/>
                                    </w:rPr>
                                  </w:pPr>
                                </w:p>
                              </w:tc>
                              <w:tc>
                                <w:tcPr>
                                  <w:tcW w:w="1330" w:type="dxa"/>
                                  <w:tcBorders>
                                    <w:top w:val="single" w:sz="6" w:space="0" w:color="000000"/>
                                  </w:tcBorders>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891" w:type="dxa"/>
                                  <w:tcBorders>
                                    <w:top w:val="single" w:sz="6" w:space="0" w:color="000000"/>
                                  </w:tcBorders>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669" w:type="dxa"/>
                                  <w:tcBorders>
                                    <w:top w:val="single" w:sz="6" w:space="0" w:color="000000"/>
                                  </w:tcBorders>
                                  <w:tcMar>
                                    <w:top w:w="28" w:type="dxa"/>
                                    <w:left w:w="28" w:type="dxa"/>
                                    <w:bottom w:w="28" w:type="dxa"/>
                                    <w:right w:w="28" w:type="dxa"/>
                                  </w:tcMar>
                                </w:tcPr>
                                <w:p w:rsidR="00E86230" w:rsidRPr="008622BB" w:rsidRDefault="00E86230">
                                  <w:pPr>
                                    <w:pStyle w:val="afb"/>
                                    <w:jc w:val="center"/>
                                    <w:rPr>
                                      <w:b w:val="0"/>
                                    </w:rPr>
                                  </w:pPr>
                                  <w:r w:rsidRPr="008622BB">
                                    <w:rPr>
                                      <w:b w:val="0"/>
                                    </w:rPr>
                                    <w:t>1.000</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Male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2083 (64.4)</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10415 (64.4)</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Female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1153 (35.6)</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5765 (35.6)</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Age (yr)</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891"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1.000</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40-49</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565 (17.5)</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2825 (17.5)</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50-59</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885 (27.3)</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4425 (27.3)</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60-69</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766 (23.7)</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3830 (23.7)</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&gt; 69</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1020 (31.5)</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5100 (31.5)</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Residence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891"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1.000</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Metropolis</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1834 (56.7)</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9170 (56.7)</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General area</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1362 (42.1)</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6810 (42.1)</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Remote areas</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40 (1.2)</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200 (1.2)</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Coronary artery disease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165 (5.1)</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2814 (17.4)</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Cerebrovascular disease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413 (12.8)</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1580 (9.8)</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Hemorrhage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110 (3.4)</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283 (1.7)</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Ischemia</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333 (10.3)</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1413 (8.7)</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0.005</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Hypertension</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1620 (50.1)</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6672 (41.2)</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Heart failure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252 (7.8)</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972 (6.0)</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Diabetes mellitus</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1075 (33.2)</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3141 (19.4)</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Chronic kidney disease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616 (19.0)</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1216 (7.5)</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Hyperlipidemia</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668 (20.6)</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3903 (24.1)</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396"/>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Chronic obstructive pulmonary disease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534 (16.5)</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1976 (12.2)</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bl>
                          <w:p w:rsidR="00E86230" w:rsidRPr="00A067AE" w:rsidRDefault="00E86230" w:rsidP="00E86230">
                            <w:pPr>
                              <w:pStyle w:val="afc"/>
                            </w:pPr>
                            <w:r w:rsidRPr="008622BB">
                              <w:rPr>
                                <w:b w:val="0"/>
                              </w:rPr>
                              <w:t>LC: Liver cirrhosis.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416.05pt;height:879.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">
                <v:textbox style="mso-fit-shape-to-text:t">
                  <w:txbxContent>
                    <w:p w:rsidR="00E86230" w:rsidRPr="008622BB" w:rsidRDefault="00E86230" w:rsidP="00E86230">
                      <w:pPr>
                        <w:rPr>
                          <w:b/>
                          <w:bCs/>
                        </w:rPr>
                      </w:pPr>
                      <w:r w:rsidRPr="008622BB">
                        <w:rPr>
                          <w:b/>
                          <w:bCs/>
                        </w:rPr>
                        <w:t xml:space="preserve">Table </w:t>
                      </w:r>
                      <w:proofErr w:type="gramStart"/>
                      <w:r w:rsidRPr="008622BB">
                        <w:rPr>
                          <w:b/>
                          <w:bCs/>
                        </w:rPr>
                        <w:t>1  Characteristics</w:t>
                      </w:r>
                      <w:proofErr w:type="gramEnd"/>
                      <w:r w:rsidRPr="008622BB">
                        <w:rPr>
                          <w:b/>
                          <w:bCs/>
                        </w:rPr>
                        <w:t xml:space="preserve"> of non-alcoholic liver cirrhosis cohort and the matched control cohort </w:t>
                      </w:r>
                      <w:r w:rsidRPr="008622BB">
                        <w:rPr>
                          <w:b/>
                          <w:bCs/>
                          <w:i/>
                          <w:iCs/>
                        </w:rPr>
                        <w:t>n</w:t>
                      </w:r>
                      <w:r w:rsidRPr="008622BB">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18"/>
                        <w:gridCol w:w="1330"/>
                        <w:gridCol w:w="891"/>
                        <w:gridCol w:w="669"/>
                      </w:tblGrid>
                      <w:tr w:rsidR="00E86230" w:rsidRPr="008622BB">
                        <w:tblPrEx>
                          <w:tblCellMar>
                            <w:top w:w="0" w:type="dxa"/>
                            <w:left w:w="0" w:type="dxa"/>
                            <w:bottom w:w="0" w:type="dxa"/>
                            <w:right w:w="0" w:type="dxa"/>
                          </w:tblCellMar>
                        </w:tblPrEx>
                        <w:trPr>
                          <w:trHeight w:val="436"/>
                        </w:trPr>
                        <w:tc>
                          <w:tcPr>
                            <w:tcW w:w="1618" w:type="dxa"/>
                            <w:tcBorders>
                              <w:top w:val="single" w:sz="6" w:space="0" w:color="000000"/>
                              <w:bottom w:val="single" w:sz="6" w:space="0" w:color="000000"/>
                            </w:tcBorders>
                            <w:tcMar>
                              <w:top w:w="28" w:type="dxa"/>
                              <w:left w:w="28" w:type="dxa"/>
                              <w:bottom w:w="28" w:type="dxa"/>
                              <w:right w:w="28" w:type="dxa"/>
                            </w:tcMar>
                          </w:tcPr>
                          <w:p w:rsidR="00E86230" w:rsidRPr="008622BB" w:rsidRDefault="00E86230">
                            <w:pPr>
                              <w:pStyle w:val="afa"/>
                              <w:jc w:val="left"/>
                            </w:pPr>
                            <w:r w:rsidRPr="008622BB">
                              <w:t>Variable</w:t>
                            </w:r>
                          </w:p>
                          <w:p w:rsidR="00E86230" w:rsidRPr="008622BB" w:rsidRDefault="00E86230">
                            <w:pPr>
                              <w:pStyle w:val="afa"/>
                              <w:jc w:val="left"/>
                            </w:pPr>
                          </w:p>
                        </w:tc>
                        <w:tc>
                          <w:tcPr>
                            <w:tcW w:w="1330" w:type="dxa"/>
                            <w:tcBorders>
                              <w:top w:val="single" w:sz="6" w:space="0" w:color="000000"/>
                              <w:bottom w:val="single" w:sz="6" w:space="0" w:color="000000"/>
                            </w:tcBorders>
                            <w:tcMar>
                              <w:top w:w="28" w:type="dxa"/>
                              <w:left w:w="28" w:type="dxa"/>
                              <w:bottom w:w="28" w:type="dxa"/>
                              <w:right w:w="28" w:type="dxa"/>
                            </w:tcMar>
                          </w:tcPr>
                          <w:p w:rsidR="00E86230" w:rsidRPr="008622BB" w:rsidRDefault="00E86230">
                            <w:pPr>
                              <w:pStyle w:val="afa"/>
                              <w:jc w:val="center"/>
                              <w:rPr>
                                <w:lang w:val="en-US"/>
                              </w:rPr>
                            </w:pPr>
                            <w:r w:rsidRPr="008622BB">
                              <w:rPr>
                                <w:lang w:val="en-US"/>
                              </w:rPr>
                              <w:t xml:space="preserve">Non-alcoholic LC patients, </w:t>
                            </w:r>
                            <w:r w:rsidRPr="008622BB">
                              <w:rPr>
                                <w:rFonts w:ascii="Albertus Bold Italic" w:hAnsi="Albertus Bold Italic" w:cs="Albertus Bold Italic"/>
                                <w:i/>
                                <w:iCs/>
                                <w:lang w:val="en-US"/>
                              </w:rPr>
                              <w:t>n</w:t>
                            </w:r>
                            <w:r w:rsidRPr="008622BB">
                              <w:rPr>
                                <w:lang w:val="en-US"/>
                              </w:rPr>
                              <w:t xml:space="preserve"> = 3236</w:t>
                            </w:r>
                          </w:p>
                          <w:p w:rsidR="00E86230" w:rsidRPr="008622BB" w:rsidRDefault="00E86230">
                            <w:pPr>
                              <w:pStyle w:val="afa"/>
                              <w:jc w:val="center"/>
                              <w:rPr>
                                <w:lang w:val="en-US"/>
                              </w:rPr>
                            </w:pPr>
                          </w:p>
                        </w:tc>
                        <w:tc>
                          <w:tcPr>
                            <w:tcW w:w="891" w:type="dxa"/>
                            <w:tcBorders>
                              <w:top w:val="single" w:sz="6" w:space="0" w:color="000000"/>
                              <w:bottom w:val="single" w:sz="6" w:space="0" w:color="000000"/>
                            </w:tcBorders>
                            <w:tcMar>
                              <w:top w:w="28" w:type="dxa"/>
                              <w:left w:w="28" w:type="dxa"/>
                              <w:bottom w:w="28" w:type="dxa"/>
                              <w:right w:w="28" w:type="dxa"/>
                            </w:tcMar>
                          </w:tcPr>
                          <w:p w:rsidR="00E86230" w:rsidRPr="008622BB" w:rsidRDefault="00E86230" w:rsidP="008622BB">
                            <w:pPr>
                              <w:pStyle w:val="afa"/>
                              <w:jc w:val="center"/>
                            </w:pPr>
                            <w:r>
                              <w:t>Control,</w:t>
                            </w:r>
                            <w:r>
                              <w:rPr>
                                <w:rFonts w:hint="eastAsia"/>
                              </w:rPr>
                              <w:t xml:space="preserve"> </w:t>
                            </w:r>
                            <w:r w:rsidRPr="008622BB">
                              <w:rPr>
                                <w:rFonts w:ascii="Albertus Bold Italic" w:hAnsi="Albertus Bold Italic" w:cs="Albertus Bold Italic"/>
                                <w:i/>
                                <w:iCs/>
                              </w:rPr>
                              <w:t>n</w:t>
                            </w:r>
                            <w:r w:rsidRPr="008622BB">
                              <w:t xml:space="preserve"> = 16180</w:t>
                            </w:r>
                          </w:p>
                        </w:tc>
                        <w:tc>
                          <w:tcPr>
                            <w:tcW w:w="669" w:type="dxa"/>
                            <w:tcBorders>
                              <w:top w:val="single" w:sz="6" w:space="0" w:color="000000"/>
                              <w:bottom w:val="single" w:sz="6" w:space="0" w:color="000000"/>
                            </w:tcBorders>
                            <w:tcMar>
                              <w:top w:w="28" w:type="dxa"/>
                              <w:left w:w="28" w:type="dxa"/>
                              <w:bottom w:w="28" w:type="dxa"/>
                              <w:right w:w="28" w:type="dxa"/>
                            </w:tcMar>
                          </w:tcPr>
                          <w:p w:rsidR="00E86230" w:rsidRPr="008622BB" w:rsidRDefault="00E86230">
                            <w:pPr>
                              <w:pStyle w:val="afa"/>
                              <w:jc w:val="center"/>
                            </w:pPr>
                            <w:r w:rsidRPr="008622BB">
                              <w:rPr>
                                <w:rFonts w:ascii="Albertus Bold Italic" w:hAnsi="Albertus Bold Italic" w:cs="Albertus Bold Italic"/>
                                <w:i/>
                                <w:iCs/>
                              </w:rPr>
                              <w:t>P</w:t>
                            </w:r>
                            <w:r w:rsidRPr="008622BB">
                              <w:t xml:space="preserve"> value</w:t>
                            </w:r>
                          </w:p>
                          <w:p w:rsidR="00E86230" w:rsidRPr="008622BB" w:rsidRDefault="00E86230">
                            <w:pPr>
                              <w:pStyle w:val="afa"/>
                              <w:jc w:val="center"/>
                            </w:pPr>
                          </w:p>
                        </w:tc>
                      </w:tr>
                      <w:tr w:rsidR="00E86230" w:rsidRPr="008622BB">
                        <w:tblPrEx>
                          <w:tblCellMar>
                            <w:top w:w="0" w:type="dxa"/>
                            <w:left w:w="0" w:type="dxa"/>
                            <w:bottom w:w="0" w:type="dxa"/>
                            <w:right w:w="0" w:type="dxa"/>
                          </w:tblCellMar>
                        </w:tblPrEx>
                        <w:trPr>
                          <w:trHeight w:val="60"/>
                        </w:trPr>
                        <w:tc>
                          <w:tcPr>
                            <w:tcW w:w="1618" w:type="dxa"/>
                            <w:tcBorders>
                              <w:top w:val="single" w:sz="6" w:space="0" w:color="000000"/>
                            </w:tcBorders>
                            <w:tcMar>
                              <w:top w:w="28" w:type="dxa"/>
                              <w:left w:w="28" w:type="dxa"/>
                              <w:bottom w:w="28" w:type="dxa"/>
                              <w:right w:w="28" w:type="dxa"/>
                            </w:tcMar>
                          </w:tcPr>
                          <w:p w:rsidR="00E86230" w:rsidRPr="008622BB" w:rsidRDefault="00E86230">
                            <w:pPr>
                              <w:pStyle w:val="afb"/>
                              <w:jc w:val="left"/>
                              <w:rPr>
                                <w:b w:val="0"/>
                              </w:rPr>
                            </w:pPr>
                            <w:r w:rsidRPr="008622BB">
                              <w:rPr>
                                <w:b w:val="0"/>
                              </w:rPr>
                              <w:t>Sex</w:t>
                            </w:r>
                          </w:p>
                          <w:p w:rsidR="00E86230" w:rsidRPr="008622BB" w:rsidRDefault="00E86230">
                            <w:pPr>
                              <w:pStyle w:val="afb"/>
                              <w:jc w:val="left"/>
                              <w:rPr>
                                <w:b w:val="0"/>
                              </w:rPr>
                            </w:pPr>
                          </w:p>
                        </w:tc>
                        <w:tc>
                          <w:tcPr>
                            <w:tcW w:w="1330" w:type="dxa"/>
                            <w:tcBorders>
                              <w:top w:val="single" w:sz="6" w:space="0" w:color="000000"/>
                            </w:tcBorders>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891" w:type="dxa"/>
                            <w:tcBorders>
                              <w:top w:val="single" w:sz="6" w:space="0" w:color="000000"/>
                            </w:tcBorders>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669" w:type="dxa"/>
                            <w:tcBorders>
                              <w:top w:val="single" w:sz="6" w:space="0" w:color="000000"/>
                            </w:tcBorders>
                            <w:tcMar>
                              <w:top w:w="28" w:type="dxa"/>
                              <w:left w:w="28" w:type="dxa"/>
                              <w:bottom w:w="28" w:type="dxa"/>
                              <w:right w:w="28" w:type="dxa"/>
                            </w:tcMar>
                          </w:tcPr>
                          <w:p w:rsidR="00E86230" w:rsidRPr="008622BB" w:rsidRDefault="00E86230">
                            <w:pPr>
                              <w:pStyle w:val="afb"/>
                              <w:jc w:val="center"/>
                              <w:rPr>
                                <w:b w:val="0"/>
                              </w:rPr>
                            </w:pPr>
                            <w:r w:rsidRPr="008622BB">
                              <w:rPr>
                                <w:b w:val="0"/>
                              </w:rPr>
                              <w:t>1.000</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Male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2083 (64.4)</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10415 (64.4)</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Female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1153 (35.6)</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5765 (35.6)</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Age (yr)</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891"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1.000</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40-49</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565 (17.5)</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2825 (17.5)</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50-59</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885 (27.3)</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4425 (27.3)</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60-69</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766 (23.7)</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3830 (23.7)</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&gt; 69</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1020 (31.5)</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5100 (31.5)</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Residence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891"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1.000</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Metropolis</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1834 (56.7)</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9170 (56.7)</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General area</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1362 (42.1)</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6810 (42.1)</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Remote areas</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40 (1.2)</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200 (1.2)</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Noparagraphstyle"/>
                              <w:spacing w:line="240" w:lineRule="auto"/>
                              <w:jc w:val="left"/>
                              <w:textAlignment w:val="auto"/>
                              <w:rPr>
                                <w:color w:val="auto"/>
                                <w:lang w:val="en-US"/>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Coronary artery disease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165 (5.1)</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2814 (17.4)</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Cerebrovascular disease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413 (12.8)</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1580 (9.8)</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Hemorrhage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110 (3.4)</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283 (1.7)</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 xml:space="preserve">   Ischemia</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333 (10.3)</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1413 (8.7)</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0.005</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Hypertension</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1620 (50.1)</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6672 (41.2)</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Heart failure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252 (7.8)</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972 (6.0)</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Diabetes mellitus</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1075 (33.2)</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3141 (19.4)</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Chronic kidney disease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616 (19.0)</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1216 (7.5)</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60"/>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Hyperlipidemia</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668 (20.6)</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3903 (24.1)</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r w:rsidR="00E86230" w:rsidRPr="008622BB">
                        <w:tblPrEx>
                          <w:tblCellMar>
                            <w:top w:w="0" w:type="dxa"/>
                            <w:left w:w="0" w:type="dxa"/>
                            <w:bottom w:w="0" w:type="dxa"/>
                            <w:right w:w="0" w:type="dxa"/>
                          </w:tblCellMar>
                        </w:tblPrEx>
                        <w:trPr>
                          <w:trHeight w:val="396"/>
                        </w:trPr>
                        <w:tc>
                          <w:tcPr>
                            <w:tcW w:w="1618" w:type="dxa"/>
                            <w:tcMar>
                              <w:top w:w="28" w:type="dxa"/>
                              <w:left w:w="28" w:type="dxa"/>
                              <w:bottom w:w="28" w:type="dxa"/>
                              <w:right w:w="28" w:type="dxa"/>
                            </w:tcMar>
                          </w:tcPr>
                          <w:p w:rsidR="00E86230" w:rsidRPr="008622BB" w:rsidRDefault="00E86230">
                            <w:pPr>
                              <w:pStyle w:val="afb"/>
                              <w:jc w:val="left"/>
                              <w:rPr>
                                <w:b w:val="0"/>
                              </w:rPr>
                            </w:pPr>
                            <w:r w:rsidRPr="008622BB">
                              <w:rPr>
                                <w:b w:val="0"/>
                              </w:rPr>
                              <w:t>Chronic obstructive pulmonary disease</w:t>
                            </w:r>
                          </w:p>
                          <w:p w:rsidR="00E86230" w:rsidRPr="008622BB" w:rsidRDefault="00E86230">
                            <w:pPr>
                              <w:pStyle w:val="afb"/>
                              <w:jc w:val="left"/>
                              <w:rPr>
                                <w:b w:val="0"/>
                              </w:rPr>
                            </w:pPr>
                          </w:p>
                        </w:tc>
                        <w:tc>
                          <w:tcPr>
                            <w:tcW w:w="1330"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534 (16.5)</w:t>
                            </w:r>
                          </w:p>
                          <w:p w:rsidR="00E86230" w:rsidRPr="008622BB" w:rsidRDefault="00E86230">
                            <w:pPr>
                              <w:pStyle w:val="afb"/>
                              <w:jc w:val="center"/>
                              <w:rPr>
                                <w:b w:val="0"/>
                              </w:rPr>
                            </w:pPr>
                          </w:p>
                        </w:tc>
                        <w:tc>
                          <w:tcPr>
                            <w:tcW w:w="891" w:type="dxa"/>
                            <w:tcMar>
                              <w:top w:w="28" w:type="dxa"/>
                              <w:left w:w="28" w:type="dxa"/>
                              <w:bottom w:w="28" w:type="dxa"/>
                              <w:right w:w="28" w:type="dxa"/>
                            </w:tcMar>
                          </w:tcPr>
                          <w:p w:rsidR="00E86230" w:rsidRPr="008622BB" w:rsidRDefault="00E86230">
                            <w:pPr>
                              <w:pStyle w:val="afb"/>
                              <w:jc w:val="center"/>
                              <w:rPr>
                                <w:b w:val="0"/>
                              </w:rPr>
                            </w:pPr>
                            <w:r w:rsidRPr="008622BB">
                              <w:rPr>
                                <w:b w:val="0"/>
                              </w:rPr>
                              <w:t xml:space="preserve">  1976 (12.2)</w:t>
                            </w:r>
                          </w:p>
                          <w:p w:rsidR="00E86230" w:rsidRPr="008622BB" w:rsidRDefault="00E86230">
                            <w:pPr>
                              <w:pStyle w:val="afb"/>
                              <w:jc w:val="center"/>
                              <w:rPr>
                                <w:b w:val="0"/>
                              </w:rPr>
                            </w:pPr>
                          </w:p>
                        </w:tc>
                        <w:tc>
                          <w:tcPr>
                            <w:tcW w:w="669" w:type="dxa"/>
                            <w:tcMar>
                              <w:top w:w="28" w:type="dxa"/>
                              <w:left w:w="28" w:type="dxa"/>
                              <w:bottom w:w="28" w:type="dxa"/>
                              <w:right w:w="28" w:type="dxa"/>
                            </w:tcMar>
                          </w:tcPr>
                          <w:p w:rsidR="00E86230" w:rsidRPr="008622BB" w:rsidRDefault="00E86230">
                            <w:pPr>
                              <w:pStyle w:val="afb"/>
                              <w:jc w:val="center"/>
                              <w:rPr>
                                <w:b w:val="0"/>
                              </w:rPr>
                            </w:pPr>
                            <w:r w:rsidRPr="008622BB">
                              <w:rPr>
                                <w:b w:val="0"/>
                              </w:rPr>
                              <w:t>&lt; 0.001</w:t>
                            </w:r>
                          </w:p>
                          <w:p w:rsidR="00E86230" w:rsidRPr="008622BB" w:rsidRDefault="00E86230">
                            <w:pPr>
                              <w:pStyle w:val="afb"/>
                              <w:jc w:val="center"/>
                              <w:rPr>
                                <w:b w:val="0"/>
                              </w:rPr>
                            </w:pPr>
                          </w:p>
                        </w:tc>
                      </w:tr>
                    </w:tbl>
                    <w:p w:rsidR="00E86230" w:rsidRPr="00A067AE" w:rsidRDefault="00E86230" w:rsidP="00E86230">
                      <w:pPr>
                        <w:pStyle w:val="afc"/>
                      </w:pPr>
                      <w:r w:rsidRPr="008622BB">
                        <w:rPr>
                          <w:b w:val="0"/>
                        </w:rPr>
                        <w:t>LC: Liver cirrhosis.</w:t>
                      </w:r>
                    </w:p>
                  </w:txbxContent>
                </v:textbox>
                <w10:wrap type="square"/>
              </v:shape>
            </w:pict>
          </mc:Fallback>
        </mc:AlternateContent>
      </w: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10975975"/>
                <wp:effectExtent l="9525" t="9525" r="12065" b="635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0975975"/>
                        </a:xfrm>
                        <a:prstGeom prst="rect">
                          <a:avLst/>
                        </a:prstGeom>
                        <a:solidFill>
                          <a:srgbClr val="FFFFFF"/>
                        </a:solidFill>
                        <a:ln w="9525">
                          <a:solidFill>
                            <a:srgbClr val="000000"/>
                          </a:solidFill>
                          <a:miter lim="800000"/>
                          <a:headEnd/>
                          <a:tailEnd/>
                        </a:ln>
                      </wps:spPr>
                      <wps:txbx>
                        <w:txbxContent>
                          <w:p w:rsidR="00E86230" w:rsidRPr="008622BB" w:rsidRDefault="00E86230" w:rsidP="00E86230">
                            <w:pPr>
                              <w:rPr>
                                <w:b/>
                                <w:bCs/>
                              </w:rPr>
                            </w:pPr>
                            <w:r w:rsidRPr="008622BB">
                              <w:rPr>
                                <w:b/>
                                <w:bCs/>
                              </w:rPr>
                              <w:t xml:space="preserve">Table </w:t>
                            </w:r>
                            <w:proofErr w:type="gramStart"/>
                            <w:r w:rsidRPr="008622BB">
                              <w:rPr>
                                <w:b/>
                                <w:bCs/>
                              </w:rPr>
                              <w:t>2  Characteristics</w:t>
                            </w:r>
                            <w:proofErr w:type="gramEnd"/>
                            <w:r w:rsidRPr="008622BB">
                              <w:rPr>
                                <w:b/>
                                <w:bCs/>
                              </w:rPr>
                              <w:t xml:space="preserve"> of non-alcoholic liver cirrhosis patients with and without coronary artery disease </w:t>
                            </w:r>
                            <w:r w:rsidRPr="008622BB">
                              <w:rPr>
                                <w:b/>
                                <w:bCs/>
                                <w:i/>
                                <w:iCs/>
                              </w:rPr>
                              <w:t>n</w:t>
                            </w:r>
                            <w:r w:rsidRPr="008622BB">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11"/>
                              <w:gridCol w:w="960"/>
                              <w:gridCol w:w="1173"/>
                              <w:gridCol w:w="771"/>
                            </w:tblGrid>
                            <w:tr w:rsidR="00E86230" w:rsidRPr="008622BB">
                              <w:tblPrEx>
                                <w:tblCellMar>
                                  <w:top w:w="0" w:type="dxa"/>
                                  <w:left w:w="0" w:type="dxa"/>
                                  <w:bottom w:w="0" w:type="dxa"/>
                                  <w:right w:w="0" w:type="dxa"/>
                                </w:tblCellMar>
                              </w:tblPrEx>
                              <w:trPr>
                                <w:trHeight w:val="606"/>
                              </w:trPr>
                              <w:tc>
                                <w:tcPr>
                                  <w:tcW w:w="1611" w:type="dxa"/>
                                  <w:tcBorders>
                                    <w:top w:val="single" w:sz="6" w:space="0" w:color="000000"/>
                                    <w:bottom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8622BB">
                                    <w:rPr>
                                      <w:rFonts w:ascii="Albertus" w:hAnsi="Albertus" w:cs="Albertus"/>
                                      <w:b/>
                                      <w:bCs/>
                                      <w:color w:val="000000"/>
                                      <w:kern w:val="0"/>
                                      <w:sz w:val="14"/>
                                      <w:szCs w:val="14"/>
                                      <w:lang w:val="zh-CN"/>
                                    </w:rPr>
                                    <w:t>Variable</w:t>
                                  </w:r>
                                </w:p>
                                <w:p w:rsidR="00E86230" w:rsidRPr="008622BB" w:rsidRDefault="00E86230" w:rsidP="008622B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8622BB">
                                    <w:rPr>
                                      <w:rFonts w:ascii="Albertus" w:hAnsi="Albertus" w:cs="Albertus"/>
                                      <w:b/>
                                      <w:bCs/>
                                      <w:color w:val="000000"/>
                                      <w:kern w:val="0"/>
                                      <w:sz w:val="14"/>
                                      <w:szCs w:val="14"/>
                                    </w:rPr>
                                    <w:t xml:space="preserve">Non-alcoholic LC with CAD, </w:t>
                                  </w:r>
                                  <w:r w:rsidRPr="008622BB">
                                    <w:rPr>
                                      <w:rFonts w:ascii="Albertus Bold Italic" w:hAnsi="Albertus Bold Italic" w:cs="Albertus Bold Italic"/>
                                      <w:b/>
                                      <w:bCs/>
                                      <w:i/>
                                      <w:iCs/>
                                      <w:color w:val="000000"/>
                                      <w:kern w:val="0"/>
                                      <w:sz w:val="14"/>
                                      <w:szCs w:val="14"/>
                                    </w:rPr>
                                    <w:t>n</w:t>
                                  </w:r>
                                  <w:r w:rsidRPr="008622BB">
                                    <w:rPr>
                                      <w:rFonts w:ascii="Albertus" w:hAnsi="Albertus" w:cs="Albertus"/>
                                      <w:b/>
                                      <w:bCs/>
                                      <w:color w:val="000000"/>
                                      <w:kern w:val="0"/>
                                      <w:sz w:val="14"/>
                                      <w:szCs w:val="14"/>
                                    </w:rPr>
                                    <w:t xml:space="preserve"> = 170</w:t>
                                  </w:r>
                                </w:p>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173" w:type="dxa"/>
                                  <w:tcBorders>
                                    <w:top w:val="single" w:sz="6" w:space="0" w:color="000000"/>
                                    <w:bottom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8622BB">
                                    <w:rPr>
                                      <w:rFonts w:ascii="Albertus" w:hAnsi="Albertus" w:cs="Albertus"/>
                                      <w:b/>
                                      <w:bCs/>
                                      <w:color w:val="000000"/>
                                      <w:kern w:val="0"/>
                                      <w:sz w:val="14"/>
                                      <w:szCs w:val="14"/>
                                    </w:rPr>
                                    <w:t xml:space="preserve">Non-alcoholic LC without CAD, </w:t>
                                  </w:r>
                                  <w:r w:rsidRPr="008622BB">
                                    <w:rPr>
                                      <w:rFonts w:ascii="Albertus Bold Italic" w:hAnsi="Albertus Bold Italic" w:cs="Albertus Bold Italic"/>
                                      <w:b/>
                                      <w:bCs/>
                                      <w:i/>
                                      <w:iCs/>
                                      <w:color w:val="000000"/>
                                      <w:kern w:val="0"/>
                                      <w:sz w:val="14"/>
                                      <w:szCs w:val="14"/>
                                    </w:rPr>
                                    <w:t>n</w:t>
                                  </w:r>
                                  <w:r w:rsidRPr="008622BB">
                                    <w:rPr>
                                      <w:rFonts w:ascii="Albertus" w:hAnsi="Albertus" w:cs="Albertus"/>
                                      <w:b/>
                                      <w:bCs/>
                                      <w:color w:val="000000"/>
                                      <w:kern w:val="0"/>
                                      <w:sz w:val="14"/>
                                      <w:szCs w:val="14"/>
                                    </w:rPr>
                                    <w:t xml:space="preserve"> = 3239</w:t>
                                  </w:r>
                                </w:p>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771" w:type="dxa"/>
                                  <w:tcBorders>
                                    <w:top w:val="single" w:sz="6" w:space="0" w:color="000000"/>
                                    <w:bottom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622BB">
                                    <w:rPr>
                                      <w:rFonts w:ascii="Albertus Bold Italic" w:hAnsi="Albertus Bold Italic" w:cs="Albertus Bold Italic"/>
                                      <w:b/>
                                      <w:bCs/>
                                      <w:i/>
                                      <w:iCs/>
                                      <w:color w:val="000000"/>
                                      <w:kern w:val="0"/>
                                      <w:sz w:val="14"/>
                                      <w:szCs w:val="14"/>
                                      <w:lang w:val="zh-CN"/>
                                    </w:rPr>
                                    <w:t>P</w:t>
                                  </w:r>
                                  <w:r w:rsidRPr="008622BB">
                                    <w:rPr>
                                      <w:rFonts w:ascii="Albertus" w:hAnsi="Albertus" w:cs="Albertus"/>
                                      <w:b/>
                                      <w:bCs/>
                                      <w:color w:val="000000"/>
                                      <w:kern w:val="0"/>
                                      <w:sz w:val="14"/>
                                      <w:szCs w:val="14"/>
                                      <w:lang w:val="zh-CN"/>
                                    </w:rPr>
                                    <w:t xml:space="preserve"> value</w:t>
                                  </w:r>
                                </w:p>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Borders>
                                    <w:top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Sex</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1173" w:type="dxa"/>
                                  <w:tcBorders>
                                    <w:top w:val="single" w:sz="6" w:space="0" w:color="000000"/>
                                  </w:tcBorders>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771" w:type="dxa"/>
                                  <w:tcBorders>
                                    <w:top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0.094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Male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99 (58.2)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2091 (64.6)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Female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71 (41.8)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1148 (35.4)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Age (yr)</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1173"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40-49</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18 (10.6)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554 (17.1)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50-59</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25 (14.7)</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877 (27.1)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60-69</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46 (27.1)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751 (23.2)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&gt; 69</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81 (47.6)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1057 (32.6)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Residence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1173"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0.484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Metropolis</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89 (52.4)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1830 (56.5)</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196"/>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General area</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79 (46.5)</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1358 (41.9)</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Remote areas</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2 (1.2)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51 (1.6)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Cerebrovascular disease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46 (27.1)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400 (12.3)</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Hemorrhage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9 (5.2)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103 (3.2)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0.132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Ischemia</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37 (21.8)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327 (10.1)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Hypertension</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139 (81.8)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1594 (49.2)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Heart failure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54 (31.8)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215 (6.6)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Diabetes mellitus</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84 (49.4)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1051 (32.4)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Chronic renal failure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68 (40.0)</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587 (18.1)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Hyperlipidemia</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54 (31.8)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656 (20.3)</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Chronic obstructive pulmonary disease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49 (28.8)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521 (16.1)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6230" w:rsidRPr="009000BD" w:rsidRDefault="00E86230" w:rsidP="00E8623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LC: Liver cirrhosis; CAD: Coronary artery disease.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7" type="#_x0000_t202" style="position:absolute;left:0;text-align:left;margin-left:0;margin-top:0;width:416.05pt;height:864.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">
                <v:textbox style="mso-fit-shape-to-text:t">
                  <w:txbxContent>
                    <w:p w:rsidR="00E86230" w:rsidRPr="008622BB" w:rsidRDefault="00E86230" w:rsidP="00E86230">
                      <w:pPr>
                        <w:rPr>
                          <w:b/>
                          <w:bCs/>
                        </w:rPr>
                      </w:pPr>
                      <w:r w:rsidRPr="008622BB">
                        <w:rPr>
                          <w:b/>
                          <w:bCs/>
                        </w:rPr>
                        <w:t xml:space="preserve">Table </w:t>
                      </w:r>
                      <w:proofErr w:type="gramStart"/>
                      <w:r w:rsidRPr="008622BB">
                        <w:rPr>
                          <w:b/>
                          <w:bCs/>
                        </w:rPr>
                        <w:t>2  Characteristics</w:t>
                      </w:r>
                      <w:proofErr w:type="gramEnd"/>
                      <w:r w:rsidRPr="008622BB">
                        <w:rPr>
                          <w:b/>
                          <w:bCs/>
                        </w:rPr>
                        <w:t xml:space="preserve"> of non-alcoholic liver cirrhosis patients with and without coronary artery disease </w:t>
                      </w:r>
                      <w:r w:rsidRPr="008622BB">
                        <w:rPr>
                          <w:b/>
                          <w:bCs/>
                          <w:i/>
                          <w:iCs/>
                        </w:rPr>
                        <w:t>n</w:t>
                      </w:r>
                      <w:r w:rsidRPr="008622BB">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11"/>
                        <w:gridCol w:w="960"/>
                        <w:gridCol w:w="1173"/>
                        <w:gridCol w:w="771"/>
                      </w:tblGrid>
                      <w:tr w:rsidR="00E86230" w:rsidRPr="008622BB">
                        <w:tblPrEx>
                          <w:tblCellMar>
                            <w:top w:w="0" w:type="dxa"/>
                            <w:left w:w="0" w:type="dxa"/>
                            <w:bottom w:w="0" w:type="dxa"/>
                            <w:right w:w="0" w:type="dxa"/>
                          </w:tblCellMar>
                        </w:tblPrEx>
                        <w:trPr>
                          <w:trHeight w:val="606"/>
                        </w:trPr>
                        <w:tc>
                          <w:tcPr>
                            <w:tcW w:w="1611" w:type="dxa"/>
                            <w:tcBorders>
                              <w:top w:val="single" w:sz="6" w:space="0" w:color="000000"/>
                              <w:bottom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8622BB">
                              <w:rPr>
                                <w:rFonts w:ascii="Albertus" w:hAnsi="Albertus" w:cs="Albertus"/>
                                <w:b/>
                                <w:bCs/>
                                <w:color w:val="000000"/>
                                <w:kern w:val="0"/>
                                <w:sz w:val="14"/>
                                <w:szCs w:val="14"/>
                                <w:lang w:val="zh-CN"/>
                              </w:rPr>
                              <w:t>Variable</w:t>
                            </w:r>
                          </w:p>
                          <w:p w:rsidR="00E86230" w:rsidRPr="008622BB" w:rsidRDefault="00E86230" w:rsidP="008622B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960" w:type="dxa"/>
                            <w:tcBorders>
                              <w:top w:val="single" w:sz="6" w:space="0" w:color="000000"/>
                              <w:bottom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8622BB">
                              <w:rPr>
                                <w:rFonts w:ascii="Albertus" w:hAnsi="Albertus" w:cs="Albertus"/>
                                <w:b/>
                                <w:bCs/>
                                <w:color w:val="000000"/>
                                <w:kern w:val="0"/>
                                <w:sz w:val="14"/>
                                <w:szCs w:val="14"/>
                              </w:rPr>
                              <w:t xml:space="preserve">Non-alcoholic LC with CAD, </w:t>
                            </w:r>
                            <w:r w:rsidRPr="008622BB">
                              <w:rPr>
                                <w:rFonts w:ascii="Albertus Bold Italic" w:hAnsi="Albertus Bold Italic" w:cs="Albertus Bold Italic"/>
                                <w:b/>
                                <w:bCs/>
                                <w:i/>
                                <w:iCs/>
                                <w:color w:val="000000"/>
                                <w:kern w:val="0"/>
                                <w:sz w:val="14"/>
                                <w:szCs w:val="14"/>
                              </w:rPr>
                              <w:t>n</w:t>
                            </w:r>
                            <w:r w:rsidRPr="008622BB">
                              <w:rPr>
                                <w:rFonts w:ascii="Albertus" w:hAnsi="Albertus" w:cs="Albertus"/>
                                <w:b/>
                                <w:bCs/>
                                <w:color w:val="000000"/>
                                <w:kern w:val="0"/>
                                <w:sz w:val="14"/>
                                <w:szCs w:val="14"/>
                              </w:rPr>
                              <w:t xml:space="preserve"> = 170</w:t>
                            </w:r>
                          </w:p>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1173" w:type="dxa"/>
                            <w:tcBorders>
                              <w:top w:val="single" w:sz="6" w:space="0" w:color="000000"/>
                              <w:bottom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sidRPr="008622BB">
                              <w:rPr>
                                <w:rFonts w:ascii="Albertus" w:hAnsi="Albertus" w:cs="Albertus"/>
                                <w:b/>
                                <w:bCs/>
                                <w:color w:val="000000"/>
                                <w:kern w:val="0"/>
                                <w:sz w:val="14"/>
                                <w:szCs w:val="14"/>
                              </w:rPr>
                              <w:t xml:space="preserve">Non-alcoholic LC without CAD, </w:t>
                            </w:r>
                            <w:r w:rsidRPr="008622BB">
                              <w:rPr>
                                <w:rFonts w:ascii="Albertus Bold Italic" w:hAnsi="Albertus Bold Italic" w:cs="Albertus Bold Italic"/>
                                <w:b/>
                                <w:bCs/>
                                <w:i/>
                                <w:iCs/>
                                <w:color w:val="000000"/>
                                <w:kern w:val="0"/>
                                <w:sz w:val="14"/>
                                <w:szCs w:val="14"/>
                              </w:rPr>
                              <w:t>n</w:t>
                            </w:r>
                            <w:r w:rsidRPr="008622BB">
                              <w:rPr>
                                <w:rFonts w:ascii="Albertus" w:hAnsi="Albertus" w:cs="Albertus"/>
                                <w:b/>
                                <w:bCs/>
                                <w:color w:val="000000"/>
                                <w:kern w:val="0"/>
                                <w:sz w:val="14"/>
                                <w:szCs w:val="14"/>
                              </w:rPr>
                              <w:t xml:space="preserve"> = 3239</w:t>
                            </w:r>
                          </w:p>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771" w:type="dxa"/>
                            <w:tcBorders>
                              <w:top w:val="single" w:sz="6" w:space="0" w:color="000000"/>
                              <w:bottom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8622BB">
                              <w:rPr>
                                <w:rFonts w:ascii="Albertus Bold Italic" w:hAnsi="Albertus Bold Italic" w:cs="Albertus Bold Italic"/>
                                <w:b/>
                                <w:bCs/>
                                <w:i/>
                                <w:iCs/>
                                <w:color w:val="000000"/>
                                <w:kern w:val="0"/>
                                <w:sz w:val="14"/>
                                <w:szCs w:val="14"/>
                                <w:lang w:val="zh-CN"/>
                              </w:rPr>
                              <w:t>P</w:t>
                            </w:r>
                            <w:r w:rsidRPr="008622BB">
                              <w:rPr>
                                <w:rFonts w:ascii="Albertus" w:hAnsi="Albertus" w:cs="Albertus"/>
                                <w:b/>
                                <w:bCs/>
                                <w:color w:val="000000"/>
                                <w:kern w:val="0"/>
                                <w:sz w:val="14"/>
                                <w:szCs w:val="14"/>
                                <w:lang w:val="zh-CN"/>
                              </w:rPr>
                              <w:t xml:space="preserve"> value</w:t>
                            </w:r>
                          </w:p>
                          <w:p w:rsidR="00E86230" w:rsidRPr="008622B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Borders>
                              <w:top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Sex</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Borders>
                              <w:top w:val="single" w:sz="6" w:space="0" w:color="000000"/>
                            </w:tcBorders>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1173" w:type="dxa"/>
                            <w:tcBorders>
                              <w:top w:val="single" w:sz="6" w:space="0" w:color="000000"/>
                            </w:tcBorders>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771" w:type="dxa"/>
                            <w:tcBorders>
                              <w:top w:val="single" w:sz="6" w:space="0" w:color="000000"/>
                            </w:tcBorders>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0.094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Male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99 (58.2)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2091 (64.6)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Female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71 (41.8)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1148 (35.4)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Age (yr)</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1173"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40-49</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18 (10.6)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554 (17.1)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50-59</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25 (14.7)</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877 (27.1)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60-69</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46 (27.1)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751 (23.2)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&gt; 69</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81 (47.6)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1057 (32.6)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Residence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1173"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0.484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Metropolis</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89 (52.4)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1830 (56.5)</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196"/>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General area</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79 (46.5)</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1358 (41.9)</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Remote areas</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2 (1.2)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51 (1.6)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autoSpaceDE w:val="0"/>
                              <w:autoSpaceDN w:val="0"/>
                              <w:adjustRightInd w:val="0"/>
                              <w:jc w:val="left"/>
                              <w:rPr>
                                <w:rFonts w:ascii="Albertus Bold Italic" w:hAnsi="Albertus Bold Italic"/>
                                <w:kern w:val="0"/>
                                <w:sz w:val="24"/>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Cerebrovascular disease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46 (27.1)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400 (12.3)</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Hemorrhage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9 (5.2)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103 (3.2)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0.132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Ischemia</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37 (21.8)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327 (10.1)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Hypertension</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139 (81.8)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1594 (49.2)</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Heart failure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54 (31.8)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215 (6.6)</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Diabetes mellitus</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 xml:space="preserve">  84 (49.4)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8622BB">
                              <w:rPr>
                                <w:rFonts w:ascii="Book Antiqua" w:hAnsi="Book Antiqua" w:cs="Book Antiqua"/>
                                <w:bCs/>
                                <w:color w:val="000000"/>
                                <w:kern w:val="0"/>
                                <w:sz w:val="14"/>
                                <w:szCs w:val="14"/>
                                <w:lang w:val="zh-CN"/>
                              </w:rPr>
                              <w:t>1051 (32.4)</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Chronic renal failure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68 (40.0)</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587 (18.1)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Hyperlipidemia</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54 (31.8)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656 (20.3)</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8622BB">
                        <w:tblPrEx>
                          <w:tblCellMar>
                            <w:top w:w="0" w:type="dxa"/>
                            <w:left w:w="0" w:type="dxa"/>
                            <w:bottom w:w="0" w:type="dxa"/>
                            <w:right w:w="0" w:type="dxa"/>
                          </w:tblCellMar>
                        </w:tblPrEx>
                        <w:trPr>
                          <w:trHeight w:val="60"/>
                        </w:trPr>
                        <w:tc>
                          <w:tcPr>
                            <w:tcW w:w="161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Chronic obstructive pulmonary disease</w:t>
                            </w:r>
                          </w:p>
                          <w:p w:rsidR="00E86230" w:rsidRPr="008622BB" w:rsidRDefault="00E86230" w:rsidP="008622B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960"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49 (28.8)</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173"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 xml:space="preserve">  521 (16.1)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771" w:type="dxa"/>
                            <w:tcMar>
                              <w:top w:w="28" w:type="dxa"/>
                              <w:left w:w="28" w:type="dxa"/>
                              <w:bottom w:w="28" w:type="dxa"/>
                              <w:right w:w="28" w:type="dxa"/>
                            </w:tcMar>
                          </w:tcPr>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&lt; 0.001</w:t>
                            </w:r>
                          </w:p>
                          <w:p w:rsidR="00E86230" w:rsidRPr="008622B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6230" w:rsidRPr="009000BD" w:rsidRDefault="00E86230" w:rsidP="00E86230">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8622BB">
                        <w:rPr>
                          <w:rFonts w:ascii="Book Antiqua" w:hAnsi="Book Antiqua" w:cs="Book Antiqua"/>
                          <w:bCs/>
                          <w:color w:val="000000"/>
                          <w:kern w:val="0"/>
                          <w:sz w:val="14"/>
                          <w:szCs w:val="14"/>
                        </w:rPr>
                        <w:t>LC: Liver cirrhosis; CAD: Coronary artery disease.</w:t>
                      </w:r>
                    </w:p>
                  </w:txbxContent>
                </v:textbox>
                <w10:wrap type="square"/>
              </v:shape>
            </w:pict>
          </mc:Fallback>
        </mc:AlternateContent>
      </w: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Default="00E86230" w:rsidP="00E86230">
      <w:pPr>
        <w:rPr>
          <w:rFonts w:hint="eastAsia"/>
        </w:rPr>
      </w:pPr>
    </w:p>
    <w:p w:rsidR="00E86230" w:rsidRPr="00A23BEB" w:rsidRDefault="00E86230" w:rsidP="00E86230">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15770860"/>
                <wp:effectExtent l="9525" t="9525" r="12065" b="1206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15770860"/>
                        </a:xfrm>
                        <a:prstGeom prst="rect">
                          <a:avLst/>
                        </a:prstGeom>
                        <a:solidFill>
                          <a:srgbClr val="FFFFFF"/>
                        </a:solidFill>
                        <a:ln w="9525">
                          <a:solidFill>
                            <a:srgbClr val="000000"/>
                          </a:solidFill>
                          <a:miter lim="800000"/>
                          <a:headEnd/>
                          <a:tailEnd/>
                        </a:ln>
                      </wps:spPr>
                      <wps:txbx>
                        <w:txbxContent>
                          <w:p w:rsidR="00E86230" w:rsidRPr="008622BB" w:rsidRDefault="00E86230" w:rsidP="00E86230">
                            <w:pPr>
                              <w:rPr>
                                <w:b/>
                                <w:bCs/>
                              </w:rPr>
                            </w:pPr>
                            <w:r w:rsidRPr="008622BB">
                              <w:rPr>
                                <w:b/>
                                <w:bCs/>
                              </w:rPr>
                              <w:t xml:space="preserve">Table </w:t>
                            </w:r>
                            <w:proofErr w:type="gramStart"/>
                            <w:r w:rsidRPr="008622BB">
                              <w:rPr>
                                <w:b/>
                                <w:bCs/>
                              </w:rPr>
                              <w:t>3  Hazard</w:t>
                            </w:r>
                            <w:proofErr w:type="gramEnd"/>
                            <w:r w:rsidRPr="008622BB">
                              <w:rPr>
                                <w:b/>
                                <w:bCs/>
                              </w:rPr>
                              <w:t xml:space="preserve"> ratios of mortality in non-alcoholic liver cirrhosis patients with comorbidities using Cox regression model</w:t>
                            </w:r>
                          </w:p>
                          <w:tbl>
                            <w:tblPr>
                              <w:tblW w:w="952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954"/>
                              <w:gridCol w:w="1094"/>
                              <w:gridCol w:w="1095"/>
                              <w:gridCol w:w="1095"/>
                              <w:gridCol w:w="1095"/>
                              <w:gridCol w:w="1095"/>
                              <w:gridCol w:w="1094"/>
                            </w:tblGrid>
                            <w:tr w:rsidR="00E86230" w:rsidRPr="00A23BEB">
                              <w:tblPrEx>
                                <w:tblCellMar>
                                  <w:top w:w="0" w:type="dxa"/>
                                  <w:left w:w="0" w:type="dxa"/>
                                  <w:bottom w:w="0" w:type="dxa"/>
                                  <w:right w:w="0" w:type="dxa"/>
                                </w:tblCellMar>
                              </w:tblPrEx>
                              <w:trPr>
                                <w:trHeight w:val="218"/>
                              </w:trPr>
                              <w:tc>
                                <w:tcPr>
                                  <w:tcW w:w="2954" w:type="dxa"/>
                                  <w:vMerge w:val="restart"/>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Variable</w:t>
                                  </w:r>
                                </w:p>
                                <w:p w:rsidR="00E86230" w:rsidRPr="00A23BEB" w:rsidRDefault="00E86230" w:rsidP="008622B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3284" w:type="dxa"/>
                                  <w:gridSpan w:val="3"/>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Unadjusted hazard ratio</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284" w:type="dxa"/>
                                  <w:gridSpan w:val="3"/>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A23BEB">
                                    <w:rPr>
                                      <w:rFonts w:ascii="Albertus" w:hAnsi="Albertus" w:cs="Albertus"/>
                                      <w:b/>
                                      <w:bCs/>
                                      <w:color w:val="000000"/>
                                      <w:kern w:val="0"/>
                                      <w:sz w:val="14"/>
                                      <w:szCs w:val="14"/>
                                      <w:lang w:val="zh-CN"/>
                                    </w:rPr>
                                    <w:t>Adjusted hazard ratio</w:t>
                                  </w:r>
                                  <w:r w:rsidRPr="00A23BEB">
                                    <w:rPr>
                                      <w:rFonts w:ascii="Albertus" w:hAnsi="Albertus" w:cs="Albertus"/>
                                      <w:b/>
                                      <w:bCs/>
                                      <w:color w:val="000000"/>
                                      <w:kern w:val="0"/>
                                      <w:sz w:val="14"/>
                                      <w:szCs w:val="14"/>
                                      <w:vertAlign w:val="superscript"/>
                                      <w:lang w:val="zh-CN"/>
                                    </w:rPr>
                                    <w:t>1</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6230" w:rsidRPr="00A23BEB">
                              <w:tblPrEx>
                                <w:tblCellMar>
                                  <w:top w:w="0" w:type="dxa"/>
                                  <w:left w:w="0" w:type="dxa"/>
                                  <w:bottom w:w="0" w:type="dxa"/>
                                  <w:right w:w="0" w:type="dxa"/>
                                </w:tblCellMar>
                              </w:tblPrEx>
                              <w:trPr>
                                <w:trHeight w:val="218"/>
                              </w:trPr>
                              <w:tc>
                                <w:tcPr>
                                  <w:tcW w:w="2954" w:type="dxa"/>
                                  <w:vMerge/>
                                  <w:tcBorders>
                                    <w:top w:val="single" w:sz="6" w:space="0" w:color="000000"/>
                                    <w:bottom w:val="single" w:sz="6" w:space="0" w:color="000000"/>
                                  </w:tcBorders>
                                </w:tcPr>
                                <w:p w:rsidR="00E86230" w:rsidRPr="00A23BEB" w:rsidRDefault="00E86230" w:rsidP="008622BB">
                                  <w:pPr>
                                    <w:autoSpaceDE w:val="0"/>
                                    <w:autoSpaceDN w:val="0"/>
                                    <w:adjustRightInd w:val="0"/>
                                    <w:jc w:val="left"/>
                                    <w:rPr>
                                      <w:rFonts w:ascii="Albertus Italic" w:hAnsi="Albertus Italic"/>
                                      <w:b/>
                                      <w:kern w:val="0"/>
                                      <w:sz w:val="24"/>
                                    </w:rPr>
                                  </w:pPr>
                                </w:p>
                              </w:tc>
                              <w:tc>
                                <w:tcPr>
                                  <w:tcW w:w="1094"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Risk ratio</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5"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95%CI</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5"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Italic" w:hAnsi="Albertus Italic" w:cs="Albertus Italic"/>
                                      <w:b/>
                                      <w:i/>
                                      <w:iCs/>
                                      <w:color w:val="000000"/>
                                      <w:kern w:val="0"/>
                                      <w:sz w:val="14"/>
                                      <w:szCs w:val="14"/>
                                      <w:lang w:val="zh-CN"/>
                                    </w:rPr>
                                    <w:t>P</w:t>
                                  </w:r>
                                  <w:r w:rsidRPr="00A23BEB">
                                    <w:rPr>
                                      <w:rFonts w:ascii="Albertus" w:hAnsi="Albertus" w:cs="Albertus"/>
                                      <w:b/>
                                      <w:bCs/>
                                      <w:color w:val="000000"/>
                                      <w:kern w:val="0"/>
                                      <w:sz w:val="14"/>
                                      <w:szCs w:val="14"/>
                                      <w:lang w:val="zh-CN"/>
                                    </w:rPr>
                                    <w:t xml:space="preserve"> value</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5"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Risk ratio</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5"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95%CI</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4"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Italic" w:hAnsi="Albertus Italic" w:cs="Albertus Italic"/>
                                      <w:b/>
                                      <w:i/>
                                      <w:iCs/>
                                      <w:color w:val="000000"/>
                                      <w:kern w:val="0"/>
                                      <w:sz w:val="14"/>
                                      <w:szCs w:val="14"/>
                                      <w:lang w:val="zh-CN"/>
                                    </w:rPr>
                                    <w:t>P</w:t>
                                  </w:r>
                                  <w:r w:rsidRPr="00A23BEB">
                                    <w:rPr>
                                      <w:rFonts w:ascii="Albertus" w:hAnsi="Albertus" w:cs="Albertus"/>
                                      <w:b/>
                                      <w:bCs/>
                                      <w:color w:val="000000"/>
                                      <w:kern w:val="0"/>
                                      <w:sz w:val="14"/>
                                      <w:szCs w:val="14"/>
                                      <w:lang w:val="zh-CN"/>
                                    </w:rPr>
                                    <w:t xml:space="preserve"> value</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Borders>
                                    <w:top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Sex</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Male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1.20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1.07-1.35</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0.002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1.34</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1.19-1.51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Female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Age (yr)</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40-49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50-59</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1.04</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0.85-1.27</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0.688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0.89-1.32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0.446</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60-69</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1.29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1.06-1.57</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0.013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1.40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1.14-1.72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&gt; 69</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2.51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2.10-3.00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2.73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2.25-3.30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Coronary artery disease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0.71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0.55-0.93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0.012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0.56</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0.43-0.74</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Cerebrovascular disease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1.25</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1.08-1.45</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0.004</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0.93-1.27</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0.323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Hypertension</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0.98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0.88-1.09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0.709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0.75</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0.66-0.85</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Heart failure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1.50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1.26-1.78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1.23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1.02-1.48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0.027</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Diabetes mellitus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0.92-1.16</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0.609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1.12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0.99-1.26</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0.082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Chronic kidney disease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1.89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1.67-2.13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1.76</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1.55-2.00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Hyperlipidemia</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0.51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0.44-0.60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0.52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0.44-0.62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Chronic obstructive pulmonary disease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1.30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1.13-1.48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0.99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0.858-1.141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0.888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6230" w:rsidRPr="00F116B6" w:rsidRDefault="00E86230" w:rsidP="00E86230">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A23BEB">
                              <w:rPr>
                                <w:rFonts w:ascii="Book Antiqua" w:hAnsi="Book Antiqua" w:cs="Book Antiqua"/>
                                <w:bCs/>
                                <w:color w:val="000000"/>
                                <w:kern w:val="0"/>
                                <w:sz w:val="14"/>
                                <w:szCs w:val="14"/>
                                <w:vertAlign w:val="superscript"/>
                              </w:rPr>
                              <w:t>1</w:t>
                            </w:r>
                            <w:r w:rsidRPr="00A23BEB">
                              <w:rPr>
                                <w:rFonts w:ascii="Book Antiqua" w:hAnsi="Book Antiqua" w:cs="Book Antiqua"/>
                                <w:bCs/>
                                <w:color w:val="000000"/>
                                <w:kern w:val="0"/>
                                <w:sz w:val="14"/>
                                <w:szCs w:val="14"/>
                              </w:rPr>
                              <w:t>Adjustments were made for sex, age, coronary heart disease, cerebrovascular disease, hypertension, heart failure, diabetes mellitus, chronic kidney disease, hyperlipidemia, and chronic obstructive pulmonary disease.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16.05pt;height:1241.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">
                <v:textbox style="mso-fit-shape-to-text:t">
                  <w:txbxContent>
                    <w:p w:rsidR="00E86230" w:rsidRPr="008622BB" w:rsidRDefault="00E86230" w:rsidP="00E86230">
                      <w:pPr>
                        <w:rPr>
                          <w:b/>
                          <w:bCs/>
                        </w:rPr>
                      </w:pPr>
                      <w:r w:rsidRPr="008622BB">
                        <w:rPr>
                          <w:b/>
                          <w:bCs/>
                        </w:rPr>
                        <w:t xml:space="preserve">Table </w:t>
                      </w:r>
                      <w:proofErr w:type="gramStart"/>
                      <w:r w:rsidRPr="008622BB">
                        <w:rPr>
                          <w:b/>
                          <w:bCs/>
                        </w:rPr>
                        <w:t>3  Hazard</w:t>
                      </w:r>
                      <w:proofErr w:type="gramEnd"/>
                      <w:r w:rsidRPr="008622BB">
                        <w:rPr>
                          <w:b/>
                          <w:bCs/>
                        </w:rPr>
                        <w:t xml:space="preserve"> ratios of mortality in non-alcoholic liver cirrhosis patients with comorbidities using Cox regression model</w:t>
                      </w:r>
                    </w:p>
                    <w:tbl>
                      <w:tblPr>
                        <w:tblW w:w="9522"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954"/>
                        <w:gridCol w:w="1094"/>
                        <w:gridCol w:w="1095"/>
                        <w:gridCol w:w="1095"/>
                        <w:gridCol w:w="1095"/>
                        <w:gridCol w:w="1095"/>
                        <w:gridCol w:w="1094"/>
                      </w:tblGrid>
                      <w:tr w:rsidR="00E86230" w:rsidRPr="00A23BEB">
                        <w:tblPrEx>
                          <w:tblCellMar>
                            <w:top w:w="0" w:type="dxa"/>
                            <w:left w:w="0" w:type="dxa"/>
                            <w:bottom w:w="0" w:type="dxa"/>
                            <w:right w:w="0" w:type="dxa"/>
                          </w:tblCellMar>
                        </w:tblPrEx>
                        <w:trPr>
                          <w:trHeight w:val="218"/>
                        </w:trPr>
                        <w:tc>
                          <w:tcPr>
                            <w:tcW w:w="2954" w:type="dxa"/>
                            <w:vMerge w:val="restart"/>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Variable</w:t>
                            </w:r>
                          </w:p>
                          <w:p w:rsidR="00E86230" w:rsidRPr="00A23BEB" w:rsidRDefault="00E86230" w:rsidP="008622B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3284" w:type="dxa"/>
                            <w:gridSpan w:val="3"/>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Unadjusted hazard ratio</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284" w:type="dxa"/>
                            <w:gridSpan w:val="3"/>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vertAlign w:val="superscript"/>
                                <w:lang w:val="zh-CN"/>
                              </w:rPr>
                            </w:pPr>
                            <w:r w:rsidRPr="00A23BEB">
                              <w:rPr>
                                <w:rFonts w:ascii="Albertus" w:hAnsi="Albertus" w:cs="Albertus"/>
                                <w:b/>
                                <w:bCs/>
                                <w:color w:val="000000"/>
                                <w:kern w:val="0"/>
                                <w:sz w:val="14"/>
                                <w:szCs w:val="14"/>
                                <w:lang w:val="zh-CN"/>
                              </w:rPr>
                              <w:t>Adjusted hazard ratio</w:t>
                            </w:r>
                            <w:r w:rsidRPr="00A23BEB">
                              <w:rPr>
                                <w:rFonts w:ascii="Albertus" w:hAnsi="Albertus" w:cs="Albertus"/>
                                <w:b/>
                                <w:bCs/>
                                <w:color w:val="000000"/>
                                <w:kern w:val="0"/>
                                <w:sz w:val="14"/>
                                <w:szCs w:val="14"/>
                                <w:vertAlign w:val="superscript"/>
                                <w:lang w:val="zh-CN"/>
                              </w:rPr>
                              <w:t>1</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6230" w:rsidRPr="00A23BEB">
                        <w:tblPrEx>
                          <w:tblCellMar>
                            <w:top w:w="0" w:type="dxa"/>
                            <w:left w:w="0" w:type="dxa"/>
                            <w:bottom w:w="0" w:type="dxa"/>
                            <w:right w:w="0" w:type="dxa"/>
                          </w:tblCellMar>
                        </w:tblPrEx>
                        <w:trPr>
                          <w:trHeight w:val="218"/>
                        </w:trPr>
                        <w:tc>
                          <w:tcPr>
                            <w:tcW w:w="2954" w:type="dxa"/>
                            <w:vMerge/>
                            <w:tcBorders>
                              <w:top w:val="single" w:sz="6" w:space="0" w:color="000000"/>
                              <w:bottom w:val="single" w:sz="6" w:space="0" w:color="000000"/>
                            </w:tcBorders>
                          </w:tcPr>
                          <w:p w:rsidR="00E86230" w:rsidRPr="00A23BEB" w:rsidRDefault="00E86230" w:rsidP="008622BB">
                            <w:pPr>
                              <w:autoSpaceDE w:val="0"/>
                              <w:autoSpaceDN w:val="0"/>
                              <w:adjustRightInd w:val="0"/>
                              <w:jc w:val="left"/>
                              <w:rPr>
                                <w:rFonts w:ascii="Albertus Italic" w:hAnsi="Albertus Italic"/>
                                <w:b/>
                                <w:kern w:val="0"/>
                                <w:sz w:val="24"/>
                              </w:rPr>
                            </w:pPr>
                          </w:p>
                        </w:tc>
                        <w:tc>
                          <w:tcPr>
                            <w:tcW w:w="1094"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Risk ratio</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5"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95%CI</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5"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Italic" w:hAnsi="Albertus Italic" w:cs="Albertus Italic"/>
                                <w:b/>
                                <w:i/>
                                <w:iCs/>
                                <w:color w:val="000000"/>
                                <w:kern w:val="0"/>
                                <w:sz w:val="14"/>
                                <w:szCs w:val="14"/>
                                <w:lang w:val="zh-CN"/>
                              </w:rPr>
                              <w:t>P</w:t>
                            </w:r>
                            <w:r w:rsidRPr="00A23BEB">
                              <w:rPr>
                                <w:rFonts w:ascii="Albertus" w:hAnsi="Albertus" w:cs="Albertus"/>
                                <w:b/>
                                <w:bCs/>
                                <w:color w:val="000000"/>
                                <w:kern w:val="0"/>
                                <w:sz w:val="14"/>
                                <w:szCs w:val="14"/>
                                <w:lang w:val="zh-CN"/>
                              </w:rPr>
                              <w:t xml:space="preserve"> value</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5"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Risk ratio</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5"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w:hAnsi="Albertus" w:cs="Albertus"/>
                                <w:b/>
                                <w:bCs/>
                                <w:color w:val="000000"/>
                                <w:kern w:val="0"/>
                                <w:sz w:val="14"/>
                                <w:szCs w:val="14"/>
                                <w:lang w:val="zh-CN"/>
                              </w:rPr>
                              <w:t>95%CI</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94" w:type="dxa"/>
                            <w:tcBorders>
                              <w:top w:val="single" w:sz="6" w:space="0" w:color="000000"/>
                              <w:bottom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A23BEB">
                              <w:rPr>
                                <w:rFonts w:ascii="Albertus Italic" w:hAnsi="Albertus Italic" w:cs="Albertus Italic"/>
                                <w:b/>
                                <w:i/>
                                <w:iCs/>
                                <w:color w:val="000000"/>
                                <w:kern w:val="0"/>
                                <w:sz w:val="14"/>
                                <w:szCs w:val="14"/>
                                <w:lang w:val="zh-CN"/>
                              </w:rPr>
                              <w:t>P</w:t>
                            </w:r>
                            <w:r w:rsidRPr="00A23BEB">
                              <w:rPr>
                                <w:rFonts w:ascii="Albertus" w:hAnsi="Albertus" w:cs="Albertus"/>
                                <w:b/>
                                <w:bCs/>
                                <w:color w:val="000000"/>
                                <w:kern w:val="0"/>
                                <w:sz w:val="14"/>
                                <w:szCs w:val="14"/>
                                <w:lang w:val="zh-CN"/>
                              </w:rPr>
                              <w:t xml:space="preserve"> value</w:t>
                            </w:r>
                          </w:p>
                          <w:p w:rsidR="00E86230" w:rsidRPr="00A23BEB" w:rsidRDefault="00E86230" w:rsidP="008622B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Borders>
                              <w:top w:val="single" w:sz="6" w:space="0" w:color="000000"/>
                            </w:tcBorders>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Sex</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Borders>
                              <w:top w:val="single" w:sz="6" w:space="0" w:color="000000"/>
                            </w:tcBorders>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Male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1.20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1.07-1.35</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0.002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1.34</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1.19-1.51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Female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Age (yr)</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40-49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50-59</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1.04</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0.85-1.27</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0.688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0.89-1.32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0.446</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60-69</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1.29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1.06-1.57</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0.013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1.40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1.14-1.72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&gt; 69</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2.51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2.10-3.00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2.73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2.25-3.30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Coronary artery disease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0.71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0.55-0.93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0.012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0.56</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0.43-0.74</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Cerebrovascular disease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1.25</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1.08-1.45</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0.004</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0.93-1.27</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0.323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Hypertension</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0.98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0.88-1.09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0.709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0.75</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0.66-0.85</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Heart failure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1.50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1.26-1.78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1.23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1.02-1.48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0.027</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Diabetes mellitus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1.03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0.92-1.16</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0.609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1.12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0.99-1.26</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0.082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Chronic kidney disease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1.89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1.67-2.13</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1.76</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1.55-2.00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Hyperlipidemia</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0.51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0.44-0.60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0.52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0.44-0.62</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Chronic obstructive pulmonary disease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No (reference)</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5"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c>
                          <w:tcPr>
                            <w:tcW w:w="1094" w:type="dxa"/>
                            <w:tcMar>
                              <w:top w:w="28" w:type="dxa"/>
                              <w:left w:w="28" w:type="dxa"/>
                              <w:bottom w:w="28" w:type="dxa"/>
                              <w:right w:w="28" w:type="dxa"/>
                            </w:tcMar>
                          </w:tcPr>
                          <w:p w:rsidR="00E86230" w:rsidRPr="00A23BEB" w:rsidRDefault="00E86230" w:rsidP="008622BB">
                            <w:pPr>
                              <w:autoSpaceDE w:val="0"/>
                              <w:autoSpaceDN w:val="0"/>
                              <w:adjustRightInd w:val="0"/>
                              <w:jc w:val="left"/>
                              <w:rPr>
                                <w:rFonts w:ascii="Albertus Italic" w:hAnsi="Albertus Italic"/>
                                <w:kern w:val="0"/>
                                <w:sz w:val="24"/>
                              </w:rPr>
                            </w:pPr>
                          </w:p>
                        </w:tc>
                      </w:tr>
                      <w:tr w:rsidR="00E86230" w:rsidRPr="00A23BEB">
                        <w:tblPrEx>
                          <w:tblCellMar>
                            <w:top w:w="0" w:type="dxa"/>
                            <w:left w:w="0" w:type="dxa"/>
                            <w:bottom w:w="0" w:type="dxa"/>
                            <w:right w:w="0" w:type="dxa"/>
                          </w:tblCellMar>
                        </w:tblPrEx>
                        <w:trPr>
                          <w:trHeight w:val="60"/>
                        </w:trPr>
                        <w:tc>
                          <w:tcPr>
                            <w:tcW w:w="295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23BEB">
                              <w:rPr>
                                <w:rFonts w:ascii="Book Antiqua" w:hAnsi="Book Antiqua" w:cs="Book Antiqua"/>
                                <w:bCs/>
                                <w:color w:val="000000"/>
                                <w:kern w:val="0"/>
                                <w:sz w:val="14"/>
                                <w:szCs w:val="14"/>
                                <w:lang w:val="zh-CN"/>
                              </w:rPr>
                              <w:t xml:space="preserve">   Yes</w:t>
                            </w:r>
                          </w:p>
                          <w:p w:rsidR="00E86230" w:rsidRPr="00A23BEB" w:rsidRDefault="00E86230" w:rsidP="008622B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1.30</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1.13-1.48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&lt; 0.001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0.99</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5"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0.858-1.141</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94" w:type="dxa"/>
                            <w:tcMar>
                              <w:top w:w="28" w:type="dxa"/>
                              <w:left w:w="28" w:type="dxa"/>
                              <w:bottom w:w="28" w:type="dxa"/>
                              <w:right w:w="28" w:type="dxa"/>
                            </w:tcMar>
                          </w:tcPr>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23BEB">
                              <w:rPr>
                                <w:rFonts w:ascii="Book Antiqua" w:hAnsi="Book Antiqua" w:cs="Book Antiqua"/>
                                <w:bCs/>
                                <w:color w:val="000000"/>
                                <w:kern w:val="0"/>
                                <w:sz w:val="14"/>
                                <w:szCs w:val="14"/>
                              </w:rPr>
                              <w:t>0.888</w:t>
                            </w:r>
                          </w:p>
                          <w:p w:rsidR="00E86230" w:rsidRPr="00A23BEB" w:rsidRDefault="00E86230" w:rsidP="008622B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E86230" w:rsidRPr="00F116B6" w:rsidRDefault="00E86230" w:rsidP="00E86230">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sidRPr="00A23BEB">
                        <w:rPr>
                          <w:rFonts w:ascii="Book Antiqua" w:hAnsi="Book Antiqua" w:cs="Book Antiqua"/>
                          <w:bCs/>
                          <w:color w:val="000000"/>
                          <w:kern w:val="0"/>
                          <w:sz w:val="14"/>
                          <w:szCs w:val="14"/>
                          <w:vertAlign w:val="superscript"/>
                        </w:rPr>
                        <w:t>1</w:t>
                      </w:r>
                      <w:r w:rsidRPr="00A23BEB">
                        <w:rPr>
                          <w:rFonts w:ascii="Book Antiqua" w:hAnsi="Book Antiqua" w:cs="Book Antiqua"/>
                          <w:bCs/>
                          <w:color w:val="000000"/>
                          <w:kern w:val="0"/>
                          <w:sz w:val="14"/>
                          <w:szCs w:val="14"/>
                        </w:rPr>
                        <w:t>Adjustments were made for sex, age, coronary heart disease, cerebrovascular disease, hypertension, heart failure, diabetes mellitus, chronic kidney disease, hyperlipidemia, and chronic obstructive pulmonary disease.</w:t>
                      </w:r>
                    </w:p>
                  </w:txbxContent>
                </v:textbox>
                <w10:wrap type="square"/>
              </v:shape>
            </w:pict>
          </mc:Fallback>
        </mc:AlternateContent>
      </w:r>
    </w:p>
    <w:p w:rsidR="00E86230" w:rsidRPr="00E86230" w:rsidRDefault="00E86230" w:rsidP="00B657F9"/>
    <w:sectPr w:rsidR="00E86230" w:rsidRPr="00E86230" w:rsidSect="00A21CED">
      <w:headerReference w:type="default" r:id="rId11"/>
      <w:footerReference w:type="default"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36B" w:rsidRDefault="007F336B">
      <w:r>
        <w:separator/>
      </w:r>
    </w:p>
  </w:endnote>
  <w:endnote w:type="continuationSeparator" w:id="0">
    <w:p w:rsidR="007F336B" w:rsidRDefault="007F3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KozMinPro-Regular">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bertus Italic">
    <w:altName w:val="Times New Roman"/>
    <w:panose1 w:val="00000000000000000000"/>
    <w:charset w:val="00"/>
    <w:family w:val="auto"/>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E86230">
          <w:rPr>
            <w:noProof/>
          </w:rPr>
          <w:t>15</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36B" w:rsidRDefault="007F336B">
      <w:r>
        <w:separator/>
      </w:r>
    </w:p>
  </w:footnote>
  <w:footnote w:type="continuationSeparator" w:id="0">
    <w:p w:rsidR="007F336B" w:rsidRDefault="007F33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7F336B"/>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86230"/>
    <w:rsid w:val="00EA19BF"/>
    <w:rsid w:val="00EB290A"/>
    <w:rsid w:val="00ED6883"/>
    <w:rsid w:val="00EE0566"/>
    <w:rsid w:val="00EE2D2F"/>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E8623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E86230"/>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6">
    <w:name w:val="嶌幰怣"/>
    <w:basedOn w:val="NormalParagraphStyle"/>
    <w:rsid w:val="00E86230"/>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E86230"/>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E86230"/>
    <w:pPr>
      <w:suppressAutoHyphens/>
    </w:pPr>
    <w:rPr>
      <w:rFonts w:ascii="Verdana" w:hAnsi="Verdana" w:cs="Verdana"/>
      <w:spacing w:val="-9"/>
      <w:sz w:val="18"/>
      <w:szCs w:val="18"/>
      <w:lang w:val="en-US"/>
    </w:rPr>
  </w:style>
  <w:style w:type="paragraph" w:customStyle="1" w:styleId="10">
    <w:name w:val="惓暥暥_1"/>
    <w:basedOn w:val="NormalParagraphStyle"/>
    <w:rsid w:val="00E86230"/>
    <w:pPr>
      <w:suppressAutoHyphens/>
      <w:ind w:firstLine="283"/>
    </w:pPr>
    <w:rPr>
      <w:rFonts w:ascii="Verdana" w:hAnsi="Verdana" w:cs="Verdana"/>
      <w:spacing w:val="-9"/>
      <w:sz w:val="18"/>
      <w:szCs w:val="18"/>
      <w:lang w:val="en-US"/>
    </w:rPr>
  </w:style>
  <w:style w:type="paragraph" w:customStyle="1" w:styleId="af9">
    <w:name w:val="二级标题"/>
    <w:basedOn w:val="a"/>
    <w:rsid w:val="00E8623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E86230"/>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E8623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Noparagraphstyle">
    <w:name w:val="[No paragraph style]"/>
    <w:rsid w:val="00E86230"/>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a">
    <w:name w:val="表头"/>
    <w:basedOn w:val="NormalParagraphStyle"/>
    <w:rsid w:val="00E86230"/>
    <w:pPr>
      <w:suppressAutoHyphens/>
    </w:pPr>
    <w:rPr>
      <w:rFonts w:ascii="Albertus" w:hAnsi="Albertus" w:cs="Albertus"/>
      <w:b/>
      <w:bCs/>
      <w:sz w:val="14"/>
      <w:szCs w:val="14"/>
    </w:rPr>
  </w:style>
  <w:style w:type="paragraph" w:customStyle="1" w:styleId="afb">
    <w:name w:val="表格中文字"/>
    <w:basedOn w:val="a"/>
    <w:rsid w:val="00E8623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c">
    <w:name w:val="表注"/>
    <w:basedOn w:val="afb"/>
    <w:rsid w:val="00E86230"/>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E86230"/>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E86230"/>
    <w:pPr>
      <w:autoSpaceDE w:val="0"/>
      <w:autoSpaceDN w:val="0"/>
      <w:adjustRightInd w:val="0"/>
      <w:spacing w:line="288" w:lineRule="auto"/>
      <w:textAlignment w:val="center"/>
    </w:pPr>
    <w:rPr>
      <w:rFonts w:ascii="宋体" w:hAnsi="Tahoma Bold Italic" w:cs="宋体"/>
      <w:color w:val="000000"/>
      <w:kern w:val="0"/>
      <w:sz w:val="24"/>
      <w:szCs w:val="24"/>
      <w:lang w:val="zh-CN"/>
    </w:rPr>
  </w:style>
  <w:style w:type="paragraph" w:customStyle="1" w:styleId="af6">
    <w:name w:val="嶌幰怣"/>
    <w:basedOn w:val="NormalParagraphStyle"/>
    <w:rsid w:val="00E86230"/>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E86230"/>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E86230"/>
    <w:pPr>
      <w:suppressAutoHyphens/>
    </w:pPr>
    <w:rPr>
      <w:rFonts w:ascii="Verdana" w:hAnsi="Verdana" w:cs="Verdana"/>
      <w:spacing w:val="-9"/>
      <w:sz w:val="18"/>
      <w:szCs w:val="18"/>
      <w:lang w:val="en-US"/>
    </w:rPr>
  </w:style>
  <w:style w:type="paragraph" w:customStyle="1" w:styleId="10">
    <w:name w:val="惓暥暥_1"/>
    <w:basedOn w:val="NormalParagraphStyle"/>
    <w:rsid w:val="00E86230"/>
    <w:pPr>
      <w:suppressAutoHyphens/>
      <w:ind w:firstLine="283"/>
    </w:pPr>
    <w:rPr>
      <w:rFonts w:ascii="Verdana" w:hAnsi="Verdana" w:cs="Verdana"/>
      <w:spacing w:val="-9"/>
      <w:sz w:val="18"/>
      <w:szCs w:val="18"/>
      <w:lang w:val="en-US"/>
    </w:rPr>
  </w:style>
  <w:style w:type="paragraph" w:customStyle="1" w:styleId="af9">
    <w:name w:val="二级标题"/>
    <w:basedOn w:val="a"/>
    <w:rsid w:val="00E86230"/>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E86230"/>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E86230"/>
    <w:pPr>
      <w:suppressAutoHyphens/>
      <w:spacing w:line="200" w:lineRule="atLeast"/>
      <w:ind w:left="360" w:hanging="360"/>
    </w:pPr>
    <w:rPr>
      <w:rFonts w:ascii="Times New Roman" w:hAnsi="Times New Roman" w:cs="Times New Roman"/>
      <w:spacing w:val="-1"/>
      <w:sz w:val="16"/>
      <w:szCs w:val="16"/>
      <w:lang w:val="en-US"/>
    </w:rPr>
  </w:style>
  <w:style w:type="paragraph" w:customStyle="1" w:styleId="Noparagraphstyle">
    <w:name w:val="[No paragraph style]"/>
    <w:rsid w:val="00E86230"/>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a">
    <w:name w:val="表头"/>
    <w:basedOn w:val="NormalParagraphStyle"/>
    <w:rsid w:val="00E86230"/>
    <w:pPr>
      <w:suppressAutoHyphens/>
    </w:pPr>
    <w:rPr>
      <w:rFonts w:ascii="Albertus" w:hAnsi="Albertus" w:cs="Albertus"/>
      <w:b/>
      <w:bCs/>
      <w:sz w:val="14"/>
      <w:szCs w:val="14"/>
    </w:rPr>
  </w:style>
  <w:style w:type="paragraph" w:customStyle="1" w:styleId="afb">
    <w:name w:val="表格中文字"/>
    <w:basedOn w:val="a"/>
    <w:rsid w:val="00E86230"/>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c">
    <w:name w:val="表注"/>
    <w:basedOn w:val="afb"/>
    <w:rsid w:val="00E8623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4844A-46AB-47E1-B318-D0564CBA2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21</Pages>
  <Words>5984</Words>
  <Characters>34113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40017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2018-08-17T09:52:00Z</dcterms:modified>
</cp:coreProperties>
</file>