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85784" w14:textId="038D18C2" w:rsidR="002A4873" w:rsidRPr="00B27F7B" w:rsidRDefault="002A4873" w:rsidP="000F1A83">
      <w:pPr>
        <w:pStyle w:val="Default"/>
        <w:snapToGrid w:val="0"/>
        <w:spacing w:line="360" w:lineRule="auto"/>
        <w:jc w:val="both"/>
        <w:outlineLvl w:val="0"/>
        <w:rPr>
          <w:b/>
          <w:i/>
          <w:iCs/>
          <w:color w:val="000000" w:themeColor="text1"/>
          <w:lang w:val="en-US"/>
        </w:rPr>
      </w:pPr>
      <w:r w:rsidRPr="00B27F7B">
        <w:rPr>
          <w:b/>
          <w:bCs/>
          <w:color w:val="000000" w:themeColor="text1"/>
          <w:lang w:val="en-US"/>
        </w:rPr>
        <w:t xml:space="preserve">Name of Journal: </w:t>
      </w:r>
      <w:r w:rsidRPr="00B27F7B">
        <w:rPr>
          <w:b/>
          <w:i/>
          <w:iCs/>
          <w:color w:val="000000" w:themeColor="text1"/>
          <w:lang w:val="en-US"/>
        </w:rPr>
        <w:t xml:space="preserve">World Journal of Gastroenterology </w:t>
      </w:r>
    </w:p>
    <w:p w14:paraId="09BD6DBD" w14:textId="7A71C0CA" w:rsidR="00707081" w:rsidRPr="00B27F7B" w:rsidRDefault="00707081" w:rsidP="000F1A83">
      <w:pPr>
        <w:pStyle w:val="Default"/>
        <w:snapToGrid w:val="0"/>
        <w:spacing w:line="360" w:lineRule="auto"/>
        <w:jc w:val="both"/>
        <w:outlineLvl w:val="0"/>
        <w:rPr>
          <w:b/>
          <w:color w:val="000000" w:themeColor="text1"/>
          <w:lang w:val="en-US"/>
        </w:rPr>
      </w:pPr>
      <w:r w:rsidRPr="00B27F7B">
        <w:rPr>
          <w:b/>
          <w:color w:val="000000" w:themeColor="text1"/>
          <w:lang w:val="en-US"/>
        </w:rPr>
        <w:t>Manuscript NO: 42311</w:t>
      </w:r>
    </w:p>
    <w:p w14:paraId="76D01873" w14:textId="4D24F39F" w:rsidR="00833E75" w:rsidRPr="00B27F7B" w:rsidRDefault="002A4873" w:rsidP="000F1A83">
      <w:pPr>
        <w:adjustRightInd w:val="0"/>
        <w:snapToGrid w:val="0"/>
        <w:spacing w:line="360" w:lineRule="auto"/>
        <w:jc w:val="both"/>
        <w:outlineLvl w:val="0"/>
        <w:rPr>
          <w:rFonts w:ascii="Book Antiqua" w:hAnsi="Book Antiqua"/>
          <w:b/>
          <w:color w:val="000000" w:themeColor="text1"/>
          <w:lang w:val="en-US"/>
        </w:rPr>
      </w:pPr>
      <w:r w:rsidRPr="00B27F7B">
        <w:rPr>
          <w:rFonts w:ascii="Book Antiqua" w:hAnsi="Book Antiqua"/>
          <w:b/>
          <w:bCs/>
          <w:color w:val="000000" w:themeColor="text1"/>
          <w:lang w:val="en-US"/>
        </w:rPr>
        <w:t xml:space="preserve">Manuscript Type: </w:t>
      </w:r>
      <w:r w:rsidR="00707081" w:rsidRPr="00B27F7B">
        <w:rPr>
          <w:rFonts w:ascii="Book Antiqua" w:hAnsi="Book Antiqua"/>
          <w:b/>
          <w:color w:val="000000" w:themeColor="text1"/>
          <w:lang w:val="en-US"/>
        </w:rPr>
        <w:t>MINIREVIEWS</w:t>
      </w:r>
    </w:p>
    <w:p w14:paraId="653250DF" w14:textId="77777777" w:rsidR="002A4873" w:rsidRPr="00B27F7B" w:rsidRDefault="002A4873" w:rsidP="00383A0F">
      <w:pPr>
        <w:adjustRightInd w:val="0"/>
        <w:snapToGrid w:val="0"/>
        <w:spacing w:line="360" w:lineRule="auto"/>
        <w:jc w:val="both"/>
        <w:rPr>
          <w:rFonts w:ascii="Book Antiqua" w:hAnsi="Book Antiqua" w:cs="Arial"/>
          <w:color w:val="000000" w:themeColor="text1"/>
          <w:lang w:val="en-US"/>
        </w:rPr>
      </w:pPr>
    </w:p>
    <w:p w14:paraId="54394C23" w14:textId="1DA3040A" w:rsidR="00833E75" w:rsidRPr="00B27F7B" w:rsidRDefault="00833E75" w:rsidP="00383A0F">
      <w:pPr>
        <w:adjustRightInd w:val="0"/>
        <w:snapToGrid w:val="0"/>
        <w:spacing w:line="360" w:lineRule="auto"/>
        <w:jc w:val="both"/>
        <w:rPr>
          <w:rFonts w:ascii="Book Antiqua" w:hAnsi="Book Antiqua" w:cs="Arial"/>
          <w:b/>
          <w:color w:val="000000" w:themeColor="text1"/>
          <w:lang w:val="en-US"/>
        </w:rPr>
      </w:pPr>
      <w:r w:rsidRPr="00B27F7B">
        <w:rPr>
          <w:rFonts w:ascii="Book Antiqua" w:hAnsi="Book Antiqua" w:cs="Arial"/>
          <w:b/>
          <w:color w:val="000000" w:themeColor="text1"/>
          <w:lang w:val="en-US"/>
        </w:rPr>
        <w:t>Liver transplantation for cri</w:t>
      </w:r>
      <w:r w:rsidR="00051326" w:rsidRPr="00B27F7B">
        <w:rPr>
          <w:rFonts w:ascii="Book Antiqua" w:hAnsi="Book Antiqua" w:cs="Arial"/>
          <w:b/>
          <w:color w:val="000000" w:themeColor="text1"/>
          <w:lang w:val="en-US"/>
        </w:rPr>
        <w:t xml:space="preserve">tically ill cirrhotic patients: </w:t>
      </w:r>
      <w:r w:rsidR="00707081" w:rsidRPr="00B27F7B">
        <w:rPr>
          <w:rFonts w:ascii="Book Antiqua" w:hAnsi="Book Antiqua" w:cs="Arial"/>
          <w:b/>
          <w:color w:val="000000" w:themeColor="text1"/>
          <w:lang w:val="en-US"/>
        </w:rPr>
        <w:t>O</w:t>
      </w:r>
      <w:r w:rsidR="00FA0264" w:rsidRPr="00B27F7B">
        <w:rPr>
          <w:rFonts w:ascii="Book Antiqua" w:hAnsi="Book Antiqua" w:cs="Arial"/>
          <w:b/>
          <w:color w:val="000000" w:themeColor="text1"/>
          <w:lang w:val="en-US"/>
        </w:rPr>
        <w:t>ver</w:t>
      </w:r>
      <w:r w:rsidRPr="00B27F7B">
        <w:rPr>
          <w:rFonts w:ascii="Book Antiqua" w:hAnsi="Book Antiqua" w:cs="Arial"/>
          <w:b/>
          <w:color w:val="000000" w:themeColor="text1"/>
          <w:lang w:val="en-US"/>
        </w:rPr>
        <w:t>view</w:t>
      </w:r>
      <w:r w:rsidR="001D4A3B" w:rsidRPr="00B27F7B">
        <w:rPr>
          <w:rFonts w:ascii="Book Antiqua" w:hAnsi="Book Antiqua" w:cs="Arial"/>
          <w:b/>
          <w:color w:val="000000" w:themeColor="text1"/>
          <w:lang w:val="en-US"/>
        </w:rPr>
        <w:t xml:space="preserve"> </w:t>
      </w:r>
      <w:r w:rsidR="00051326" w:rsidRPr="00B27F7B">
        <w:rPr>
          <w:rFonts w:ascii="Book Antiqua" w:hAnsi="Book Antiqua" w:cs="Arial"/>
          <w:b/>
          <w:color w:val="000000" w:themeColor="text1"/>
          <w:lang w:val="en-US"/>
        </w:rPr>
        <w:t>and</w:t>
      </w:r>
      <w:r w:rsidRPr="00B27F7B">
        <w:rPr>
          <w:rFonts w:ascii="Book Antiqua" w:hAnsi="Book Antiqua" w:cs="Arial"/>
          <w:b/>
          <w:color w:val="000000" w:themeColor="text1"/>
          <w:lang w:val="en-US"/>
        </w:rPr>
        <w:t xml:space="preserve"> pragmatic proposals</w:t>
      </w:r>
    </w:p>
    <w:p w14:paraId="352AB78D" w14:textId="77777777" w:rsidR="00833E75" w:rsidRPr="00B27F7B" w:rsidRDefault="00833E75" w:rsidP="00383A0F">
      <w:pPr>
        <w:adjustRightInd w:val="0"/>
        <w:snapToGrid w:val="0"/>
        <w:spacing w:line="360" w:lineRule="auto"/>
        <w:jc w:val="both"/>
        <w:rPr>
          <w:rFonts w:ascii="Book Antiqua" w:hAnsi="Book Antiqua" w:cs="Arial"/>
          <w:color w:val="000000" w:themeColor="text1"/>
          <w:lang w:val="en-US"/>
        </w:rPr>
      </w:pPr>
    </w:p>
    <w:p w14:paraId="45F7EE26" w14:textId="1A17656F" w:rsidR="00707081" w:rsidRPr="00B27F7B" w:rsidRDefault="00CC0440" w:rsidP="000F1A83">
      <w:pPr>
        <w:pStyle w:val="1"/>
        <w:adjustRightInd w:val="0"/>
        <w:snapToGrid w:val="0"/>
        <w:spacing w:line="360" w:lineRule="auto"/>
        <w:jc w:val="both"/>
        <w:outlineLvl w:val="0"/>
        <w:rPr>
          <w:rFonts w:ascii="Book Antiqua" w:hAnsi="Book Antiqua" w:cs="Times New Roman"/>
          <w:color w:val="000000" w:themeColor="text1"/>
          <w:sz w:val="24"/>
          <w:szCs w:val="24"/>
          <w:highlight w:val="white"/>
          <w:lang w:val="en-US" w:eastAsia="zh-CN"/>
        </w:rPr>
      </w:pPr>
      <w:bookmarkStart w:id="0" w:name="OLE_LINK217"/>
      <w:proofErr w:type="spellStart"/>
      <w:r w:rsidRPr="00B27F7B">
        <w:rPr>
          <w:rFonts w:ascii="Book Antiqua" w:hAnsi="Book Antiqua"/>
          <w:color w:val="000000" w:themeColor="text1"/>
          <w:sz w:val="24"/>
          <w:szCs w:val="24"/>
          <w:lang w:val="en-US"/>
        </w:rPr>
        <w:t>Artzner</w:t>
      </w:r>
      <w:proofErr w:type="spellEnd"/>
      <w:r w:rsidRPr="00B27F7B">
        <w:rPr>
          <w:rFonts w:ascii="Book Antiqua" w:hAnsi="Book Antiqua" w:cs="Times New Roman"/>
          <w:color w:val="000000" w:themeColor="text1"/>
          <w:sz w:val="24"/>
          <w:szCs w:val="24"/>
          <w:highlight w:val="white"/>
          <w:lang w:val="en-US" w:eastAsia="zh-CN"/>
        </w:rPr>
        <w:t xml:space="preserve"> T </w:t>
      </w:r>
      <w:r w:rsidRPr="00B27F7B">
        <w:rPr>
          <w:rFonts w:ascii="Book Antiqua" w:hAnsi="Book Antiqua" w:cs="Times New Roman"/>
          <w:i/>
          <w:color w:val="000000" w:themeColor="text1"/>
          <w:sz w:val="24"/>
          <w:szCs w:val="24"/>
          <w:highlight w:val="white"/>
          <w:lang w:val="en-US" w:eastAsia="zh-CN"/>
        </w:rPr>
        <w:t>et al</w:t>
      </w:r>
      <w:r w:rsidRPr="00B27F7B">
        <w:rPr>
          <w:rFonts w:ascii="Book Antiqua" w:hAnsi="Book Antiqua" w:cs="Times New Roman"/>
          <w:color w:val="000000" w:themeColor="text1"/>
          <w:sz w:val="24"/>
          <w:szCs w:val="24"/>
          <w:highlight w:val="white"/>
          <w:lang w:val="en-US" w:eastAsia="zh-CN"/>
        </w:rPr>
        <w:t xml:space="preserve">. </w:t>
      </w:r>
      <w:r w:rsidR="007440CA" w:rsidRPr="00B27F7B">
        <w:rPr>
          <w:rFonts w:ascii="Book Antiqua" w:hAnsi="Book Antiqua" w:cs="Times New Roman"/>
          <w:color w:val="000000" w:themeColor="text1"/>
          <w:sz w:val="24"/>
          <w:szCs w:val="24"/>
          <w:highlight w:val="white"/>
          <w:lang w:val="en-US" w:eastAsia="zh-CN"/>
        </w:rPr>
        <w:t xml:space="preserve">Transplantation in critically ill cirrhotic patients </w:t>
      </w:r>
    </w:p>
    <w:bookmarkEnd w:id="0"/>
    <w:p w14:paraId="4F8BEC60" w14:textId="77777777" w:rsidR="00707081" w:rsidRPr="00B27F7B" w:rsidRDefault="00707081" w:rsidP="00383A0F">
      <w:pPr>
        <w:adjustRightInd w:val="0"/>
        <w:snapToGrid w:val="0"/>
        <w:spacing w:line="360" w:lineRule="auto"/>
        <w:jc w:val="both"/>
        <w:rPr>
          <w:rFonts w:ascii="Book Antiqua" w:hAnsi="Book Antiqua" w:cs="Arial"/>
          <w:color w:val="000000" w:themeColor="text1"/>
          <w:lang w:val="en-US"/>
        </w:rPr>
      </w:pPr>
    </w:p>
    <w:p w14:paraId="42D07816" w14:textId="4A78E43E" w:rsidR="00833E75" w:rsidRPr="00B27F7B" w:rsidRDefault="00833E75" w:rsidP="000F1A83">
      <w:pPr>
        <w:adjustRightInd w:val="0"/>
        <w:snapToGrid w:val="0"/>
        <w:spacing w:line="360" w:lineRule="auto"/>
        <w:jc w:val="both"/>
        <w:outlineLvl w:val="0"/>
        <w:rPr>
          <w:rFonts w:ascii="Book Antiqua" w:hAnsi="Book Antiqua"/>
          <w:color w:val="000000" w:themeColor="text1"/>
          <w:lang w:val="en-US"/>
        </w:rPr>
      </w:pPr>
      <w:r w:rsidRPr="00B27F7B">
        <w:rPr>
          <w:rFonts w:ascii="Book Antiqua" w:hAnsi="Book Antiqua"/>
          <w:color w:val="000000" w:themeColor="text1"/>
          <w:lang w:val="en-US"/>
        </w:rPr>
        <w:t xml:space="preserve">Thierry </w:t>
      </w:r>
      <w:bookmarkStart w:id="1" w:name="OLE_LINK10"/>
      <w:proofErr w:type="spellStart"/>
      <w:r w:rsidR="00BA1995" w:rsidRPr="00B27F7B">
        <w:rPr>
          <w:rFonts w:ascii="Book Antiqua" w:hAnsi="Book Antiqua"/>
          <w:color w:val="000000" w:themeColor="text1"/>
          <w:lang w:val="en-US"/>
        </w:rPr>
        <w:t>Artzner</w:t>
      </w:r>
      <w:bookmarkEnd w:id="1"/>
      <w:proofErr w:type="spellEnd"/>
      <w:r w:rsidR="00BA1995" w:rsidRPr="00B27F7B">
        <w:rPr>
          <w:rFonts w:ascii="Book Antiqua" w:hAnsi="Book Antiqua"/>
          <w:color w:val="000000" w:themeColor="text1"/>
          <w:lang w:val="en-US"/>
        </w:rPr>
        <w:t>, B</w:t>
      </w:r>
      <w:r w:rsidRPr="00B27F7B">
        <w:rPr>
          <w:rFonts w:ascii="Book Antiqua" w:hAnsi="Book Antiqua"/>
          <w:color w:val="000000" w:themeColor="text1"/>
          <w:lang w:val="en-US"/>
        </w:rPr>
        <w:t xml:space="preserve">aptiste </w:t>
      </w:r>
      <w:proofErr w:type="spellStart"/>
      <w:r w:rsidR="00BA1995" w:rsidRPr="00B27F7B">
        <w:rPr>
          <w:rFonts w:ascii="Book Antiqua" w:hAnsi="Book Antiqua"/>
          <w:color w:val="000000" w:themeColor="text1"/>
          <w:lang w:val="en-US"/>
        </w:rPr>
        <w:t>Michard</w:t>
      </w:r>
      <w:proofErr w:type="spellEnd"/>
      <w:r w:rsidRPr="00B27F7B">
        <w:rPr>
          <w:rFonts w:ascii="Book Antiqua" w:hAnsi="Book Antiqua"/>
          <w:color w:val="000000" w:themeColor="text1"/>
          <w:lang w:val="en-US"/>
        </w:rPr>
        <w:t xml:space="preserve">, Camille </w:t>
      </w:r>
      <w:proofErr w:type="spellStart"/>
      <w:r w:rsidR="00BA1995" w:rsidRPr="00B27F7B">
        <w:rPr>
          <w:rFonts w:ascii="Book Antiqua" w:hAnsi="Book Antiqua"/>
          <w:color w:val="000000" w:themeColor="text1"/>
          <w:lang w:val="en-US"/>
        </w:rPr>
        <w:t>Besch</w:t>
      </w:r>
      <w:proofErr w:type="spellEnd"/>
      <w:r w:rsidR="00BA1995" w:rsidRPr="00B27F7B">
        <w:rPr>
          <w:rFonts w:ascii="Book Antiqua" w:hAnsi="Book Antiqua"/>
          <w:color w:val="000000" w:themeColor="text1"/>
          <w:lang w:val="en-US"/>
        </w:rPr>
        <w:t>, Eric Levesque</w:t>
      </w:r>
      <w:r w:rsidRPr="00B27F7B">
        <w:rPr>
          <w:rFonts w:ascii="Book Antiqua" w:hAnsi="Book Antiqua"/>
          <w:color w:val="000000" w:themeColor="text1"/>
          <w:lang w:val="en-US"/>
        </w:rPr>
        <w:t xml:space="preserve">, </w:t>
      </w:r>
      <w:r w:rsidR="00BA1995" w:rsidRPr="00B27F7B">
        <w:rPr>
          <w:rFonts w:ascii="Book Antiqua" w:hAnsi="Book Antiqua"/>
          <w:color w:val="000000" w:themeColor="text1"/>
          <w:lang w:val="en-US"/>
        </w:rPr>
        <w:t>François</w:t>
      </w:r>
      <w:r w:rsidRPr="00B27F7B">
        <w:rPr>
          <w:rFonts w:ascii="Book Antiqua" w:hAnsi="Book Antiqua"/>
          <w:color w:val="000000" w:themeColor="text1"/>
          <w:lang w:val="en-US"/>
        </w:rPr>
        <w:t xml:space="preserve"> </w:t>
      </w:r>
      <w:proofErr w:type="spellStart"/>
      <w:r w:rsidR="00BA1995" w:rsidRPr="00B27F7B">
        <w:rPr>
          <w:rFonts w:ascii="Book Antiqua" w:hAnsi="Book Antiqua"/>
          <w:color w:val="000000" w:themeColor="text1"/>
          <w:lang w:val="en-US"/>
        </w:rPr>
        <w:t>Faitot</w:t>
      </w:r>
      <w:proofErr w:type="spellEnd"/>
      <w:r w:rsidRPr="00B27F7B">
        <w:rPr>
          <w:rFonts w:ascii="Book Antiqua" w:hAnsi="Book Antiqua"/>
          <w:color w:val="000000" w:themeColor="text1"/>
          <w:lang w:val="en-US"/>
        </w:rPr>
        <w:t xml:space="preserve"> </w:t>
      </w:r>
    </w:p>
    <w:p w14:paraId="529BB1FE" w14:textId="77777777" w:rsidR="00833E75" w:rsidRPr="00B27F7B" w:rsidRDefault="00833E75" w:rsidP="00383A0F">
      <w:pPr>
        <w:pStyle w:val="a3"/>
        <w:adjustRightInd w:val="0"/>
        <w:snapToGrid w:val="0"/>
        <w:spacing w:line="360" w:lineRule="auto"/>
        <w:ind w:left="0"/>
        <w:contextualSpacing w:val="0"/>
        <w:jc w:val="both"/>
        <w:rPr>
          <w:rFonts w:ascii="Book Antiqua" w:hAnsi="Book Antiqua" w:cs="Arial"/>
          <w:color w:val="000000" w:themeColor="text1"/>
          <w:lang w:val="en-US"/>
        </w:rPr>
      </w:pPr>
    </w:p>
    <w:p w14:paraId="3A083A7C" w14:textId="1C5A8CB6" w:rsidR="00833E75" w:rsidRPr="00B27F7B" w:rsidRDefault="008A2EAC"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sidRPr="00B27F7B">
        <w:rPr>
          <w:rFonts w:ascii="Book Antiqua" w:hAnsi="Book Antiqua" w:cs="Arial"/>
          <w:b/>
          <w:color w:val="000000" w:themeColor="text1"/>
          <w:lang w:val="en-US"/>
        </w:rPr>
        <w:t xml:space="preserve">Thierry </w:t>
      </w:r>
      <w:proofErr w:type="spellStart"/>
      <w:r w:rsidRPr="00B27F7B">
        <w:rPr>
          <w:rFonts w:ascii="Book Antiqua" w:hAnsi="Book Antiqua" w:cs="Arial"/>
          <w:b/>
          <w:color w:val="000000" w:themeColor="text1"/>
          <w:lang w:val="en-US"/>
        </w:rPr>
        <w:t>Artzner</w:t>
      </w:r>
      <w:proofErr w:type="spellEnd"/>
      <w:r w:rsidRPr="00B27F7B">
        <w:rPr>
          <w:rFonts w:ascii="Book Antiqua" w:hAnsi="Book Antiqua" w:cs="Arial"/>
          <w:b/>
          <w:color w:val="000000" w:themeColor="text1"/>
          <w:lang w:val="en-US"/>
        </w:rPr>
        <w:t xml:space="preserve">, Baptiste </w:t>
      </w:r>
      <w:proofErr w:type="spellStart"/>
      <w:r w:rsidRPr="00B27F7B">
        <w:rPr>
          <w:rFonts w:ascii="Book Antiqua" w:hAnsi="Book Antiqua" w:cs="Arial"/>
          <w:b/>
          <w:color w:val="000000" w:themeColor="text1"/>
          <w:lang w:val="en-US"/>
        </w:rPr>
        <w:t>Michard</w:t>
      </w:r>
      <w:proofErr w:type="spellEnd"/>
      <w:r w:rsidRPr="00B27F7B">
        <w:rPr>
          <w:rFonts w:ascii="Book Antiqua" w:hAnsi="Book Antiqua" w:cs="Arial"/>
          <w:b/>
          <w:color w:val="000000" w:themeColor="text1"/>
          <w:lang w:val="en-US"/>
        </w:rPr>
        <w:t xml:space="preserve">, </w:t>
      </w:r>
      <w:r w:rsidR="00833E75" w:rsidRPr="00B27F7B">
        <w:rPr>
          <w:rFonts w:ascii="Book Antiqua" w:hAnsi="Book Antiqua" w:cs="Arial"/>
          <w:color w:val="000000" w:themeColor="text1"/>
          <w:lang w:val="en-US"/>
        </w:rPr>
        <w:t xml:space="preserve">Service de </w:t>
      </w:r>
      <w:proofErr w:type="spellStart"/>
      <w:r w:rsidR="00833E75" w:rsidRPr="00B27F7B">
        <w:rPr>
          <w:rFonts w:ascii="Book Antiqua" w:hAnsi="Book Antiqua" w:cs="Arial"/>
          <w:color w:val="000000" w:themeColor="text1"/>
          <w:lang w:val="en-US"/>
        </w:rPr>
        <w:t>Réanimation</w:t>
      </w:r>
      <w:proofErr w:type="spellEnd"/>
      <w:r w:rsidR="00833E75" w:rsidRPr="00B27F7B">
        <w:rPr>
          <w:rFonts w:ascii="Book Antiqua" w:hAnsi="Book Antiqua" w:cs="Arial"/>
          <w:color w:val="000000" w:themeColor="text1"/>
          <w:lang w:val="en-US"/>
        </w:rPr>
        <w:t xml:space="preserve"> </w:t>
      </w:r>
      <w:proofErr w:type="spellStart"/>
      <w:r w:rsidR="00833E75" w:rsidRPr="00B27F7B">
        <w:rPr>
          <w:rFonts w:ascii="Book Antiqua" w:hAnsi="Book Antiqua" w:cs="Arial"/>
          <w:color w:val="000000" w:themeColor="text1"/>
          <w:lang w:val="en-US"/>
        </w:rPr>
        <w:t>Médicale</w:t>
      </w:r>
      <w:proofErr w:type="spellEnd"/>
      <w:r w:rsidR="00833E75" w:rsidRPr="00B27F7B">
        <w:rPr>
          <w:rFonts w:ascii="Book Antiqua" w:hAnsi="Book Antiqua" w:cs="Arial"/>
          <w:color w:val="000000" w:themeColor="text1"/>
          <w:lang w:val="en-US"/>
        </w:rPr>
        <w:t xml:space="preserve">, </w:t>
      </w:r>
      <w:proofErr w:type="spellStart"/>
      <w:r w:rsidR="00833E75" w:rsidRPr="00B27F7B">
        <w:rPr>
          <w:rFonts w:ascii="Book Antiqua" w:hAnsi="Book Antiqua" w:cs="Arial"/>
          <w:color w:val="000000" w:themeColor="text1"/>
          <w:lang w:val="en-US"/>
        </w:rPr>
        <w:t>Hôpital</w:t>
      </w:r>
      <w:proofErr w:type="spellEnd"/>
      <w:r w:rsidR="00833E75" w:rsidRPr="00B27F7B">
        <w:rPr>
          <w:rFonts w:ascii="Book Antiqua" w:hAnsi="Book Antiqua" w:cs="Arial"/>
          <w:color w:val="000000" w:themeColor="text1"/>
          <w:lang w:val="en-US"/>
        </w:rPr>
        <w:t xml:space="preserve"> de </w:t>
      </w:r>
      <w:proofErr w:type="spellStart"/>
      <w:r w:rsidR="00833E75" w:rsidRPr="00B27F7B">
        <w:rPr>
          <w:rFonts w:ascii="Book Antiqua" w:hAnsi="Book Antiqua" w:cs="Arial"/>
          <w:color w:val="000000" w:themeColor="text1"/>
          <w:lang w:val="en-US"/>
        </w:rPr>
        <w:t>Hautepierre</w:t>
      </w:r>
      <w:proofErr w:type="spellEnd"/>
      <w:r w:rsidR="00833E75" w:rsidRPr="00B27F7B">
        <w:rPr>
          <w:rFonts w:ascii="Book Antiqua" w:hAnsi="Book Antiqua" w:cs="Arial"/>
          <w:color w:val="000000" w:themeColor="text1"/>
          <w:lang w:val="en-US"/>
        </w:rPr>
        <w:t xml:space="preserve">, </w:t>
      </w:r>
      <w:proofErr w:type="spellStart"/>
      <w:r w:rsidRPr="00B27F7B">
        <w:rPr>
          <w:rFonts w:ascii="Book Antiqua" w:hAnsi="Book Antiqua" w:cs="Arial"/>
          <w:color w:val="000000" w:themeColor="text1"/>
          <w:lang w:val="en-US"/>
        </w:rPr>
        <w:t>Hôpitaux</w:t>
      </w:r>
      <w:proofErr w:type="spellEnd"/>
      <w:r w:rsidRPr="00B27F7B">
        <w:rPr>
          <w:rFonts w:ascii="Book Antiqua" w:hAnsi="Book Antiqua" w:cs="Arial"/>
          <w:color w:val="000000" w:themeColor="text1"/>
          <w:lang w:val="en-US"/>
        </w:rPr>
        <w:t xml:space="preserve"> </w:t>
      </w:r>
      <w:proofErr w:type="spellStart"/>
      <w:r w:rsidRPr="00B27F7B">
        <w:rPr>
          <w:rFonts w:ascii="Book Antiqua" w:hAnsi="Book Antiqua" w:cs="Arial"/>
          <w:color w:val="000000" w:themeColor="text1"/>
          <w:lang w:val="en-US"/>
        </w:rPr>
        <w:t>Universitaires</w:t>
      </w:r>
      <w:proofErr w:type="spellEnd"/>
      <w:r w:rsidRPr="00B27F7B">
        <w:rPr>
          <w:rFonts w:ascii="Book Antiqua" w:hAnsi="Book Antiqua" w:cs="Arial"/>
          <w:color w:val="000000" w:themeColor="text1"/>
          <w:lang w:val="en-US"/>
        </w:rPr>
        <w:t xml:space="preserve"> de Strasbourg, </w:t>
      </w:r>
      <w:r w:rsidR="00833E75" w:rsidRPr="00B27F7B">
        <w:rPr>
          <w:rFonts w:ascii="Book Antiqua" w:hAnsi="Book Antiqua" w:cs="Arial"/>
          <w:color w:val="000000" w:themeColor="text1"/>
          <w:lang w:val="en-US"/>
        </w:rPr>
        <w:t>Strasbourg</w:t>
      </w:r>
      <w:r w:rsidR="00CC0440" w:rsidRPr="00B27F7B">
        <w:rPr>
          <w:rFonts w:ascii="Book Antiqua" w:hAnsi="Book Antiqua" w:cs="Arial"/>
          <w:color w:val="000000" w:themeColor="text1"/>
          <w:lang w:val="en-US"/>
        </w:rPr>
        <w:t xml:space="preserve"> 67000</w:t>
      </w:r>
      <w:r w:rsidRPr="00B27F7B">
        <w:rPr>
          <w:rFonts w:ascii="Book Antiqua" w:hAnsi="Book Antiqua" w:cs="Arial"/>
          <w:color w:val="000000" w:themeColor="text1"/>
          <w:lang w:val="en-US"/>
        </w:rPr>
        <w:t xml:space="preserve">, France </w:t>
      </w:r>
    </w:p>
    <w:p w14:paraId="1AD8FC90" w14:textId="77777777" w:rsidR="00CC0440" w:rsidRPr="00B27F7B" w:rsidRDefault="00CC0440" w:rsidP="00383A0F">
      <w:pPr>
        <w:pStyle w:val="a3"/>
        <w:adjustRightInd w:val="0"/>
        <w:snapToGrid w:val="0"/>
        <w:spacing w:line="360" w:lineRule="auto"/>
        <w:ind w:left="0"/>
        <w:contextualSpacing w:val="0"/>
        <w:jc w:val="both"/>
        <w:rPr>
          <w:rFonts w:ascii="Book Antiqua" w:hAnsi="Book Antiqua" w:cs="Arial"/>
          <w:color w:val="000000" w:themeColor="text1"/>
          <w:lang w:val="en-US"/>
        </w:rPr>
      </w:pPr>
    </w:p>
    <w:p w14:paraId="68B87F63" w14:textId="3E48ED09" w:rsidR="00833E75" w:rsidRPr="00B27F7B" w:rsidRDefault="008A2EAC"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sidRPr="00B27F7B">
        <w:rPr>
          <w:rFonts w:ascii="Book Antiqua" w:hAnsi="Book Antiqua" w:cs="Arial"/>
          <w:b/>
          <w:color w:val="000000" w:themeColor="text1"/>
          <w:lang w:val="en-US"/>
        </w:rPr>
        <w:t xml:space="preserve">Baptiste </w:t>
      </w:r>
      <w:proofErr w:type="spellStart"/>
      <w:r w:rsidRPr="00B27F7B">
        <w:rPr>
          <w:rFonts w:ascii="Book Antiqua" w:hAnsi="Book Antiqua" w:cs="Arial"/>
          <w:b/>
          <w:color w:val="000000" w:themeColor="text1"/>
          <w:lang w:val="en-US"/>
        </w:rPr>
        <w:t>Michard</w:t>
      </w:r>
      <w:proofErr w:type="spellEnd"/>
      <w:r w:rsidRPr="00B27F7B">
        <w:rPr>
          <w:rFonts w:ascii="Book Antiqua" w:hAnsi="Book Antiqua" w:cs="Arial"/>
          <w:b/>
          <w:color w:val="000000" w:themeColor="text1"/>
          <w:lang w:val="en-US"/>
        </w:rPr>
        <w:t xml:space="preserve">, Camille </w:t>
      </w:r>
      <w:proofErr w:type="spellStart"/>
      <w:r w:rsidRPr="00B27F7B">
        <w:rPr>
          <w:rFonts w:ascii="Book Antiqua" w:hAnsi="Book Antiqua" w:cs="Arial"/>
          <w:b/>
          <w:color w:val="000000" w:themeColor="text1"/>
          <w:lang w:val="en-US"/>
        </w:rPr>
        <w:t>Besch</w:t>
      </w:r>
      <w:proofErr w:type="spellEnd"/>
      <w:r w:rsidRPr="00B27F7B">
        <w:rPr>
          <w:rFonts w:ascii="Book Antiqua" w:hAnsi="Book Antiqua" w:cs="Arial"/>
          <w:b/>
          <w:color w:val="000000" w:themeColor="text1"/>
          <w:lang w:val="en-US"/>
        </w:rPr>
        <w:t xml:space="preserve">, François </w:t>
      </w:r>
      <w:proofErr w:type="spellStart"/>
      <w:r w:rsidRPr="00B27F7B">
        <w:rPr>
          <w:rFonts w:ascii="Book Antiqua" w:hAnsi="Book Antiqua" w:cs="Arial"/>
          <w:b/>
          <w:color w:val="000000" w:themeColor="text1"/>
          <w:lang w:val="en-US"/>
        </w:rPr>
        <w:t>Faitot</w:t>
      </w:r>
      <w:proofErr w:type="spellEnd"/>
      <w:r w:rsidRPr="00B27F7B">
        <w:rPr>
          <w:rFonts w:ascii="Book Antiqua" w:hAnsi="Book Antiqua" w:cs="Arial"/>
          <w:b/>
          <w:color w:val="000000" w:themeColor="text1"/>
          <w:lang w:val="en-US"/>
        </w:rPr>
        <w:t>,</w:t>
      </w:r>
      <w:r w:rsidRPr="00B27F7B">
        <w:rPr>
          <w:rFonts w:ascii="Book Antiqua" w:hAnsi="Book Antiqua" w:cs="Arial"/>
          <w:color w:val="000000" w:themeColor="text1"/>
          <w:lang w:val="en-US"/>
        </w:rPr>
        <w:t xml:space="preserve"> S</w:t>
      </w:r>
      <w:r w:rsidR="00833E75" w:rsidRPr="00B27F7B">
        <w:rPr>
          <w:rFonts w:ascii="Book Antiqua" w:hAnsi="Book Antiqua" w:cs="Arial"/>
          <w:color w:val="000000" w:themeColor="text1"/>
          <w:lang w:val="en-US"/>
        </w:rPr>
        <w:t xml:space="preserve">ervice de </w:t>
      </w:r>
      <w:proofErr w:type="spellStart"/>
      <w:r w:rsidR="00833E75" w:rsidRPr="00B27F7B">
        <w:rPr>
          <w:rFonts w:ascii="Book Antiqua" w:hAnsi="Book Antiqua" w:cs="Arial"/>
          <w:color w:val="000000" w:themeColor="text1"/>
          <w:lang w:val="en-US"/>
        </w:rPr>
        <w:t>Chirurgie</w:t>
      </w:r>
      <w:proofErr w:type="spellEnd"/>
      <w:r w:rsidR="00833E75" w:rsidRPr="00B27F7B">
        <w:rPr>
          <w:rFonts w:ascii="Book Antiqua" w:hAnsi="Book Antiqua" w:cs="Arial"/>
          <w:color w:val="000000" w:themeColor="text1"/>
          <w:lang w:val="en-US"/>
        </w:rPr>
        <w:t xml:space="preserve"> </w:t>
      </w:r>
      <w:proofErr w:type="spellStart"/>
      <w:r w:rsidR="00833E75" w:rsidRPr="00B27F7B">
        <w:rPr>
          <w:rFonts w:ascii="Book Antiqua" w:hAnsi="Book Antiqua" w:cs="Arial"/>
          <w:color w:val="000000" w:themeColor="text1"/>
          <w:lang w:val="en-US"/>
        </w:rPr>
        <w:t>Hépatobiliaire</w:t>
      </w:r>
      <w:proofErr w:type="spellEnd"/>
      <w:r w:rsidR="00833E75" w:rsidRPr="00B27F7B">
        <w:rPr>
          <w:rFonts w:ascii="Book Antiqua" w:hAnsi="Book Antiqua" w:cs="Arial"/>
          <w:color w:val="000000" w:themeColor="text1"/>
          <w:lang w:val="en-US"/>
        </w:rPr>
        <w:t xml:space="preserve"> et Transplantation, </w:t>
      </w:r>
      <w:proofErr w:type="spellStart"/>
      <w:r w:rsidR="00833E75" w:rsidRPr="00B27F7B">
        <w:rPr>
          <w:rFonts w:ascii="Book Antiqua" w:hAnsi="Book Antiqua" w:cs="Arial"/>
          <w:color w:val="000000" w:themeColor="text1"/>
          <w:lang w:val="en-US"/>
        </w:rPr>
        <w:t>Hôpital</w:t>
      </w:r>
      <w:proofErr w:type="spellEnd"/>
      <w:r w:rsidR="00833E75" w:rsidRPr="00B27F7B">
        <w:rPr>
          <w:rFonts w:ascii="Book Antiqua" w:hAnsi="Book Antiqua" w:cs="Arial"/>
          <w:color w:val="000000" w:themeColor="text1"/>
          <w:lang w:val="en-US"/>
        </w:rPr>
        <w:t xml:space="preserve"> de </w:t>
      </w:r>
      <w:proofErr w:type="spellStart"/>
      <w:r w:rsidR="00833E75" w:rsidRPr="00B27F7B">
        <w:rPr>
          <w:rFonts w:ascii="Book Antiqua" w:hAnsi="Book Antiqua" w:cs="Arial"/>
          <w:color w:val="000000" w:themeColor="text1"/>
          <w:lang w:val="en-US"/>
        </w:rPr>
        <w:t>Hautepierre</w:t>
      </w:r>
      <w:proofErr w:type="spellEnd"/>
      <w:r w:rsidR="00833E75" w:rsidRPr="00B27F7B">
        <w:rPr>
          <w:rFonts w:ascii="Book Antiqua" w:hAnsi="Book Antiqua" w:cs="Arial"/>
          <w:color w:val="000000" w:themeColor="text1"/>
          <w:lang w:val="en-US"/>
        </w:rPr>
        <w:t xml:space="preserve">, </w:t>
      </w:r>
      <w:proofErr w:type="spellStart"/>
      <w:r w:rsidRPr="00B27F7B">
        <w:rPr>
          <w:rFonts w:ascii="Book Antiqua" w:hAnsi="Book Antiqua" w:cs="Arial"/>
          <w:color w:val="000000" w:themeColor="text1"/>
          <w:lang w:val="en-US"/>
        </w:rPr>
        <w:t>Hôpitaux</w:t>
      </w:r>
      <w:proofErr w:type="spellEnd"/>
      <w:r w:rsidRPr="00B27F7B">
        <w:rPr>
          <w:rFonts w:ascii="Book Antiqua" w:hAnsi="Book Antiqua" w:cs="Arial"/>
          <w:color w:val="000000" w:themeColor="text1"/>
          <w:lang w:val="en-US"/>
        </w:rPr>
        <w:t xml:space="preserve"> </w:t>
      </w:r>
      <w:proofErr w:type="spellStart"/>
      <w:r w:rsidRPr="00B27F7B">
        <w:rPr>
          <w:rFonts w:ascii="Book Antiqua" w:hAnsi="Book Antiqua" w:cs="Arial"/>
          <w:color w:val="000000" w:themeColor="text1"/>
          <w:lang w:val="en-US"/>
        </w:rPr>
        <w:t>Universitaires</w:t>
      </w:r>
      <w:proofErr w:type="spellEnd"/>
      <w:r w:rsidRPr="00B27F7B">
        <w:rPr>
          <w:rFonts w:ascii="Book Antiqua" w:hAnsi="Book Antiqua" w:cs="Arial"/>
          <w:color w:val="000000" w:themeColor="text1"/>
          <w:lang w:val="en-US"/>
        </w:rPr>
        <w:t xml:space="preserve"> de Strasbourg, </w:t>
      </w:r>
      <w:bookmarkStart w:id="2" w:name="OLE_LINK12"/>
      <w:bookmarkStart w:id="3" w:name="OLE_LINK13"/>
      <w:r w:rsidRPr="00B27F7B">
        <w:rPr>
          <w:rFonts w:ascii="Book Antiqua" w:hAnsi="Book Antiqua" w:cs="Arial"/>
          <w:color w:val="000000" w:themeColor="text1"/>
          <w:lang w:val="en-US"/>
        </w:rPr>
        <w:t>Strasbourg</w:t>
      </w:r>
      <w:r w:rsidR="00B27F7B" w:rsidRPr="00B27F7B">
        <w:rPr>
          <w:rFonts w:ascii="Book Antiqua" w:hAnsi="Book Antiqua" w:cs="Arial"/>
          <w:color w:val="000000" w:themeColor="text1"/>
          <w:lang w:val="en-US"/>
        </w:rPr>
        <w:t xml:space="preserve"> 67000</w:t>
      </w:r>
      <w:bookmarkEnd w:id="2"/>
      <w:bookmarkEnd w:id="3"/>
      <w:r w:rsidRPr="00B27F7B">
        <w:rPr>
          <w:rFonts w:ascii="Book Antiqua" w:hAnsi="Book Antiqua" w:cs="Arial"/>
          <w:color w:val="000000" w:themeColor="text1"/>
          <w:lang w:val="en-US"/>
        </w:rPr>
        <w:t>, France</w:t>
      </w:r>
    </w:p>
    <w:p w14:paraId="0EBA3F4D" w14:textId="77777777" w:rsidR="00B27F7B" w:rsidRPr="00B27F7B" w:rsidRDefault="00B27F7B" w:rsidP="00383A0F">
      <w:pPr>
        <w:pStyle w:val="a3"/>
        <w:adjustRightInd w:val="0"/>
        <w:snapToGrid w:val="0"/>
        <w:spacing w:line="360" w:lineRule="auto"/>
        <w:ind w:left="0"/>
        <w:contextualSpacing w:val="0"/>
        <w:jc w:val="both"/>
        <w:rPr>
          <w:rFonts w:ascii="Book Antiqua" w:hAnsi="Book Antiqua" w:cs="Arial"/>
          <w:color w:val="000000" w:themeColor="text1"/>
          <w:lang w:val="en-US"/>
        </w:rPr>
      </w:pPr>
    </w:p>
    <w:p w14:paraId="08FBD8BA" w14:textId="1BACBC51" w:rsidR="00833E75" w:rsidRPr="00B27F7B" w:rsidRDefault="008A2EAC"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sidRPr="00B27F7B">
        <w:rPr>
          <w:rFonts w:ascii="Book Antiqua" w:hAnsi="Book Antiqua" w:cs="Arial"/>
          <w:b/>
          <w:color w:val="000000" w:themeColor="text1"/>
          <w:lang w:val="en-US"/>
        </w:rPr>
        <w:t>Eric Levesque,</w:t>
      </w:r>
      <w:r w:rsidRPr="00B27F7B">
        <w:rPr>
          <w:rFonts w:ascii="Book Antiqua" w:hAnsi="Book Antiqua" w:cs="Arial"/>
          <w:color w:val="000000" w:themeColor="text1"/>
          <w:lang w:val="en-US"/>
        </w:rPr>
        <w:t xml:space="preserve"> S</w:t>
      </w:r>
      <w:r w:rsidR="00833E75" w:rsidRPr="00B27F7B">
        <w:rPr>
          <w:rFonts w:ascii="Book Antiqua" w:hAnsi="Book Antiqua" w:cs="Arial"/>
          <w:color w:val="000000" w:themeColor="text1"/>
          <w:lang w:val="en-US"/>
        </w:rPr>
        <w:t xml:space="preserve">ervice </w:t>
      </w:r>
      <w:proofErr w:type="spellStart"/>
      <w:r w:rsidR="00833E75" w:rsidRPr="00B27F7B">
        <w:rPr>
          <w:rFonts w:ascii="Book Antiqua" w:hAnsi="Book Antiqua" w:cs="Arial"/>
          <w:color w:val="000000" w:themeColor="text1"/>
          <w:lang w:val="en-US"/>
        </w:rPr>
        <w:t>d’Anesthésie</w:t>
      </w:r>
      <w:proofErr w:type="spellEnd"/>
      <w:r w:rsidR="00833E75" w:rsidRPr="00B27F7B">
        <w:rPr>
          <w:rFonts w:ascii="Book Antiqua" w:hAnsi="Book Antiqua" w:cs="Arial"/>
          <w:color w:val="000000" w:themeColor="text1"/>
          <w:lang w:val="en-US"/>
        </w:rPr>
        <w:t xml:space="preserve"> et </w:t>
      </w:r>
      <w:proofErr w:type="spellStart"/>
      <w:r w:rsidR="00833E75" w:rsidRPr="00B27F7B">
        <w:rPr>
          <w:rFonts w:ascii="Book Antiqua" w:hAnsi="Book Antiqua" w:cs="Arial"/>
          <w:color w:val="000000" w:themeColor="text1"/>
          <w:lang w:val="en-US"/>
        </w:rPr>
        <w:t>Réanimation</w:t>
      </w:r>
      <w:proofErr w:type="spellEnd"/>
      <w:r w:rsidR="00833E75" w:rsidRPr="00B27F7B">
        <w:rPr>
          <w:rFonts w:ascii="Book Antiqua" w:hAnsi="Book Antiqua" w:cs="Arial"/>
          <w:color w:val="000000" w:themeColor="text1"/>
          <w:lang w:val="en-US"/>
        </w:rPr>
        <w:t xml:space="preserve"> </w:t>
      </w:r>
      <w:proofErr w:type="spellStart"/>
      <w:r w:rsidR="00833E75" w:rsidRPr="00B27F7B">
        <w:rPr>
          <w:rFonts w:ascii="Book Antiqua" w:hAnsi="Book Antiqua" w:cs="Arial"/>
          <w:color w:val="000000" w:themeColor="text1"/>
          <w:lang w:val="en-US"/>
        </w:rPr>
        <w:t>Chirurgicale</w:t>
      </w:r>
      <w:proofErr w:type="spellEnd"/>
      <w:r w:rsidR="00833E75" w:rsidRPr="00B27F7B">
        <w:rPr>
          <w:rFonts w:ascii="Book Antiqua" w:hAnsi="Book Antiqua" w:cs="Arial"/>
          <w:color w:val="000000" w:themeColor="text1"/>
          <w:lang w:val="en-US"/>
        </w:rPr>
        <w:t xml:space="preserve">, </w:t>
      </w:r>
      <w:proofErr w:type="spellStart"/>
      <w:r w:rsidR="00833E75" w:rsidRPr="00B27F7B">
        <w:rPr>
          <w:rFonts w:ascii="Book Antiqua" w:hAnsi="Book Antiqua" w:cs="Arial"/>
          <w:color w:val="000000" w:themeColor="text1"/>
          <w:lang w:val="en-US"/>
        </w:rPr>
        <w:t>Hôpital</w:t>
      </w:r>
      <w:proofErr w:type="spellEnd"/>
      <w:r w:rsidR="00833E75" w:rsidRPr="00B27F7B">
        <w:rPr>
          <w:rFonts w:ascii="Book Antiqua" w:hAnsi="Book Antiqua" w:cs="Arial"/>
          <w:color w:val="000000" w:themeColor="text1"/>
          <w:lang w:val="en-US"/>
        </w:rPr>
        <w:t xml:space="preserve"> Henri </w:t>
      </w:r>
      <w:proofErr w:type="spellStart"/>
      <w:r w:rsidR="00833E75" w:rsidRPr="00B27F7B">
        <w:rPr>
          <w:rFonts w:ascii="Book Antiqua" w:hAnsi="Book Antiqua" w:cs="Arial"/>
          <w:color w:val="000000" w:themeColor="text1"/>
          <w:lang w:val="en-US"/>
        </w:rPr>
        <w:t>Mondor</w:t>
      </w:r>
      <w:proofErr w:type="spellEnd"/>
      <w:r w:rsidR="00833E75" w:rsidRPr="00B27F7B">
        <w:rPr>
          <w:rFonts w:ascii="Book Antiqua" w:hAnsi="Book Antiqua" w:cs="Arial"/>
          <w:color w:val="000000" w:themeColor="text1"/>
          <w:lang w:val="en-US"/>
        </w:rPr>
        <w:t xml:space="preserve">, </w:t>
      </w:r>
      <w:proofErr w:type="spellStart"/>
      <w:r w:rsidR="00833E75" w:rsidRPr="00B27F7B">
        <w:rPr>
          <w:rFonts w:ascii="Book Antiqua" w:hAnsi="Book Antiqua" w:cs="Arial"/>
          <w:color w:val="000000" w:themeColor="text1"/>
          <w:lang w:val="en-US"/>
        </w:rPr>
        <w:t>Créteil</w:t>
      </w:r>
      <w:proofErr w:type="spellEnd"/>
      <w:r w:rsidR="00B27F7B" w:rsidRPr="00B27F7B">
        <w:rPr>
          <w:rFonts w:ascii="Book Antiqua" w:hAnsi="Book Antiqua" w:cs="Arial"/>
          <w:color w:val="000000" w:themeColor="text1"/>
          <w:lang w:val="en-US"/>
        </w:rPr>
        <w:t xml:space="preserve"> 94000</w:t>
      </w:r>
      <w:r w:rsidRPr="00B27F7B">
        <w:rPr>
          <w:rFonts w:ascii="Book Antiqua" w:hAnsi="Book Antiqua" w:cs="Arial"/>
          <w:color w:val="000000" w:themeColor="text1"/>
          <w:lang w:val="en-US"/>
        </w:rPr>
        <w:t xml:space="preserve">, France </w:t>
      </w:r>
    </w:p>
    <w:p w14:paraId="40B6104B" w14:textId="77777777" w:rsidR="00833E75" w:rsidRPr="00B27F7B" w:rsidRDefault="00833E75" w:rsidP="00383A0F">
      <w:pPr>
        <w:pStyle w:val="a3"/>
        <w:adjustRightInd w:val="0"/>
        <w:snapToGrid w:val="0"/>
        <w:spacing w:line="360" w:lineRule="auto"/>
        <w:ind w:left="0"/>
        <w:contextualSpacing w:val="0"/>
        <w:jc w:val="both"/>
        <w:rPr>
          <w:rFonts w:ascii="Book Antiqua" w:hAnsi="Book Antiqua" w:cs="Arial"/>
          <w:color w:val="000000" w:themeColor="text1"/>
          <w:lang w:val="en-US"/>
        </w:rPr>
      </w:pPr>
    </w:p>
    <w:p w14:paraId="71D8BD38" w14:textId="141F38DD" w:rsidR="002D39DE" w:rsidRPr="00B27F7B" w:rsidRDefault="00707081" w:rsidP="00B27F7B">
      <w:pPr>
        <w:pStyle w:val="1"/>
        <w:adjustRightInd w:val="0"/>
        <w:snapToGrid w:val="0"/>
        <w:spacing w:line="360" w:lineRule="auto"/>
        <w:jc w:val="both"/>
        <w:rPr>
          <w:rFonts w:ascii="Book Antiqua" w:hAnsi="Book Antiqua"/>
          <w:b/>
          <w:color w:val="000000" w:themeColor="text1"/>
          <w:sz w:val="24"/>
          <w:szCs w:val="24"/>
          <w:lang w:val="en-US" w:eastAsia="zh-CN"/>
        </w:rPr>
      </w:pPr>
      <w:bookmarkStart w:id="4" w:name="OLE_LINK167"/>
      <w:bookmarkStart w:id="5" w:name="OLE_LINK170"/>
      <w:bookmarkStart w:id="6" w:name="OLE_LINK219"/>
      <w:r w:rsidRPr="00B27F7B">
        <w:rPr>
          <w:rFonts w:ascii="Book Antiqua" w:hAnsi="Book Antiqua"/>
          <w:b/>
          <w:color w:val="000000" w:themeColor="text1"/>
          <w:sz w:val="24"/>
          <w:szCs w:val="24"/>
          <w:lang w:val="en-US"/>
        </w:rPr>
        <w:t>ORCID number:</w:t>
      </w:r>
      <w:r w:rsidRPr="00B27F7B">
        <w:rPr>
          <w:rFonts w:ascii="Book Antiqua" w:hAnsi="Book Antiqua"/>
          <w:b/>
          <w:color w:val="000000" w:themeColor="text1"/>
          <w:sz w:val="24"/>
          <w:szCs w:val="24"/>
          <w:lang w:val="en-US" w:eastAsia="zh-CN"/>
        </w:rPr>
        <w:t xml:space="preserve"> </w:t>
      </w:r>
      <w:bookmarkStart w:id="7" w:name="OLE_LINK188"/>
      <w:bookmarkStart w:id="8" w:name="OLE_LINK189"/>
      <w:bookmarkStart w:id="9" w:name="OLE_LINK806"/>
      <w:bookmarkStart w:id="10" w:name="OLE_LINK106"/>
      <w:bookmarkStart w:id="11" w:name="OLE_LINK107"/>
      <w:bookmarkStart w:id="12" w:name="OLE_LINK187"/>
      <w:bookmarkStart w:id="13" w:name="OLE_LINK402"/>
      <w:bookmarkStart w:id="14" w:name="OLE_LINK174"/>
      <w:bookmarkEnd w:id="4"/>
      <w:bookmarkEnd w:id="5"/>
      <w:bookmarkEnd w:id="6"/>
      <w:r w:rsidR="002D39DE" w:rsidRPr="00B27F7B">
        <w:rPr>
          <w:rFonts w:ascii="Book Antiqua" w:hAnsi="Book Antiqua"/>
          <w:color w:val="000000" w:themeColor="text1"/>
          <w:sz w:val="24"/>
          <w:szCs w:val="24"/>
          <w:lang w:val="en-US"/>
        </w:rPr>
        <w:t xml:space="preserve">Thierry </w:t>
      </w:r>
      <w:proofErr w:type="spellStart"/>
      <w:r w:rsidR="002D39DE" w:rsidRPr="00B27F7B">
        <w:rPr>
          <w:rFonts w:ascii="Book Antiqua" w:hAnsi="Book Antiqua"/>
          <w:color w:val="000000" w:themeColor="text1"/>
          <w:sz w:val="24"/>
          <w:szCs w:val="24"/>
          <w:lang w:val="en-US"/>
        </w:rPr>
        <w:t>Artzner</w:t>
      </w:r>
      <w:proofErr w:type="spellEnd"/>
      <w:r w:rsidR="00B27F7B" w:rsidRPr="00B27F7B">
        <w:rPr>
          <w:rFonts w:ascii="Book Antiqua" w:hAnsi="Book Antiqua"/>
          <w:color w:val="000000" w:themeColor="text1"/>
          <w:sz w:val="24"/>
          <w:szCs w:val="24"/>
          <w:lang w:val="en-US"/>
        </w:rPr>
        <w:t xml:space="preserve"> (</w:t>
      </w:r>
      <w:r w:rsidR="002D39DE" w:rsidRPr="00B27F7B">
        <w:rPr>
          <w:rFonts w:ascii="Book Antiqua" w:eastAsia="Times New Roman" w:hAnsi="Book Antiqua" w:cs="Times New Roman"/>
          <w:color w:val="000000" w:themeColor="text1"/>
          <w:sz w:val="24"/>
          <w:szCs w:val="24"/>
          <w:shd w:val="clear" w:color="auto" w:fill="FFFFFF"/>
          <w:lang w:val="en-US"/>
        </w:rPr>
        <w:t>0000-0001-6077-5148</w:t>
      </w:r>
      <w:r w:rsidR="00B27F7B" w:rsidRPr="00B27F7B">
        <w:rPr>
          <w:rFonts w:ascii="Book Antiqua" w:eastAsia="Times New Roman" w:hAnsi="Book Antiqua" w:cs="Times New Roman"/>
          <w:color w:val="000000" w:themeColor="text1"/>
          <w:sz w:val="24"/>
          <w:szCs w:val="24"/>
          <w:shd w:val="clear" w:color="auto" w:fill="FFFFFF"/>
          <w:lang w:val="en-US"/>
        </w:rPr>
        <w:t xml:space="preserve">); </w:t>
      </w:r>
      <w:r w:rsidR="002D39DE" w:rsidRPr="00B27F7B">
        <w:rPr>
          <w:rFonts w:ascii="Book Antiqua" w:eastAsia="Times New Roman" w:hAnsi="Book Antiqua"/>
          <w:color w:val="000000" w:themeColor="text1"/>
          <w:sz w:val="24"/>
          <w:szCs w:val="24"/>
          <w:lang w:val="en-US"/>
        </w:rPr>
        <w:t xml:space="preserve">Baptiste </w:t>
      </w:r>
      <w:proofErr w:type="spellStart"/>
      <w:r w:rsidR="002D39DE" w:rsidRPr="00B27F7B">
        <w:rPr>
          <w:rFonts w:ascii="Book Antiqua" w:eastAsia="Times New Roman" w:hAnsi="Book Antiqua"/>
          <w:color w:val="000000" w:themeColor="text1"/>
          <w:sz w:val="24"/>
          <w:szCs w:val="24"/>
          <w:lang w:val="en-US"/>
        </w:rPr>
        <w:t>Michard</w:t>
      </w:r>
      <w:proofErr w:type="spellEnd"/>
      <w:r w:rsidR="00B27F7B" w:rsidRPr="00B27F7B">
        <w:rPr>
          <w:rFonts w:ascii="Book Antiqua" w:eastAsia="Times New Roman" w:hAnsi="Book Antiqua"/>
          <w:color w:val="000000" w:themeColor="text1"/>
          <w:sz w:val="24"/>
          <w:szCs w:val="24"/>
          <w:lang w:val="en-US"/>
        </w:rPr>
        <w:t xml:space="preserve"> (</w:t>
      </w:r>
      <w:hyperlink r:id="rId9" w:history="1">
        <w:r w:rsidR="002D39DE" w:rsidRPr="00B27F7B">
          <w:rPr>
            <w:rStyle w:val="a5"/>
            <w:rFonts w:ascii="Book Antiqua" w:eastAsia="Times New Roman" w:hAnsi="Book Antiqua"/>
            <w:color w:val="000000" w:themeColor="text1"/>
            <w:sz w:val="24"/>
            <w:szCs w:val="24"/>
            <w:u w:val="none"/>
            <w:lang w:val="en-US"/>
          </w:rPr>
          <w:t>0000-0001-5605-9229</w:t>
        </w:r>
      </w:hyperlink>
      <w:r w:rsidR="00B27F7B" w:rsidRPr="00B27F7B">
        <w:rPr>
          <w:rStyle w:val="a5"/>
          <w:rFonts w:ascii="Book Antiqua" w:eastAsia="Times New Roman" w:hAnsi="Book Antiqua"/>
          <w:color w:val="000000" w:themeColor="text1"/>
          <w:sz w:val="24"/>
          <w:szCs w:val="24"/>
          <w:u w:val="none"/>
          <w:lang w:val="en-US"/>
        </w:rPr>
        <w:t xml:space="preserve">); </w:t>
      </w:r>
      <w:hyperlink r:id="rId10" w:history="1">
        <w:r w:rsidR="002D39DE" w:rsidRPr="00B27F7B">
          <w:rPr>
            <w:rStyle w:val="a5"/>
            <w:rFonts w:ascii="Book Antiqua" w:hAnsi="Book Antiqua"/>
            <w:color w:val="000000" w:themeColor="text1"/>
            <w:sz w:val="24"/>
            <w:szCs w:val="24"/>
            <w:u w:val="none"/>
            <w:lang w:val="en-US"/>
          </w:rPr>
          <w:t>Camille Besch</w:t>
        </w:r>
      </w:hyperlink>
      <w:r w:rsidR="00B27F7B" w:rsidRPr="00B27F7B">
        <w:rPr>
          <w:rStyle w:val="a5"/>
          <w:rFonts w:ascii="Book Antiqua" w:hAnsi="Book Antiqua"/>
          <w:color w:val="000000" w:themeColor="text1"/>
          <w:sz w:val="24"/>
          <w:szCs w:val="24"/>
          <w:u w:val="none"/>
          <w:lang w:val="en-US"/>
        </w:rPr>
        <w:t xml:space="preserve"> (</w:t>
      </w:r>
      <w:r w:rsidR="002D39DE" w:rsidRPr="00B27F7B">
        <w:rPr>
          <w:rFonts w:ascii="Book Antiqua" w:eastAsia="Times New Roman" w:hAnsi="Book Antiqua" w:cs="Times New Roman"/>
          <w:color w:val="000000" w:themeColor="text1"/>
          <w:sz w:val="24"/>
          <w:szCs w:val="24"/>
          <w:shd w:val="clear" w:color="auto" w:fill="FFFFFF"/>
          <w:lang w:val="en-US"/>
        </w:rPr>
        <w:t>0000-0002-7992-1595</w:t>
      </w:r>
      <w:r w:rsidR="00B27F7B" w:rsidRPr="00B27F7B">
        <w:rPr>
          <w:rFonts w:ascii="Book Antiqua" w:eastAsia="Times New Roman" w:hAnsi="Book Antiqua" w:cs="Times New Roman"/>
          <w:color w:val="000000" w:themeColor="text1"/>
          <w:sz w:val="24"/>
          <w:szCs w:val="24"/>
          <w:shd w:val="clear" w:color="auto" w:fill="FFFFFF"/>
          <w:lang w:val="en-US"/>
        </w:rPr>
        <w:t xml:space="preserve">); </w:t>
      </w:r>
      <w:r w:rsidR="002D39DE" w:rsidRPr="00B27F7B">
        <w:rPr>
          <w:rFonts w:ascii="Book Antiqua" w:hAnsi="Book Antiqua"/>
          <w:color w:val="000000" w:themeColor="text1"/>
          <w:sz w:val="24"/>
          <w:szCs w:val="24"/>
          <w:lang w:val="en-US"/>
        </w:rPr>
        <w:t>Eric Levesque</w:t>
      </w:r>
      <w:r w:rsidR="00B27F7B" w:rsidRPr="00B27F7B">
        <w:rPr>
          <w:rStyle w:val="a5"/>
          <w:rFonts w:ascii="Book Antiqua" w:hAnsi="Book Antiqua"/>
          <w:color w:val="000000" w:themeColor="text1"/>
          <w:sz w:val="24"/>
          <w:szCs w:val="24"/>
          <w:u w:val="none"/>
          <w:lang w:val="en-US"/>
        </w:rPr>
        <w:t xml:space="preserve"> (</w:t>
      </w:r>
      <w:hyperlink r:id="rId11" w:tgtFrame="_blank" w:history="1">
        <w:r w:rsidR="002D39DE" w:rsidRPr="00B27F7B">
          <w:rPr>
            <w:rFonts w:ascii="Book Antiqua" w:hAnsi="Book Antiqua"/>
            <w:color w:val="000000" w:themeColor="text1"/>
            <w:sz w:val="24"/>
            <w:szCs w:val="24"/>
            <w:lang w:val="en-US"/>
          </w:rPr>
          <w:t>0000-0002-9026-7715</w:t>
        </w:r>
      </w:hyperlink>
      <w:r w:rsidR="00B27F7B" w:rsidRPr="00B27F7B">
        <w:rPr>
          <w:rFonts w:ascii="Book Antiqua" w:hAnsi="Book Antiqua"/>
          <w:color w:val="000000" w:themeColor="text1"/>
          <w:sz w:val="24"/>
          <w:szCs w:val="24"/>
          <w:lang w:val="en-US"/>
        </w:rPr>
        <w:t xml:space="preserve">); </w:t>
      </w:r>
      <w:r w:rsidR="002D39DE" w:rsidRPr="00B27F7B">
        <w:rPr>
          <w:rFonts w:ascii="Book Antiqua" w:hAnsi="Book Antiqua"/>
          <w:color w:val="000000" w:themeColor="text1"/>
          <w:sz w:val="24"/>
          <w:szCs w:val="24"/>
          <w:lang w:val="en-US"/>
        </w:rPr>
        <w:t xml:space="preserve">François </w:t>
      </w:r>
      <w:proofErr w:type="spellStart"/>
      <w:r w:rsidR="002D39DE" w:rsidRPr="00B27F7B">
        <w:rPr>
          <w:rFonts w:ascii="Book Antiqua" w:hAnsi="Book Antiqua"/>
          <w:color w:val="000000" w:themeColor="text1"/>
          <w:sz w:val="24"/>
          <w:szCs w:val="24"/>
          <w:lang w:val="en-US"/>
        </w:rPr>
        <w:t>Faitot</w:t>
      </w:r>
      <w:proofErr w:type="spellEnd"/>
      <w:r w:rsidR="00B27F7B" w:rsidRPr="00B27F7B">
        <w:rPr>
          <w:rFonts w:ascii="Book Antiqua" w:hAnsi="Book Antiqua"/>
          <w:color w:val="000000" w:themeColor="text1"/>
          <w:sz w:val="24"/>
          <w:szCs w:val="24"/>
          <w:lang w:val="en-US"/>
        </w:rPr>
        <w:t xml:space="preserve"> (</w:t>
      </w:r>
      <w:r w:rsidR="002D39DE" w:rsidRPr="00B27F7B">
        <w:rPr>
          <w:rFonts w:ascii="Book Antiqua" w:hAnsi="Book Antiqua" w:cs="Tahoma"/>
          <w:color w:val="000000" w:themeColor="text1"/>
          <w:sz w:val="24"/>
          <w:szCs w:val="24"/>
          <w:lang w:val="en-US"/>
        </w:rPr>
        <w:t>0000-0001-6514-0774</w:t>
      </w:r>
      <w:r w:rsidR="00B27F7B" w:rsidRPr="00B27F7B">
        <w:rPr>
          <w:rFonts w:ascii="Book Antiqua" w:hAnsi="Book Antiqua" w:cs="Tahoma"/>
          <w:color w:val="000000" w:themeColor="text1"/>
          <w:sz w:val="24"/>
          <w:szCs w:val="24"/>
          <w:lang w:val="en-US"/>
        </w:rPr>
        <w:t>).</w:t>
      </w:r>
    </w:p>
    <w:p w14:paraId="653E6337" w14:textId="77777777" w:rsidR="007440CA" w:rsidRPr="00B27F7B" w:rsidRDefault="007440CA" w:rsidP="00383A0F">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3412721D" w14:textId="5CD231CC" w:rsidR="000662B7" w:rsidRPr="00B27F7B" w:rsidRDefault="00707081" w:rsidP="00383A0F">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r w:rsidRPr="00B27F7B">
        <w:rPr>
          <w:rFonts w:ascii="Book Antiqua" w:hAnsi="Book Antiqua" w:cs="Times New Roman"/>
          <w:b/>
          <w:color w:val="000000" w:themeColor="text1"/>
          <w:sz w:val="24"/>
          <w:szCs w:val="24"/>
          <w:highlight w:val="white"/>
          <w:lang w:val="en-US" w:eastAsia="zh-CN"/>
        </w:rPr>
        <w:t xml:space="preserve">Author contributions: </w:t>
      </w:r>
      <w:proofErr w:type="spellStart"/>
      <w:r w:rsidR="000662B7" w:rsidRPr="00B27F7B">
        <w:rPr>
          <w:rFonts w:ascii="Book Antiqua" w:hAnsi="Book Antiqua" w:cs="Times New Roman"/>
          <w:color w:val="000000" w:themeColor="text1"/>
          <w:sz w:val="24"/>
          <w:szCs w:val="24"/>
          <w:highlight w:val="white"/>
          <w:lang w:val="en-US" w:eastAsia="zh-CN"/>
        </w:rPr>
        <w:t>Artzner</w:t>
      </w:r>
      <w:proofErr w:type="spellEnd"/>
      <w:r w:rsidR="000662B7" w:rsidRPr="00B27F7B">
        <w:rPr>
          <w:rFonts w:ascii="Book Antiqua" w:hAnsi="Book Antiqua" w:cs="Times New Roman"/>
          <w:color w:val="000000" w:themeColor="text1"/>
          <w:sz w:val="24"/>
          <w:szCs w:val="24"/>
          <w:highlight w:val="white"/>
          <w:lang w:val="en-US" w:eastAsia="zh-CN"/>
        </w:rPr>
        <w:t xml:space="preserve"> T and </w:t>
      </w:r>
      <w:proofErr w:type="spellStart"/>
      <w:r w:rsidR="000662B7" w:rsidRPr="00B27F7B">
        <w:rPr>
          <w:rFonts w:ascii="Book Antiqua" w:hAnsi="Book Antiqua" w:cs="Times New Roman"/>
          <w:color w:val="000000" w:themeColor="text1"/>
          <w:sz w:val="24"/>
          <w:szCs w:val="24"/>
          <w:highlight w:val="white"/>
          <w:lang w:val="en-US" w:eastAsia="zh-CN"/>
        </w:rPr>
        <w:t>Michard</w:t>
      </w:r>
      <w:proofErr w:type="spellEnd"/>
      <w:r w:rsidR="000662B7" w:rsidRPr="00B27F7B">
        <w:rPr>
          <w:rFonts w:ascii="Book Antiqua" w:hAnsi="Book Antiqua" w:cs="Times New Roman"/>
          <w:color w:val="000000" w:themeColor="text1"/>
          <w:sz w:val="24"/>
          <w:szCs w:val="24"/>
          <w:highlight w:val="white"/>
          <w:lang w:val="en-US" w:eastAsia="zh-CN"/>
        </w:rPr>
        <w:t xml:space="preserve"> B performed the literature review and drafted the manuscript; </w:t>
      </w:r>
      <w:proofErr w:type="spellStart"/>
      <w:r w:rsidR="000662B7" w:rsidRPr="00B27F7B">
        <w:rPr>
          <w:rFonts w:ascii="Book Antiqua" w:hAnsi="Book Antiqua" w:cs="Times New Roman"/>
          <w:color w:val="000000" w:themeColor="text1"/>
          <w:sz w:val="24"/>
          <w:szCs w:val="24"/>
          <w:highlight w:val="white"/>
          <w:lang w:val="en-US" w:eastAsia="zh-CN"/>
        </w:rPr>
        <w:t>Besch</w:t>
      </w:r>
      <w:proofErr w:type="spellEnd"/>
      <w:r w:rsidR="000662B7" w:rsidRPr="00B27F7B">
        <w:rPr>
          <w:rFonts w:ascii="Book Antiqua" w:hAnsi="Book Antiqua" w:cs="Times New Roman"/>
          <w:color w:val="000000" w:themeColor="text1"/>
          <w:sz w:val="24"/>
          <w:szCs w:val="24"/>
          <w:highlight w:val="white"/>
          <w:lang w:val="en-US" w:eastAsia="zh-CN"/>
        </w:rPr>
        <w:t xml:space="preserve"> C, </w:t>
      </w:r>
      <w:r w:rsidR="00274305" w:rsidRPr="00B27F7B">
        <w:rPr>
          <w:rFonts w:ascii="Book Antiqua" w:hAnsi="Book Antiqua" w:cs="Times New Roman"/>
          <w:color w:val="000000" w:themeColor="text1"/>
          <w:sz w:val="24"/>
          <w:szCs w:val="24"/>
          <w:highlight w:val="white"/>
          <w:lang w:val="en-US" w:eastAsia="zh-CN"/>
        </w:rPr>
        <w:t xml:space="preserve">Levesque E </w:t>
      </w:r>
      <w:r w:rsidR="000662B7" w:rsidRPr="00B27F7B">
        <w:rPr>
          <w:rFonts w:ascii="Book Antiqua" w:hAnsi="Book Antiqua" w:cs="Times New Roman"/>
          <w:color w:val="000000" w:themeColor="text1"/>
          <w:sz w:val="24"/>
          <w:szCs w:val="24"/>
          <w:highlight w:val="white"/>
          <w:lang w:val="en-US" w:eastAsia="zh-CN"/>
        </w:rPr>
        <w:t xml:space="preserve">and </w:t>
      </w:r>
      <w:proofErr w:type="spellStart"/>
      <w:r w:rsidR="000662B7" w:rsidRPr="00B27F7B">
        <w:rPr>
          <w:rFonts w:ascii="Book Antiqua" w:hAnsi="Book Antiqua" w:cs="Times New Roman"/>
          <w:color w:val="000000" w:themeColor="text1"/>
          <w:sz w:val="24"/>
          <w:szCs w:val="24"/>
          <w:highlight w:val="white"/>
          <w:lang w:val="en-US" w:eastAsia="zh-CN"/>
        </w:rPr>
        <w:t>Faitot</w:t>
      </w:r>
      <w:proofErr w:type="spellEnd"/>
      <w:r w:rsidR="000662B7" w:rsidRPr="00B27F7B">
        <w:rPr>
          <w:rFonts w:ascii="Book Antiqua" w:hAnsi="Book Antiqua" w:cs="Times New Roman"/>
          <w:color w:val="000000" w:themeColor="text1"/>
          <w:sz w:val="24"/>
          <w:szCs w:val="24"/>
          <w:highlight w:val="white"/>
          <w:lang w:val="en-US" w:eastAsia="zh-CN"/>
        </w:rPr>
        <w:t xml:space="preserve"> F revised the manuscript; all authors read and approved the final version to be published.</w:t>
      </w:r>
    </w:p>
    <w:bookmarkEnd w:id="7"/>
    <w:bookmarkEnd w:id="8"/>
    <w:bookmarkEnd w:id="9"/>
    <w:bookmarkEnd w:id="10"/>
    <w:bookmarkEnd w:id="11"/>
    <w:bookmarkEnd w:id="12"/>
    <w:bookmarkEnd w:id="13"/>
    <w:bookmarkEnd w:id="14"/>
    <w:p w14:paraId="239BD3FB" w14:textId="77777777" w:rsidR="00833E75" w:rsidRPr="00B27F7B" w:rsidRDefault="00833E75" w:rsidP="00383A0F">
      <w:pPr>
        <w:pStyle w:val="a3"/>
        <w:adjustRightInd w:val="0"/>
        <w:snapToGrid w:val="0"/>
        <w:spacing w:line="360" w:lineRule="auto"/>
        <w:ind w:left="0"/>
        <w:contextualSpacing w:val="0"/>
        <w:jc w:val="both"/>
        <w:rPr>
          <w:rFonts w:ascii="Book Antiqua" w:hAnsi="Book Antiqua" w:cs="Arial"/>
          <w:color w:val="000000" w:themeColor="text1"/>
          <w:lang w:val="en-US"/>
        </w:rPr>
      </w:pPr>
    </w:p>
    <w:p w14:paraId="5A7D7A4C" w14:textId="64281129" w:rsidR="00707081" w:rsidRPr="00B27F7B" w:rsidRDefault="00707081" w:rsidP="000F1A83">
      <w:pPr>
        <w:pStyle w:val="1"/>
        <w:adjustRightInd w:val="0"/>
        <w:snapToGrid w:val="0"/>
        <w:spacing w:line="360" w:lineRule="auto"/>
        <w:jc w:val="both"/>
        <w:outlineLvl w:val="0"/>
        <w:rPr>
          <w:rFonts w:ascii="Book Antiqua" w:hAnsi="Book Antiqua" w:cs="Times New Roman"/>
          <w:b/>
          <w:bCs/>
          <w:iCs/>
          <w:color w:val="000000" w:themeColor="text1"/>
          <w:sz w:val="24"/>
          <w:szCs w:val="24"/>
          <w:highlight w:val="white"/>
          <w:lang w:val="en-US" w:eastAsia="zh-CN"/>
        </w:rPr>
      </w:pPr>
      <w:bookmarkStart w:id="15" w:name="OLE_LINK235"/>
      <w:bookmarkStart w:id="16" w:name="OLE_LINK236"/>
      <w:bookmarkStart w:id="17" w:name="OLE_LINK684"/>
      <w:r w:rsidRPr="00B27F7B">
        <w:rPr>
          <w:rFonts w:ascii="Book Antiqua" w:hAnsi="Book Antiqua" w:cs="Times New Roman"/>
          <w:b/>
          <w:bCs/>
          <w:iCs/>
          <w:color w:val="000000" w:themeColor="text1"/>
          <w:sz w:val="24"/>
          <w:szCs w:val="24"/>
          <w:highlight w:val="white"/>
          <w:lang w:val="en-US" w:eastAsia="zh-CN"/>
        </w:rPr>
        <w:t>Conflict-of-interest statement:</w:t>
      </w:r>
      <w:bookmarkEnd w:id="15"/>
      <w:bookmarkEnd w:id="16"/>
      <w:bookmarkEnd w:id="17"/>
      <w:r w:rsidR="00B27F7B" w:rsidRPr="00B27F7B">
        <w:rPr>
          <w:rFonts w:ascii="Book Antiqua" w:hAnsi="Book Antiqua" w:cs="Times New Roman"/>
          <w:b/>
          <w:bCs/>
          <w:iCs/>
          <w:color w:val="000000" w:themeColor="text1"/>
          <w:sz w:val="24"/>
          <w:szCs w:val="24"/>
          <w:lang w:val="en-US" w:eastAsia="zh-CN"/>
        </w:rPr>
        <w:t xml:space="preserve"> </w:t>
      </w:r>
      <w:r w:rsidR="00274305" w:rsidRPr="00B27F7B">
        <w:rPr>
          <w:rFonts w:ascii="Book Antiqua" w:hAnsi="Book Antiqua"/>
          <w:color w:val="000000" w:themeColor="text1"/>
          <w:sz w:val="24"/>
          <w:szCs w:val="24"/>
          <w:lang w:val="en-US"/>
        </w:rPr>
        <w:t>None of the authors declare conflicts of interest</w:t>
      </w:r>
    </w:p>
    <w:p w14:paraId="20F48C2B" w14:textId="77777777" w:rsidR="00274305" w:rsidRPr="00B27F7B" w:rsidRDefault="00274305" w:rsidP="00383A0F">
      <w:pPr>
        <w:pStyle w:val="a3"/>
        <w:adjustRightInd w:val="0"/>
        <w:snapToGrid w:val="0"/>
        <w:spacing w:line="360" w:lineRule="auto"/>
        <w:ind w:left="0"/>
        <w:contextualSpacing w:val="0"/>
        <w:jc w:val="both"/>
        <w:rPr>
          <w:rFonts w:ascii="Book Antiqua" w:hAnsi="Book Antiqua" w:cs="Arial"/>
          <w:color w:val="000000" w:themeColor="text1"/>
          <w:lang w:val="en-US"/>
        </w:rPr>
      </w:pPr>
    </w:p>
    <w:p w14:paraId="60CE6220" w14:textId="77777777" w:rsidR="00B27F7B" w:rsidRPr="00B27F7B" w:rsidRDefault="00B27F7B" w:rsidP="00B27F7B">
      <w:pPr>
        <w:snapToGrid w:val="0"/>
        <w:spacing w:line="360" w:lineRule="auto"/>
        <w:jc w:val="both"/>
        <w:rPr>
          <w:rFonts w:ascii="Book Antiqua" w:hAnsi="Book Antiqua"/>
          <w:lang w:val="en-US"/>
        </w:rPr>
      </w:pPr>
      <w:bookmarkStart w:id="18" w:name="OLE_LINK25"/>
      <w:bookmarkStart w:id="19" w:name="OLE_LINK26"/>
      <w:bookmarkStart w:id="20" w:name="OLE_LINK375"/>
      <w:r w:rsidRPr="00B27F7B">
        <w:rPr>
          <w:rFonts w:ascii="Book Antiqua" w:hAnsi="Book Antiqua"/>
          <w:b/>
          <w:color w:val="000000"/>
          <w:lang w:val="en-US"/>
        </w:rPr>
        <w:t xml:space="preserve">Open-Access: </w:t>
      </w:r>
      <w:r w:rsidRPr="00B27F7B">
        <w:rPr>
          <w:rFonts w:ascii="Book Antiqua" w:hAnsi="Book Antiqua"/>
          <w:color w:val="000000"/>
          <w:lang w:val="en-US"/>
        </w:rPr>
        <w:t xml:space="preserve">This is an </w:t>
      </w:r>
      <w:r w:rsidRPr="00B27F7B">
        <w:rPr>
          <w:rFonts w:ascii="Book Antiqua" w:hAnsi="Book Antiqua" w:cs="宋体"/>
          <w:lang w:val="en-US"/>
        </w:rPr>
        <w:t xml:space="preserve">open-access article that was </w:t>
      </w:r>
      <w:r w:rsidRPr="00B27F7B">
        <w:rPr>
          <w:rFonts w:ascii="Book Antiqua" w:hAnsi="Book Antiqua"/>
          <w:lang w:val="en-US"/>
        </w:rPr>
        <w:t xml:space="preserve">selected by an in-house editor and fully peer-reviewed by external reviewers. It is </w:t>
      </w:r>
      <w:r w:rsidRPr="00B27F7B">
        <w:rPr>
          <w:rFonts w:ascii="Book Antiqua" w:hAnsi="Book Antiqua" w:cs="宋体"/>
          <w:lang w:val="en-US"/>
        </w:rPr>
        <w:t xml:space="preserve">distributed in accordance with </w:t>
      </w:r>
      <w:r w:rsidRPr="00B27F7B">
        <w:rPr>
          <w:rFonts w:ascii="Book Antiqua" w:hAnsi="Book Antiqua"/>
          <w:lang w:val="en-US"/>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B27F7B">
          <w:rPr>
            <w:rStyle w:val="a5"/>
            <w:rFonts w:ascii="Book Antiqua" w:hAnsi="Book Antiqua"/>
            <w:lang w:val="en-US"/>
          </w:rPr>
          <w:t>http://creativecommons.org/licenses/by-nc/4.0/</w:t>
        </w:r>
      </w:hyperlink>
    </w:p>
    <w:p w14:paraId="68976287" w14:textId="77777777" w:rsidR="00B27F7B" w:rsidRPr="00B27F7B" w:rsidRDefault="00B27F7B" w:rsidP="00B27F7B">
      <w:pPr>
        <w:snapToGrid w:val="0"/>
        <w:spacing w:line="360" w:lineRule="auto"/>
        <w:jc w:val="both"/>
        <w:rPr>
          <w:rFonts w:ascii="Book Antiqua" w:hAnsi="Book Antiqua"/>
          <w:lang w:val="en-US"/>
        </w:rPr>
      </w:pPr>
    </w:p>
    <w:p w14:paraId="70273F10" w14:textId="12ABCD62" w:rsidR="00B27F7B" w:rsidRPr="00B27F7B" w:rsidRDefault="00B27F7B" w:rsidP="000F1A83">
      <w:pPr>
        <w:pStyle w:val="a3"/>
        <w:adjustRightInd w:val="0"/>
        <w:snapToGrid w:val="0"/>
        <w:spacing w:line="360" w:lineRule="auto"/>
        <w:ind w:left="0"/>
        <w:contextualSpacing w:val="0"/>
        <w:jc w:val="both"/>
        <w:outlineLvl w:val="0"/>
        <w:rPr>
          <w:rFonts w:ascii="Book Antiqua" w:hAnsi="Book Antiqua" w:cs="Times New Roman"/>
          <w:bCs/>
          <w:lang w:val="en-US"/>
        </w:rPr>
      </w:pPr>
      <w:bookmarkStart w:id="21" w:name="OLE_LINK11"/>
      <w:r w:rsidRPr="00B27F7B">
        <w:rPr>
          <w:rFonts w:ascii="Book Antiqua" w:hAnsi="Book Antiqua" w:cs="Times New Roman"/>
          <w:b/>
          <w:bCs/>
          <w:highlight w:val="white"/>
          <w:lang w:val="en-US"/>
        </w:rPr>
        <w:t>Manuscript source:</w:t>
      </w:r>
      <w:r w:rsidRPr="00B27F7B">
        <w:rPr>
          <w:rFonts w:ascii="Book Antiqua" w:hAnsi="Book Antiqua" w:cs="Times New Roman" w:hint="eastAsia"/>
          <w:b/>
          <w:bCs/>
          <w:highlight w:val="white"/>
          <w:lang w:val="en-US" w:eastAsia="zh-CN"/>
        </w:rPr>
        <w:t xml:space="preserve"> </w:t>
      </w:r>
      <w:r w:rsidRPr="00B27F7B">
        <w:rPr>
          <w:rFonts w:ascii="Book Antiqua" w:hAnsi="Book Antiqua" w:cs="Times New Roman"/>
          <w:bCs/>
          <w:highlight w:val="white"/>
          <w:lang w:val="en-US"/>
        </w:rPr>
        <w:t>Unsolicited manuscript</w:t>
      </w:r>
      <w:bookmarkEnd w:id="18"/>
      <w:bookmarkEnd w:id="19"/>
      <w:bookmarkEnd w:id="20"/>
      <w:bookmarkEnd w:id="21"/>
    </w:p>
    <w:p w14:paraId="0C5CA539" w14:textId="77777777" w:rsidR="00B27F7B" w:rsidRPr="00B27F7B" w:rsidRDefault="00B27F7B" w:rsidP="00B27F7B">
      <w:pPr>
        <w:pStyle w:val="a3"/>
        <w:adjustRightInd w:val="0"/>
        <w:snapToGrid w:val="0"/>
        <w:spacing w:line="360" w:lineRule="auto"/>
        <w:ind w:left="0"/>
        <w:contextualSpacing w:val="0"/>
        <w:jc w:val="both"/>
        <w:rPr>
          <w:rFonts w:ascii="Book Antiqua" w:hAnsi="Book Antiqua" w:cs="Arial"/>
          <w:color w:val="000000" w:themeColor="text1"/>
          <w:lang w:val="en-US"/>
        </w:rPr>
      </w:pPr>
    </w:p>
    <w:p w14:paraId="1A2EC2D1" w14:textId="4F5670B6" w:rsidR="00833E75" w:rsidRPr="00B27F7B" w:rsidRDefault="00B27F7B" w:rsidP="00383A0F">
      <w:pPr>
        <w:adjustRightInd w:val="0"/>
        <w:snapToGrid w:val="0"/>
        <w:spacing w:line="360" w:lineRule="auto"/>
        <w:jc w:val="both"/>
        <w:rPr>
          <w:rFonts w:ascii="Book Antiqua" w:hAnsi="Book Antiqua" w:cs="Arial"/>
          <w:color w:val="000000" w:themeColor="text1"/>
          <w:lang w:val="en-US"/>
        </w:rPr>
      </w:pPr>
      <w:bookmarkStart w:id="22" w:name="OLE_LINK294"/>
      <w:bookmarkStart w:id="23" w:name="OLE_LINK295"/>
      <w:bookmarkStart w:id="24" w:name="OLE_LINK15"/>
      <w:bookmarkStart w:id="25" w:name="OLE_LINK16"/>
      <w:r w:rsidRPr="00B27F7B">
        <w:rPr>
          <w:rFonts w:ascii="Book Antiqua" w:hAnsi="Book Antiqua" w:cs="Times New Roman"/>
          <w:b/>
          <w:bCs/>
          <w:color w:val="000000" w:themeColor="text1"/>
          <w:highlight w:val="white"/>
          <w:lang w:val="en-US" w:eastAsia="zh-CN"/>
        </w:rPr>
        <w:t>Corresponding author</w:t>
      </w:r>
      <w:r w:rsidR="00707081" w:rsidRPr="00B27F7B">
        <w:rPr>
          <w:rFonts w:ascii="Book Antiqua" w:hAnsi="Book Antiqua" w:cs="Times New Roman"/>
          <w:b/>
          <w:bCs/>
          <w:color w:val="000000" w:themeColor="text1"/>
          <w:highlight w:val="white"/>
          <w:lang w:val="en-US" w:eastAsia="zh-CN"/>
        </w:rPr>
        <w:t>:</w:t>
      </w:r>
      <w:bookmarkEnd w:id="22"/>
      <w:bookmarkEnd w:id="23"/>
      <w:bookmarkEnd w:id="24"/>
      <w:bookmarkEnd w:id="25"/>
      <w:r w:rsidR="00833E75" w:rsidRPr="00B27F7B">
        <w:rPr>
          <w:rFonts w:ascii="Book Antiqua" w:hAnsi="Book Antiqua" w:cs="Arial"/>
          <w:color w:val="000000" w:themeColor="text1"/>
          <w:lang w:val="en-US"/>
        </w:rPr>
        <w:t xml:space="preserve"> </w:t>
      </w:r>
      <w:r w:rsidRPr="00B27F7B">
        <w:rPr>
          <w:rFonts w:ascii="Book Antiqua" w:hAnsi="Book Antiqua" w:cs="Arial"/>
          <w:b/>
          <w:color w:val="000000" w:themeColor="text1"/>
          <w:lang w:val="en-US"/>
        </w:rPr>
        <w:t xml:space="preserve">Baptiste </w:t>
      </w:r>
      <w:proofErr w:type="spellStart"/>
      <w:r w:rsidRPr="00B27F7B">
        <w:rPr>
          <w:rFonts w:ascii="Book Antiqua" w:hAnsi="Book Antiqua" w:cs="Arial"/>
          <w:b/>
          <w:color w:val="000000" w:themeColor="text1"/>
          <w:lang w:val="en-US"/>
        </w:rPr>
        <w:t>Michard</w:t>
      </w:r>
      <w:proofErr w:type="spellEnd"/>
      <w:r w:rsidRPr="00B27F7B">
        <w:rPr>
          <w:rFonts w:ascii="Book Antiqua" w:hAnsi="Book Antiqua" w:cs="Arial"/>
          <w:b/>
          <w:color w:val="000000" w:themeColor="text1"/>
          <w:lang w:val="en-US"/>
        </w:rPr>
        <w:t>, M</w:t>
      </w:r>
      <w:r w:rsidR="00253A84" w:rsidRPr="00B27F7B">
        <w:rPr>
          <w:rFonts w:ascii="Book Antiqua" w:hAnsi="Book Antiqua" w:cs="Arial"/>
          <w:b/>
          <w:color w:val="000000" w:themeColor="text1"/>
          <w:lang w:val="en-US"/>
        </w:rPr>
        <w:t>D</w:t>
      </w:r>
      <w:r w:rsidRPr="00B27F7B">
        <w:rPr>
          <w:rFonts w:ascii="Book Antiqua" w:hAnsi="Book Antiqua" w:cs="Arial"/>
          <w:b/>
          <w:color w:val="000000" w:themeColor="text1"/>
          <w:lang w:val="en-US"/>
        </w:rPr>
        <w:t>, Doctor,</w:t>
      </w:r>
      <w:r w:rsidRPr="00B27F7B">
        <w:rPr>
          <w:rFonts w:ascii="Book Antiqua" w:hAnsi="Book Antiqua" w:cs="Arial"/>
          <w:color w:val="000000" w:themeColor="text1"/>
          <w:lang w:val="en-US"/>
        </w:rPr>
        <w:t xml:space="preserve"> Service de </w:t>
      </w:r>
      <w:proofErr w:type="spellStart"/>
      <w:r w:rsidRPr="00B27F7B">
        <w:rPr>
          <w:rFonts w:ascii="Book Antiqua" w:hAnsi="Book Antiqua" w:cs="Arial"/>
          <w:color w:val="000000" w:themeColor="text1"/>
          <w:lang w:val="en-US"/>
        </w:rPr>
        <w:t>Réanimation</w:t>
      </w:r>
      <w:proofErr w:type="spellEnd"/>
      <w:r w:rsidRPr="00B27F7B">
        <w:rPr>
          <w:rFonts w:ascii="Book Antiqua" w:hAnsi="Book Antiqua" w:cs="Arial"/>
          <w:color w:val="000000" w:themeColor="text1"/>
          <w:lang w:val="en-US"/>
        </w:rPr>
        <w:t xml:space="preserve"> </w:t>
      </w:r>
      <w:proofErr w:type="spellStart"/>
      <w:r w:rsidRPr="00B27F7B">
        <w:rPr>
          <w:rFonts w:ascii="Book Antiqua" w:hAnsi="Book Antiqua" w:cs="Arial"/>
          <w:color w:val="000000" w:themeColor="text1"/>
          <w:lang w:val="en-US"/>
        </w:rPr>
        <w:t>Médicale</w:t>
      </w:r>
      <w:proofErr w:type="spellEnd"/>
      <w:r w:rsidRPr="00B27F7B">
        <w:rPr>
          <w:rFonts w:ascii="Book Antiqua" w:hAnsi="Book Antiqua" w:cs="Arial"/>
          <w:color w:val="000000" w:themeColor="text1"/>
          <w:lang w:val="en-US"/>
        </w:rPr>
        <w:t xml:space="preserve">, </w:t>
      </w:r>
      <w:proofErr w:type="spellStart"/>
      <w:r w:rsidR="00305046" w:rsidRPr="00B27F7B">
        <w:rPr>
          <w:rFonts w:ascii="Book Antiqua" w:hAnsi="Book Antiqua" w:cs="Arial"/>
          <w:color w:val="000000" w:themeColor="text1"/>
          <w:lang w:val="en-US"/>
        </w:rPr>
        <w:t>Hôpital</w:t>
      </w:r>
      <w:proofErr w:type="spellEnd"/>
      <w:r w:rsidR="00305046" w:rsidRPr="00B27F7B">
        <w:rPr>
          <w:rFonts w:ascii="Book Antiqua" w:hAnsi="Book Antiqua" w:cs="Arial"/>
          <w:color w:val="000000" w:themeColor="text1"/>
          <w:lang w:val="en-US"/>
        </w:rPr>
        <w:t xml:space="preserve"> de </w:t>
      </w:r>
      <w:proofErr w:type="spellStart"/>
      <w:r w:rsidR="00305046" w:rsidRPr="00B27F7B">
        <w:rPr>
          <w:rFonts w:ascii="Book Antiqua" w:hAnsi="Book Antiqua" w:cs="Arial"/>
          <w:color w:val="000000" w:themeColor="text1"/>
          <w:lang w:val="en-US"/>
        </w:rPr>
        <w:t>Hautepierre</w:t>
      </w:r>
      <w:proofErr w:type="spellEnd"/>
      <w:r w:rsidR="00305046" w:rsidRPr="00B27F7B">
        <w:rPr>
          <w:rFonts w:ascii="Book Antiqua" w:hAnsi="Book Antiqua" w:cs="Arial"/>
          <w:color w:val="000000" w:themeColor="text1"/>
          <w:lang w:val="en-US"/>
        </w:rPr>
        <w:t xml:space="preserve">, </w:t>
      </w:r>
      <w:proofErr w:type="spellStart"/>
      <w:r w:rsidR="00305046" w:rsidRPr="00B27F7B">
        <w:rPr>
          <w:rFonts w:ascii="Book Antiqua" w:hAnsi="Book Antiqua" w:cs="Arial"/>
          <w:color w:val="000000" w:themeColor="text1"/>
          <w:lang w:val="en-US"/>
        </w:rPr>
        <w:t>Hôpitaux</w:t>
      </w:r>
      <w:proofErr w:type="spellEnd"/>
      <w:r w:rsidR="00305046" w:rsidRPr="00B27F7B">
        <w:rPr>
          <w:rFonts w:ascii="Book Antiqua" w:hAnsi="Book Antiqua" w:cs="Arial"/>
          <w:color w:val="000000" w:themeColor="text1"/>
          <w:lang w:val="en-US"/>
        </w:rPr>
        <w:t xml:space="preserve"> </w:t>
      </w:r>
      <w:proofErr w:type="spellStart"/>
      <w:r w:rsidR="00305046" w:rsidRPr="00B27F7B">
        <w:rPr>
          <w:rFonts w:ascii="Book Antiqua" w:hAnsi="Book Antiqua" w:cs="Arial"/>
          <w:color w:val="000000" w:themeColor="text1"/>
          <w:lang w:val="en-US"/>
        </w:rPr>
        <w:t>Universitaires</w:t>
      </w:r>
      <w:proofErr w:type="spellEnd"/>
      <w:r w:rsidR="00305046" w:rsidRPr="00B27F7B">
        <w:rPr>
          <w:rFonts w:ascii="Book Antiqua" w:hAnsi="Book Antiqua" w:cs="Arial"/>
          <w:color w:val="000000" w:themeColor="text1"/>
          <w:lang w:val="en-US"/>
        </w:rPr>
        <w:t xml:space="preserve"> de Strasbourg,</w:t>
      </w:r>
      <w:r w:rsidRPr="00B27F7B">
        <w:rPr>
          <w:rFonts w:ascii="Book Antiqua" w:hAnsi="Book Antiqua" w:cs="Arial"/>
          <w:color w:val="000000" w:themeColor="text1"/>
          <w:lang w:val="en-US"/>
        </w:rPr>
        <w:t xml:space="preserve"> </w:t>
      </w:r>
      <w:r w:rsidR="00833E75" w:rsidRPr="00B27F7B">
        <w:rPr>
          <w:rFonts w:ascii="Book Antiqua" w:hAnsi="Book Antiqua" w:cs="Arial"/>
          <w:color w:val="000000" w:themeColor="text1"/>
          <w:lang w:val="en-US"/>
        </w:rPr>
        <w:t>1 Avenue Molière</w:t>
      </w:r>
      <w:r w:rsidRPr="00B27F7B">
        <w:rPr>
          <w:rFonts w:ascii="Book Antiqua" w:hAnsi="Book Antiqua" w:cs="Arial"/>
          <w:color w:val="000000" w:themeColor="text1"/>
          <w:lang w:val="en-US"/>
        </w:rPr>
        <w:t>,</w:t>
      </w:r>
      <w:r w:rsidR="00833E75" w:rsidRPr="00B27F7B">
        <w:rPr>
          <w:rFonts w:ascii="Book Antiqua" w:hAnsi="Book Antiqua" w:cs="Arial"/>
          <w:color w:val="000000" w:themeColor="text1"/>
          <w:lang w:val="en-US"/>
        </w:rPr>
        <w:t xml:space="preserve"> </w:t>
      </w:r>
      <w:r w:rsidRPr="00B27F7B">
        <w:rPr>
          <w:rFonts w:ascii="Book Antiqua" w:hAnsi="Book Antiqua" w:cs="Arial"/>
          <w:color w:val="000000" w:themeColor="text1"/>
          <w:lang w:val="en-US"/>
        </w:rPr>
        <w:t xml:space="preserve">Strasbourg 67000, </w:t>
      </w:r>
      <w:r w:rsidR="00833E75" w:rsidRPr="00B27F7B">
        <w:rPr>
          <w:rFonts w:ascii="Book Antiqua" w:hAnsi="Book Antiqua" w:cs="Arial"/>
          <w:color w:val="000000" w:themeColor="text1"/>
          <w:lang w:val="en-US"/>
        </w:rPr>
        <w:t>F</w:t>
      </w:r>
      <w:r w:rsidR="00907F73">
        <w:rPr>
          <w:rFonts w:ascii="Book Antiqua" w:hAnsi="Book Antiqua" w:cs="Arial"/>
          <w:color w:val="000000" w:themeColor="text1"/>
          <w:lang w:val="en-US"/>
        </w:rPr>
        <w:t>rance.</w:t>
      </w:r>
      <w:r w:rsidR="00833E75" w:rsidRPr="00B27F7B">
        <w:rPr>
          <w:rFonts w:ascii="Book Antiqua" w:hAnsi="Book Antiqua" w:cs="Arial"/>
          <w:color w:val="000000" w:themeColor="text1"/>
          <w:lang w:val="en-US"/>
        </w:rPr>
        <w:t xml:space="preserve"> </w:t>
      </w:r>
      <w:hyperlink r:id="rId13" w:history="1">
        <w:r w:rsidRPr="00B27F7B">
          <w:rPr>
            <w:rFonts w:ascii="Book Antiqua" w:hAnsi="Book Antiqua" w:cs="Arial"/>
            <w:color w:val="000000" w:themeColor="text1"/>
            <w:lang w:val="en-US"/>
          </w:rPr>
          <w:t xml:space="preserve">michard.baptiste@gmail.com </w:t>
        </w:r>
      </w:hyperlink>
    </w:p>
    <w:p w14:paraId="0EF48D31" w14:textId="382A70ED" w:rsidR="00833E75" w:rsidRPr="00B27F7B" w:rsidRDefault="00707081" w:rsidP="00383A0F">
      <w:pPr>
        <w:adjustRightInd w:val="0"/>
        <w:snapToGrid w:val="0"/>
        <w:spacing w:line="360" w:lineRule="auto"/>
        <w:jc w:val="both"/>
        <w:rPr>
          <w:rFonts w:ascii="Book Antiqua" w:hAnsi="Book Antiqua" w:cs="Arial"/>
          <w:color w:val="000000" w:themeColor="text1"/>
          <w:lang w:val="en-US"/>
        </w:rPr>
      </w:pPr>
      <w:r w:rsidRPr="00B27F7B">
        <w:rPr>
          <w:rFonts w:ascii="Book Antiqua" w:hAnsi="Book Antiqua" w:cs="Arial"/>
          <w:b/>
          <w:color w:val="000000" w:themeColor="text1"/>
          <w:lang w:val="en-US"/>
        </w:rPr>
        <w:t>Telep</w:t>
      </w:r>
      <w:r w:rsidR="001D4A3B" w:rsidRPr="00B27F7B">
        <w:rPr>
          <w:rFonts w:ascii="Book Antiqua" w:hAnsi="Book Antiqua" w:cs="Arial"/>
          <w:b/>
          <w:color w:val="000000" w:themeColor="text1"/>
          <w:lang w:val="en-US"/>
        </w:rPr>
        <w:t>hone</w:t>
      </w:r>
      <w:r w:rsidRPr="00B27F7B">
        <w:rPr>
          <w:rFonts w:ascii="Book Antiqua" w:hAnsi="Book Antiqua" w:cs="Arial"/>
          <w:b/>
          <w:color w:val="000000" w:themeColor="text1"/>
          <w:lang w:val="en-US"/>
        </w:rPr>
        <w:t>:</w:t>
      </w:r>
      <w:r w:rsidR="00B27F7B" w:rsidRPr="00B27F7B">
        <w:rPr>
          <w:rFonts w:ascii="Book Antiqua" w:hAnsi="Book Antiqua" w:cs="Arial"/>
          <w:b/>
          <w:color w:val="000000" w:themeColor="text1"/>
          <w:lang w:val="en-US"/>
        </w:rPr>
        <w:t xml:space="preserve"> </w:t>
      </w:r>
      <w:r w:rsidR="00B27F7B" w:rsidRPr="00B27F7B">
        <w:rPr>
          <w:rFonts w:ascii="Book Antiqua" w:hAnsi="Book Antiqua" w:cs="Arial"/>
          <w:color w:val="000000" w:themeColor="text1"/>
          <w:lang w:val="en-US"/>
        </w:rPr>
        <w:t>+33-</w:t>
      </w:r>
      <w:r w:rsidR="00454092" w:rsidRPr="00B27F7B">
        <w:rPr>
          <w:rFonts w:ascii="Book Antiqua" w:hAnsi="Book Antiqua" w:cs="Arial"/>
          <w:color w:val="000000" w:themeColor="text1"/>
          <w:lang w:val="en-US"/>
        </w:rPr>
        <w:t>388</w:t>
      </w:r>
      <w:r w:rsidR="00B27F7B" w:rsidRPr="00B27F7B">
        <w:rPr>
          <w:rFonts w:ascii="Book Antiqua" w:hAnsi="Book Antiqua" w:cs="Arial"/>
          <w:color w:val="000000" w:themeColor="text1"/>
          <w:lang w:val="en-US"/>
        </w:rPr>
        <w:t>-</w:t>
      </w:r>
      <w:r w:rsidR="00454092" w:rsidRPr="00B27F7B">
        <w:rPr>
          <w:rFonts w:ascii="Book Antiqua" w:hAnsi="Book Antiqua" w:cs="Arial"/>
          <w:color w:val="000000" w:themeColor="text1"/>
          <w:lang w:val="en-US"/>
        </w:rPr>
        <w:t>1282</w:t>
      </w:r>
      <w:r w:rsidR="00305046">
        <w:rPr>
          <w:rFonts w:ascii="Book Antiqua" w:hAnsi="Book Antiqua" w:cs="Arial"/>
          <w:color w:val="000000" w:themeColor="text1"/>
          <w:lang w:val="en-US"/>
        </w:rPr>
        <w:t>69</w:t>
      </w:r>
    </w:p>
    <w:p w14:paraId="17095FBB" w14:textId="40BE3269" w:rsidR="00707081" w:rsidRPr="00B27F7B" w:rsidRDefault="00707081" w:rsidP="00383A0F">
      <w:pPr>
        <w:adjustRightInd w:val="0"/>
        <w:snapToGrid w:val="0"/>
        <w:spacing w:line="360" w:lineRule="auto"/>
        <w:jc w:val="both"/>
        <w:rPr>
          <w:rFonts w:ascii="Book Antiqua" w:hAnsi="Book Antiqua" w:cs="Arial"/>
          <w:color w:val="000000" w:themeColor="text1"/>
          <w:lang w:val="en-US"/>
        </w:rPr>
      </w:pPr>
      <w:r w:rsidRPr="00B27F7B">
        <w:rPr>
          <w:rFonts w:ascii="Book Antiqua" w:hAnsi="Book Antiqua" w:cs="Arial"/>
          <w:b/>
          <w:color w:val="000000" w:themeColor="text1"/>
          <w:lang w:val="en-US"/>
        </w:rPr>
        <w:t xml:space="preserve">Fax: </w:t>
      </w:r>
      <w:r w:rsidR="008079FA" w:rsidRPr="00B27F7B">
        <w:rPr>
          <w:rFonts w:ascii="Book Antiqua" w:hAnsi="Book Antiqua" w:cs="Arial"/>
          <w:color w:val="000000" w:themeColor="text1"/>
          <w:lang w:val="en-US"/>
        </w:rPr>
        <w:t>+33</w:t>
      </w:r>
      <w:r w:rsidR="00B27F7B" w:rsidRPr="00B27F7B">
        <w:rPr>
          <w:rFonts w:ascii="Book Antiqua" w:hAnsi="Book Antiqua" w:cs="Arial"/>
          <w:color w:val="000000" w:themeColor="text1"/>
          <w:lang w:val="en-US"/>
        </w:rPr>
        <w:t>-</w:t>
      </w:r>
      <w:r w:rsidR="008079FA" w:rsidRPr="00B27F7B">
        <w:rPr>
          <w:rFonts w:ascii="Book Antiqua" w:hAnsi="Book Antiqua" w:cs="Arial"/>
          <w:color w:val="000000" w:themeColor="text1"/>
          <w:lang w:val="en-US"/>
        </w:rPr>
        <w:t>388</w:t>
      </w:r>
      <w:r w:rsidR="00B27F7B" w:rsidRPr="00B27F7B">
        <w:rPr>
          <w:rFonts w:ascii="Book Antiqua" w:hAnsi="Book Antiqua" w:cs="Arial"/>
          <w:color w:val="000000" w:themeColor="text1"/>
          <w:lang w:val="en-US"/>
        </w:rPr>
        <w:t>-</w:t>
      </w:r>
      <w:r w:rsidR="008079FA" w:rsidRPr="00B27F7B">
        <w:rPr>
          <w:rFonts w:ascii="Book Antiqua" w:hAnsi="Book Antiqua" w:cs="Arial"/>
          <w:color w:val="000000" w:themeColor="text1"/>
          <w:lang w:val="en-US"/>
        </w:rPr>
        <w:t>127908</w:t>
      </w:r>
    </w:p>
    <w:p w14:paraId="6142EE1C" w14:textId="77777777" w:rsidR="009E4B77" w:rsidRPr="00B27F7B" w:rsidRDefault="009E4B77" w:rsidP="00383A0F">
      <w:pPr>
        <w:adjustRightInd w:val="0"/>
        <w:snapToGrid w:val="0"/>
        <w:spacing w:line="360" w:lineRule="auto"/>
        <w:jc w:val="both"/>
        <w:rPr>
          <w:rFonts w:ascii="Book Antiqua" w:hAnsi="Book Antiqua" w:cs="Arial"/>
          <w:color w:val="000000" w:themeColor="text1"/>
          <w:lang w:val="en-US"/>
        </w:rPr>
      </w:pPr>
    </w:p>
    <w:p w14:paraId="4BE6A0F6" w14:textId="4413DBE5" w:rsidR="00B27F7B" w:rsidRPr="00B27F7B" w:rsidRDefault="00B27F7B" w:rsidP="000F1A83">
      <w:pPr>
        <w:adjustRightInd w:val="0"/>
        <w:snapToGrid w:val="0"/>
        <w:spacing w:line="360" w:lineRule="auto"/>
        <w:jc w:val="both"/>
        <w:outlineLvl w:val="0"/>
        <w:rPr>
          <w:rFonts w:ascii="Book Antiqua" w:hAnsi="Book Antiqua"/>
          <w:b/>
          <w:lang w:val="en-US"/>
        </w:rPr>
      </w:pPr>
      <w:bookmarkStart w:id="26" w:name="OLE_LINK14"/>
      <w:bookmarkStart w:id="27" w:name="OLE_LINK51"/>
      <w:bookmarkStart w:id="28" w:name="OLE_LINK27"/>
      <w:r w:rsidRPr="00B27F7B">
        <w:rPr>
          <w:rFonts w:ascii="Book Antiqua" w:hAnsi="Book Antiqua"/>
          <w:b/>
          <w:lang w:val="en-US"/>
        </w:rPr>
        <w:t xml:space="preserve">Received: </w:t>
      </w:r>
      <w:bookmarkStart w:id="29" w:name="OLE_LINK17"/>
      <w:r w:rsidRPr="00B27F7B">
        <w:rPr>
          <w:rFonts w:ascii="Book Antiqua" w:hAnsi="Book Antiqua"/>
          <w:lang w:val="en-US"/>
        </w:rPr>
        <w:t>September</w:t>
      </w:r>
      <w:r w:rsidRPr="00B27F7B">
        <w:rPr>
          <w:rFonts w:ascii="Book Antiqua" w:eastAsia="DengXian" w:hAnsi="Book Antiqua"/>
          <w:lang w:val="en-US"/>
        </w:rPr>
        <w:t xml:space="preserve"> 20</w:t>
      </w:r>
      <w:bookmarkEnd w:id="29"/>
      <w:r w:rsidRPr="00B27F7B">
        <w:rPr>
          <w:rFonts w:ascii="Book Antiqua" w:eastAsia="DengXian" w:hAnsi="Book Antiqua"/>
          <w:lang w:val="en-US"/>
        </w:rPr>
        <w:t>, 2018</w:t>
      </w:r>
    </w:p>
    <w:p w14:paraId="69B9ED62" w14:textId="01E99F20" w:rsidR="00B27F7B" w:rsidRPr="00B27F7B" w:rsidRDefault="00B27F7B" w:rsidP="000F1A83">
      <w:pPr>
        <w:adjustRightInd w:val="0"/>
        <w:snapToGrid w:val="0"/>
        <w:spacing w:line="360" w:lineRule="auto"/>
        <w:jc w:val="both"/>
        <w:outlineLvl w:val="0"/>
        <w:rPr>
          <w:rFonts w:ascii="Book Antiqua" w:eastAsia="DengXian" w:hAnsi="Book Antiqua"/>
          <w:b/>
          <w:lang w:val="en-US"/>
        </w:rPr>
      </w:pPr>
      <w:r w:rsidRPr="00B27F7B">
        <w:rPr>
          <w:rFonts w:ascii="Book Antiqua" w:hAnsi="Book Antiqua"/>
          <w:b/>
          <w:lang w:val="en-US"/>
        </w:rPr>
        <w:t>Peer-review started:</w:t>
      </w:r>
      <w:r w:rsidRPr="00B27F7B">
        <w:rPr>
          <w:rFonts w:ascii="Book Antiqua" w:eastAsia="DengXian" w:hAnsi="Book Antiqua"/>
          <w:b/>
          <w:lang w:val="en-US"/>
        </w:rPr>
        <w:t xml:space="preserve"> </w:t>
      </w:r>
      <w:r w:rsidRPr="00B27F7B">
        <w:rPr>
          <w:rFonts w:ascii="Book Antiqua" w:hAnsi="Book Antiqua"/>
          <w:lang w:val="en-US"/>
        </w:rPr>
        <w:t>September</w:t>
      </w:r>
      <w:r w:rsidRPr="00B27F7B">
        <w:rPr>
          <w:rFonts w:ascii="Book Antiqua" w:eastAsia="DengXian" w:hAnsi="Book Antiqua"/>
          <w:lang w:val="en-US"/>
        </w:rPr>
        <w:t xml:space="preserve"> 20, 2018</w:t>
      </w:r>
    </w:p>
    <w:p w14:paraId="1CD4B7A6" w14:textId="34DD92B3" w:rsidR="00B27F7B" w:rsidRPr="00B27F7B" w:rsidRDefault="00B27F7B" w:rsidP="000F1A83">
      <w:pPr>
        <w:adjustRightInd w:val="0"/>
        <w:snapToGrid w:val="0"/>
        <w:spacing w:line="360" w:lineRule="auto"/>
        <w:jc w:val="both"/>
        <w:outlineLvl w:val="0"/>
        <w:rPr>
          <w:rFonts w:ascii="Book Antiqua" w:eastAsia="DengXian" w:hAnsi="Book Antiqua"/>
          <w:b/>
          <w:lang w:val="en-US"/>
        </w:rPr>
      </w:pPr>
      <w:r w:rsidRPr="00B27F7B">
        <w:rPr>
          <w:rFonts w:ascii="Book Antiqua" w:hAnsi="Book Antiqua"/>
          <w:b/>
          <w:lang w:val="en-US"/>
        </w:rPr>
        <w:t>First decision:</w:t>
      </w:r>
      <w:r w:rsidRPr="00B27F7B">
        <w:rPr>
          <w:rFonts w:ascii="Book Antiqua" w:eastAsia="DengXian" w:hAnsi="Book Antiqua"/>
          <w:b/>
          <w:lang w:val="en-US"/>
        </w:rPr>
        <w:t xml:space="preserve"> </w:t>
      </w:r>
      <w:r w:rsidRPr="00B27F7B">
        <w:rPr>
          <w:rFonts w:ascii="Book Antiqua" w:hAnsi="Book Antiqua"/>
          <w:lang w:val="en-US"/>
        </w:rPr>
        <w:t>October</w:t>
      </w:r>
      <w:r w:rsidRPr="00B27F7B">
        <w:rPr>
          <w:rFonts w:ascii="Book Antiqua" w:eastAsia="DengXian" w:hAnsi="Book Antiqua"/>
          <w:lang w:val="en-US"/>
        </w:rPr>
        <w:t xml:space="preserve"> 11, 2018</w:t>
      </w:r>
    </w:p>
    <w:p w14:paraId="27961620" w14:textId="0362412F" w:rsidR="00B27F7B" w:rsidRPr="00B27F7B" w:rsidRDefault="00B27F7B" w:rsidP="00B27F7B">
      <w:pPr>
        <w:adjustRightInd w:val="0"/>
        <w:snapToGrid w:val="0"/>
        <w:spacing w:line="360" w:lineRule="auto"/>
        <w:jc w:val="both"/>
        <w:rPr>
          <w:rFonts w:ascii="Book Antiqua" w:hAnsi="Book Antiqua"/>
          <w:b/>
          <w:lang w:val="en-US"/>
        </w:rPr>
      </w:pPr>
      <w:r w:rsidRPr="00B27F7B">
        <w:rPr>
          <w:rFonts w:ascii="Book Antiqua" w:hAnsi="Book Antiqua"/>
          <w:b/>
          <w:lang w:val="en-US"/>
        </w:rPr>
        <w:t xml:space="preserve">Revised: </w:t>
      </w:r>
      <w:r w:rsidRPr="00B27F7B">
        <w:rPr>
          <w:rFonts w:ascii="Book Antiqua" w:hAnsi="Book Antiqua"/>
          <w:lang w:val="en-US"/>
        </w:rPr>
        <w:t xml:space="preserve">November 12, 2018 </w:t>
      </w:r>
    </w:p>
    <w:p w14:paraId="43DB93A7" w14:textId="02942E2D" w:rsidR="00B27F7B" w:rsidRPr="00B27F7B" w:rsidRDefault="00B27F7B" w:rsidP="000F1A83">
      <w:pPr>
        <w:adjustRightInd w:val="0"/>
        <w:snapToGrid w:val="0"/>
        <w:spacing w:line="360" w:lineRule="auto"/>
        <w:jc w:val="both"/>
        <w:outlineLvl w:val="0"/>
        <w:rPr>
          <w:rFonts w:ascii="Book Antiqua" w:hAnsi="Book Antiqua"/>
          <w:b/>
          <w:lang w:val="en-US"/>
        </w:rPr>
      </w:pPr>
      <w:r w:rsidRPr="00B27F7B">
        <w:rPr>
          <w:rFonts w:ascii="Book Antiqua" w:hAnsi="Book Antiqua"/>
          <w:b/>
          <w:lang w:val="en-US"/>
        </w:rPr>
        <w:t xml:space="preserve">Accepted: </w:t>
      </w:r>
      <w:r w:rsidR="00E86BB5" w:rsidRPr="00B27F7B">
        <w:rPr>
          <w:rFonts w:ascii="Book Antiqua" w:hAnsi="Book Antiqua"/>
          <w:lang w:val="en-US"/>
        </w:rPr>
        <w:t>November 1</w:t>
      </w:r>
      <w:r w:rsidR="00E86BB5">
        <w:rPr>
          <w:rFonts w:ascii="Book Antiqua" w:hAnsi="Book Antiqua"/>
          <w:lang w:val="en-US"/>
        </w:rPr>
        <w:t>3</w:t>
      </w:r>
      <w:r w:rsidR="00E86BB5" w:rsidRPr="00B27F7B">
        <w:rPr>
          <w:rFonts w:ascii="Book Antiqua" w:hAnsi="Book Antiqua"/>
          <w:lang w:val="en-US"/>
        </w:rPr>
        <w:t>, 2018</w:t>
      </w:r>
    </w:p>
    <w:p w14:paraId="59BC5930" w14:textId="14F03D92" w:rsidR="00B27F7B" w:rsidRPr="00B27F7B" w:rsidRDefault="00B27F7B" w:rsidP="000F1A83">
      <w:pPr>
        <w:adjustRightInd w:val="0"/>
        <w:snapToGrid w:val="0"/>
        <w:spacing w:line="360" w:lineRule="auto"/>
        <w:jc w:val="both"/>
        <w:outlineLvl w:val="0"/>
        <w:rPr>
          <w:rFonts w:ascii="Book Antiqua" w:hAnsi="Book Antiqua"/>
          <w:b/>
          <w:lang w:val="en-US"/>
        </w:rPr>
      </w:pPr>
      <w:r w:rsidRPr="00B27F7B">
        <w:rPr>
          <w:rFonts w:ascii="Book Antiqua" w:hAnsi="Book Antiqua"/>
          <w:b/>
          <w:lang w:val="en-US"/>
        </w:rPr>
        <w:t>Article in press:</w:t>
      </w:r>
      <w:r w:rsidR="00980B3B" w:rsidRPr="00B27F7B">
        <w:rPr>
          <w:rFonts w:ascii="Book Antiqua" w:hAnsi="Book Antiqua"/>
          <w:b/>
          <w:lang w:val="en-US"/>
        </w:rPr>
        <w:t xml:space="preserve"> </w:t>
      </w:r>
      <w:r w:rsidR="00980B3B" w:rsidRPr="00B27F7B">
        <w:rPr>
          <w:rFonts w:ascii="Book Antiqua" w:hAnsi="Book Antiqua"/>
          <w:lang w:val="en-US"/>
        </w:rPr>
        <w:t>November 1</w:t>
      </w:r>
      <w:r w:rsidR="00980B3B">
        <w:rPr>
          <w:rFonts w:ascii="Book Antiqua" w:hAnsi="Book Antiqua"/>
          <w:lang w:val="en-US"/>
        </w:rPr>
        <w:t>3</w:t>
      </w:r>
      <w:r w:rsidR="00980B3B" w:rsidRPr="00B27F7B">
        <w:rPr>
          <w:rFonts w:ascii="Book Antiqua" w:hAnsi="Book Antiqua"/>
          <w:lang w:val="en-US"/>
        </w:rPr>
        <w:t>, 2018</w:t>
      </w:r>
    </w:p>
    <w:p w14:paraId="3D05987C" w14:textId="3B138CF6" w:rsidR="00365775" w:rsidRPr="00980B3B" w:rsidRDefault="00B27F7B" w:rsidP="000F1A83">
      <w:pPr>
        <w:adjustRightInd w:val="0"/>
        <w:snapToGrid w:val="0"/>
        <w:spacing w:line="360" w:lineRule="auto"/>
        <w:jc w:val="both"/>
        <w:outlineLvl w:val="0"/>
        <w:rPr>
          <w:rFonts w:ascii="Book Antiqua" w:hAnsi="Book Antiqua" w:cs="Arial"/>
          <w:color w:val="000000" w:themeColor="text1"/>
          <w:lang w:val="en-US" w:eastAsia="zh-CN"/>
        </w:rPr>
      </w:pPr>
      <w:r w:rsidRPr="00B27F7B">
        <w:rPr>
          <w:rFonts w:ascii="Book Antiqua" w:hAnsi="Book Antiqua"/>
          <w:b/>
          <w:lang w:val="en-US"/>
        </w:rPr>
        <w:t>Published online:</w:t>
      </w:r>
      <w:bookmarkEnd w:id="26"/>
      <w:bookmarkEnd w:id="27"/>
      <w:bookmarkEnd w:id="28"/>
      <w:r w:rsidR="00980B3B">
        <w:rPr>
          <w:rFonts w:ascii="Book Antiqua" w:hAnsi="Book Antiqua" w:hint="eastAsia"/>
          <w:b/>
          <w:lang w:val="en-US" w:eastAsia="zh-CN"/>
        </w:rPr>
        <w:t xml:space="preserve"> </w:t>
      </w:r>
      <w:r w:rsidR="00980B3B" w:rsidRPr="00980B3B">
        <w:rPr>
          <w:rFonts w:ascii="Book Antiqua" w:hAnsi="Book Antiqua"/>
          <w:lang w:val="en-US" w:eastAsia="zh-CN"/>
        </w:rPr>
        <w:t>December 14, 2018</w:t>
      </w:r>
    </w:p>
    <w:p w14:paraId="2B84E7D3" w14:textId="77777777" w:rsidR="00707081" w:rsidRPr="00B27F7B" w:rsidRDefault="00707081" w:rsidP="00383A0F">
      <w:pPr>
        <w:adjustRightInd w:val="0"/>
        <w:snapToGrid w:val="0"/>
        <w:spacing w:line="360" w:lineRule="auto"/>
        <w:jc w:val="both"/>
        <w:rPr>
          <w:rFonts w:ascii="Book Antiqua" w:hAnsi="Book Antiqua" w:cs="Arial"/>
          <w:b/>
          <w:color w:val="000000" w:themeColor="text1"/>
          <w:lang w:val="en-US"/>
        </w:rPr>
      </w:pPr>
      <w:r w:rsidRPr="00B27F7B">
        <w:rPr>
          <w:rFonts w:ascii="Book Antiqua" w:hAnsi="Book Antiqua" w:cs="Arial"/>
          <w:b/>
          <w:color w:val="000000" w:themeColor="text1"/>
          <w:lang w:val="en-US"/>
        </w:rPr>
        <w:br w:type="page"/>
      </w:r>
    </w:p>
    <w:p w14:paraId="3564F41C" w14:textId="68AAA114" w:rsidR="00EC799E" w:rsidRPr="00B27F7B" w:rsidRDefault="00707081" w:rsidP="000F1A83">
      <w:pPr>
        <w:adjustRightInd w:val="0"/>
        <w:snapToGrid w:val="0"/>
        <w:spacing w:line="360" w:lineRule="auto"/>
        <w:jc w:val="both"/>
        <w:outlineLvl w:val="0"/>
        <w:rPr>
          <w:rFonts w:ascii="Book Antiqua" w:hAnsi="Book Antiqua" w:cs="Arial"/>
          <w:b/>
          <w:color w:val="000000" w:themeColor="text1"/>
          <w:lang w:val="en-US"/>
        </w:rPr>
      </w:pPr>
      <w:r w:rsidRPr="00B27F7B">
        <w:rPr>
          <w:rFonts w:ascii="Book Antiqua" w:hAnsi="Book Antiqua" w:cs="Arial"/>
          <w:b/>
          <w:color w:val="000000" w:themeColor="text1"/>
          <w:lang w:val="en-US"/>
        </w:rPr>
        <w:lastRenderedPageBreak/>
        <w:t>Abstract</w:t>
      </w:r>
    </w:p>
    <w:p w14:paraId="12DA68CC" w14:textId="1FC4E118" w:rsidR="00112072" w:rsidRPr="00383A0F" w:rsidRDefault="00EC799E" w:rsidP="00383A0F">
      <w:pPr>
        <w:adjustRightInd w:val="0"/>
        <w:snapToGrid w:val="0"/>
        <w:spacing w:line="360" w:lineRule="auto"/>
        <w:jc w:val="both"/>
        <w:rPr>
          <w:rFonts w:ascii="Book Antiqua" w:hAnsi="Book Antiqua" w:cs="Arial"/>
          <w:color w:val="000000" w:themeColor="text1"/>
          <w:lang w:val="en-US"/>
        </w:rPr>
      </w:pPr>
      <w:r w:rsidRPr="00B27F7B">
        <w:rPr>
          <w:rFonts w:ascii="Book Antiqua" w:hAnsi="Book Antiqua" w:cs="Arial"/>
          <w:color w:val="000000" w:themeColor="text1"/>
          <w:lang w:val="en-US"/>
        </w:rPr>
        <w:t xml:space="preserve">Liver transplantation for critically ill cirrhotic patients with acute deterioration of liver function associated with extrahepatic organ failures is controversial. While transplantation has been shown to be beneficial on an individual basis, the potentially poorer post-transplant outcome of these patients taken as a group can be held as an argument against allocating livers to them. Although this issue concerns only a minority of liver transplants, it </w:t>
      </w:r>
      <w:r w:rsidR="00537DA8" w:rsidRPr="00B27F7B">
        <w:rPr>
          <w:rFonts w:ascii="Book Antiqua" w:hAnsi="Book Antiqua" w:cs="Arial"/>
          <w:color w:val="000000" w:themeColor="text1"/>
          <w:lang w:val="en-US"/>
        </w:rPr>
        <w:t xml:space="preserve">calls into </w:t>
      </w:r>
      <w:r w:rsidRPr="00B27F7B">
        <w:rPr>
          <w:rFonts w:ascii="Book Antiqua" w:hAnsi="Book Antiqua" w:cs="Arial"/>
          <w:color w:val="000000" w:themeColor="text1"/>
          <w:lang w:val="en-US"/>
        </w:rPr>
        <w:t xml:space="preserve">question the very heart of the allocation paradigms in place. Indeed, most allocation algorithms have been centered on prioritizing the sickest patients by using the </w:t>
      </w:r>
      <w:bookmarkStart w:id="30" w:name="OLE_LINK18"/>
      <w:r w:rsidR="000F1A83">
        <w:rPr>
          <w:rFonts w:ascii="Book Antiqua" w:hAnsi="Book Antiqua" w:cs="Arial"/>
          <w:color w:val="000000" w:themeColor="text1"/>
          <w:lang w:val="en-US"/>
        </w:rPr>
        <w:t>m</w:t>
      </w:r>
      <w:r w:rsidR="001E6CA4" w:rsidRPr="00B27F7B">
        <w:rPr>
          <w:rFonts w:ascii="Book Antiqua" w:hAnsi="Book Antiqua" w:cs="Arial"/>
          <w:color w:val="000000" w:themeColor="text1"/>
          <w:lang w:val="en-US"/>
        </w:rPr>
        <w:t>odel for end-stage liver disease</w:t>
      </w:r>
      <w:bookmarkEnd w:id="30"/>
      <w:r w:rsidR="001E6CA4">
        <w:rPr>
          <w:rFonts w:ascii="Book Antiqua" w:hAnsi="Book Antiqua" w:cs="Arial"/>
          <w:color w:val="000000" w:themeColor="text1"/>
          <w:lang w:val="en-US"/>
        </w:rPr>
        <w:t xml:space="preserve"> </w:t>
      </w:r>
      <w:r w:rsidRPr="00B27F7B">
        <w:rPr>
          <w:rFonts w:ascii="Book Antiqua" w:hAnsi="Book Antiqua" w:cs="Arial"/>
          <w:color w:val="000000" w:themeColor="text1"/>
          <w:lang w:val="en-US"/>
        </w:rPr>
        <w:t xml:space="preserve">score. This has led to allocating increasing numbers of livers to increasingly critically ill patients without setting objective or consensual limits </w:t>
      </w:r>
      <w:r w:rsidR="00537DA8" w:rsidRPr="00B27F7B">
        <w:rPr>
          <w:rFonts w:ascii="Book Antiqua" w:hAnsi="Book Antiqua" w:cs="Arial"/>
          <w:color w:val="000000" w:themeColor="text1"/>
          <w:lang w:val="en-US"/>
        </w:rPr>
        <w:t>on</w:t>
      </w:r>
      <w:r w:rsidRPr="00B27F7B">
        <w:rPr>
          <w:rFonts w:ascii="Book Antiqua" w:hAnsi="Book Antiqua" w:cs="Arial"/>
          <w:color w:val="000000" w:themeColor="text1"/>
          <w:lang w:val="en-US"/>
        </w:rPr>
        <w:t xml:space="preserve"> how sick patients can be when they receive an organ. Today, finding robust criteria to deem certain cirrhotic patients too sick to be transplanted seems urgent in order to ensure the fairness of our organ allocation protocols.</w:t>
      </w:r>
      <w:r w:rsidR="000F1A83">
        <w:rPr>
          <w:rFonts w:ascii="Book Antiqua" w:hAnsi="Book Antiqua" w:cs="Arial"/>
          <w:color w:val="000000" w:themeColor="text1"/>
          <w:lang w:val="en-US"/>
        </w:rPr>
        <w:t xml:space="preserve"> </w:t>
      </w:r>
      <w:r w:rsidR="00354232" w:rsidRPr="00B27F7B">
        <w:rPr>
          <w:rFonts w:ascii="Book Antiqua" w:hAnsi="Book Antiqua" w:cs="Arial"/>
          <w:color w:val="000000" w:themeColor="text1"/>
          <w:lang w:val="en-US"/>
        </w:rPr>
        <w:t>This review starts by fleshing out the argument that finding such criteria is essential. It examines five types of difficulties that have hindered the progress of recent literature on this issue and identifies various strategies that could be followed to move forward on this topic, taking into account the rec</w:t>
      </w:r>
      <w:r w:rsidR="000F1A83">
        <w:rPr>
          <w:rFonts w:ascii="Book Antiqua" w:hAnsi="Book Antiqua" w:cs="Arial"/>
          <w:color w:val="000000" w:themeColor="text1"/>
          <w:lang w:val="en-US"/>
        </w:rPr>
        <w:t>ent discussion on a</w:t>
      </w:r>
      <w:r w:rsidR="00354232" w:rsidRPr="00383A0F">
        <w:rPr>
          <w:rFonts w:ascii="Book Antiqua" w:hAnsi="Book Antiqua" w:cs="Arial"/>
          <w:color w:val="000000" w:themeColor="text1"/>
          <w:lang w:val="en-US"/>
        </w:rPr>
        <w:t>cute on chronic liver failure. We move on to review the literature along four axes that could guide clinicians in their decision-making process regarding transplantation of critically ill cirrhotic patients.</w:t>
      </w:r>
    </w:p>
    <w:p w14:paraId="004ED427" w14:textId="77777777" w:rsidR="00707081" w:rsidRPr="00383A0F" w:rsidRDefault="00707081" w:rsidP="00383A0F">
      <w:pPr>
        <w:adjustRightInd w:val="0"/>
        <w:snapToGrid w:val="0"/>
        <w:spacing w:line="360" w:lineRule="auto"/>
        <w:jc w:val="both"/>
        <w:rPr>
          <w:rFonts w:ascii="Book Antiqua" w:hAnsi="Book Antiqua" w:cs="Arial"/>
          <w:color w:val="000000" w:themeColor="text1"/>
          <w:lang w:val="en-US"/>
        </w:rPr>
      </w:pPr>
    </w:p>
    <w:p w14:paraId="4B689B95" w14:textId="0ACD9D3B" w:rsidR="00707081" w:rsidRPr="00383A0F" w:rsidRDefault="000F1A83"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b/>
          <w:color w:val="000000" w:themeColor="text1"/>
          <w:lang w:val="en-US"/>
        </w:rPr>
        <w:t>Key words</w:t>
      </w:r>
      <w:r w:rsidR="00707081" w:rsidRPr="00383A0F">
        <w:rPr>
          <w:rFonts w:ascii="Book Antiqua" w:hAnsi="Book Antiqua" w:cs="Arial"/>
          <w:b/>
          <w:color w:val="000000" w:themeColor="text1"/>
          <w:lang w:val="en-US"/>
        </w:rPr>
        <w:t xml:space="preserve">: </w:t>
      </w:r>
      <w:r w:rsidR="00707081" w:rsidRPr="00383A0F">
        <w:rPr>
          <w:rFonts w:ascii="Book Antiqua" w:hAnsi="Book Antiqua" w:cs="Arial"/>
          <w:color w:val="000000" w:themeColor="text1"/>
          <w:lang w:val="en-US"/>
        </w:rPr>
        <w:t>Liver transplantation; Cirrhosis; Acute on chronic liver failure; Critical; Intensive; Ethical; Intubation; Organ failure; Sepsis</w:t>
      </w:r>
    </w:p>
    <w:p w14:paraId="6B2D7EDC" w14:textId="77777777" w:rsidR="00707081" w:rsidRDefault="00707081" w:rsidP="00383A0F">
      <w:pPr>
        <w:adjustRightInd w:val="0"/>
        <w:snapToGrid w:val="0"/>
        <w:spacing w:line="360" w:lineRule="auto"/>
        <w:jc w:val="both"/>
        <w:rPr>
          <w:rFonts w:ascii="Book Antiqua" w:hAnsi="Book Antiqua" w:cs="Arial"/>
          <w:color w:val="000000" w:themeColor="text1"/>
          <w:lang w:val="en-US"/>
        </w:rPr>
      </w:pPr>
    </w:p>
    <w:p w14:paraId="0D158C1F" w14:textId="16B4F664" w:rsidR="000F1A83" w:rsidRDefault="000F1A83" w:rsidP="00383A0F">
      <w:pPr>
        <w:adjustRightInd w:val="0"/>
        <w:snapToGrid w:val="0"/>
        <w:spacing w:line="360" w:lineRule="auto"/>
        <w:jc w:val="both"/>
        <w:rPr>
          <w:rFonts w:ascii="Book Antiqua" w:hAnsi="Book Antiqua"/>
        </w:rPr>
      </w:pPr>
      <w:bookmarkStart w:id="31" w:name="OLE_LINK43"/>
      <w:bookmarkStart w:id="32" w:name="OLE_LINK44"/>
      <w:r>
        <w:rPr>
          <w:rFonts w:ascii="Book Antiqua" w:hAnsi="Book Antiqua"/>
          <w:b/>
        </w:rPr>
        <w:t>© The Author(s) 2018</w:t>
      </w:r>
      <w:r w:rsidRPr="00A37D48">
        <w:rPr>
          <w:rFonts w:ascii="Book Antiqua" w:hAnsi="Book Antiqua"/>
          <w:b/>
        </w:rPr>
        <w:t xml:space="preserve">. </w:t>
      </w:r>
      <w:r w:rsidRPr="00A37D48">
        <w:rPr>
          <w:rFonts w:ascii="Book Antiqua" w:hAnsi="Book Antiqua"/>
        </w:rPr>
        <w:t>Published by Baishideng Publishing Group Inc. All rights reserved.</w:t>
      </w:r>
      <w:bookmarkEnd w:id="31"/>
      <w:bookmarkEnd w:id="32"/>
    </w:p>
    <w:p w14:paraId="375D239C" w14:textId="77777777" w:rsidR="000F1A83" w:rsidRPr="00383A0F" w:rsidRDefault="000F1A83" w:rsidP="00383A0F">
      <w:pPr>
        <w:adjustRightInd w:val="0"/>
        <w:snapToGrid w:val="0"/>
        <w:spacing w:line="360" w:lineRule="auto"/>
        <w:jc w:val="both"/>
        <w:rPr>
          <w:rFonts w:ascii="Book Antiqua" w:hAnsi="Book Antiqua" w:cs="Arial"/>
          <w:color w:val="000000" w:themeColor="text1"/>
          <w:lang w:val="en-US"/>
        </w:rPr>
      </w:pPr>
    </w:p>
    <w:p w14:paraId="151AC0EB" w14:textId="70263126" w:rsidR="00707081" w:rsidRPr="00383A0F" w:rsidRDefault="000F1A83" w:rsidP="00383A0F">
      <w:pPr>
        <w:adjustRightInd w:val="0"/>
        <w:snapToGrid w:val="0"/>
        <w:spacing w:line="360" w:lineRule="auto"/>
        <w:jc w:val="both"/>
        <w:rPr>
          <w:rFonts w:ascii="Book Antiqua" w:eastAsia="Times New Roman" w:hAnsi="Book Antiqua" w:cs="Times New Roman"/>
          <w:color w:val="000000" w:themeColor="text1"/>
          <w:lang w:val="en-US"/>
        </w:rPr>
      </w:pPr>
      <w:r>
        <w:rPr>
          <w:rFonts w:ascii="Book Antiqua" w:hAnsi="Book Antiqua" w:cs="Arial"/>
          <w:b/>
          <w:color w:val="000000" w:themeColor="text1"/>
          <w:lang w:val="en-US"/>
        </w:rPr>
        <w:t>Core tip</w:t>
      </w:r>
      <w:r w:rsidR="00707081" w:rsidRPr="00383A0F">
        <w:rPr>
          <w:rFonts w:ascii="Book Antiqua" w:hAnsi="Book Antiqua" w:cs="Arial"/>
          <w:b/>
          <w:color w:val="000000" w:themeColor="text1"/>
          <w:lang w:val="en-US"/>
        </w:rPr>
        <w:t xml:space="preserve">: </w:t>
      </w:r>
      <w:r w:rsidR="00707081" w:rsidRPr="00383A0F">
        <w:rPr>
          <w:rFonts w:ascii="Book Antiqua" w:eastAsia="Times New Roman" w:hAnsi="Book Antiqua" w:cs="Times New Roman"/>
          <w:color w:val="000000" w:themeColor="text1"/>
          <w:lang w:val="en-US"/>
        </w:rPr>
        <w:t>Liver transplantation</w:t>
      </w:r>
      <w:r w:rsidR="0083090A">
        <w:rPr>
          <w:rFonts w:ascii="Book Antiqua" w:eastAsia="Times New Roman" w:hAnsi="Book Antiqua" w:cs="Times New Roman"/>
          <w:color w:val="000000" w:themeColor="text1"/>
          <w:lang w:val="en-US"/>
        </w:rPr>
        <w:t xml:space="preserve"> (LT)</w:t>
      </w:r>
      <w:r w:rsidR="00707081" w:rsidRPr="00383A0F">
        <w:rPr>
          <w:rFonts w:ascii="Book Antiqua" w:eastAsia="Times New Roman" w:hAnsi="Book Antiqua" w:cs="Times New Roman"/>
          <w:color w:val="000000" w:themeColor="text1"/>
          <w:lang w:val="en-US"/>
        </w:rPr>
        <w:t xml:space="preserve"> for critically ill cirrhotic patients is a controversial topic. While transplantation benefits these patients individually, the post-transplant mortality rate of this population taken as a whole is an argument against transplanting </w:t>
      </w:r>
      <w:r w:rsidR="009222E6" w:rsidRPr="00383A0F">
        <w:rPr>
          <w:rFonts w:ascii="Book Antiqua" w:eastAsia="Times New Roman" w:hAnsi="Book Antiqua" w:cs="Times New Roman"/>
          <w:color w:val="000000" w:themeColor="text1"/>
          <w:lang w:val="en-US"/>
        </w:rPr>
        <w:t>them</w:t>
      </w:r>
      <w:r w:rsidR="00707081" w:rsidRPr="00383A0F">
        <w:rPr>
          <w:rFonts w:ascii="Book Antiqua" w:eastAsia="Times New Roman" w:hAnsi="Book Antiqua" w:cs="Times New Roman"/>
          <w:color w:val="000000" w:themeColor="text1"/>
          <w:lang w:val="en-US"/>
        </w:rPr>
        <w:t xml:space="preserve">. This issue is particularly pressing in a time when the paradigm dominating </w:t>
      </w:r>
      <w:r w:rsidR="0083090A">
        <w:rPr>
          <w:rFonts w:ascii="Book Antiqua" w:eastAsia="Times New Roman" w:hAnsi="Book Antiqua" w:cs="Times New Roman"/>
          <w:color w:val="000000" w:themeColor="text1"/>
          <w:lang w:val="en-US"/>
        </w:rPr>
        <w:t>LT</w:t>
      </w:r>
      <w:r w:rsidR="00707081" w:rsidRPr="00383A0F">
        <w:rPr>
          <w:rFonts w:ascii="Book Antiqua" w:eastAsia="Times New Roman" w:hAnsi="Book Antiqua" w:cs="Times New Roman"/>
          <w:color w:val="000000" w:themeColor="text1"/>
          <w:lang w:val="en-US"/>
        </w:rPr>
        <w:t xml:space="preserve"> algorithms is based on the </w:t>
      </w:r>
      <w:r w:rsidR="009222E6" w:rsidRPr="00383A0F">
        <w:rPr>
          <w:rFonts w:ascii="Book Antiqua" w:eastAsia="Times New Roman" w:hAnsi="Book Antiqua" w:cs="Times New Roman"/>
          <w:color w:val="000000" w:themeColor="text1"/>
          <w:lang w:val="en-US"/>
        </w:rPr>
        <w:t>m</w:t>
      </w:r>
      <w:r w:rsidR="00274305" w:rsidRPr="00383A0F">
        <w:rPr>
          <w:rFonts w:ascii="Book Antiqua" w:eastAsia="Times New Roman" w:hAnsi="Book Antiqua" w:cs="Times New Roman"/>
          <w:color w:val="000000" w:themeColor="text1"/>
          <w:lang w:val="en-US"/>
        </w:rPr>
        <w:t xml:space="preserve">odel for end-stage liver </w:t>
      </w:r>
      <w:r w:rsidR="00274305" w:rsidRPr="00383A0F">
        <w:rPr>
          <w:rFonts w:ascii="Book Antiqua" w:eastAsia="Times New Roman" w:hAnsi="Book Antiqua" w:cs="Times New Roman"/>
          <w:color w:val="000000" w:themeColor="text1"/>
          <w:lang w:val="en-US"/>
        </w:rPr>
        <w:lastRenderedPageBreak/>
        <w:t xml:space="preserve">disease </w:t>
      </w:r>
      <w:r w:rsidR="00707081" w:rsidRPr="00383A0F">
        <w:rPr>
          <w:rFonts w:ascii="Book Antiqua" w:eastAsia="Times New Roman" w:hAnsi="Book Antiqua" w:cs="Times New Roman"/>
          <w:color w:val="000000" w:themeColor="text1"/>
          <w:lang w:val="en-US"/>
        </w:rPr>
        <w:t>score, which prioritizes the sickest patients. Balancing individual benefits against collective utility is complex, especially given the absence of guidelines. This review examines the literature that can guide clinicians who treat critically ill patients and who decide to transplant them or not.</w:t>
      </w:r>
    </w:p>
    <w:p w14:paraId="07258D4E" w14:textId="77777777" w:rsidR="00707081" w:rsidRPr="00383A0F" w:rsidRDefault="00707081" w:rsidP="00383A0F">
      <w:pPr>
        <w:adjustRightInd w:val="0"/>
        <w:snapToGrid w:val="0"/>
        <w:spacing w:line="360" w:lineRule="auto"/>
        <w:jc w:val="both"/>
        <w:rPr>
          <w:rFonts w:ascii="Book Antiqua" w:hAnsi="Book Antiqua" w:cs="Arial"/>
          <w:color w:val="000000" w:themeColor="text1"/>
          <w:lang w:val="en-US"/>
        </w:rPr>
      </w:pPr>
    </w:p>
    <w:p w14:paraId="25F0E862" w14:textId="064A5C8E" w:rsidR="00980B3B" w:rsidRPr="00980B3B" w:rsidRDefault="00980B3B" w:rsidP="00980B3B">
      <w:pPr>
        <w:adjustRightInd w:val="0"/>
        <w:snapToGrid w:val="0"/>
        <w:spacing w:line="360" w:lineRule="auto"/>
        <w:jc w:val="both"/>
        <w:rPr>
          <w:rFonts w:ascii="Book Antiqua" w:hAnsi="Book Antiqua" w:cs="Times New Roman"/>
          <w:color w:val="000000" w:themeColor="text1"/>
          <w:lang w:val="en-US"/>
        </w:rPr>
      </w:pPr>
      <w:r w:rsidRPr="00980B3B">
        <w:rPr>
          <w:rFonts w:ascii="Book Antiqua" w:hAnsi="Book Antiqua" w:cs="Arial"/>
          <w:b/>
          <w:color w:val="000000" w:themeColor="text1"/>
          <w:lang w:val="en-US"/>
        </w:rPr>
        <w:t>Citation:</w:t>
      </w:r>
      <w:r>
        <w:rPr>
          <w:rFonts w:ascii="Book Antiqua" w:hAnsi="Book Antiqua" w:cs="Arial" w:hint="eastAsia"/>
          <w:color w:val="000000" w:themeColor="text1"/>
          <w:lang w:val="en-US" w:eastAsia="zh-CN"/>
        </w:rPr>
        <w:t xml:space="preserve"> </w:t>
      </w:r>
      <w:proofErr w:type="spellStart"/>
      <w:r w:rsidR="004172F9" w:rsidRPr="00383A0F">
        <w:rPr>
          <w:rFonts w:ascii="Book Antiqua" w:hAnsi="Book Antiqua" w:cs="Arial"/>
          <w:color w:val="000000" w:themeColor="text1"/>
          <w:lang w:val="en-US"/>
        </w:rPr>
        <w:t>Artzner</w:t>
      </w:r>
      <w:proofErr w:type="spellEnd"/>
      <w:r w:rsidR="004172F9" w:rsidRPr="00383A0F">
        <w:rPr>
          <w:rFonts w:ascii="Book Antiqua" w:hAnsi="Book Antiqua" w:cs="Arial"/>
          <w:color w:val="000000" w:themeColor="text1"/>
          <w:lang w:val="en-US"/>
        </w:rPr>
        <w:t xml:space="preserve"> T, </w:t>
      </w:r>
      <w:proofErr w:type="spellStart"/>
      <w:r w:rsidR="004172F9" w:rsidRPr="00383A0F">
        <w:rPr>
          <w:rFonts w:ascii="Book Antiqua" w:hAnsi="Book Antiqua" w:cs="Arial"/>
          <w:color w:val="000000" w:themeColor="text1"/>
          <w:lang w:val="en-US"/>
        </w:rPr>
        <w:t>Michard</w:t>
      </w:r>
      <w:proofErr w:type="spellEnd"/>
      <w:r w:rsidR="004172F9" w:rsidRPr="00383A0F">
        <w:rPr>
          <w:rFonts w:ascii="Book Antiqua" w:hAnsi="Book Antiqua" w:cs="Arial"/>
          <w:color w:val="000000" w:themeColor="text1"/>
          <w:lang w:val="en-US"/>
        </w:rPr>
        <w:t xml:space="preserve"> B</w:t>
      </w:r>
      <w:r w:rsidR="000F1A83">
        <w:rPr>
          <w:rFonts w:ascii="Book Antiqua" w:hAnsi="Book Antiqua" w:cs="Arial"/>
          <w:color w:val="000000" w:themeColor="text1"/>
          <w:lang w:val="en-US"/>
        </w:rPr>
        <w:t xml:space="preserve">, </w:t>
      </w:r>
      <w:proofErr w:type="spellStart"/>
      <w:r w:rsidR="000F1A83">
        <w:rPr>
          <w:rFonts w:ascii="Book Antiqua" w:hAnsi="Book Antiqua" w:cs="Arial"/>
          <w:color w:val="000000" w:themeColor="text1"/>
          <w:lang w:val="en-US"/>
        </w:rPr>
        <w:t>Besch</w:t>
      </w:r>
      <w:proofErr w:type="spellEnd"/>
      <w:r w:rsidR="000F1A83">
        <w:rPr>
          <w:rFonts w:ascii="Book Antiqua" w:hAnsi="Book Antiqua" w:cs="Arial"/>
          <w:color w:val="000000" w:themeColor="text1"/>
          <w:lang w:val="en-US"/>
        </w:rPr>
        <w:t xml:space="preserve"> C, Levesque E, </w:t>
      </w:r>
      <w:proofErr w:type="spellStart"/>
      <w:r w:rsidR="000F1A83">
        <w:rPr>
          <w:rFonts w:ascii="Book Antiqua" w:hAnsi="Book Antiqua" w:cs="Arial"/>
          <w:color w:val="000000" w:themeColor="text1"/>
          <w:lang w:val="en-US"/>
        </w:rPr>
        <w:t>Faitot</w:t>
      </w:r>
      <w:proofErr w:type="spellEnd"/>
      <w:r w:rsidR="000F1A83">
        <w:rPr>
          <w:rFonts w:ascii="Book Antiqua" w:hAnsi="Book Antiqua" w:cs="Arial"/>
          <w:color w:val="000000" w:themeColor="text1"/>
          <w:lang w:val="en-US"/>
        </w:rPr>
        <w:t xml:space="preserve"> F.</w:t>
      </w:r>
      <w:r w:rsidR="004172F9" w:rsidRPr="00383A0F">
        <w:rPr>
          <w:rFonts w:ascii="Book Antiqua" w:hAnsi="Book Antiqua" w:cs="Arial"/>
          <w:color w:val="000000" w:themeColor="text1"/>
          <w:lang w:val="en-US"/>
        </w:rPr>
        <w:t xml:space="preserve"> </w:t>
      </w:r>
      <w:r w:rsidR="007440CA" w:rsidRPr="000F1A83">
        <w:rPr>
          <w:rFonts w:ascii="Book Antiqua" w:hAnsi="Book Antiqua" w:cs="Arial"/>
          <w:color w:val="000000" w:themeColor="text1"/>
          <w:lang w:val="en-US"/>
        </w:rPr>
        <w:t>Liver transplantation for critically ill cirrhotic patients: Overview and pragmatic proposals</w:t>
      </w:r>
      <w:r w:rsidR="000F1A83" w:rsidRPr="000F1A83">
        <w:rPr>
          <w:rFonts w:ascii="Book Antiqua" w:hAnsi="Book Antiqua" w:cs="Arial"/>
          <w:color w:val="000000" w:themeColor="text1"/>
          <w:lang w:val="en-US"/>
        </w:rPr>
        <w:t>.</w:t>
      </w:r>
      <w:r w:rsidR="004172F9" w:rsidRPr="00383A0F">
        <w:rPr>
          <w:rFonts w:ascii="Book Antiqua" w:hAnsi="Book Antiqua" w:cs="Arial"/>
          <w:color w:val="000000" w:themeColor="text1"/>
          <w:lang w:val="en-US"/>
        </w:rPr>
        <w:t xml:space="preserve"> </w:t>
      </w:r>
      <w:r w:rsidRPr="00980B3B">
        <w:rPr>
          <w:rFonts w:ascii="Book Antiqua" w:hAnsi="Book Antiqua" w:cs="Times New Roman"/>
          <w:i/>
          <w:color w:val="000000" w:themeColor="text1"/>
          <w:lang w:val="en-US"/>
        </w:rPr>
        <w:t xml:space="preserve">World J </w:t>
      </w:r>
      <w:proofErr w:type="spellStart"/>
      <w:r w:rsidRPr="00980B3B">
        <w:rPr>
          <w:rFonts w:ascii="Book Antiqua" w:hAnsi="Book Antiqua" w:cs="Times New Roman"/>
          <w:i/>
          <w:color w:val="000000" w:themeColor="text1"/>
          <w:lang w:val="en-US"/>
        </w:rPr>
        <w:t>Gastroenterol</w:t>
      </w:r>
      <w:proofErr w:type="spellEnd"/>
      <w:r w:rsidRPr="00980B3B">
        <w:rPr>
          <w:rFonts w:ascii="Book Antiqua" w:hAnsi="Book Antiqua" w:cs="Times New Roman"/>
          <w:i/>
          <w:color w:val="000000" w:themeColor="text1"/>
          <w:lang w:val="en-US"/>
        </w:rPr>
        <w:t xml:space="preserve"> </w:t>
      </w:r>
      <w:r>
        <w:rPr>
          <w:rFonts w:ascii="Book Antiqua" w:hAnsi="Book Antiqua" w:cs="Times New Roman"/>
          <w:color w:val="000000" w:themeColor="text1"/>
          <w:lang w:val="en-US"/>
        </w:rPr>
        <w:t>2018; 24(46):</w:t>
      </w:r>
      <w:r>
        <w:rPr>
          <w:rFonts w:ascii="Book Antiqua" w:hAnsi="Book Antiqua" w:cs="Times New Roman" w:hint="eastAsia"/>
          <w:color w:val="000000" w:themeColor="text1"/>
          <w:lang w:val="en-US" w:eastAsia="zh-CN"/>
        </w:rPr>
        <w:t xml:space="preserve"> </w:t>
      </w:r>
      <w:r w:rsidRPr="00980B3B">
        <w:rPr>
          <w:rFonts w:ascii="Book Antiqua" w:hAnsi="Book Antiqua" w:cs="Times New Roman"/>
          <w:color w:val="000000" w:themeColor="text1"/>
          <w:lang w:val="en-US"/>
        </w:rPr>
        <w:t>5203-5214</w:t>
      </w:r>
    </w:p>
    <w:p w14:paraId="260FB3C5" w14:textId="77777777" w:rsidR="00980B3B" w:rsidRPr="00980B3B" w:rsidRDefault="00980B3B" w:rsidP="00980B3B">
      <w:pPr>
        <w:adjustRightInd w:val="0"/>
        <w:snapToGrid w:val="0"/>
        <w:spacing w:line="360" w:lineRule="auto"/>
        <w:jc w:val="both"/>
        <w:rPr>
          <w:rFonts w:ascii="Book Antiqua" w:hAnsi="Book Antiqua" w:cs="Times New Roman"/>
          <w:color w:val="000000" w:themeColor="text1"/>
          <w:lang w:val="en-US"/>
        </w:rPr>
      </w:pPr>
      <w:r w:rsidRPr="00DC6961">
        <w:rPr>
          <w:rFonts w:ascii="Book Antiqua" w:hAnsi="Book Antiqua" w:cs="Times New Roman"/>
          <w:b/>
          <w:color w:val="000000" w:themeColor="text1"/>
          <w:lang w:val="en-US"/>
        </w:rPr>
        <w:t>URL:</w:t>
      </w:r>
      <w:r w:rsidRPr="00980B3B">
        <w:rPr>
          <w:rFonts w:ascii="Book Antiqua" w:hAnsi="Book Antiqua" w:cs="Times New Roman"/>
          <w:color w:val="000000" w:themeColor="text1"/>
          <w:lang w:val="en-US"/>
        </w:rPr>
        <w:t xml:space="preserve"> https://wjgnet.com/1007-9327/full/v24/i46/5203.htm</w:t>
      </w:r>
    </w:p>
    <w:p w14:paraId="0BBF1649" w14:textId="437060F0" w:rsidR="00707081" w:rsidRPr="00383A0F" w:rsidRDefault="00980B3B" w:rsidP="00980B3B">
      <w:pPr>
        <w:adjustRightInd w:val="0"/>
        <w:snapToGrid w:val="0"/>
        <w:spacing w:line="360" w:lineRule="auto"/>
        <w:jc w:val="both"/>
        <w:rPr>
          <w:rFonts w:ascii="Book Antiqua" w:hAnsi="Book Antiqua" w:cs="Arial"/>
          <w:color w:val="000000" w:themeColor="text1"/>
          <w:lang w:val="en-US"/>
        </w:rPr>
      </w:pPr>
      <w:bookmarkStart w:id="33" w:name="_GoBack"/>
      <w:r w:rsidRPr="00DC6961">
        <w:rPr>
          <w:rFonts w:ascii="Book Antiqua" w:hAnsi="Book Antiqua" w:cs="Times New Roman"/>
          <w:b/>
          <w:color w:val="000000" w:themeColor="text1"/>
          <w:lang w:val="en-US"/>
        </w:rPr>
        <w:t>DOI:</w:t>
      </w:r>
      <w:bookmarkEnd w:id="33"/>
      <w:r w:rsidRPr="00980B3B">
        <w:rPr>
          <w:rFonts w:ascii="Book Antiqua" w:hAnsi="Book Antiqua" w:cs="Times New Roman"/>
          <w:color w:val="000000" w:themeColor="text1"/>
          <w:lang w:val="en-US"/>
        </w:rPr>
        <w:t xml:space="preserve"> https://dx.doi.org/10.3748/wjg.v24.i46.5203</w:t>
      </w:r>
      <w:r w:rsidR="00707081" w:rsidRPr="00383A0F">
        <w:rPr>
          <w:rFonts w:ascii="Book Antiqua" w:hAnsi="Book Antiqua" w:cs="Arial"/>
          <w:color w:val="000000" w:themeColor="text1"/>
          <w:lang w:val="en-US"/>
        </w:rPr>
        <w:br w:type="page"/>
      </w:r>
    </w:p>
    <w:p w14:paraId="52217780" w14:textId="4D64CCC5" w:rsidR="00023166" w:rsidRPr="00383A0F" w:rsidRDefault="00707081"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color w:val="000000" w:themeColor="text1"/>
          <w:lang w:val="en-US"/>
        </w:rPr>
        <w:lastRenderedPageBreak/>
        <w:t>INTRODUCTIO</w:t>
      </w:r>
      <w:r w:rsidR="000662B7" w:rsidRPr="00383A0F">
        <w:rPr>
          <w:rFonts w:ascii="Book Antiqua" w:hAnsi="Book Antiqua" w:cs="Arial"/>
          <w:b/>
          <w:color w:val="000000" w:themeColor="text1"/>
          <w:lang w:val="en-US"/>
        </w:rPr>
        <w:t>N</w:t>
      </w:r>
    </w:p>
    <w:p w14:paraId="23D7837B" w14:textId="024E6BFD" w:rsidR="00674755" w:rsidRPr="00383A0F" w:rsidRDefault="000F1A83"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The m</w:t>
      </w:r>
      <w:r w:rsidR="003F3FD6" w:rsidRPr="00383A0F">
        <w:rPr>
          <w:rFonts w:ascii="Book Antiqua" w:hAnsi="Book Antiqua" w:cs="Arial"/>
          <w:color w:val="000000" w:themeColor="text1"/>
          <w:lang w:val="en-US"/>
        </w:rPr>
        <w:t>odel for end-s</w:t>
      </w:r>
      <w:r w:rsidR="00674755" w:rsidRPr="00383A0F">
        <w:rPr>
          <w:rFonts w:ascii="Book Antiqua" w:hAnsi="Book Antiqua" w:cs="Arial"/>
          <w:color w:val="000000" w:themeColor="text1"/>
          <w:lang w:val="en-US"/>
        </w:rPr>
        <w:t xml:space="preserve">tage liver disease (MELD) score, which has proven to be a good predictor of </w:t>
      </w:r>
      <w:r w:rsidR="008E4D59" w:rsidRPr="00383A0F">
        <w:rPr>
          <w:rFonts w:ascii="Book Antiqua" w:hAnsi="Book Antiqua" w:cs="Arial"/>
          <w:color w:val="000000" w:themeColor="text1"/>
          <w:lang w:val="en-US"/>
        </w:rPr>
        <w:t>transplant-free</w:t>
      </w:r>
      <w:r w:rsidR="00674755" w:rsidRPr="00383A0F">
        <w:rPr>
          <w:rFonts w:ascii="Book Antiqua" w:hAnsi="Book Antiqua" w:cs="Arial"/>
          <w:color w:val="000000" w:themeColor="text1"/>
          <w:lang w:val="en-US"/>
        </w:rPr>
        <w:t xml:space="preserve"> mortality for patients </w:t>
      </w:r>
      <w:r w:rsidR="002E73FE" w:rsidRPr="00383A0F">
        <w:rPr>
          <w:rFonts w:ascii="Book Antiqua" w:hAnsi="Book Antiqua" w:cs="Arial"/>
          <w:color w:val="000000" w:themeColor="text1"/>
          <w:lang w:val="en-US"/>
        </w:rPr>
        <w:t>with cirrhosis</w:t>
      </w:r>
      <w:r w:rsidR="008E4D59" w:rsidRPr="00383A0F">
        <w:rPr>
          <w:rFonts w:ascii="Book Antiqua" w:hAnsi="Book Antiqua" w:cs="Arial"/>
          <w:color w:val="000000" w:themeColor="text1"/>
          <w:lang w:val="en-US"/>
        </w:rPr>
        <w:t xml:space="preserve"> </w:t>
      </w:r>
      <w:r w:rsidR="000B1D6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{"citationID":"3XXoW0X2","properties":{"formattedCitation":"\\super [1]\\nosupersub{}","plainCitation":"[1]","noteIndex":0},"citationItems":[{"id":473,"uris":["http://zotero.org/users/local/BE2xVPev/items/TGVLPHII"],"uri":["http://zotero.org/users/local/BE2xVPev/items/TGVLPHII"],"itemData":{"id":473,"type":"article-journal","title":"Model for end-stage liver disease (MELD) and allocation of donor livers","container-title":"Gastroenterology","page":"91-96","volume":"124","issue":"1","source":"PubMed","abstract":"BACKGROUND &amp; AIMS: A consensus has been reached that liver donor allocation should be based primarily on liver disease severity and that waiting time should not be a major determining factor. Our aim was to assess the capability of the Model for End-Stage Liver Disease (MELD) score to correctly rank potential liver recipients according to their severity of liver disease and mortality risk on the OPTN liver waiting list.\nMETHODS: The MELD model predicts liver disease severity based on serum creatinine, serum total bilirubin, and INR and has been shown to be useful in predicting mortality in patients with compensated and decompensated cirrhosis. In this study, we prospectively applied the MELD score to estimate 3-month mortality to 3437 adult liver transplant candidates with chronic liver disease who were added to the OPTN waiting list at 2A or 2B status between November, 1999, and December, 2001.\nRESULTS: In this study cohort with chronic liver disease, 412 (12%) died during the 3-month follow-up period. Waiting list mortality increased directly in proportion to the listing MELD score. Patients having a MELD score &lt;9 experienced a 1.9% mortality, whereas patients having a MELD score &gt; or =40 had a mortality rate of 71.3%. Using the c-statistic with 3-month mortality as the end point, the area under the receiver operating characteristic (ROC) curve for the MELD score was 0.83 compared with 0.76 for the Child-Turcotte-Pugh (CTP) score (P &lt; 0.001).\nCONCLUSIONS: These data suggest that the MELD score is able to accurately predict 3-month mortality among patients with chronic liver disease on the liver waiting list and can be applied for allocation of donor livers.","DOI":"10.1053/gast.2003.50016","ISSN":"0016-5085","note":"PMID: 12512033","journalAbbreviation":"Gastroenterology","language":"eng","author":[{"family":"Wiesner","given":"Russell"},{"family":"Edwards","given":"Erick"},{"family":"Freeman","given":"Richard"},{"family":"Harper","given":"Ann"},{"family":"Kim","given":"Ray"},{"family":"Kamath","given":"Patrick"},{"family":"Kremers","given":"Walter"},{"family":"Lake","given":"John"},{"family":"Howard","given":"Todd"},{"family":"Merion","given":"Robert M."},{"family":"Wolfe","given":"Robert A."},{"family":"Krom","given":"Ruud"},{"literal":"United Network for Organ Sharing Liver Disease Severity Score Committee"}],"issued":{"date-parts":[["2003",1]]}}}],"schema":"https://github.com/citation-style-language/schema/raw/master/csl-citation.json"} </w:instrText>
      </w:r>
      <w:r w:rsidR="000B1D6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w:t>
      </w:r>
      <w:r w:rsidR="000B1D6F" w:rsidRPr="00383A0F">
        <w:rPr>
          <w:rFonts w:ascii="Book Antiqua" w:hAnsi="Book Antiqua" w:cs="Arial"/>
          <w:color w:val="000000" w:themeColor="text1"/>
          <w:lang w:val="en-US"/>
        </w:rPr>
        <w:fldChar w:fldCharType="end"/>
      </w:r>
      <w:r w:rsidR="003F3FD6" w:rsidRPr="00383A0F">
        <w:rPr>
          <w:rFonts w:ascii="Book Antiqua" w:hAnsi="Book Antiqua" w:cs="Arial"/>
          <w:color w:val="000000" w:themeColor="text1"/>
          <w:lang w:val="en-US"/>
        </w:rPr>
        <w:t>, has been</w:t>
      </w:r>
      <w:r w:rsidR="00674755" w:rsidRPr="00383A0F">
        <w:rPr>
          <w:rFonts w:ascii="Book Antiqua" w:hAnsi="Book Antiqua" w:cs="Arial"/>
          <w:color w:val="000000" w:themeColor="text1"/>
          <w:lang w:val="en-US"/>
        </w:rPr>
        <w:t xml:space="preserve"> widely used to prioritize </w:t>
      </w:r>
      <w:r w:rsidR="005656C1" w:rsidRPr="00383A0F">
        <w:rPr>
          <w:rFonts w:ascii="Book Antiqua" w:hAnsi="Book Antiqua" w:cs="Arial"/>
          <w:color w:val="000000" w:themeColor="text1"/>
          <w:lang w:val="en-US"/>
        </w:rPr>
        <w:t>liver transplantation (</w:t>
      </w:r>
      <w:r w:rsidR="00674755" w:rsidRPr="00383A0F">
        <w:rPr>
          <w:rFonts w:ascii="Book Antiqua" w:hAnsi="Book Antiqua" w:cs="Arial"/>
          <w:color w:val="000000" w:themeColor="text1"/>
          <w:lang w:val="en-US"/>
        </w:rPr>
        <w:t>LT</w:t>
      </w:r>
      <w:r w:rsidR="005656C1" w:rsidRPr="00383A0F">
        <w:rPr>
          <w:rFonts w:ascii="Book Antiqua" w:hAnsi="Book Antiqua" w:cs="Arial"/>
          <w:color w:val="000000" w:themeColor="text1"/>
          <w:lang w:val="en-US"/>
        </w:rPr>
        <w:t>)</w:t>
      </w:r>
      <w:r w:rsidR="00674755" w:rsidRPr="00383A0F">
        <w:rPr>
          <w:rFonts w:ascii="Book Antiqua" w:hAnsi="Book Antiqua" w:cs="Arial"/>
          <w:color w:val="000000" w:themeColor="text1"/>
          <w:lang w:val="en-US"/>
        </w:rPr>
        <w:t xml:space="preserve"> candidates around the world since 2002, when it was first int</w:t>
      </w:r>
      <w:r w:rsidR="0083090A">
        <w:rPr>
          <w:rFonts w:ascii="Book Antiqua" w:hAnsi="Book Antiqua" w:cs="Arial"/>
          <w:color w:val="000000" w:themeColor="text1"/>
          <w:lang w:val="en-US"/>
        </w:rPr>
        <w:t>roduced by the U</w:t>
      </w:r>
      <w:r w:rsidR="0083090A" w:rsidRPr="00383A0F">
        <w:rPr>
          <w:rFonts w:ascii="Book Antiqua" w:hAnsi="Book Antiqua" w:cs="Arial"/>
          <w:color w:val="000000" w:themeColor="text1"/>
          <w:lang w:val="en-US"/>
        </w:rPr>
        <w:t xml:space="preserve">nited Network For Organ Sharing </w:t>
      </w:r>
      <w:r w:rsidR="00674755" w:rsidRPr="00383A0F">
        <w:rPr>
          <w:rFonts w:ascii="Book Antiqua" w:hAnsi="Book Antiqua" w:cs="Arial"/>
          <w:color w:val="000000" w:themeColor="text1"/>
          <w:lang w:val="en-US"/>
        </w:rPr>
        <w:t>(UNOS) in the United States. This simple, celebrated score is the cornerstone of the allocati</w:t>
      </w:r>
      <w:r w:rsidR="00BB2328" w:rsidRPr="00383A0F">
        <w:rPr>
          <w:rFonts w:ascii="Book Antiqua" w:hAnsi="Book Antiqua" w:cs="Arial"/>
          <w:color w:val="000000" w:themeColor="text1"/>
          <w:lang w:val="en-US"/>
        </w:rPr>
        <w:t>on paradigm that prevails today. This paradigm is</w:t>
      </w:r>
      <w:r w:rsidR="00674755" w:rsidRPr="00383A0F">
        <w:rPr>
          <w:rFonts w:ascii="Book Antiqua" w:hAnsi="Book Antiqua" w:cs="Arial"/>
          <w:color w:val="000000" w:themeColor="text1"/>
          <w:lang w:val="en-US"/>
        </w:rPr>
        <w:t xml:space="preserve"> based on the idea</w:t>
      </w:r>
      <w:r w:rsidR="00BB2328" w:rsidRPr="00383A0F">
        <w:rPr>
          <w:rFonts w:ascii="Book Antiqua" w:hAnsi="Book Antiqua" w:cs="Arial"/>
          <w:color w:val="000000" w:themeColor="text1"/>
          <w:lang w:val="en-US"/>
        </w:rPr>
        <w:t>s</w:t>
      </w:r>
      <w:r w:rsidR="00674755" w:rsidRPr="00383A0F">
        <w:rPr>
          <w:rFonts w:ascii="Book Antiqua" w:hAnsi="Book Antiqua" w:cs="Arial"/>
          <w:color w:val="000000" w:themeColor="text1"/>
          <w:lang w:val="en-US"/>
        </w:rPr>
        <w:t xml:space="preserve"> that patients with the highest MELD scores have the highest 3-mo waitlist mortality rate and that they receive the greates</w:t>
      </w:r>
      <w:r w:rsidR="00BB2328" w:rsidRPr="00383A0F">
        <w:rPr>
          <w:rFonts w:ascii="Book Antiqua" w:hAnsi="Book Antiqua" w:cs="Arial"/>
          <w:color w:val="000000" w:themeColor="text1"/>
          <w:lang w:val="en-US"/>
        </w:rPr>
        <w:t>t benefit from LT. I</w:t>
      </w:r>
      <w:r w:rsidR="00674755" w:rsidRPr="00383A0F">
        <w:rPr>
          <w:rFonts w:ascii="Book Antiqua" w:hAnsi="Book Antiqua" w:cs="Arial"/>
          <w:color w:val="000000" w:themeColor="text1"/>
          <w:lang w:val="en-US"/>
        </w:rPr>
        <w:t>t helps</w:t>
      </w:r>
      <w:r w:rsidR="00BB2328" w:rsidRPr="00383A0F">
        <w:rPr>
          <w:rFonts w:ascii="Book Antiqua" w:hAnsi="Book Antiqua" w:cs="Arial"/>
          <w:color w:val="000000" w:themeColor="text1"/>
          <w:lang w:val="en-US"/>
        </w:rPr>
        <w:t xml:space="preserve"> to</w:t>
      </w:r>
      <w:r w:rsidR="00674755" w:rsidRPr="00383A0F">
        <w:rPr>
          <w:rFonts w:ascii="Book Antiqua" w:hAnsi="Book Antiqua" w:cs="Arial"/>
          <w:color w:val="000000" w:themeColor="text1"/>
          <w:lang w:val="en-US"/>
        </w:rPr>
        <w:t xml:space="preserve"> ensure that the sickest patients are transplanted first</w:t>
      </w:r>
      <w:r w:rsidR="00BB2328" w:rsidRPr="00383A0F">
        <w:rPr>
          <w:rFonts w:ascii="Book Antiqua" w:hAnsi="Book Antiqua" w:cs="Arial"/>
          <w:color w:val="000000" w:themeColor="text1"/>
          <w:lang w:val="en-US"/>
        </w:rPr>
        <w:t xml:space="preserve"> and</w:t>
      </w:r>
      <w:r w:rsidR="002E73FE" w:rsidRPr="00383A0F">
        <w:rPr>
          <w:rFonts w:ascii="Book Antiqua" w:hAnsi="Book Antiqua" w:cs="Arial"/>
          <w:color w:val="000000" w:themeColor="text1"/>
          <w:lang w:val="en-US"/>
        </w:rPr>
        <w:t xml:space="preserve"> prevents</w:t>
      </w:r>
      <w:r w:rsidR="00674755" w:rsidRPr="00383A0F">
        <w:rPr>
          <w:rFonts w:ascii="Book Antiqua" w:hAnsi="Book Antiqua" w:cs="Arial"/>
          <w:color w:val="000000" w:themeColor="text1"/>
          <w:lang w:val="en-US"/>
        </w:rPr>
        <w:t xml:space="preserve"> “</w:t>
      </w:r>
      <w:r w:rsidR="001951B3" w:rsidRPr="00383A0F">
        <w:rPr>
          <w:rFonts w:ascii="Book Antiqua" w:hAnsi="Book Antiqua" w:cs="Arial"/>
          <w:color w:val="000000" w:themeColor="text1"/>
          <w:lang w:val="en-US"/>
        </w:rPr>
        <w:t>deleterious</w:t>
      </w:r>
      <w:r w:rsidR="00674755" w:rsidRPr="00383A0F">
        <w:rPr>
          <w:rFonts w:ascii="Book Antiqua" w:hAnsi="Book Antiqua" w:cs="Arial"/>
          <w:color w:val="000000" w:themeColor="text1"/>
          <w:lang w:val="en-US"/>
        </w:rPr>
        <w:t xml:space="preserve">” </w:t>
      </w:r>
      <w:r w:rsidR="001951B3" w:rsidRPr="00383A0F">
        <w:rPr>
          <w:rFonts w:ascii="Book Antiqua" w:hAnsi="Book Antiqua" w:cs="Arial"/>
          <w:color w:val="000000" w:themeColor="text1"/>
          <w:lang w:val="en-US"/>
        </w:rPr>
        <w:t>LT in patients with low</w:t>
      </w:r>
      <w:r w:rsidR="00BB2328" w:rsidRPr="00383A0F">
        <w:rPr>
          <w:rFonts w:ascii="Book Antiqua" w:hAnsi="Book Antiqua" w:cs="Arial"/>
          <w:color w:val="000000" w:themeColor="text1"/>
          <w:lang w:val="en-US"/>
        </w:rPr>
        <w:t xml:space="preserve"> M</w:t>
      </w:r>
      <w:r w:rsidR="001951B3" w:rsidRPr="00383A0F">
        <w:rPr>
          <w:rFonts w:ascii="Book Antiqua" w:hAnsi="Book Antiqua" w:cs="Arial"/>
          <w:color w:val="000000" w:themeColor="text1"/>
          <w:lang w:val="en-US"/>
        </w:rPr>
        <w:t>ELD scores</w:t>
      </w:r>
      <w:r w:rsidR="000B1D6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{"citationID":"hVHXPCPY","properties":{"formattedCitation":"\\super [2]\\nosupersub{}","plainCitation":"[2]","noteIndex":0},"citationItems":[{"id":477,"uris":["http://zotero.org/users/local/BE2xVPev/items/ULMSAIET"],"uri":["http://zotero.org/users/local/BE2xVPev/items/ULMSAIET"],"itemData":{"id":477,"type":"article-journal","title":"Model for end-stage liver disease: did the new liver allocation policy affect waiting list mortality?","container-title":"Archives of Surgery (Chicago, Ill.: 1960)","page":"1079-1085","volume":"142","issue":"11","source":"PubMed","abstract":"OBJECTIVE: To examine the impact of the Model for End-stage Liver Disease (MELD) on waiting list mortality.\nDESIGN: Interrupted time series with a nominal inception point of the intervention on February 27, 2002.\nSETTING: United Network for Organ Sharing Standard Transplant Analysis and Research file data from March 1, 1999, to July 30, 2004.\nPARTICIPANTS: All adult candidates on the waiting list for liver transplantation in the United States during the study period.\nINTERVENTION: Implementation of the MELD policy.\nMAIN OUTCOME MEASURES: Waiting list mortality, waiting time to transplantation, number of new registrants, and posttransplantation survival.\nRESULTS: Although no preintervention trend was identified, the policy change was associated with an immediate effect of increasing waiting list mortality by 2.2 deaths per 1000 registrants per month (from approximately 11 to 13 deaths per 1000 registrants per month; 95% confidence interval [CI], 1.1 to 3.4; P = .001) followed by a postintervention decline in waiting list mortality over time (-0.09 death per 1000 registrants per month; 95% CI, -0.16 to -0.03; P &lt;.001). An immediate effect of decreased waiting time was also noted (from approximately 294 to 250 days; -44.4 days; 95% CI, -77.1 to -11.7 days; P &lt;.001), which reached a new, lower postintervention steady state. The intervention had no effect on the number of new registrants listed per month or on 3- and 6-month posttransplantation survival.\nCONCLUSION: After an initial increase in waiting list mortality, the implementation of the MELD-based allocation policy was associated with an overall decline in waiting list mortality and time to transplantation.","DOI":"10.1001/archsurg.142.11.1079","ISSN":"1538-3644","note":"PMID: 18025337","shortTitle":"Model for end-stage liver disease","journalAbbreviation":"Arch Surg","language":"eng","author":[{"family":"Austin","given":"Mary T."},{"family":"Poulose","given":"Benjamin K."},{"family":"Ray","given":"Wayne A."},{"family":"Arbogast","given":"Patrick G."},{"family":"Feurer","given":"Irene D."},{"family":"Pinson","given":"C. Wright"}],"issued":{"date-parts":[["2007",11]]}}}],"schema":"https://github.com/citation-style-language/schema/raw/master/csl-citation.json"} </w:instrText>
      </w:r>
      <w:r w:rsidR="000B1D6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w:t>
      </w:r>
      <w:r w:rsidR="000B1D6F" w:rsidRPr="00383A0F">
        <w:rPr>
          <w:rFonts w:ascii="Book Antiqua" w:hAnsi="Book Antiqua" w:cs="Arial"/>
          <w:color w:val="000000" w:themeColor="text1"/>
          <w:lang w:val="en-US"/>
        </w:rPr>
        <w:fldChar w:fldCharType="end"/>
      </w:r>
      <w:r w:rsidR="00674755" w:rsidRPr="00383A0F">
        <w:rPr>
          <w:rFonts w:ascii="Book Antiqua" w:hAnsi="Book Antiqua" w:cs="Arial"/>
          <w:color w:val="000000" w:themeColor="text1"/>
          <w:lang w:val="en-US"/>
        </w:rPr>
        <w:t xml:space="preserve"> .</w:t>
      </w:r>
    </w:p>
    <w:p w14:paraId="76329D1C" w14:textId="202C6127" w:rsidR="00630999"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674755" w:rsidRPr="00383A0F">
        <w:rPr>
          <w:rFonts w:ascii="Book Antiqua" w:hAnsi="Book Antiqua" w:cs="Arial"/>
          <w:color w:val="000000" w:themeColor="text1"/>
          <w:lang w:val="en-US"/>
        </w:rPr>
        <w:t xml:space="preserve">This strategy has led to </w:t>
      </w:r>
      <w:r w:rsidR="00630999" w:rsidRPr="00383A0F">
        <w:rPr>
          <w:rFonts w:ascii="Book Antiqua" w:hAnsi="Book Antiqua" w:cs="Arial"/>
          <w:color w:val="000000" w:themeColor="text1"/>
          <w:lang w:val="en-US"/>
        </w:rPr>
        <w:t>allocating transplants to increasingly severe</w:t>
      </w:r>
      <w:r w:rsidR="00674755" w:rsidRPr="00383A0F">
        <w:rPr>
          <w:rFonts w:ascii="Book Antiqua" w:hAnsi="Book Antiqua" w:cs="Arial"/>
          <w:color w:val="000000" w:themeColor="text1"/>
          <w:lang w:val="en-US"/>
        </w:rPr>
        <w:t xml:space="preserve"> patients</w:t>
      </w:r>
      <w:r w:rsidR="000B1D6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{"citationID":"EO6lbfK4","properties":{"formattedCitation":"\\super [3]\\nosupersub{}","plainCitation":"[3]","noteIndex":0},"citationItems":[{"id":481,"uris":["http://zotero.org/users/local/BE2xVPev/items/XTWYRCR2"],"uri":["http://zotero.org/users/local/BE2xVPev/items/XTWYRCR2"],"itemData":{"id":481,"type":"article-journal","title":"Impact of dialysis and older age on survival after liver transplantation","container-title":"American Journal of Transplantation: Official Journal of the American Society of Transplantation and the American Society of Transplant Surgeons","page":"2183-2190","volume":"6","issue":"9","source":"PubMed","abstract":"Because creatinine is heavily weighed in the MELD (model for end-stage liver disease) score, we sought to determine the impact of MELD-based organ allocation on outcomes after transplantation in the pre- and post-MELD eras, focusing on recipients over age 65 on dialysis prior to transplant. A total of 20 196 patients from the UNOS database were analyzed. Comparing the pre-MELD to MELD era, there was a 41% increase in patients on dialysis (p&lt;0.0001), and a 117% increase in combined liver/kidney transplants (p&lt;0.0001). In the pre-MELD era, 1-year patient survival in recipients greater and less than age 65 on dialysis who received liver transplant alone was 56.8% and 76.4%, respectively (p=0.13). In the MELD era these rates were 50.7% and 77.8% (p=0.04). In the pre-MELD era, 1-year patient survival in recipients greater and less than age 65 on dialysis who underwent combined liver/kidney transplantation was 25.0% and 83.2%, respectively (p=0.0002). In the MELD era, these rates were 67.0% and 82.5% (p=0.18). In conclusion, a greater proportion of patients in the MELD era are on dialysis prior to transplant, and more receive combined liver/kidney transplants compared with the pre-MELD era. Candidates over age 65 who are on dialysis at the time of transplant have decreased survival after isolated liver transplantation.","DOI":"10.1111/j.1600-6143.2006.01454.x","ISSN":"1600-6135","note":"PMID: 16827789","journalAbbreviation":"Am. J. Transplant.","language":"eng","author":[{"family":"Dellon","given":"E. S."},{"family":"Galanko","given":"J. A."},{"family":"Medapalli","given":"R. K."},{"family":"Russo","given":"M. W."}],"issued":{"date-parts":[["2006",9]]}}}],"schema":"https://github.com/citation-style-language/schema/raw/master/csl-citation.json"} </w:instrText>
      </w:r>
      <w:r w:rsidR="000B1D6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w:t>
      </w:r>
      <w:r w:rsidR="000B1D6F" w:rsidRPr="00383A0F">
        <w:rPr>
          <w:rFonts w:ascii="Book Antiqua" w:hAnsi="Book Antiqua" w:cs="Arial"/>
          <w:color w:val="000000" w:themeColor="text1"/>
          <w:lang w:val="en-US"/>
        </w:rPr>
        <w:fldChar w:fldCharType="end"/>
      </w:r>
      <w:r w:rsidR="00630999" w:rsidRPr="00383A0F">
        <w:rPr>
          <w:rFonts w:ascii="Book Antiqua" w:hAnsi="Book Antiqua" w:cs="Arial"/>
          <w:color w:val="000000" w:themeColor="text1"/>
          <w:lang w:val="en-US"/>
        </w:rPr>
        <w:t xml:space="preserve"> and some authors have argued that such a practice leads to poorer </w:t>
      </w:r>
      <w:r w:rsidR="0001260B" w:rsidRPr="00383A0F">
        <w:rPr>
          <w:rFonts w:ascii="Book Antiqua" w:hAnsi="Book Antiqua" w:cs="Arial"/>
          <w:color w:val="000000" w:themeColor="text1"/>
          <w:lang w:val="en-US"/>
        </w:rPr>
        <w:t>post-transplant</w:t>
      </w:r>
      <w:r w:rsidR="00630999" w:rsidRPr="00383A0F">
        <w:rPr>
          <w:rFonts w:ascii="Book Antiqua" w:hAnsi="Book Antiqua" w:cs="Arial"/>
          <w:color w:val="000000" w:themeColor="text1"/>
          <w:lang w:val="en-US"/>
        </w:rPr>
        <w:t xml:space="preserve"> results</w:t>
      </w:r>
      <w:r w:rsidR="000B1D6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{"citationID":"o11D3K4q","properties":{"formattedCitation":"\\super [4]\\nosupersub{}","plainCitation":"[4]","noteIndex":0},"citationItems":[{"id":479,"uris":["http://zotero.org/users/local/BE2xVPev/items/M92NPLMJ"],"uri":["http://zotero.org/users/local/BE2xVPev/items/M92NPLMJ"],"itemData":{"id":479,"type":"article-journal","title":"Multicentric evaluation of model for end-stage liver disease-based allocation and survival after liver transplantation in Germany--limitations of the 'sickest first'-concept","container-title":"Transplant International: Official Journal of the European Society for Organ Transplantation","page":"91-99","volume":"24","issue":"1","source":"PubMed","abstract":"Since the introduction of model for end-stage liver disease (MELD) in 2006, post-orthotopic liver transplantation (OLT) survival in Germany has declined. The aim of this study was to evaluate risk factors and prognostic scores for outcome. All adult OLT recipients in seven German transplant centers after MELD implementation (December 2006-December 2007) were included. Recipient data were analyzed for their influence on 1-year outcome. A total of 462 patients (mean calculated MELD = 20.5, follow-up: 1 year) were transplanted for alcoholic cirrhosis (33.1%), hepatocellular carcinoma (26.6%), Hepatitis-C (17.1%), Hepatitis-B (9.5%), primary sclerosing cholangitis (5.6%) and late graft-failure after first OLT before December 2006 (8.7%). 1-year patient survival was 75.8% (graft survival 71.2%) correlating with MELD parameters and serum choline esterase. MELD score &gt;30 [odds ratio (OR) = 4.17, confidence interval: 2.57-6.78, 12-month survival = 52.6%, c-statistic = 0.669], hyponatremia (OR = 2.07), and pre-OLT hemodialysis (OR = 2.35) were the main death risk factors. In alcoholic cirrhosis (n = 153, mean MELD = 21.1) and hepatocellular carcinoma (n = 123, mean MELD = 13.5), serum bilirubin and the survival after liver transplantation score were independent outcome parameters, respectively. MELD &gt;30 currently represents a major risk factor for outcome. Risk factors differ in individual patient subgroups. In the current German practice of organ allocation to sicker patients, outcome prediction should be considered to prevent results below acceptable standards.","DOI":"10.1111/j.1432-2277.2010.01161.x","ISSN":"1432-2277","note":"PMID: 20819196","journalAbbreviation":"Transpl. Int.","language":"eng","author":[{"family":"Weismüller","given":"Tobias J."},{"family":"Fikatas","given":"Panagiotis"},{"family":"Schmidt","given":"Jan"},{"family":"Barreiros","given":"Ana P."},{"family":"Otto","given":"Gerd"},{"family":"Beckebaum","given":"Susanne"},{"family":"Paul","given":"Andreas"},{"family":"Scherer","given":"Markus N."},{"family":"Schmidt","given":"Hartmut H."},{"family":"Schlitt","given":"Hans J."},{"family":"Neuhaus","given":"Peter"},{"family":"Klempnauer","given":"Jürgen"},{"family":"Pratschke","given":"Johann"},{"family":"Manns","given":"Michael P."},{"family":"Strassburg","given":"Christian P."}],"issued":{"date-parts":[["2011",1]]}}}],"schema":"https://github.com/citation-style-language/schema/raw/master/csl-citation.json"} </w:instrText>
      </w:r>
      <w:r w:rsidR="000B1D6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w:t>
      </w:r>
      <w:r w:rsidR="000B1D6F" w:rsidRPr="00383A0F">
        <w:rPr>
          <w:rFonts w:ascii="Book Antiqua" w:hAnsi="Book Antiqua" w:cs="Arial"/>
          <w:color w:val="000000" w:themeColor="text1"/>
          <w:lang w:val="en-US"/>
        </w:rPr>
        <w:fldChar w:fldCharType="end"/>
      </w:r>
      <w:r w:rsidR="00630999" w:rsidRPr="00383A0F">
        <w:rPr>
          <w:rFonts w:ascii="Book Antiqua" w:hAnsi="Book Antiqua" w:cs="Arial"/>
          <w:color w:val="000000" w:themeColor="text1"/>
          <w:lang w:val="en-US"/>
        </w:rPr>
        <w:t xml:space="preserve">. </w:t>
      </w:r>
      <w:r w:rsidR="00E96809" w:rsidRPr="00383A0F">
        <w:rPr>
          <w:rFonts w:ascii="Book Antiqua" w:hAnsi="Book Antiqua" w:cs="Arial"/>
          <w:color w:val="000000" w:themeColor="text1"/>
          <w:lang w:val="en-US"/>
        </w:rPr>
        <w:t>To this day, and a</w:t>
      </w:r>
      <w:r w:rsidR="00630999" w:rsidRPr="00383A0F">
        <w:rPr>
          <w:rFonts w:ascii="Book Antiqua" w:hAnsi="Book Antiqua" w:cs="Arial"/>
          <w:color w:val="000000" w:themeColor="text1"/>
          <w:lang w:val="en-US"/>
        </w:rPr>
        <w:t>part from the specific context of hepato</w:t>
      </w:r>
      <w:r w:rsidR="00FB5057" w:rsidRPr="00383A0F">
        <w:rPr>
          <w:rFonts w:ascii="Book Antiqua" w:hAnsi="Book Antiqua" w:cs="Arial"/>
          <w:color w:val="000000" w:themeColor="text1"/>
          <w:lang w:val="en-US"/>
        </w:rPr>
        <w:t xml:space="preserve">cellular </w:t>
      </w:r>
      <w:r w:rsidR="00630999" w:rsidRPr="00383A0F">
        <w:rPr>
          <w:rFonts w:ascii="Book Antiqua" w:hAnsi="Book Antiqua" w:cs="Arial"/>
          <w:color w:val="000000" w:themeColor="text1"/>
          <w:lang w:val="en-US"/>
        </w:rPr>
        <w:t xml:space="preserve">carcinoma, there is no robust or consensual limit beyond which patients </w:t>
      </w:r>
      <w:r w:rsidR="00E96809" w:rsidRPr="00383A0F">
        <w:rPr>
          <w:rFonts w:ascii="Book Antiqua" w:hAnsi="Book Antiqua" w:cs="Arial"/>
          <w:color w:val="000000" w:themeColor="text1"/>
          <w:lang w:val="en-US"/>
        </w:rPr>
        <w:t>can be</w:t>
      </w:r>
      <w:r w:rsidR="00630999" w:rsidRPr="00383A0F">
        <w:rPr>
          <w:rFonts w:ascii="Book Antiqua" w:hAnsi="Book Antiqua" w:cs="Arial"/>
          <w:color w:val="000000" w:themeColor="text1"/>
          <w:lang w:val="en-US"/>
        </w:rPr>
        <w:t xml:space="preserve"> declared</w:t>
      </w:r>
      <w:r w:rsidR="00E96809" w:rsidRPr="00383A0F">
        <w:rPr>
          <w:rFonts w:ascii="Book Antiqua" w:hAnsi="Book Antiqua" w:cs="Arial"/>
          <w:color w:val="000000" w:themeColor="text1"/>
          <w:lang w:val="en-US"/>
        </w:rPr>
        <w:t xml:space="preserve"> to be</w:t>
      </w:r>
      <w:r w:rsidR="00630999" w:rsidRPr="00383A0F">
        <w:rPr>
          <w:rFonts w:ascii="Book Antiqua" w:hAnsi="Book Antiqua" w:cs="Arial"/>
          <w:color w:val="000000" w:themeColor="text1"/>
          <w:lang w:val="en-US"/>
        </w:rPr>
        <w:t xml:space="preserve"> “too sick to be transplanted”.</w:t>
      </w:r>
    </w:p>
    <w:p w14:paraId="746402A7" w14:textId="6D005376" w:rsidR="00774EF5"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BB2328" w:rsidRPr="00383A0F">
        <w:rPr>
          <w:rFonts w:ascii="Book Antiqua" w:hAnsi="Book Antiqua" w:cs="Arial"/>
          <w:color w:val="000000" w:themeColor="text1"/>
          <w:lang w:val="en-US"/>
        </w:rPr>
        <w:t>The absence of evidence-</w:t>
      </w:r>
      <w:r w:rsidR="00E96809" w:rsidRPr="00383A0F">
        <w:rPr>
          <w:rFonts w:ascii="Book Antiqua" w:hAnsi="Book Antiqua" w:cs="Arial"/>
          <w:color w:val="000000" w:themeColor="text1"/>
          <w:lang w:val="en-US"/>
        </w:rPr>
        <w:t xml:space="preserve">based guidelines and consensus concerning the allocation of </w:t>
      </w:r>
      <w:r w:rsidR="005656C1" w:rsidRPr="00383A0F">
        <w:rPr>
          <w:rFonts w:ascii="Book Antiqua" w:hAnsi="Book Antiqua" w:cs="Arial"/>
          <w:color w:val="000000" w:themeColor="text1"/>
          <w:lang w:val="en-US"/>
        </w:rPr>
        <w:t xml:space="preserve">organs </w:t>
      </w:r>
      <w:r w:rsidR="00E96809" w:rsidRPr="00383A0F">
        <w:rPr>
          <w:rFonts w:ascii="Book Antiqua" w:hAnsi="Book Antiqua" w:cs="Arial"/>
          <w:color w:val="000000" w:themeColor="text1"/>
          <w:lang w:val="en-US"/>
        </w:rPr>
        <w:t xml:space="preserve">to critically ill </w:t>
      </w:r>
      <w:r w:rsidR="00B74081" w:rsidRPr="00383A0F">
        <w:rPr>
          <w:rFonts w:ascii="Book Antiqua" w:hAnsi="Book Antiqua" w:cs="Arial"/>
          <w:color w:val="000000" w:themeColor="text1"/>
          <w:lang w:val="en-US"/>
        </w:rPr>
        <w:t xml:space="preserve">cirrhotic </w:t>
      </w:r>
      <w:r w:rsidR="00E96809" w:rsidRPr="00383A0F">
        <w:rPr>
          <w:rFonts w:ascii="Book Antiqua" w:hAnsi="Book Antiqua" w:cs="Arial"/>
          <w:color w:val="000000" w:themeColor="text1"/>
          <w:lang w:val="en-US"/>
        </w:rPr>
        <w:t>patients with</w:t>
      </w:r>
      <w:r w:rsidR="00B74081" w:rsidRPr="00383A0F">
        <w:rPr>
          <w:rFonts w:ascii="Book Antiqua" w:hAnsi="Book Antiqua" w:cs="Arial"/>
          <w:color w:val="000000" w:themeColor="text1"/>
          <w:lang w:val="en-US"/>
        </w:rPr>
        <w:t xml:space="preserve"> organ failure, defined recently by the term of </w:t>
      </w:r>
      <w:r w:rsidR="000F1A83">
        <w:rPr>
          <w:rFonts w:ascii="Book Antiqua" w:hAnsi="Book Antiqua" w:cs="Arial"/>
          <w:color w:val="000000" w:themeColor="text1"/>
          <w:lang w:val="en-US"/>
        </w:rPr>
        <w:t>a</w:t>
      </w:r>
      <w:r w:rsidR="00E96809" w:rsidRPr="00383A0F">
        <w:rPr>
          <w:rFonts w:ascii="Book Antiqua" w:hAnsi="Book Antiqua" w:cs="Arial"/>
          <w:color w:val="000000" w:themeColor="text1"/>
          <w:lang w:val="en-US"/>
        </w:rPr>
        <w:t xml:space="preserve">cute on chronic liver failure (ACLF) is, in this respect, particularly glaring. </w:t>
      </w:r>
      <w:r w:rsidR="00BB2328" w:rsidRPr="00383A0F">
        <w:rPr>
          <w:rFonts w:ascii="Book Antiqua" w:hAnsi="Book Antiqua" w:cs="Arial"/>
          <w:color w:val="000000" w:themeColor="text1"/>
          <w:lang w:val="en-US"/>
        </w:rPr>
        <w:t>Some</w:t>
      </w:r>
      <w:r w:rsidR="00E96809" w:rsidRPr="00383A0F">
        <w:rPr>
          <w:rFonts w:ascii="Book Antiqua" w:hAnsi="Book Antiqua" w:cs="Arial"/>
          <w:color w:val="000000" w:themeColor="text1"/>
          <w:lang w:val="en-US"/>
        </w:rPr>
        <w:t xml:space="preserve"> teams </w:t>
      </w:r>
      <w:r w:rsidR="00BB2328" w:rsidRPr="00383A0F">
        <w:rPr>
          <w:rFonts w:ascii="Book Antiqua" w:hAnsi="Book Antiqua" w:cs="Arial"/>
          <w:color w:val="000000" w:themeColor="text1"/>
          <w:lang w:val="en-US"/>
        </w:rPr>
        <w:t>believe</w:t>
      </w:r>
      <w:r w:rsidR="00E96809" w:rsidRPr="00383A0F">
        <w:rPr>
          <w:rFonts w:ascii="Book Antiqua" w:hAnsi="Book Antiqua" w:cs="Arial"/>
          <w:color w:val="000000" w:themeColor="text1"/>
          <w:lang w:val="en-US"/>
        </w:rPr>
        <w:t xml:space="preserve"> that critically ill patients with ACLF </w:t>
      </w:r>
      <w:r w:rsidR="00774EF5" w:rsidRPr="00383A0F">
        <w:rPr>
          <w:rFonts w:ascii="Book Antiqua" w:hAnsi="Book Antiqua" w:cs="Arial"/>
          <w:color w:val="000000" w:themeColor="text1"/>
          <w:lang w:val="en-US"/>
        </w:rPr>
        <w:t xml:space="preserve">should not have access to LT when they suffer from </w:t>
      </w:r>
      <w:r w:rsidR="005B5A1B" w:rsidRPr="00383A0F">
        <w:rPr>
          <w:rFonts w:ascii="Book Antiqua" w:hAnsi="Book Antiqua" w:cs="Arial"/>
          <w:color w:val="000000" w:themeColor="text1"/>
          <w:lang w:val="en-US"/>
        </w:rPr>
        <w:t>multiple-o</w:t>
      </w:r>
      <w:r w:rsidR="00774EF5" w:rsidRPr="00383A0F">
        <w:rPr>
          <w:rFonts w:ascii="Book Antiqua" w:hAnsi="Book Antiqua" w:cs="Arial"/>
          <w:color w:val="000000" w:themeColor="text1"/>
          <w:lang w:val="en-US"/>
        </w:rPr>
        <w:t>rgan failure and therefore sometimes do not even admit them to their</w:t>
      </w:r>
      <w:r w:rsidRPr="00383A0F">
        <w:rPr>
          <w:rFonts w:ascii="Book Antiqua" w:hAnsi="Book Antiqua" w:cs="Arial"/>
          <w:color w:val="000000" w:themeColor="text1"/>
          <w:lang w:val="en-US"/>
        </w:rPr>
        <w:t xml:space="preserve"> </w:t>
      </w:r>
      <w:r w:rsidRPr="0083090A">
        <w:rPr>
          <w:rFonts w:ascii="Book Antiqua" w:hAnsi="Book Antiqua" w:cs="Arial"/>
          <w:color w:val="000000" w:themeColor="text1"/>
          <w:lang w:val="en-US"/>
        </w:rPr>
        <w:t xml:space="preserve">intensive care unit </w:t>
      </w:r>
      <w:r>
        <w:rPr>
          <w:rFonts w:ascii="Book Antiqua" w:hAnsi="Book Antiqua" w:cs="Arial"/>
          <w:color w:val="000000" w:themeColor="text1"/>
          <w:lang w:val="en-US"/>
        </w:rPr>
        <w:t>(</w:t>
      </w:r>
      <w:r w:rsidR="00774EF5" w:rsidRPr="00383A0F">
        <w:rPr>
          <w:rFonts w:ascii="Book Antiqua" w:hAnsi="Book Antiqua" w:cs="Arial"/>
          <w:color w:val="000000" w:themeColor="text1"/>
          <w:lang w:val="en-US"/>
        </w:rPr>
        <w:t>ICU</w:t>
      </w:r>
      <w:r>
        <w:rPr>
          <w:rFonts w:ascii="Book Antiqua" w:hAnsi="Book Antiqua" w:cs="Arial"/>
          <w:color w:val="000000" w:themeColor="text1"/>
          <w:lang w:val="en-US"/>
        </w:rPr>
        <w:t>)</w:t>
      </w:r>
      <w:r w:rsidR="00774EF5" w:rsidRPr="00383A0F">
        <w:rPr>
          <w:rFonts w:ascii="Book Antiqua" w:hAnsi="Book Antiqua" w:cs="Arial"/>
          <w:color w:val="000000" w:themeColor="text1"/>
          <w:lang w:val="en-US"/>
        </w:rPr>
        <w:t xml:space="preserve"> given how</w:t>
      </w:r>
      <w:r w:rsidR="00936A01" w:rsidRPr="00383A0F">
        <w:rPr>
          <w:rFonts w:ascii="Book Antiqua" w:hAnsi="Book Antiqua" w:cs="Arial"/>
          <w:color w:val="000000" w:themeColor="text1"/>
          <w:lang w:val="en-US"/>
        </w:rPr>
        <w:t xml:space="preserve"> </w:t>
      </w:r>
      <w:r w:rsidR="00774EF5" w:rsidRPr="00383A0F">
        <w:rPr>
          <w:rFonts w:ascii="Book Antiqua" w:hAnsi="Book Antiqua" w:cs="Arial"/>
          <w:color w:val="000000" w:themeColor="text1"/>
          <w:lang w:val="en-US"/>
        </w:rPr>
        <w:t xml:space="preserve">somber their </w:t>
      </w:r>
      <w:r w:rsidR="000433C9" w:rsidRPr="00383A0F">
        <w:rPr>
          <w:rFonts w:ascii="Book Antiqua" w:hAnsi="Book Antiqua" w:cs="Arial"/>
          <w:color w:val="000000" w:themeColor="text1"/>
          <w:lang w:val="en-US"/>
        </w:rPr>
        <w:t xml:space="preserve">global </w:t>
      </w:r>
      <w:r w:rsidR="00774EF5" w:rsidRPr="00383A0F">
        <w:rPr>
          <w:rFonts w:ascii="Book Antiqua" w:hAnsi="Book Antiqua" w:cs="Arial"/>
          <w:color w:val="000000" w:themeColor="text1"/>
          <w:lang w:val="en-US"/>
        </w:rPr>
        <w:t>prognosis is</w:t>
      </w:r>
      <w:r w:rsidR="000B1D6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{"citationID":"KRAEO7PO","properties":{"formattedCitation":"\\super [5]\\nosupersub{}","plainCitation":"[5]","noteIndex":0},"citationItems":[{"id":487,"uris":["http://zotero.org/users/local/BE2xVPev/items/CNVIZKZK"],"uri":["http://zotero.org/users/local/BE2xVPev/items/CNVIZKZK"],"itemData":{"id":487,"type":"article-journal","title":"Review article: towards a considered and ethical approach to organ support in critically-ill patients with cirrhosis","container-title":"Alimentary Pharmacology &amp; Therapeutics","page":"174-182","volume":"37","issue":"2","source":"PubMed","abstract":"BACKGROUND: Increasing numbers of patients are being admitted to hospital with decompensated chronic liver disease in the UK. A significant proportion will develop complicating extra-hepatic organ dysfunction, but the selection of those who should be admitted to intensive care is complex and challenging. Alcohol-related liver disease also presents complex ethical dilemmas.\nAIM: To review recent survival analyses and explore differences in secondary and tertiary care; to highlight strengths and weaknesses of prognostic models, therapeutic advances and shifts in prognostic expectation. We also aim to explore the ethical challenges presented by addiction and self-injury in an area of limited resource.\nMETHODS: We searched PubMed for articles discussing 'cirrhosis', 'prognosis', 'critical illness', 'organ failure', 'renal failure', 'alcohol', 'ethics' and 'addiction'. We also explored particular ethical dilemmas encountered by the authors and colleagues.\nRESULTS: Prognosis has improved in many cirrhotic complications and historically poor outcomes in tertiary care may reflect a more complex patient cohort. Previously 'untreatable' complications are now being managed successfully. Estimates of survival are more accurate after a 48-h period of supportive care. Physicians are not best placed to make judgments with regard to deservingness, moral responsibility, rationing and access to organ support in cases of acute deterioration related to alcoholism, and the case for denying support must be made on purely medical grounds.\nCONCLUSIONS: An early, aggressive approach to organ support is justified. Further discussions between hepatologists and critical care physicians are required to determine acceptable burden-to-benefit ratios for prolonged intensive care support in young alcoholic patients.","DOI":"10.1111/apt.12133","ISSN":"1365-2036","note":"PMID: 23157692","shortTitle":"Review article","journalAbbreviation":"Aliment. Pharmacol. Ther.","language":"eng","author":[{"family":"Berry","given":"P. A."},{"family":"Thomson","given":"S. J."},{"family":"Rahman","given":"T. M."},{"family":"Ala","given":"A."}],"issued":{"date-parts":[["2013",1]]}}}],"schema":"https://github.com/citation-style-language/schema/raw/master/csl-citation.json"} </w:instrText>
      </w:r>
      <w:r w:rsidR="000B1D6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w:t>
      </w:r>
      <w:r w:rsidR="000B1D6F" w:rsidRPr="00383A0F">
        <w:rPr>
          <w:rFonts w:ascii="Book Antiqua" w:hAnsi="Book Antiqua" w:cs="Arial"/>
          <w:color w:val="000000" w:themeColor="text1"/>
          <w:lang w:val="en-US"/>
        </w:rPr>
        <w:fldChar w:fldCharType="end"/>
      </w:r>
      <w:r w:rsidR="004F743E" w:rsidRPr="00383A0F">
        <w:rPr>
          <w:rFonts w:ascii="Book Antiqua" w:hAnsi="Book Antiqua" w:cs="Arial"/>
          <w:color w:val="000000" w:themeColor="text1"/>
          <w:lang w:val="en-US"/>
        </w:rPr>
        <w:t xml:space="preserve">. </w:t>
      </w:r>
      <w:r w:rsidR="00BB2328" w:rsidRPr="00383A0F">
        <w:rPr>
          <w:rFonts w:ascii="Book Antiqua" w:hAnsi="Book Antiqua" w:cs="Arial"/>
          <w:color w:val="000000" w:themeColor="text1"/>
          <w:lang w:val="en-US"/>
        </w:rPr>
        <w:t>Other teams, probably focusing primarily</w:t>
      </w:r>
      <w:r w:rsidR="000433C9" w:rsidRPr="00383A0F">
        <w:rPr>
          <w:rFonts w:ascii="Book Antiqua" w:hAnsi="Book Antiqua" w:cs="Arial"/>
          <w:color w:val="000000" w:themeColor="text1"/>
          <w:lang w:val="en-US"/>
        </w:rPr>
        <w:t xml:space="preserve"> on the </w:t>
      </w:r>
      <w:r w:rsidR="00BB2328" w:rsidRPr="00383A0F">
        <w:rPr>
          <w:rFonts w:ascii="Book Antiqua" w:hAnsi="Book Antiqua" w:cs="Arial"/>
          <w:color w:val="000000" w:themeColor="text1"/>
          <w:lang w:val="en-US"/>
        </w:rPr>
        <w:t>interest of individual patients,</w:t>
      </w:r>
      <w:r w:rsidR="00774EF5" w:rsidRPr="00383A0F">
        <w:rPr>
          <w:rFonts w:ascii="Book Antiqua" w:hAnsi="Book Antiqua" w:cs="Arial"/>
          <w:color w:val="000000" w:themeColor="text1"/>
          <w:lang w:val="en-US"/>
        </w:rPr>
        <w:t xml:space="preserve"> </w:t>
      </w:r>
      <w:r w:rsidR="002E73FE" w:rsidRPr="00383A0F">
        <w:rPr>
          <w:rFonts w:ascii="Book Antiqua" w:hAnsi="Book Antiqua" w:cs="Arial"/>
          <w:color w:val="000000" w:themeColor="text1"/>
          <w:lang w:val="en-US"/>
        </w:rPr>
        <w:t xml:space="preserve">transplant </w:t>
      </w:r>
      <w:r w:rsidR="00774EF5" w:rsidRPr="00383A0F">
        <w:rPr>
          <w:rFonts w:ascii="Book Antiqua" w:hAnsi="Book Antiqua" w:cs="Arial"/>
          <w:color w:val="000000" w:themeColor="text1"/>
          <w:lang w:val="en-US"/>
        </w:rPr>
        <w:t>critically ill patients with</w:t>
      </w:r>
      <w:r w:rsidR="000433C9" w:rsidRPr="00383A0F">
        <w:rPr>
          <w:rFonts w:ascii="Book Antiqua" w:hAnsi="Book Antiqua" w:cs="Arial"/>
          <w:color w:val="000000" w:themeColor="text1"/>
          <w:lang w:val="en-US"/>
        </w:rPr>
        <w:t xml:space="preserve"> global</w:t>
      </w:r>
      <w:r w:rsidR="00774EF5" w:rsidRPr="00383A0F">
        <w:rPr>
          <w:rFonts w:ascii="Book Antiqua" w:hAnsi="Book Antiqua" w:cs="Arial"/>
          <w:color w:val="000000" w:themeColor="text1"/>
          <w:lang w:val="en-US"/>
        </w:rPr>
        <w:t xml:space="preserve"> </w:t>
      </w:r>
      <w:r w:rsidR="005656C1" w:rsidRPr="00383A0F">
        <w:rPr>
          <w:rFonts w:ascii="Book Antiqua" w:hAnsi="Book Antiqua" w:cs="Arial"/>
          <w:color w:val="000000" w:themeColor="text1"/>
          <w:lang w:val="en-US"/>
        </w:rPr>
        <w:t>post-</w:t>
      </w:r>
      <w:r w:rsidR="00D26F8F" w:rsidRPr="00383A0F">
        <w:rPr>
          <w:rFonts w:ascii="Book Antiqua" w:hAnsi="Book Antiqua" w:cs="Arial"/>
          <w:color w:val="000000" w:themeColor="text1"/>
          <w:lang w:val="en-US"/>
        </w:rPr>
        <w:t xml:space="preserve">transplant </w:t>
      </w:r>
      <w:r w:rsidR="00774EF5" w:rsidRPr="00383A0F">
        <w:rPr>
          <w:rFonts w:ascii="Book Antiqua" w:hAnsi="Book Antiqua" w:cs="Arial"/>
          <w:color w:val="000000" w:themeColor="text1"/>
          <w:lang w:val="en-US"/>
        </w:rPr>
        <w:t xml:space="preserve">mortality results that are not acceptable in view of the current organ shortage. </w:t>
      </w:r>
      <w:r w:rsidR="00FB5057" w:rsidRPr="00383A0F">
        <w:rPr>
          <w:rFonts w:ascii="Book Antiqua" w:hAnsi="Book Antiqua" w:cs="Arial"/>
          <w:color w:val="000000" w:themeColor="text1"/>
          <w:lang w:val="en-US"/>
        </w:rPr>
        <w:t>This has raised ethical issues, notably concerning the notions of transplant futility and organ rationing</w:t>
      </w:r>
      <w:r w:rsidR="00D26F8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{"citationID":"zaPouSnq","properties":{"formattedCitation":"\\super [6]\\nosupersub{}","plainCitation":"[6]","noteIndex":0},"citationItems":[{"id":373,"uris":["http://zotero.org/users/local/BE2xVPev/items/XW3NUSVX"],"uri":["http://zotero.org/users/local/BE2xVPev/items/XW3NUSVX"],"itemData":{"id":373,"type":"article-journal","title":"Futility and rationing in liver retransplantation: when and how can we say no?","container-title":"Journal of Hepatology","page":"1404-1411","volume":"56","issue":"6","source":"PubMed","DOI":"10.1016/j.jhep.2011.11.027","ISSN":"1600-0641","note":"PMID: 22314427\nPMCID: PMC3820294","shortTitle":"Futility and rationing in liver retransplantation","journalAbbreviation":"J. Hepatol.","language":"eng","author":[{"family":"Biggins","given":"Scott W."}],"issued":{"date-parts":[["2012",6]]}}}],"schema":"https://github.com/citation-style-language/schema/raw/master/csl-citation.json"} </w:instrText>
      </w:r>
      <w:r w:rsidR="00D26F8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[6]</w:t>
      </w:r>
      <w:r w:rsidR="00D26F8F" w:rsidRPr="00383A0F">
        <w:rPr>
          <w:rFonts w:ascii="Book Antiqua" w:hAnsi="Book Antiqua" w:cs="Arial"/>
          <w:color w:val="000000" w:themeColor="text1"/>
          <w:lang w:val="en-US"/>
        </w:rPr>
        <w:fldChar w:fldCharType="end"/>
      </w:r>
      <w:r w:rsidR="00FB5057" w:rsidRPr="00383A0F">
        <w:rPr>
          <w:rFonts w:ascii="Book Antiqua" w:hAnsi="Book Antiqua" w:cs="Arial"/>
          <w:color w:val="000000" w:themeColor="text1"/>
          <w:lang w:val="en-US"/>
        </w:rPr>
        <w:t xml:space="preserve">, </w:t>
      </w:r>
      <w:r w:rsidR="00BB2328" w:rsidRPr="00383A0F">
        <w:rPr>
          <w:rFonts w:ascii="Book Antiqua" w:hAnsi="Book Antiqua" w:cs="Arial"/>
          <w:color w:val="000000" w:themeColor="text1"/>
          <w:lang w:val="en-US"/>
        </w:rPr>
        <w:t>which</w:t>
      </w:r>
      <w:r w:rsidR="00FB5057" w:rsidRPr="00383A0F">
        <w:rPr>
          <w:rFonts w:ascii="Book Antiqua" w:hAnsi="Book Antiqua" w:cs="Arial"/>
          <w:color w:val="000000" w:themeColor="text1"/>
          <w:lang w:val="en-US"/>
        </w:rPr>
        <w:t xml:space="preserve"> have been mindfully dissected in a recent review</w:t>
      </w:r>
      <w:r w:rsidR="00D26F8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{"citationID":"PTghQ09d","properties":{"formattedCitation":"\\super [7]\\nosupersub{}","plainCitation":"[7]","noteIndex":0},"citationItems":[{"id":388,"uris":["http://zotero.org/users/local/BE2xVPev/items/SWIJADLC"],"uri":["http://zotero.org/users/local/BE2xVPev/items/SWIJADLC"],"itemData":{"id":388,"type":"article-journal","title":"Potentially inappropriate liver transplantation in the era of the \"sickest first\" policy - A search for the upper limits","container-title":"Journal of Hepatology","source":"PubMed","abstract":"Liver transplantation has emerged as a highly efficient treatment for a variety of acute and chronic liver diseases. However, organ shortage is becoming an increasing problem globally, limiting the applicability of liver transplantation. In addition, potential recipients are becoming sicker, thereby increasing the risk of losing the graft during transplantation or in the initial postoperative period after liver transplantation (three months). This trend is challenging the model for end-stage liver disease allocation system, where the sickest candidates are prioritised and no delisting criteria are given. The weighting of the deontological demand for \"equity\", trying to save every patient, regardless of the overall utility; and \"efficiency\", rooted in utilitarianism, trying to save as many patients as possible and increase the overall quality of life of patients facing the same problem, has to be reconsidered. In this article we are aiming to overcome the widespread concept of futility in liver transplantation, providing a definition of potentially inappropriate liver transplantation and giving guidance on situations where it is best not to proceed with liver transplantation, to decrease the mortality rate in the first three months after transplantation. We propose \"absolute\" and \"relative\" conditions, where early post-transplant mortality is highly probable, which are not usually captured in risk scores predicting post-transplant survival. Withholding liver transplantation for listed patients in cases where liver transplant is not deemed clearly futile, but is potentially inappropriate, is a far-reaching decision. Until now, this decision had to be discussed extensively on an individual basis, applying explicit communication and conflict resolution processes, since the model for end-stage liver disease score and most international allocation systems do not include explicit delisting criteria to support a fair delisting process. More work is needed to better identify cases where transplantation is potentially inappropriate and to integrate and discuss these delisting criteria in allocation systems, following a societal debate on what we owe to all liver transplant candidates.","DOI":"10.1016/j.jhep.2017.11.008","ISSN":"1600-0641","note":"PMID: 29133246","journalAbbreviation":"J. Hepatol.","language":"eng","author":[{"family":"Linecker","given":"Michael"},{"family":"Krones","given":"Tanja"},{"family":"Berg","given":"Thomas"},{"family":"Niemann","given":"Claus U."},{"family":"Steadman","given":"Randolph H."},{"family":"Dutkowski","given":"Philipp"},{"family":"Clavien","given":"Pierre-Alain"},{"family":"Busuttil","given":"Ronald W."},{"family":"Truog","given":"Robert D."},{"family":"Petrowsky","given":"Henrik"}],"issued":{"date-parts":[["2017",11,11]]}}}],"schema":"https://github.com/citation-style-language/schema/raw/master/csl-citation.json"} </w:instrText>
      </w:r>
      <w:r w:rsidR="00D26F8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[7]</w:t>
      </w:r>
      <w:r w:rsidR="00D26F8F" w:rsidRPr="00383A0F">
        <w:rPr>
          <w:rFonts w:ascii="Book Antiqua" w:hAnsi="Book Antiqua" w:cs="Arial"/>
          <w:color w:val="000000" w:themeColor="text1"/>
          <w:lang w:val="en-US"/>
        </w:rPr>
        <w:fldChar w:fldCharType="end"/>
      </w:r>
      <w:r w:rsidR="00FB5057" w:rsidRPr="00383A0F">
        <w:rPr>
          <w:rFonts w:ascii="Book Antiqua" w:hAnsi="Book Antiqua" w:cs="Arial"/>
          <w:color w:val="000000" w:themeColor="text1"/>
          <w:lang w:val="en-US"/>
        </w:rPr>
        <w:t xml:space="preserve">. </w:t>
      </w:r>
    </w:p>
    <w:p w14:paraId="056897B3" w14:textId="70071742" w:rsidR="00774EF5"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AD5569" w:rsidRPr="00383A0F">
        <w:rPr>
          <w:rFonts w:ascii="Book Antiqua" w:hAnsi="Book Antiqua" w:cs="Arial"/>
          <w:color w:val="000000" w:themeColor="text1"/>
          <w:lang w:val="en-US"/>
        </w:rPr>
        <w:t>Various</w:t>
      </w:r>
      <w:r w:rsidR="00945E93" w:rsidRPr="00383A0F">
        <w:rPr>
          <w:rFonts w:ascii="Book Antiqua" w:hAnsi="Book Antiqua" w:cs="Arial"/>
          <w:color w:val="000000" w:themeColor="text1"/>
          <w:lang w:val="en-US"/>
        </w:rPr>
        <w:t xml:space="preserve"> studies</w:t>
      </w:r>
      <w:r w:rsidR="0001260B" w:rsidRPr="00383A0F">
        <w:rPr>
          <w:rFonts w:ascii="Book Antiqua" w:hAnsi="Book Antiqua" w:cs="Arial"/>
          <w:color w:val="000000" w:themeColor="text1"/>
          <w:lang w:val="en-US"/>
        </w:rPr>
        <w:t xml:space="preserve"> </w:t>
      </w:r>
      <w:r w:rsidR="00945E93" w:rsidRPr="00383A0F">
        <w:rPr>
          <w:rFonts w:ascii="Book Antiqua" w:hAnsi="Book Antiqua" w:cs="Arial"/>
          <w:color w:val="000000" w:themeColor="text1"/>
          <w:lang w:val="en-US"/>
        </w:rPr>
        <w:t xml:space="preserve">have proved beyond </w:t>
      </w:r>
      <w:r w:rsidR="00537DA8" w:rsidRPr="00383A0F">
        <w:rPr>
          <w:rFonts w:ascii="Book Antiqua" w:hAnsi="Book Antiqua" w:cs="Arial"/>
          <w:color w:val="000000" w:themeColor="text1"/>
          <w:lang w:val="en-US"/>
        </w:rPr>
        <w:t xml:space="preserve">a </w:t>
      </w:r>
      <w:r w:rsidR="00945E93" w:rsidRPr="00383A0F">
        <w:rPr>
          <w:rFonts w:ascii="Book Antiqua" w:hAnsi="Book Antiqua" w:cs="Arial"/>
          <w:color w:val="000000" w:themeColor="text1"/>
          <w:lang w:val="en-US"/>
        </w:rPr>
        <w:t xml:space="preserve">doubt that critically ill patients benefit from LT on an </w:t>
      </w:r>
      <w:r w:rsidR="00945E93" w:rsidRPr="0083090A">
        <w:rPr>
          <w:rFonts w:ascii="Book Antiqua" w:hAnsi="Book Antiqua" w:cs="Arial"/>
          <w:color w:val="000000" w:themeColor="text1"/>
          <w:lang w:val="en-US"/>
        </w:rPr>
        <w:t>individual</w:t>
      </w:r>
      <w:r w:rsidR="00945E93" w:rsidRPr="00383A0F">
        <w:rPr>
          <w:rFonts w:ascii="Book Antiqua" w:hAnsi="Book Antiqua" w:cs="Arial"/>
          <w:i/>
          <w:color w:val="000000" w:themeColor="text1"/>
          <w:lang w:val="en-US"/>
        </w:rPr>
        <w:t xml:space="preserve"> </w:t>
      </w:r>
      <w:r w:rsidR="00945E93" w:rsidRPr="00383A0F">
        <w:rPr>
          <w:rFonts w:ascii="Book Antiqua" w:hAnsi="Book Antiqua" w:cs="Arial"/>
          <w:color w:val="000000" w:themeColor="text1"/>
          <w:lang w:val="en-US"/>
        </w:rPr>
        <w:t>level</w:t>
      </w:r>
      <w:r w:rsidR="00707081" w:rsidRPr="0083090A">
        <w:rPr>
          <w:rFonts w:ascii="Book Antiqua" w:hAnsi="Book Antiqua" w:cs="Arial"/>
          <w:color w:val="000000" w:themeColor="text1"/>
          <w:lang w:val="en-US"/>
        </w:rPr>
        <w:fldChar w:fldCharType="begin"/>
      </w:r>
      <w:r w:rsidR="00707081" w:rsidRPr="0083090A">
        <w:rPr>
          <w:rFonts w:ascii="Book Antiqua" w:hAnsi="Book Antiqua" w:cs="Arial"/>
          <w:color w:val="000000" w:themeColor="text1"/>
          <w:lang w:val="en-US"/>
        </w:rPr>
        <w:instrText xml:space="preserve"> ADDIN ZOTERO_ITEM CSL_CITATION {"citationID":"IHX50gLE","properties":{"formattedCitation":"\\super [8]\\nosupersub{}","plainCitation":"[8]","noteIndex":0},"citationItems":[{"id":608,"uris":["http://zotero.org/users/local/BE2xVPev/items/MY7NQLD3"],"uri":["http://zotero.org/users/local/BE2xVPev/items/MY7NQLD3"],"itemData":{"id":608,"type":"article-journal","title":"Adult respiratory distress syndrome secondary to end-stage liver disease-successful outcome following liver transplantation","container-title":"Transplantation","page":"292-296","volume":"55","issue":"2","source":"PubMed","abstract":"The adult respiratory distress syndrome (ARDS) complicating liver failure carries a 100% mortality. Two cases of ARDS that resolved following liver transplantation have been reported, one associated with acute allograft rejection, and the second due to sepsis. There is, however, a great reluctance to transplant these very-high-risk patients. We report the first series of patients with ARDS secondary to liver failure who successfully underwent OLTX. No patient had sepsis or pneumonia. Posttransplant mechanical ventilation was required for a median of 14 days (range 6-37 days). All patients in this series are alive and well, with a follow-up of 6-15 months. This demonstrates that ARDS associated with liver failure, an otherwise uniformly lethal complication, can respond dramatically to OLTX.","ISSN":"0041-1337","note":"PMID: 8434378\nPMCID: PMC2964145","journalAbbreviation":"Transplantation","language":"eng","author":[{"family":"Doyle","given":"H. R."},{"family":"Marino","given":"I. R."},{"family":"Miro","given":"A."},{"family":"Scott","given":"V."},{"family":"Martin","given":"M."},{"family":"Fung","given":"J."},{"family":"Kramer","given":"D."},{"family":"Starzl","given":"T. E."}],"issued":{"date-parts":[["1993",2]]}}}],"schema":"https://github.com/citation-style-language/schema/raw/master/csl-citation.json"} </w:instrText>
      </w:r>
      <w:r w:rsidR="00707081" w:rsidRPr="0083090A">
        <w:rPr>
          <w:rFonts w:ascii="Book Antiqua" w:hAnsi="Book Antiqua" w:cs="Arial"/>
          <w:color w:val="000000" w:themeColor="text1"/>
          <w:lang w:val="en-US"/>
        </w:rPr>
        <w:fldChar w:fldCharType="separate"/>
      </w:r>
      <w:r w:rsidR="00707081" w:rsidRPr="0083090A">
        <w:rPr>
          <w:rFonts w:ascii="Book Antiqua" w:hAnsi="Book Antiqua"/>
          <w:color w:val="000000" w:themeColor="text1"/>
          <w:vertAlign w:val="superscript"/>
          <w:lang w:val="en-US"/>
        </w:rPr>
        <w:t>[8-</w:t>
      </w:r>
      <w:r w:rsidR="00707081" w:rsidRPr="0083090A">
        <w:rPr>
          <w:rFonts w:ascii="Book Antiqua" w:hAnsi="Book Antiqua" w:cs="Arial"/>
          <w:color w:val="000000" w:themeColor="text1"/>
          <w:lang w:val="en-US"/>
        </w:rPr>
        <w:fldChar w:fldCharType="end"/>
      </w:r>
      <w:r w:rsidR="00D26F8F" w:rsidRPr="0083090A">
        <w:rPr>
          <w:rFonts w:ascii="Book Antiqua" w:hAnsi="Book Antiqua" w:cs="Arial"/>
          <w:color w:val="000000" w:themeColor="text1"/>
          <w:lang w:val="en-US"/>
        </w:rPr>
        <w:fldChar w:fldCharType="begin"/>
      </w:r>
      <w:r w:rsidR="004B7DB2" w:rsidRPr="0083090A">
        <w:rPr>
          <w:rFonts w:ascii="Book Antiqua" w:hAnsi="Book Antiqua" w:cs="Arial"/>
          <w:color w:val="000000" w:themeColor="text1"/>
          <w:lang w:val="en-US"/>
        </w:rPr>
        <w:instrText xml:space="preserve"> ADDIN ZOTERO_ITEM CSL_CITATION {"citationID":"pTLPDJj5","properties":{"formattedCitation":"\\super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D26F8F" w:rsidRPr="0083090A">
        <w:rPr>
          <w:rFonts w:ascii="Book Antiqua" w:hAnsi="Book Antiqua" w:cs="Arial"/>
          <w:color w:val="000000" w:themeColor="text1"/>
          <w:lang w:val="en-US"/>
        </w:rPr>
        <w:fldChar w:fldCharType="separate"/>
      </w:r>
      <w:r w:rsidR="00D34E45" w:rsidRPr="0083090A">
        <w:rPr>
          <w:rFonts w:ascii="Book Antiqua" w:hAnsi="Book Antiqua"/>
          <w:color w:val="000000" w:themeColor="text1"/>
          <w:vertAlign w:val="superscript"/>
          <w:lang w:val="en-US"/>
        </w:rPr>
        <w:t>10]</w:t>
      </w:r>
      <w:r w:rsidR="00D26F8F" w:rsidRPr="0083090A">
        <w:rPr>
          <w:rFonts w:ascii="Book Antiqua" w:hAnsi="Book Antiqua" w:cs="Arial"/>
          <w:color w:val="000000" w:themeColor="text1"/>
          <w:lang w:val="en-US"/>
        </w:rPr>
        <w:fldChar w:fldCharType="end"/>
      </w:r>
      <w:r w:rsidR="00945E93" w:rsidRPr="0083090A">
        <w:rPr>
          <w:rFonts w:ascii="Book Antiqua" w:hAnsi="Book Antiqua" w:cs="Arial"/>
          <w:color w:val="000000" w:themeColor="text1"/>
          <w:lang w:val="en-US"/>
        </w:rPr>
        <w:t>.</w:t>
      </w:r>
      <w:r w:rsidR="00945E93" w:rsidRPr="00383A0F">
        <w:rPr>
          <w:rFonts w:ascii="Book Antiqua" w:hAnsi="Book Antiqua" w:cs="Arial"/>
          <w:color w:val="000000" w:themeColor="text1"/>
          <w:lang w:val="en-US"/>
        </w:rPr>
        <w:t xml:space="preserve"> </w:t>
      </w:r>
      <w:r w:rsidR="0024283C" w:rsidRPr="00383A0F">
        <w:rPr>
          <w:rFonts w:ascii="Book Antiqua" w:hAnsi="Book Antiqua" w:cs="Arial"/>
          <w:color w:val="000000" w:themeColor="text1"/>
          <w:lang w:val="en-US"/>
        </w:rPr>
        <w:t xml:space="preserve">What remains </w:t>
      </w:r>
      <w:r w:rsidR="00487654" w:rsidRPr="00383A0F">
        <w:rPr>
          <w:rFonts w:ascii="Book Antiqua" w:hAnsi="Book Antiqua" w:cs="Arial"/>
          <w:color w:val="000000" w:themeColor="text1"/>
          <w:lang w:val="en-US"/>
        </w:rPr>
        <w:t xml:space="preserve">a subject of </w:t>
      </w:r>
      <w:r w:rsidR="0024283C" w:rsidRPr="00383A0F">
        <w:rPr>
          <w:rFonts w:ascii="Book Antiqua" w:hAnsi="Book Antiqua" w:cs="Arial"/>
          <w:color w:val="000000" w:themeColor="text1"/>
          <w:lang w:val="en-US"/>
        </w:rPr>
        <w:t>debate i</w:t>
      </w:r>
      <w:r w:rsidR="00487654" w:rsidRPr="00383A0F">
        <w:rPr>
          <w:rFonts w:ascii="Book Antiqua" w:hAnsi="Book Antiqua" w:cs="Arial"/>
          <w:color w:val="000000" w:themeColor="text1"/>
          <w:lang w:val="en-US"/>
        </w:rPr>
        <w:t>s</w:t>
      </w:r>
      <w:r w:rsidR="0024283C" w:rsidRPr="00383A0F">
        <w:rPr>
          <w:rFonts w:ascii="Book Antiqua" w:hAnsi="Book Antiqua" w:cs="Arial"/>
          <w:color w:val="000000" w:themeColor="text1"/>
          <w:lang w:val="en-US"/>
        </w:rPr>
        <w:t xml:space="preserve"> the optimal way of setting a limit to how sick cirrhotic patients can be </w:t>
      </w:r>
      <w:r w:rsidR="00487654" w:rsidRPr="00383A0F">
        <w:rPr>
          <w:rFonts w:ascii="Book Antiqua" w:hAnsi="Book Antiqua" w:cs="Arial"/>
          <w:color w:val="000000" w:themeColor="text1"/>
          <w:lang w:val="en-US"/>
        </w:rPr>
        <w:t>and still</w:t>
      </w:r>
      <w:r w:rsidR="0024283C" w:rsidRPr="00383A0F">
        <w:rPr>
          <w:rFonts w:ascii="Book Antiqua" w:hAnsi="Book Antiqua" w:cs="Arial"/>
          <w:color w:val="000000" w:themeColor="text1"/>
          <w:lang w:val="en-US"/>
        </w:rPr>
        <w:t xml:space="preserve"> undergo a </w:t>
      </w:r>
      <w:r>
        <w:rPr>
          <w:rFonts w:ascii="Book Antiqua" w:hAnsi="Book Antiqua" w:cs="Arial"/>
          <w:color w:val="000000" w:themeColor="text1"/>
          <w:lang w:val="en-US"/>
        </w:rPr>
        <w:t>LT</w:t>
      </w:r>
      <w:r w:rsidR="0024283C" w:rsidRPr="00383A0F">
        <w:rPr>
          <w:rFonts w:ascii="Book Antiqua" w:hAnsi="Book Antiqua" w:cs="Arial"/>
          <w:color w:val="000000" w:themeColor="text1"/>
          <w:lang w:val="en-US"/>
        </w:rPr>
        <w:t xml:space="preserve"> with an outcome that is </w:t>
      </w:r>
      <w:r w:rsidR="001C54E8" w:rsidRPr="00383A0F">
        <w:rPr>
          <w:rFonts w:ascii="Book Antiqua" w:hAnsi="Book Antiqua" w:cs="Arial"/>
          <w:color w:val="000000" w:themeColor="text1"/>
          <w:lang w:val="en-US"/>
        </w:rPr>
        <w:t>acceptable in the context of organ shortage.</w:t>
      </w:r>
    </w:p>
    <w:p w14:paraId="085AB2DC" w14:textId="77777777" w:rsidR="00EE5A4B" w:rsidRPr="00383A0F" w:rsidRDefault="00EE5A4B" w:rsidP="00383A0F">
      <w:pPr>
        <w:adjustRightInd w:val="0"/>
        <w:snapToGrid w:val="0"/>
        <w:spacing w:line="360" w:lineRule="auto"/>
        <w:jc w:val="both"/>
        <w:rPr>
          <w:rFonts w:ascii="Book Antiqua" w:hAnsi="Book Antiqua" w:cs="Arial"/>
          <w:color w:val="000000" w:themeColor="text1"/>
          <w:lang w:val="en-US"/>
        </w:rPr>
      </w:pPr>
    </w:p>
    <w:p w14:paraId="2F106F1E" w14:textId="2483ABAA" w:rsidR="000662B7" w:rsidRPr="00383A0F" w:rsidRDefault="000662B7" w:rsidP="000F1A83">
      <w:pPr>
        <w:adjustRightInd w:val="0"/>
        <w:snapToGrid w:val="0"/>
        <w:spacing w:line="360" w:lineRule="auto"/>
        <w:jc w:val="both"/>
        <w:outlineLvl w:val="0"/>
        <w:rPr>
          <w:rFonts w:ascii="Book Antiqua" w:hAnsi="Book Antiqua" w:cs="Arial"/>
          <w:b/>
          <w:color w:val="000000" w:themeColor="text1"/>
          <w:lang w:val="en-US"/>
        </w:rPr>
      </w:pPr>
      <w:r w:rsidRPr="00383A0F">
        <w:rPr>
          <w:rFonts w:ascii="Book Antiqua" w:hAnsi="Book Antiqua" w:cs="Arial"/>
          <w:b/>
          <w:color w:val="000000" w:themeColor="text1"/>
          <w:lang w:val="en-US"/>
        </w:rPr>
        <w:lastRenderedPageBreak/>
        <w:t>IN SEARCH OF A CONSENSUS FOR FUTURE STUDIES</w:t>
      </w:r>
    </w:p>
    <w:p w14:paraId="5A4A54EE" w14:textId="3B302FFE" w:rsidR="00332E5A" w:rsidRPr="00383A0F" w:rsidRDefault="000802F0"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A call </w:t>
      </w:r>
      <w:r w:rsidR="001107AD" w:rsidRPr="00383A0F">
        <w:rPr>
          <w:rFonts w:ascii="Book Antiqua" w:hAnsi="Book Antiqua" w:cs="Arial"/>
          <w:color w:val="000000" w:themeColor="text1"/>
          <w:lang w:val="en-US"/>
        </w:rPr>
        <w:t>to determine</w:t>
      </w:r>
      <w:r w:rsidRPr="00383A0F">
        <w:rPr>
          <w:rFonts w:ascii="Book Antiqua" w:hAnsi="Book Antiqua" w:cs="Arial"/>
          <w:color w:val="000000" w:themeColor="text1"/>
          <w:lang w:val="en-US"/>
        </w:rPr>
        <w:t xml:space="preserve"> an upper limit on</w:t>
      </w:r>
      <w:r w:rsidR="00945E93" w:rsidRPr="00383A0F">
        <w:rPr>
          <w:rFonts w:ascii="Book Antiqua" w:hAnsi="Book Antiqua" w:cs="Arial"/>
          <w:color w:val="000000" w:themeColor="text1"/>
          <w:lang w:val="en-US"/>
        </w:rPr>
        <w:t xml:space="preserve"> how sick patients can be </w:t>
      </w:r>
      <w:r w:rsidRPr="00383A0F">
        <w:rPr>
          <w:rFonts w:ascii="Book Antiqua" w:hAnsi="Book Antiqua" w:cs="Arial"/>
          <w:color w:val="000000" w:themeColor="text1"/>
          <w:lang w:val="en-US"/>
        </w:rPr>
        <w:t xml:space="preserve">and still </w:t>
      </w:r>
      <w:r w:rsidR="001107AD" w:rsidRPr="00383A0F">
        <w:rPr>
          <w:rFonts w:ascii="Book Antiqua" w:hAnsi="Book Antiqua" w:cs="Arial"/>
          <w:color w:val="000000" w:themeColor="text1"/>
          <w:lang w:val="en-US"/>
        </w:rPr>
        <w:t>have access to LT has been repeated on numerous occasions in the past decade</w:t>
      </w:r>
      <w:r w:rsidR="00427E0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{"citationID":"jiiczpnM","properties":{"formattedCitation":"\\super [11]\\nosupersub{}","plainCitation":"[11]","noteIndex":0},"citationItems":[{"id":483,"uris":["http://zotero.org/users/local/BE2xVPev/items/FIGCG34M"],"uri":["http://zotero.org/users/local/BE2xVPev/items/FIGCG34M"],"itemData":{"id":483,"type":"article-journal","title":"Prediction of survival after liver transplantation by pre-transplant parameters","container-title":"Scandinavian Journal of Gastroenterology","page":"736-746","volume":"43","issue":"6","source":"PubMed","abstract":"OBJECTIVE: Score-based medical urgency criteria are used for necessity-oriented liver transplantation (OLT) but lead to an increasing number of complications in patients with reduced post-OLT survival. A prediction of outcome would improve preoperative patient selection and management.\nMATERIAL AND METHODS: One-hundred-and-thirty-three consecutive adult patients (63.9% men, mean age 47.4+/-11.2 years) given transplants between May 2004 and November 2005 at the Hannover Medical School were analysed retrospectively using univariate and multivariate methods.\nRESULTS: Indications were: 27.1% viral hepatitis, 19.6% primary sclerosing cholangitis, 15.0% alcoholic liver disease, 7.5% metabolic liver disease, 6.8% primary biliary cirrhosis. Overall, 12-month patient survival was 81.2%. The mean MELD score at OLT was 14.5+/-5.3 and 12-month survival with MELD &gt;16 (71.7%) and &lt;16 (86.2%) differed significantly (p=0.041). Predictors of 12-month mortality included age (53.2+/-9.4 versus 46.1+/-11.2 years; p=0.004), lower cholinesterase (2.9+/-1.88 versus 3.7+/-2.02 kU/l; p=0.026) and serum creatinine (160.4+/-186.8 versus 77.7+/-31.6 micromol/l; p=0.007), with creatinine and cholinesterase as independent parameters. Based on these parameters, a model for predicting patient survival after liver transplantation was calculated and validated in a second independent cohort of 87 OLT patients. This score identified a high-risk group and a low-risk group (overall survival 47.4 versus 91.2%; p&lt;0.001) with a specificity of 87.3% and a sensitivity of 68.75%.\nCONCLUSION: Age, pre-OLT creatinine and cholinesterase are predictors of short-term post-OLT survival and may be helpful as a bedside score in pre-OLT clinical management, outcome prediction and decision-making.","DOI":"10.1080/00365520801932944","ISSN":"1502-7708","note":"PMID: 18569992","journalAbbreviation":"Scand. J. Gastroenterol.","language":"eng","author":[{"family":"Weismüller","given":"Tobias J."},{"family":"Prokein","given":"Jana"},{"family":"Becker","given":"Thomas"},{"family":"Barg-Hock","given":"Hannelore"},{"family":"Klempnauer","given":"Jürgen"},{"family":"Manns","given":"Michael P."},{"family":"Strassburg","given":"Christian P."}],"issued":{"date-parts":[["2008"]]}}}],"schema":"https://github.com/citation-style-language/schema/raw/master/csl-citation.json"} </w:instrText>
      </w:r>
      <w:r w:rsidR="00427E07"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[11</w:t>
      </w:r>
      <w:r w:rsidR="00427E07" w:rsidRPr="00383A0F">
        <w:rPr>
          <w:rFonts w:ascii="Book Antiqua" w:hAnsi="Book Antiqua" w:cs="Arial"/>
          <w:color w:val="000000" w:themeColor="text1"/>
          <w:lang w:val="en-US"/>
        </w:rPr>
        <w:fldChar w:fldCharType="end"/>
      </w:r>
      <w:r w:rsidR="0083090A" w:rsidRPr="0083090A">
        <w:rPr>
          <w:rFonts w:ascii="Book Antiqua" w:hAnsi="Book Antiqua" w:cs="Arial"/>
          <w:color w:val="000000" w:themeColor="text1"/>
          <w:vertAlign w:val="superscript"/>
          <w:lang w:val="en-US"/>
        </w:rPr>
        <w:t>-</w:t>
      </w:r>
      <w:r w:rsidR="00427E0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{"citationID":"6q6uFJAz","properties":{"formattedCitation":"\\super [13]\\nosupersub{}","plainCitation":"[13]","noteIndex":0},"citationItems":[{"id":45,"uris":["http://zotero.org/users/local/BE2xVPev/items/5REPG3AK"],"uri":["http://zotero.org/users/local/BE2xVPev/items/5REPG3AK"],"itemData":{"id":45,"type":"article-journal","title":"Liver transplantation in highest acuity recipients: identifying factors to avoid futility","container-title":"Annals of Surgery","page":"1186-1194","volume":"259","issue":"6","source":"PubMed","abstract":"OBJECTIVE: To identify medical predictors of futility in recipients with laboratory Model of End-Stage Liver Disease (MELD) scores of 40 or more at the time of orthotopic liver transplantation (OLT).\nBACKGROUND: Although the survival benefit for transplant patients with the highest MELD scores is indisputable, the medical and economic effort to bring these highest acuity recipients through OLT presents a major challenge for every transplant center.\nMETHODS: This study was undertaken to analyze outcomes in patients with MELD scores of 40 or more undergoing OLT during the period February 2002 to December 2010. The analysis was focused on futile outcome (3-month or in-hospital mortality) and long-term posttransplant outcome. Independent predictors of futility and failure-free survival were identified and a futility risk model was created.\nRESULTS: During the study period, 1522 adult cadaveric OLTs were performed, and 169 patients (13%) had a MELD score of 40 or more. The overall 1, 3, 5, and 8-year patient survivals were 72%, 64%, 60%, and 56%. Futile outcome occurred in 37 patients (22%). MELD score, pretransplant septic shock, cardiac risk, and comorbidities were independent predictors of futile outcome. Using all 4 factors, the futility risk model had a good discriminatory ability (c-statistic 0.75). Recipient age per year, life-threatening postoperative complications, hepatitis C, and metabolic syndrome were independent predictors for long-term survival in nonfutile patients (Harrels c-statistic 0.72).\nCONCLUSIONS: Short- and long-term outcomes of recipients with MELD scores of 40 or more are primarily determined by disease-specific factors. Cardiac risk, pretransplant septic shock, and comorbidities are the most important predictors and can be used for risk stratification in these highest acuity recipients.","DOI":"10.1097/SLA.0000000000000265","ISSN":"1528-1140","note":"PMID: 24263317","shortTitle":"Liver transplantation in highest acuity recipients","journalAbbreviation":"Ann. Surg.","language":"eng","author":[{"family":"Petrowsky","given":"Henrik"},{"family":"Rana","given":"Abbas"},{"family":"Kaldas","given":"Fady M."},{"family":"Sharma","given":"Anuj"},{"family":"Hong","given":"Johnny C."},{"family":"Agopian","given":"Vatche G."},{"family":"Durazo","given":"Francisco"},{"family":"Honda","given":"Henry"},{"family":"Gornbein","given":"Jeffrey"},{"family":"Wu","given":"Victor"},{"family":"Farmer","given":"Douglas G."},{"family":"Hiatt","given":"Jonathan R."},{"family":"Busuttil","given":"Ronald W."}],"issued":{"date-parts":[["2014",6]]}}}],"schema":"https://github.com/citation-style-language/schema/raw/master/csl-citation.json"} </w:instrText>
      </w:r>
      <w:r w:rsidR="00427E07"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13]</w:t>
      </w:r>
      <w:r w:rsidR="00427E07"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w:t>
      </w:r>
      <w:r w:rsidR="001107AD" w:rsidRPr="00383A0F">
        <w:rPr>
          <w:rFonts w:ascii="Book Antiqua" w:hAnsi="Book Antiqua" w:cs="Arial"/>
          <w:color w:val="000000" w:themeColor="text1"/>
          <w:lang w:val="en-US"/>
        </w:rPr>
        <w:t xml:space="preserve"> but relatively little prog</w:t>
      </w:r>
      <w:r w:rsidRPr="00383A0F">
        <w:rPr>
          <w:rFonts w:ascii="Book Antiqua" w:hAnsi="Book Antiqua" w:cs="Arial"/>
          <w:color w:val="000000" w:themeColor="text1"/>
          <w:lang w:val="en-US"/>
        </w:rPr>
        <w:t>ress has been made in the way of achieving</w:t>
      </w:r>
      <w:r w:rsidR="001107AD" w:rsidRPr="00383A0F">
        <w:rPr>
          <w:rFonts w:ascii="Book Antiqua" w:hAnsi="Book Antiqua" w:cs="Arial"/>
          <w:color w:val="000000" w:themeColor="text1"/>
          <w:lang w:val="en-US"/>
        </w:rPr>
        <w:t xml:space="preserve"> this goal. </w:t>
      </w:r>
      <w:r w:rsidRPr="00383A0F">
        <w:rPr>
          <w:rFonts w:ascii="Book Antiqua" w:hAnsi="Book Antiqua" w:cs="Arial"/>
          <w:color w:val="000000" w:themeColor="text1"/>
          <w:lang w:val="en-US"/>
        </w:rPr>
        <w:t xml:space="preserve">We have identified </w:t>
      </w:r>
      <w:r w:rsidR="00FA3865" w:rsidRPr="00383A0F">
        <w:rPr>
          <w:rFonts w:ascii="Book Antiqua" w:hAnsi="Book Antiqua" w:cs="Arial"/>
          <w:color w:val="000000" w:themeColor="text1"/>
          <w:lang w:val="en-US"/>
        </w:rPr>
        <w:t>four</w:t>
      </w:r>
      <w:r w:rsidRPr="00383A0F">
        <w:rPr>
          <w:rFonts w:ascii="Book Antiqua" w:hAnsi="Book Antiqua" w:cs="Arial"/>
          <w:color w:val="000000" w:themeColor="text1"/>
          <w:lang w:val="en-US"/>
        </w:rPr>
        <w:t xml:space="preserve"> </w:t>
      </w:r>
      <w:r w:rsidR="005656C1" w:rsidRPr="00383A0F">
        <w:rPr>
          <w:rFonts w:ascii="Book Antiqua" w:hAnsi="Book Antiqua" w:cs="Arial"/>
          <w:color w:val="000000" w:themeColor="text1"/>
          <w:lang w:val="en-US"/>
        </w:rPr>
        <w:t>reasons that help to explain this</w:t>
      </w:r>
      <w:r w:rsidRPr="00383A0F">
        <w:rPr>
          <w:rFonts w:ascii="Book Antiqua" w:hAnsi="Book Antiqua" w:cs="Arial"/>
          <w:color w:val="000000" w:themeColor="text1"/>
          <w:lang w:val="en-US"/>
        </w:rPr>
        <w:t xml:space="preserve"> standstill</w:t>
      </w:r>
      <w:r w:rsidR="008A239F" w:rsidRPr="00383A0F">
        <w:rPr>
          <w:rFonts w:ascii="Book Antiqua" w:hAnsi="Book Antiqua" w:cs="Arial"/>
          <w:color w:val="000000" w:themeColor="text1"/>
          <w:lang w:val="en-US"/>
        </w:rPr>
        <w:t xml:space="preserve">. </w:t>
      </w:r>
    </w:p>
    <w:p w14:paraId="7B55593D" w14:textId="77777777" w:rsidR="00C43630" w:rsidRPr="00383A0F" w:rsidRDefault="00C43630" w:rsidP="00383A0F">
      <w:pPr>
        <w:adjustRightInd w:val="0"/>
        <w:snapToGrid w:val="0"/>
        <w:spacing w:line="360" w:lineRule="auto"/>
        <w:jc w:val="both"/>
        <w:rPr>
          <w:rFonts w:ascii="Book Antiqua" w:hAnsi="Book Antiqua" w:cs="Arial"/>
          <w:color w:val="000000" w:themeColor="text1"/>
          <w:lang w:val="en-US"/>
        </w:rPr>
      </w:pPr>
    </w:p>
    <w:p w14:paraId="0035DD9E" w14:textId="075CA8F0" w:rsidR="00F52CC9" w:rsidRPr="00383A0F" w:rsidRDefault="001C54E8"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A p</w:t>
      </w:r>
      <w:r w:rsidR="000433C9" w:rsidRPr="00383A0F">
        <w:rPr>
          <w:rFonts w:ascii="Book Antiqua" w:hAnsi="Book Antiqua" w:cs="Arial"/>
          <w:b/>
          <w:i/>
          <w:color w:val="000000" w:themeColor="text1"/>
          <w:lang w:val="en-US"/>
        </w:rPr>
        <w:t xml:space="preserve">olarizing </w:t>
      </w:r>
      <w:r w:rsidR="001107AD" w:rsidRPr="00383A0F">
        <w:rPr>
          <w:rFonts w:ascii="Book Antiqua" w:hAnsi="Book Antiqua" w:cs="Arial"/>
          <w:b/>
          <w:i/>
          <w:color w:val="000000" w:themeColor="text1"/>
          <w:lang w:val="en-US"/>
        </w:rPr>
        <w:t>issue</w:t>
      </w:r>
    </w:p>
    <w:p w14:paraId="0F729D9B" w14:textId="24F15472" w:rsidR="00BF6FCC" w:rsidRPr="00383A0F" w:rsidRDefault="001E3328"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While some pathologies, in particular hepato</w:t>
      </w:r>
      <w:r w:rsidR="000433C9" w:rsidRPr="00383A0F">
        <w:rPr>
          <w:rFonts w:ascii="Book Antiqua" w:hAnsi="Book Antiqua" w:cs="Arial"/>
          <w:color w:val="000000" w:themeColor="text1"/>
          <w:lang w:val="en-US"/>
        </w:rPr>
        <w:t xml:space="preserve">cellular </w:t>
      </w:r>
      <w:r w:rsidR="003A3A1E" w:rsidRPr="00383A0F">
        <w:rPr>
          <w:rFonts w:ascii="Book Antiqua" w:hAnsi="Book Antiqua" w:cs="Arial"/>
          <w:color w:val="000000" w:themeColor="text1"/>
          <w:lang w:val="en-US"/>
        </w:rPr>
        <w:t>carcinoma have clearly identified</w:t>
      </w:r>
      <w:r w:rsidRPr="00383A0F">
        <w:rPr>
          <w:rFonts w:ascii="Book Antiqua" w:hAnsi="Book Antiqua" w:cs="Arial"/>
          <w:color w:val="000000" w:themeColor="text1"/>
          <w:lang w:val="en-US"/>
        </w:rPr>
        <w:t xml:space="preserve"> limits based on tumoral staging beyond which LT is not performed</w:t>
      </w:r>
      <w:r w:rsidR="0020161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{"citationID":"T1DzAxRm","properties":{"formattedCitation":"\\super [14]\\nosupersub{}","plainCitation":"[14]","noteIndex":0},"citationItems":[{"id":527,"uris":["http://zotero.org/users/local/BE2xVPev/items/Q8JI646F"],"uri":["http://zotero.org/users/local/BE2xVPev/items/Q8JI646F"],"itemData":{"id":527,"type":"article-journal","title":"Liver transplantation for hepatocellular carcinoma: a model including </w:instrText>
      </w:r>
      <w:r w:rsidR="004B7DB2" w:rsidRPr="00383A0F">
        <w:rPr>
          <w:rFonts w:ascii="Book Antiqua" w:hAnsi="Book Antiqua" w:cs="Times New Roman"/>
          <w:color w:val="000000" w:themeColor="text1"/>
          <w:lang w:val="en-US"/>
        </w:rPr>
        <w:instrText>α</w:instrText>
      </w:r>
      <w:r w:rsidR="004B7DB2" w:rsidRPr="00383A0F">
        <w:rPr>
          <w:rFonts w:ascii="Book Antiqua" w:hAnsi="Book Antiqua" w:cs="Arial"/>
          <w:color w:val="000000" w:themeColor="text1"/>
          <w:lang w:val="en-US"/>
        </w:rPr>
        <w:instrText xml:space="preserve">-fetoprotein improves the performance of Milan criteria","container-title":"Gastroenterology","page":"986-994.e3; quiz e14-15","volume":"143","issue":"4","source":"PubMed","abstract":"BACKGROUND &amp; AIMS: The aim of this study was to generate an improved prognostic model for predicting recurrence in liver transplant candidates with hepatocellular carcinoma (HCC).\nMETHODS: Predictors of recurrence were tested by a Cox model analysis in a training cohort of 537 patients transplanted for HCC. A prognostic score was developed and validated in a national cohort of 435 patients followed up prospectively.\nRESULTS: </w:instrText>
      </w:r>
      <w:r w:rsidR="004B7DB2" w:rsidRPr="00383A0F">
        <w:rPr>
          <w:rFonts w:ascii="Book Antiqua" w:hAnsi="Book Antiqua" w:cs="Times New Roman"/>
          <w:color w:val="000000" w:themeColor="text1"/>
          <w:lang w:val="en-US"/>
        </w:rPr>
        <w:instrText>α</w:instrText>
      </w:r>
      <w:r w:rsidR="004B7DB2" w:rsidRPr="00383A0F">
        <w:rPr>
          <w:rFonts w:ascii="Book Antiqua" w:hAnsi="Book Antiqua" w:cs="Arial"/>
          <w:color w:val="000000" w:themeColor="text1"/>
          <w:lang w:val="en-US"/>
        </w:rPr>
        <w:instrText xml:space="preserve">-Fetoprotein (AFP) independently predicted tumor recurrence and correlated with vascular invasion and differentiation. At a Cox score threshold of 0.7 (area under the receiver operating characteristic curve, 0.701; 95% confidence interval, 0.63-0.76; accuracy, 75.8%), a model combining log(10) AFP, tumor size, and number was highly predictive of tumor recurrence and death. By using a simplified version of the model, with untransformed AFP values, a cut-off value of 2 was identified. In the validation cohort, a score greater than 2 predicted a marked increase in 5-year risk of recurrence (50.6% ± 10.2% vs 8.8% ± 1.7%; P &lt; .001) and decreased survival (47.5% ± 8.1% vs 67.8% ± 3.4%; P = .002) as compared with others. Among patients exceeding Milan criteria, a score of 2 or lower identified a subgroup of patients with AFP levels less than 100 ng/mL with a low 5-year risk of recurrence (14.4% ± 5.3% vs 47.6% ± 11.1%; P = .006). Among patients within Milan criteria, a score greater than 2 identified a subgroup of patients with AFP levels greater than 1000 ng/mL at high risk of recurrence (37.1% ± 8.9% vs 13.3% ± 2.0%; P &lt; .001). Net reclassification improvement showed that predictability of the AFP model was superior to Milan criteria.\nCONCLUSIONS: Prediction of tumor recurrence is improved significantly by a model that incorporates AFP. We propose the adoption of new selection criteria for HCC transplant candidates, taking into account AFP.","DOI":"10.1053/j.gastro.2012.05.052","ISSN":"1528-0012","note":"PMID: 22750200","shortTitle":"Liver transplantation for hepatocellular carcinoma","journalAbbreviation":"Gastroenterology","language":"eng","author":[{"family":"Duvoux","given":"Christophe"},{"family":"Roudot-Thoraval","given":"Françoise"},{"family":"Decaens","given":"Thomas"},{"family":"Pessione","given":"Fabienne"},{"family":"Badran","given":"Hanaa"},{"family":"Piardi","given":"Tullio"},{"family":"Francoz","given":"Claire"},{"family":"Compagnon","given":"Philippe"},{"family":"Vanlemmens","given":"Claire"},{"family":"Dumortier","given":"Jérome"},{"family":"Dharancy","given":"Sébastien"},{"family":"Gugenheim","given":"Jean"},{"family":"Bernard","given":"Pierre-Henri"},{"family":"Adam","given":"René"},{"family":"Radenne","given":"Sylvie"},{"family":"Muscari","given":"Fabrice"},{"family":"Conti","given":"Filomena"},{"family":"Hardwigsen","given":"Jean"},{"family":"Pageaux","given":"Georges-Philippe"},{"family":"Chazouillères","given":"Olivier"},{"family":"Salame","given":"Ephrem"},{"family":"Hilleret","given":"Marie-Noelle"},{"family":"Lebray","given":"Pascal"},{"family":"Abergel","given":"Armand"},{"family":"Debette-Gratien","given":"Marilyne"},{"family":"Kluger","given":"Michael D."},{"family":"Mallat","given":"Ariane"},{"family":"Azoulay","given":"Daniel"},{"family":"Cherqui","given":"Daniel"},{"literal":"Liver Transplantation French Study Group"}],"issued":{"date-parts":[["2012",10]]}}}],"schema":"https://github.com/citation-style-language/schema/raw/master/csl-citation.json"} </w:instrText>
      </w:r>
      <w:r w:rsidR="0020161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[14]</w:t>
      </w:r>
      <w:r w:rsidR="00201615"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there are no limits agreed upon for critically ill patients. This</w:t>
      </w:r>
      <w:r w:rsidR="00E23F86" w:rsidRPr="00383A0F">
        <w:rPr>
          <w:rFonts w:ascii="Book Antiqua" w:hAnsi="Book Antiqua" w:cs="Arial"/>
          <w:color w:val="000000" w:themeColor="text1"/>
          <w:lang w:val="en-US"/>
        </w:rPr>
        <w:t xml:space="preserve"> situation may be considered </w:t>
      </w:r>
      <w:r w:rsidRPr="00383A0F">
        <w:rPr>
          <w:rFonts w:ascii="Book Antiqua" w:hAnsi="Book Antiqua" w:cs="Arial"/>
          <w:color w:val="000000" w:themeColor="text1"/>
          <w:lang w:val="en-US"/>
        </w:rPr>
        <w:t xml:space="preserve">unfair and </w:t>
      </w:r>
      <w:r w:rsidR="00E23F86" w:rsidRPr="00383A0F">
        <w:rPr>
          <w:rFonts w:ascii="Book Antiqua" w:hAnsi="Book Antiqua" w:cs="Arial"/>
          <w:color w:val="000000" w:themeColor="text1"/>
          <w:lang w:val="en-US"/>
        </w:rPr>
        <w:t xml:space="preserve">sometimes </w:t>
      </w:r>
      <w:r w:rsidRPr="00383A0F">
        <w:rPr>
          <w:rFonts w:ascii="Book Antiqua" w:hAnsi="Book Antiqua" w:cs="Arial"/>
          <w:color w:val="000000" w:themeColor="text1"/>
          <w:lang w:val="en-US"/>
        </w:rPr>
        <w:t>lead</w:t>
      </w:r>
      <w:r w:rsidR="00E23F86" w:rsidRPr="00383A0F">
        <w:rPr>
          <w:rFonts w:ascii="Book Antiqua" w:hAnsi="Book Antiqua" w:cs="Arial"/>
          <w:color w:val="000000" w:themeColor="text1"/>
          <w:lang w:val="en-US"/>
        </w:rPr>
        <w:t>s</w:t>
      </w:r>
      <w:r w:rsidRPr="00383A0F">
        <w:rPr>
          <w:rFonts w:ascii="Book Antiqua" w:hAnsi="Book Antiqua" w:cs="Arial"/>
          <w:color w:val="000000" w:themeColor="text1"/>
          <w:lang w:val="en-US"/>
        </w:rPr>
        <w:t xml:space="preserve"> to </w:t>
      </w:r>
      <w:r w:rsidR="005656C1" w:rsidRPr="00383A0F">
        <w:rPr>
          <w:rFonts w:ascii="Book Antiqua" w:hAnsi="Book Antiqua" w:cs="Arial"/>
          <w:color w:val="000000" w:themeColor="text1"/>
          <w:lang w:val="en-US"/>
        </w:rPr>
        <w:t xml:space="preserve">an urge to impose </w:t>
      </w:r>
      <w:r w:rsidRPr="00383A0F">
        <w:rPr>
          <w:rFonts w:ascii="Book Antiqua" w:hAnsi="Book Antiqua" w:cs="Arial"/>
          <w:color w:val="000000" w:themeColor="text1"/>
          <w:lang w:val="en-US"/>
        </w:rPr>
        <w:t>equally strict</w:t>
      </w:r>
      <w:r w:rsidR="00E23F86" w:rsidRPr="00383A0F">
        <w:rPr>
          <w:rFonts w:ascii="Book Antiqua" w:hAnsi="Book Antiqua" w:cs="Arial"/>
          <w:color w:val="000000" w:themeColor="text1"/>
          <w:lang w:val="en-US"/>
        </w:rPr>
        <w:t xml:space="preserve"> </w:t>
      </w:r>
      <w:r w:rsidRPr="00383A0F">
        <w:rPr>
          <w:rFonts w:ascii="Book Antiqua" w:hAnsi="Book Antiqua" w:cs="Arial"/>
          <w:color w:val="000000" w:themeColor="text1"/>
          <w:lang w:val="en-US"/>
        </w:rPr>
        <w:t>limits on critically ill patients.</w:t>
      </w:r>
      <w:r w:rsidR="00E23F86" w:rsidRPr="00383A0F">
        <w:rPr>
          <w:rFonts w:ascii="Book Antiqua" w:hAnsi="Book Antiqua" w:cs="Arial"/>
          <w:color w:val="000000" w:themeColor="text1"/>
          <w:lang w:val="en-US"/>
        </w:rPr>
        <w:t xml:space="preserve"> However, while there is plenty of evidence available to set </w:t>
      </w:r>
      <w:r w:rsidR="002168E2" w:rsidRPr="00383A0F">
        <w:rPr>
          <w:rFonts w:ascii="Book Antiqua" w:hAnsi="Book Antiqua" w:cs="Arial"/>
          <w:color w:val="000000" w:themeColor="text1"/>
          <w:lang w:val="en-US"/>
        </w:rPr>
        <w:t xml:space="preserve">consensual </w:t>
      </w:r>
      <w:r w:rsidR="00E23F86" w:rsidRPr="00383A0F">
        <w:rPr>
          <w:rFonts w:ascii="Book Antiqua" w:hAnsi="Book Antiqua" w:cs="Arial"/>
          <w:color w:val="000000" w:themeColor="text1"/>
          <w:lang w:val="en-US"/>
        </w:rPr>
        <w:t xml:space="preserve">limits for </w:t>
      </w:r>
      <w:r w:rsidR="002168E2" w:rsidRPr="00383A0F">
        <w:rPr>
          <w:rFonts w:ascii="Book Antiqua" w:hAnsi="Book Antiqua" w:cs="Arial"/>
          <w:color w:val="000000" w:themeColor="text1"/>
          <w:lang w:val="en-US"/>
        </w:rPr>
        <w:t>patients with hepato</w:t>
      </w:r>
      <w:r w:rsidR="000433C9" w:rsidRPr="00383A0F">
        <w:rPr>
          <w:rFonts w:ascii="Book Antiqua" w:hAnsi="Book Antiqua" w:cs="Arial"/>
          <w:color w:val="000000" w:themeColor="text1"/>
          <w:lang w:val="en-US"/>
        </w:rPr>
        <w:t xml:space="preserve">cellular </w:t>
      </w:r>
      <w:r w:rsidR="000802F0" w:rsidRPr="00383A0F">
        <w:rPr>
          <w:rFonts w:ascii="Book Antiqua" w:hAnsi="Book Antiqua" w:cs="Arial"/>
          <w:color w:val="000000" w:themeColor="text1"/>
          <w:lang w:val="en-US"/>
        </w:rPr>
        <w:t>carcinoma based on post-</w:t>
      </w:r>
      <w:r w:rsidR="002168E2" w:rsidRPr="00383A0F">
        <w:rPr>
          <w:rFonts w:ascii="Book Antiqua" w:hAnsi="Book Antiqua" w:cs="Arial"/>
          <w:color w:val="000000" w:themeColor="text1"/>
          <w:lang w:val="en-US"/>
        </w:rPr>
        <w:t>transplant mortality targets</w:t>
      </w:r>
      <w:r w:rsidR="0069643C" w:rsidRPr="00383A0F">
        <w:rPr>
          <w:rFonts w:ascii="Book Antiqua" w:hAnsi="Book Antiqua" w:cs="Arial"/>
          <w:color w:val="000000" w:themeColor="text1"/>
          <w:lang w:val="en-US"/>
        </w:rPr>
        <w:t xml:space="preserve">, the lack of evidence leads </w:t>
      </w:r>
      <w:r w:rsidR="002168E2" w:rsidRPr="00383A0F">
        <w:rPr>
          <w:rFonts w:ascii="Book Antiqua" w:hAnsi="Book Antiqua" w:cs="Arial"/>
          <w:color w:val="000000" w:themeColor="text1"/>
          <w:lang w:val="en-US"/>
        </w:rPr>
        <w:t xml:space="preserve">teams to set </w:t>
      </w:r>
      <w:r w:rsidR="00BF6FCC" w:rsidRPr="00383A0F">
        <w:rPr>
          <w:rFonts w:ascii="Book Antiqua" w:hAnsi="Book Antiqua" w:cs="Arial"/>
          <w:color w:val="000000" w:themeColor="text1"/>
          <w:lang w:val="en-US"/>
        </w:rPr>
        <w:t xml:space="preserve">individual, </w:t>
      </w:r>
      <w:r w:rsidR="002168E2" w:rsidRPr="00383A0F">
        <w:rPr>
          <w:rFonts w:ascii="Book Antiqua" w:hAnsi="Book Antiqua" w:cs="Arial"/>
          <w:color w:val="000000" w:themeColor="text1"/>
          <w:lang w:val="en-US"/>
        </w:rPr>
        <w:t>arbitrary limits for critically ill pa</w:t>
      </w:r>
      <w:r w:rsidR="005656C1" w:rsidRPr="00383A0F">
        <w:rPr>
          <w:rFonts w:ascii="Book Antiqua" w:hAnsi="Book Antiqua" w:cs="Arial"/>
          <w:color w:val="000000" w:themeColor="text1"/>
          <w:lang w:val="en-US"/>
        </w:rPr>
        <w:t>tients</w:t>
      </w:r>
      <w:r w:rsidR="00201615" w:rsidRPr="0083090A">
        <w:rPr>
          <w:rFonts w:ascii="Book Antiqua" w:hAnsi="Book Antiqua" w:cs="Arial"/>
          <w:color w:val="000000" w:themeColor="text1"/>
          <w:lang w:val="en-US"/>
        </w:rPr>
        <w:fldChar w:fldCharType="begin"/>
      </w:r>
      <w:r w:rsidR="004B7DB2" w:rsidRPr="0083090A">
        <w:rPr>
          <w:rFonts w:ascii="Book Antiqua" w:hAnsi="Book Antiqua" w:cs="Arial"/>
          <w:color w:val="000000" w:themeColor="text1"/>
          <w:lang w:val="en-US"/>
        </w:rPr>
        <w:instrText xml:space="preserve"> ADDIN ZOTERO_ITEM CSL_CITATION {"citationID":"rbRbfRlW","properties":{"formattedCitation":"\\super [15]\\nosupersub{}","plainCitation":"[15]","noteIndex":0},"citationItems":[{"id":245,"uris":["http://zotero.org/users/local/BE2xVPev/items/TUZ2EBU2"],"uri":["http://zotero.org/users/local/BE2xVPev/items/TUZ2EBU2"],"itemData":{"id":245,"type":"article-journal","title":"Liver transplantation in patients with end-stage liver disease requiring intensive care unit admission and intubation","container-title":"Liver Transplantation: Official Publication of the American Association for the Study of Liver Diseases and the International Liver Transplantation Society","page":"761-767","volume":"21","issue":"6","source":"PubMed","abstract":"Data regarding transplantation outcomes in ventilated intensive care unit (ICU)-dependent patients with end-stage liver disease (ESLD) are conflicting. This single-center cohort study investigated the outcomes of patients with ESLD who were intubated with mechanical support before liver transplantation (LT). The ICU plus intubation group consisted of 42 patients with decompensated cirrhosis and mechanical ventilation before transplantation. LT was considered for intubated ICU patients if the fraction of inspired oxygen was ≤40% with a positive end-expiratory pressure</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10, low pressor requirements, and the absence of an active infection. Intubated ICU patients were compared to 80 patients requiring ICU admission before transplantation without intubation and to 126 matched non-ICU-bound patients. Patients requiring ICU care with intubation and ICU care alone had more severe postoperative complications than non-ICU-bound patients. Intubation before transplantation was associated with more postoperative pneumonias (15% in intubated ICU transplant candidates, 5% in ICU-bound but not intubated patients, and 3% in control group patients; P</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0.02). Parameters of reperfusion injury and renal function on postoperative day (POD) 2 and POD 7 were similar in all groups. Bilirubin levels were higher in the ICU plus intubation group at POD 2 and POD 7 after transplantation but were normalized in all groups within 3 months. The ICU plus intubation group versus the ICU-only group and the non-ICU group had decreased 1-, 3-, and 5-year graft survival (81% versus 84% versus 92%, 76% versus 78% versus 87%, and 71% versus 77% versus 84%, respectively; P</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0.19), but statistical significance was not reached. A Glasgow coma scale score of &lt;7 versus &gt;7 before transplantation was associated with high postoperative mortality in ICU-bound patients requiring intubation (38% versus 23%; P</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 xml:space="preserve">0.01). In conclusion, ICU admission and mechanical ventilation should not be considered contraindications for LT. With careful patient selection, acceptable long-term outcomes can be achieved despite increased postoperative complications.","DOI":"10.1002/lt.24115","ISSN":"1527-6473","note":"PMID: 25865305","journalAbbreviation":"Liver Transpl.","language":"eng","author":[{"family":"Knaak","given":"Jan"},{"family":"McVey","given":"Mark"},{"family":"Bazerbachi","given":"Fateh"},{"family":"Goldaracena","given":"Nicolás"},{"family":"Spetzler","given":"Vinzent"},{"family":"Selzner","given":"Nazia"},{"family":"Cattral","given":"Mark"},{"family":"Greig","given":"Paul"},{"family":"Lilly","given":"Les"},{"family":"McGilvray","given":"Ian"},{"family":"Levy","given":"Gary"},{"family":"Ghanekar","given":"Anand"},{"family":"Renner","given":"Eberhard"},{"family":"Grant","given":"David"},{"family":"Hawryluck","given":"Laura"},{"family":"Selzner","given":"Markus"}],"issued":{"date-parts":[["2015",6]]}}}],"schema":"https://github.com/citation-style-language/schema/raw/master/csl-citation.json"} </w:instrText>
      </w:r>
      <w:r w:rsidR="00201615" w:rsidRPr="0083090A">
        <w:rPr>
          <w:rFonts w:ascii="Book Antiqua" w:hAnsi="Book Antiqua" w:cs="Arial"/>
          <w:color w:val="000000" w:themeColor="text1"/>
          <w:lang w:val="en-US"/>
        </w:rPr>
        <w:fldChar w:fldCharType="separate"/>
      </w:r>
      <w:r w:rsidR="00D34E45" w:rsidRPr="0083090A">
        <w:rPr>
          <w:rFonts w:ascii="Book Antiqua" w:hAnsi="Book Antiqua"/>
          <w:color w:val="000000" w:themeColor="text1"/>
          <w:vertAlign w:val="superscript"/>
          <w:lang w:val="en-US"/>
        </w:rPr>
        <w:t>[</w:t>
      </w:r>
      <w:r w:rsidR="00707081" w:rsidRPr="0083090A">
        <w:rPr>
          <w:rFonts w:ascii="Book Antiqua" w:hAnsi="Book Antiqua"/>
          <w:color w:val="000000" w:themeColor="text1"/>
          <w:vertAlign w:val="superscript"/>
          <w:lang w:val="en-US"/>
        </w:rPr>
        <w:t>7,15</w:t>
      </w:r>
      <w:r w:rsidR="00201615" w:rsidRPr="0083090A">
        <w:rPr>
          <w:rFonts w:ascii="Book Antiqua" w:hAnsi="Book Antiqua" w:cs="Arial"/>
          <w:color w:val="000000" w:themeColor="text1"/>
          <w:lang w:val="en-US"/>
        </w:rPr>
        <w:fldChar w:fldCharType="end"/>
      </w:r>
      <w:r w:rsidR="00201615" w:rsidRPr="0083090A">
        <w:rPr>
          <w:rFonts w:ascii="Book Antiqua" w:hAnsi="Book Antiqua" w:cs="Arial"/>
          <w:color w:val="000000" w:themeColor="text1"/>
          <w:lang w:val="en-US"/>
        </w:rPr>
        <w:fldChar w:fldCharType="begin"/>
      </w:r>
      <w:r w:rsidR="004B7DB2" w:rsidRPr="0083090A">
        <w:rPr>
          <w:rFonts w:ascii="Book Antiqua" w:hAnsi="Book Antiqua" w:cs="Arial"/>
          <w:color w:val="000000" w:themeColor="text1"/>
          <w:lang w:val="en-US"/>
        </w:rPr>
        <w:instrText xml:space="preserve"> ADDIN ZOTERO_ITEM CSL_CITATION {"citationID":"CGF5moph","properties":{"formattedCitation":"\\super [7]\\nosupersub{}","plainCitation":"[7]","noteIndex":0},"citationItems":[{"id":388,"uris":["http://zotero.org/users/local/BE2xVPev/items/SWIJADLC"],"uri":["http://zotero.org/users/local/BE2xVPev/items/SWIJADLC"],"itemData":{"id":388,"type":"article-journal","title":"Potentially inappropriate liver transplantation in the era of the \"sickest first\" policy - A search for the upper limits","container-title":"Journal of Hepatology","source":"PubMed","abstract":"Liver transplantation has emerged as a highly efficient treatment for a variety of acute and chronic liver diseases. However, organ shortage is becoming an increasing problem globally, limiting the applicability of liver transplantation. In addition, potential recipients are becoming sicker, thereby increasing the risk of losing the graft during transplantation or in the initial postoperative period after liver transplantation (three months). This trend is challenging the model for end-stage liver disease allocation system, where the sickest candidates are prioritised and no delisting criteria are given. The weighting of the deontological demand for \"equity\", trying to save every patient, regardless of the overall utility; and \"efficiency\", rooted in utilitarianism, trying to save as many patients as possible and increase the overall quality of life of patients facing the same problem, has to be reconsidered. In this article we are aiming to overcome the widespread concept of futility in liver transplantation, providing a definition of potentially inappropriate liver transplantation and giving guidance on situations where it is best not to proceed with liver transplantation, to decrease the mortality rate in the first three months after transplantation. We propose \"absolute\" and \"relative\" conditions, where early post-transplant mortality is highly probable, which are not usually captured in risk scores predicting post-transplant survival. Withholding liver transplantation for listed patients in cases where liver transplant is not deemed clearly futile, but is potentially inappropriate, is a far-reaching decision. Until now, this decision had to be discussed extensively on an individual basis, applying explicit communication and conflict resolution processes, since the model for end-stage liver disease score and most international allocation systems do not include explicit delisting criteria to support a fair delisting process. More work is needed to better identify cases where transplantation is potentially inappropriate and to integrate and discuss these delisting criteria in allocation systems, following a societal debate on what we owe to all liver transplant candidates.","DOI":"10.1016/j.jhep.2017.11.008","ISSN":"1600-0641","note":"PMID: 29133246","journalAbbreviation":"J. Hepatol.","language":"eng","author":[{"family":"Linecker","given":"Michael"},{"family":"Krones","given":"Tanja"},{"family":"Berg","given":"Thomas"},{"family":"Niemann","given":"Claus U."},{"family":"Steadman","given":"Randolph H."},{"family":"Dutkowski","given":"Philipp"},{"family":"Clavien","given":"Pierre-Alain"},{"family":"Busuttil","given":"Ronald W."},{"family":"Truog","given":"Robert D."},{"family":"Petrowsky","given":"Henrik"}],"issued":{"date-parts":[["2017",11,11]]}}}],"schema":"https://github.com/citation-style-language/schema/raw/master/csl-citation.json"} </w:instrText>
      </w:r>
      <w:r w:rsidR="00201615" w:rsidRPr="0083090A">
        <w:rPr>
          <w:rFonts w:ascii="Book Antiqua" w:hAnsi="Book Antiqua" w:cs="Arial"/>
          <w:color w:val="000000" w:themeColor="text1"/>
          <w:lang w:val="en-US"/>
        </w:rPr>
        <w:fldChar w:fldCharType="separate"/>
      </w:r>
      <w:r w:rsidR="00D34E45" w:rsidRPr="0083090A">
        <w:rPr>
          <w:rFonts w:ascii="Book Antiqua" w:hAnsi="Book Antiqua"/>
          <w:color w:val="000000" w:themeColor="text1"/>
          <w:vertAlign w:val="superscript"/>
          <w:lang w:val="en-US"/>
        </w:rPr>
        <w:t>]</w:t>
      </w:r>
      <w:r w:rsidR="00201615" w:rsidRPr="0083090A">
        <w:rPr>
          <w:rFonts w:ascii="Book Antiqua" w:hAnsi="Book Antiqua" w:cs="Arial"/>
          <w:color w:val="000000" w:themeColor="text1"/>
          <w:lang w:val="en-US"/>
        </w:rPr>
        <w:fldChar w:fldCharType="end"/>
      </w:r>
      <w:r w:rsidR="00201615" w:rsidRPr="0083090A">
        <w:rPr>
          <w:rFonts w:ascii="Book Antiqua" w:hAnsi="Book Antiqua" w:cs="Arial"/>
          <w:color w:val="000000" w:themeColor="text1"/>
          <w:lang w:val="en-US"/>
        </w:rPr>
        <w:t>.</w:t>
      </w:r>
      <w:r w:rsidR="000107B3" w:rsidRPr="00383A0F">
        <w:rPr>
          <w:rFonts w:ascii="Book Antiqua" w:hAnsi="Book Antiqua" w:cs="Arial"/>
          <w:color w:val="000000" w:themeColor="text1"/>
          <w:lang w:val="en-US"/>
        </w:rPr>
        <w:t xml:space="preserve"> </w:t>
      </w:r>
    </w:p>
    <w:p w14:paraId="2F186583" w14:textId="594163BE" w:rsidR="00BF6FCC"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BF6FCC" w:rsidRPr="00383A0F">
        <w:rPr>
          <w:rFonts w:ascii="Book Antiqua" w:hAnsi="Book Antiqua" w:cs="Arial"/>
          <w:color w:val="000000" w:themeColor="text1"/>
          <w:lang w:val="en-US"/>
        </w:rPr>
        <w:t>Moving</w:t>
      </w:r>
      <w:r w:rsidR="0069643C" w:rsidRPr="00383A0F">
        <w:rPr>
          <w:rFonts w:ascii="Book Antiqua" w:hAnsi="Book Antiqua" w:cs="Arial"/>
          <w:color w:val="000000" w:themeColor="text1"/>
          <w:lang w:val="en-US"/>
        </w:rPr>
        <w:t xml:space="preserve"> forward on this divisive topic</w:t>
      </w:r>
      <w:r w:rsidR="00BF6FCC" w:rsidRPr="00383A0F">
        <w:rPr>
          <w:rFonts w:ascii="Book Antiqua" w:hAnsi="Book Antiqua" w:cs="Arial"/>
          <w:color w:val="000000" w:themeColor="text1"/>
          <w:lang w:val="en-US"/>
        </w:rPr>
        <w:t xml:space="preserve"> requires transplant teams to re</w:t>
      </w:r>
      <w:r w:rsidR="0069643C" w:rsidRPr="00383A0F">
        <w:rPr>
          <w:rFonts w:ascii="Book Antiqua" w:hAnsi="Book Antiqua" w:cs="Arial"/>
          <w:color w:val="000000" w:themeColor="text1"/>
          <w:lang w:val="en-US"/>
        </w:rPr>
        <w:t xml:space="preserve">cognize that it is in </w:t>
      </w:r>
      <w:r w:rsidR="00BF6FCC" w:rsidRPr="00383A0F">
        <w:rPr>
          <w:rFonts w:ascii="Book Antiqua" w:hAnsi="Book Antiqua" w:cs="Arial"/>
          <w:color w:val="000000" w:themeColor="text1"/>
          <w:lang w:val="en-US"/>
        </w:rPr>
        <w:t>patients</w:t>
      </w:r>
      <w:r w:rsidR="0069643C" w:rsidRPr="00383A0F">
        <w:rPr>
          <w:rFonts w:ascii="Book Antiqua" w:hAnsi="Book Antiqua" w:cs="Arial"/>
          <w:color w:val="000000" w:themeColor="text1"/>
          <w:lang w:val="en-US"/>
        </w:rPr>
        <w:t>’</w:t>
      </w:r>
      <w:r w:rsidR="00BF6FCC" w:rsidRPr="00383A0F">
        <w:rPr>
          <w:rFonts w:ascii="Book Antiqua" w:hAnsi="Book Antiqua" w:cs="Arial"/>
          <w:color w:val="000000" w:themeColor="text1"/>
          <w:lang w:val="en-US"/>
        </w:rPr>
        <w:t xml:space="preserve"> </w:t>
      </w:r>
      <w:r w:rsidR="0069643C" w:rsidRPr="00383A0F">
        <w:rPr>
          <w:rFonts w:ascii="Book Antiqua" w:hAnsi="Book Antiqua" w:cs="Arial"/>
          <w:color w:val="000000" w:themeColor="text1"/>
          <w:lang w:val="en-US"/>
        </w:rPr>
        <w:t>best interests</w:t>
      </w:r>
      <w:r w:rsidR="00BF6FCC" w:rsidRPr="00383A0F">
        <w:rPr>
          <w:rFonts w:ascii="Book Antiqua" w:hAnsi="Book Antiqua" w:cs="Arial"/>
          <w:color w:val="000000" w:themeColor="text1"/>
          <w:lang w:val="en-US"/>
        </w:rPr>
        <w:t xml:space="preserve"> to open this discussion and try to be as transparent and rational as possible concerning the limits set for transplanting critically ill patients. Indeed, this should allow these patients to individually benefit from LT while setting outcome standards as high as those set for other pathologies and therefore allocate transplants as justly and transparently as possible between different pathologies. </w:t>
      </w:r>
    </w:p>
    <w:p w14:paraId="79A779DE" w14:textId="77777777" w:rsidR="00CB4BAE" w:rsidRPr="00383A0F" w:rsidRDefault="00CB4BAE" w:rsidP="00383A0F">
      <w:pPr>
        <w:adjustRightInd w:val="0"/>
        <w:snapToGrid w:val="0"/>
        <w:spacing w:line="360" w:lineRule="auto"/>
        <w:jc w:val="both"/>
        <w:rPr>
          <w:rFonts w:ascii="Book Antiqua" w:hAnsi="Book Antiqua" w:cs="Arial"/>
          <w:color w:val="000000" w:themeColor="text1"/>
          <w:lang w:val="en-US"/>
        </w:rPr>
      </w:pPr>
    </w:p>
    <w:p w14:paraId="25CBBCF3" w14:textId="4666BD9D" w:rsidR="005707A7" w:rsidRPr="00383A0F" w:rsidRDefault="001107AD"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The problem of comparing heterogeneous cohorts</w:t>
      </w:r>
    </w:p>
    <w:p w14:paraId="3842C28F" w14:textId="29F261B0" w:rsidR="001E3328" w:rsidRPr="00383A0F" w:rsidRDefault="00C0345D"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The literature devoted to the question of LT in critically ill patients has focused o</w:t>
      </w:r>
      <w:r w:rsidR="005656C1" w:rsidRPr="00383A0F">
        <w:rPr>
          <w:rFonts w:ascii="Book Antiqua" w:hAnsi="Book Antiqua" w:cs="Arial"/>
          <w:color w:val="000000" w:themeColor="text1"/>
          <w:lang w:val="en-US"/>
        </w:rPr>
        <w:t>n various subgroups of patients, in particular:</w:t>
      </w:r>
      <w:r w:rsidRPr="00383A0F">
        <w:rPr>
          <w:rFonts w:ascii="Book Antiqua" w:hAnsi="Book Antiqua" w:cs="Arial"/>
          <w:color w:val="000000" w:themeColor="text1"/>
          <w:lang w:val="en-US"/>
        </w:rPr>
        <w:t xml:space="preserve"> high MELD</w:t>
      </w:r>
      <w:r w:rsidR="0093787B" w:rsidRPr="00383A0F">
        <w:rPr>
          <w:rFonts w:ascii="Book Antiqua" w:hAnsi="Book Antiqua" w:cs="Arial"/>
          <w:color w:val="000000" w:themeColor="text1"/>
          <w:lang w:val="en-US"/>
        </w:rPr>
        <w:t xml:space="preserve"> </w:t>
      </w:r>
      <w:r w:rsidR="005656C1" w:rsidRPr="00383A0F">
        <w:rPr>
          <w:rFonts w:ascii="Book Antiqua" w:hAnsi="Book Antiqua" w:cs="Arial"/>
          <w:color w:val="000000" w:themeColor="text1"/>
          <w:lang w:val="en-US"/>
        </w:rPr>
        <w:t>patients</w:t>
      </w:r>
      <w:r w:rsidR="00EB419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{"citationID":"IVxJoY3M","properties":{"formattedCitation":"\\super [13]\\nosupersub{}","plainCitation":"[13]","noteIndex":0},"citationItems":[{"id":45,"uris":["http://zotero.org/users/local/BE2xVPev/items/5REPG3AK"],"uri":["http://zotero.org/users/local/BE2xVPev/items/5REPG3AK"],"itemData":{"id":45,"type":"article-journal","title":"Liver transplantation in highest acuity recipients: identifying factors to avoid futility","container-title":"Annals of Surgery","page":"1186-1194","volume":"259","issue":"6","source":"PubMed","abstract":"OBJECTIVE: To identify medical predictors of futility in recipients with laboratory Model of End-Stage Liver Disease (MELD) scores of 40 or more at the time of orthotopic liver transplantation (OLT).\nBACKGROUND: Although the survival benefit for transplant patients with the highest MELD scores is indisputable, the medical and economic effort to bring these highest acuity recipients through OLT presents a major challenge for every transplant center.\nMETHODS: This study was undertaken to analyze outcomes in patients with MELD scores of 40 or more undergoing OLT during the period February 2002 to December 2010. The analysis was focused on futile outcome (3-month or in-hospital mortality) and long-term posttransplant outcome. Independent predictors of futility and failure-free survival were identified and a futility risk model was created.\nRESULTS: During the study period, 1522 adult cadaveric OLTs were performed, and 169 patients (13%) had a MELD score of 40 or more. The overall 1, 3, 5, and 8-year patient survivals were 72%, 64%, 60%, and 56%. Futile outcome occurred in 37 patients (22%). MELD score, pretransplant septic shock, cardiac risk, and comorbidities were independent predictors of futile outcome. Using all 4 factors, the futility risk model had a good discriminatory ability (c-statistic 0.75). Recipient age per year, life-threatening postoperative complications, hepatitis C, and metabolic syndrome were independent predictors for long-term survival in nonfutile patients (Harrels c-statistic 0.72).\nCONCLUSIONS: Short- and long-term outcomes of recipients with MELD scores of 40 or more are primarily determined by disease-specific factors. Cardiac risk, pretransplant septic shock, and comorbidities are the most important predictors and can be used for risk stratification in these highest acuity recipients.","DOI":"10.1097/SLA.0000000000000265","ISSN":"1528-1140","note":"PMID: 24263317","shortTitle":"Liver transplantation in highest acuity recipients","journalAbbreviation":"Ann. Surg.","language":"eng","author":[{"family":"Petrowsky","given":"Henrik"},{"family":"Rana","given":"Abbas"},{"family":"Kaldas","given":"Fady M."},{"family":"Sharma","given":"Anuj"},{"family":"Hong","given":"Johnny C."},{"family":"Agopian","given":"Vatche G."},{"family":"Durazo","given":"Francisco"},{"family":"Honda","given":"Henry"},{"family":"Gornbein","given":"Jeffrey"},{"family":"Wu","given":"Victor"},{"family":"Farmer","given":"Douglas G."},{"family":"Hiatt","given":"Jonathan R."},{"family":"Busuttil","given":"Ronald W."}],"issued":{"date-parts":[["2014",6]]}}}],"schema":"https://github.com/citation-style-language/schema/raw/master/csl-citation.json"} </w:instrText>
      </w:r>
      <w:r w:rsidR="00EB419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[13]</w:t>
      </w:r>
      <w:r w:rsidR="00EB4195" w:rsidRPr="00383A0F">
        <w:rPr>
          <w:rFonts w:ascii="Book Antiqua" w:hAnsi="Book Antiqua" w:cs="Arial"/>
          <w:color w:val="000000" w:themeColor="text1"/>
          <w:lang w:val="en-US"/>
        </w:rPr>
        <w:fldChar w:fldCharType="end"/>
      </w:r>
      <w:r w:rsidR="0093787B" w:rsidRPr="00383A0F">
        <w:rPr>
          <w:rFonts w:ascii="Book Antiqua" w:hAnsi="Book Antiqua" w:cs="Arial"/>
          <w:color w:val="000000" w:themeColor="text1"/>
          <w:lang w:val="en-US"/>
        </w:rPr>
        <w:t xml:space="preserve">, </w:t>
      </w:r>
      <w:r w:rsidRPr="00383A0F">
        <w:rPr>
          <w:rFonts w:ascii="Book Antiqua" w:hAnsi="Book Antiqua" w:cs="Arial"/>
          <w:color w:val="000000" w:themeColor="text1"/>
          <w:lang w:val="en-US"/>
        </w:rPr>
        <w:t>ICU patients</w:t>
      </w:r>
      <w:r w:rsidR="00EB419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{"citationID":"SD1lPvn9","properties":{"formattedCitation":"\\super [16]\\nosupersub{}","plainCitation":"[16]","noteIndex":0},"citationItems":[{"id":57,"uris":["http://zotero.org/users/local/BE2xVPev/items/498ECZQS"],"uri":["http://zotero.org/users/local/BE2xVPev/items/498ECZQS"],"itemData":{"id":57,"type":"article-journal","title":"Liver transplantation in the critically ill: a multicenter Canadian retrospective cohort study","container-title":"Critical Care (London, England)","page":"R28","volume":"17","issue":"1","source":"PubMed","abstract":"INTRODUCTION: Critically ill cirrhosis patients awaiting liver transplantation (LT) often receive prioritization for organ allocation. Identification of patients most likely to benefit is essential. The purpose of this study was to examine whether the Sequential Organ Failure Assessment (SOFA) score can predict 90-day mortality in critically ill recipients of LT and whether it can predict receipt of LT among critically ill cirrhosis listed awaiting LT.\nMETHODS: We performed a multicenter retrospective cohort study consisting of two datasets: (a) all critically-ill cirrhosis patients requiring intensive care unit (ICU) admission before LT at five transplant centers in Canada from 2000 through 2009 (one site, 1990 through 2009), and (b) critically ill cirrhosis patients receiving LT from ICU (n = 115) and those listed but not receiving LT before death (n = 106) from two centers where complete data were available.\nRESULTS: In the first dataset, 198 critically ill cirrhosis patients receiving LT (mean (SD) age 53 (10) years, 66% male, median (IQR) model for end-stage liver disease (MELD) 34 (26-39)) were included. Mean (SD) SOFA scores at ICU admission, at 48 hours, and at LT were 12.5 (4), 13.0 (5), and 14.0 (4). Survival at 90 days was 84% (n = 166). In multivariable analysis, only older age was independently associated with reduced 90-day survival (odds ratio (OR), 1.07; 95% CI, 1.01 to 1.14; P = 0.013). SOFA score did not predict 90-day mortality at any time. In the second dataset, 47.9% (n = 106) of cirrhosis patients listed for LT died in the ICU waiting for LT. In multivariable analysis, higher SOFA at 48 hours after admission was independently associated with lower probability of receiving LT (OR, 0.89; 95% CI, 0.82 to 0.97; P = 0.006). When including serum lactate and SOFA at 48 hours in the final model, elevated lactate (at 48 hours) was also significantly associated with lower likelihood of receiving LT (0.32; 0.17 to 0.61; P = 0.001).\nCONCLUSIONS: SOFA appears poor at predicting 90-day survival in critically ill cirrhosis patients after LT, but higher SOFA score and elevated lactate 48 hours after ICU admission are associated with a lower probability receiving LT. Older critically ill cirrhosis patients (older than 60) receiving LT have worse 90-day survival and should be considered for LT with caution.","DOI":"10.1186/cc12508","ISSN":"1466-609X","note":"PMID: 23394270\nPMCID: PMC4056692","shortTitle":"Liver transplantation in the critically ill","journalAbbreviation":"Crit Care","language":"eng","author":[{"family":"Karvellas","given":"Constantine J."},{"family":"Lescot","given":"Thomas"},{"family":"Goldberg","given":"Peter"},{"family":"Sharpe","given":"Michael D."},{"family":"Ronco","given":"Juan J."},{"family":"Renner","given":"Eberhard L."},{"family":"Vahidy","given":"Hina"},{"family":"Poonja","given":"Zafrina"},{"family":"Chaudhury","given":"Prosanto"},{"family":"Kneteman","given":"Norman M."},{"family":"Selzner","given":"Markus"},{"family":"Cook","given":"Earl F."},{"family":"Bagshaw","given":"Sean M."},{"literal":"Canadian Liver Failure Study Group"}],"issued":{"date-parts":[["2013"]]}}}],"schema":"https://github.com/citation-style-language/schema/raw/master/csl-citation.json"} </w:instrText>
      </w:r>
      <w:r w:rsidR="00EB419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[16]</w:t>
      </w:r>
      <w:r w:rsidR="00EB4195" w:rsidRPr="00383A0F">
        <w:rPr>
          <w:rFonts w:ascii="Book Antiqua" w:hAnsi="Book Antiqua" w:cs="Arial"/>
          <w:color w:val="000000" w:themeColor="text1"/>
          <w:lang w:val="en-US"/>
        </w:rPr>
        <w:fldChar w:fldCharType="end"/>
      </w:r>
      <w:r w:rsidR="0093787B" w:rsidRPr="00383A0F">
        <w:rPr>
          <w:rFonts w:ascii="Book Antiqua" w:hAnsi="Book Antiqua" w:cs="Arial"/>
          <w:color w:val="000000" w:themeColor="text1"/>
          <w:lang w:val="en-US"/>
        </w:rPr>
        <w:t xml:space="preserve">, </w:t>
      </w:r>
      <w:r w:rsidR="0069643C" w:rsidRPr="00383A0F">
        <w:rPr>
          <w:rFonts w:ascii="Book Antiqua" w:hAnsi="Book Antiqua" w:cs="Arial"/>
          <w:color w:val="000000" w:themeColor="text1"/>
          <w:lang w:val="en-US"/>
        </w:rPr>
        <w:t xml:space="preserve">and </w:t>
      </w:r>
      <w:r w:rsidRPr="00383A0F">
        <w:rPr>
          <w:rFonts w:ascii="Book Antiqua" w:hAnsi="Book Antiqua" w:cs="Arial"/>
          <w:color w:val="000000" w:themeColor="text1"/>
          <w:lang w:val="en-US"/>
        </w:rPr>
        <w:t>intubated patients</w:t>
      </w:r>
      <w:r w:rsidR="00EB419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{"citationID":"3QDPRxpp","properties":{"formattedCitation":"\\super [15]\\nosupersub{}","plainCitation":"[15]","noteIndex":0},"citationItems":[{"id":245,"uris":["http://zotero.org/users/local/BE2xVPev/items/TUZ2EBU2"],"uri":["http://zotero.org/users/local/BE2xVPev/items/TUZ2EBU2"],"itemData":{"id":245,"type":"article-journal","title":"Liver transplantation in patients with end-stage liver disease requiring intensive care unit admission and intubation","container-title":"Liver Transplantation: Official Publication of the American Association for the Study of Liver Diseases and the International Liver Transplantation Society","page":"761-767","volume":"21","issue":"6","source":"PubMed","abstract":"Data regarding transplantation outcomes in ventilated intensive care unit (ICU)-dependent patients with end-stage liver disease (ESLD) are conflicting. This single-center cohort study investigated the outcomes of patients with ESLD who were intubated with mechanical support before liver transplantation (LT). The ICU plus intubation group consisted of 42 patients with decompensated cirrhosis and mechanical ventilation before transplantation. LT was considered for intubated ICU patients if the fraction of inspired oxygen was ≤40% with a positive end-expiratory pressure</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10, low pressor requirements, and the absence of an active infection. Intubated ICU patients were compared to 80 patients requiring ICU admission before transplantation without intubation and to 126 matched non-ICU-bound patients. Patients requiring ICU care with intubation and ICU care alone had more severe postoperative complications than non-ICU-bound patients. Intubation before transplantation was associated with more postoperative pneumonias (15% in intubated ICU transplant candidates, 5% in ICU-bound but not intubated patients, and 3% in control group patients;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0.02). Parameters of reperfusion injury and renal function on postoperative day (POD) 2 and POD 7 were similar in all groups. Bilirubin levels were higher in the ICU plus intubation group at POD 2 and POD 7 after transplantation but were normalized in all groups within 3 months. The ICU plus intubation group versus the ICU-only group and the non-ICU group had decreased 1-, 3-, and 5-year graft survival (81% versus 84% versus 92%, 76% versus 78% versus 87%, and 71% versus 77% versus 84%, respectively;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0.19), but statistical significance was not reached. A Glasgow coma scale score of &lt;7 versus &gt;7 before transplantation was associated with high postoperative mortality in ICU-bound patients requiring intubation (38% versus 23%;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0.01). In conclusion, ICU admission and mechanical ventilation should not be considered contraindications for LT. With careful patient selection, acceptable long-term outcomes can be achieved despite increased postoperative complications.","DOI":"10.1002/lt.24115","ISSN":"1527-6473","note":"PMID: 25865305","journalAbbreviation":"Liver Transpl.","language":"eng","author":[{"family":"Knaak","given":"Jan"},{"family":"McVey","given":"Mark"},{"family":"Bazerbachi","given":"Fateh"},{"family":"Goldaracena","given":"Nicolás"},{"family":"Spetzler","given":"Vinzent"},{"family":"Selzner","given":"Nazia"},{"family":"Cattral","given":"Mark"},{"family":"Greig","given":"Paul"},{"family":"Lilly","given":"Les"},{"family":"McGilvray","given":"Ian"},{"family":"Levy","given":"Gary"},{"family":"Ghanekar","given":"Anand"},{"family":"Renner","given":"Eberhard"},{"family":"Grant","given":"David"},{"family":"Hawryluck","given":"Laura"},{"family":"Selzner","given":"Markus"}],"issued":{"date-parts":[["2015",6]]}}}],"schema":"https://github.com/citation-style-language/schema/raw/master/csl-citation.json"} </w:instrText>
      </w:r>
      <w:r w:rsidR="00EB419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[15]</w:t>
      </w:r>
      <w:r w:rsidR="00EB4195" w:rsidRPr="00383A0F">
        <w:rPr>
          <w:rFonts w:ascii="Book Antiqua" w:hAnsi="Book Antiqua" w:cs="Arial"/>
          <w:color w:val="000000" w:themeColor="text1"/>
          <w:lang w:val="en-US"/>
        </w:rPr>
        <w:fldChar w:fldCharType="end"/>
      </w:r>
      <w:r w:rsidR="0093787B" w:rsidRPr="00383A0F">
        <w:rPr>
          <w:rFonts w:ascii="Book Antiqua" w:hAnsi="Book Antiqua" w:cs="Arial"/>
          <w:color w:val="000000" w:themeColor="text1"/>
          <w:lang w:val="en-US"/>
        </w:rPr>
        <w:t xml:space="preserve">. </w:t>
      </w:r>
      <w:r w:rsidRPr="00383A0F">
        <w:rPr>
          <w:rFonts w:ascii="Book Antiqua" w:hAnsi="Book Antiqua" w:cs="Arial"/>
          <w:color w:val="000000" w:themeColor="text1"/>
          <w:lang w:val="en-US"/>
        </w:rPr>
        <w:t xml:space="preserve">The introduction of the </w:t>
      </w:r>
      <w:r w:rsidR="00465642">
        <w:rPr>
          <w:rFonts w:ascii="Book Antiqua" w:hAnsi="Book Antiqua" w:cs="Arial"/>
          <w:color w:val="000000" w:themeColor="text1"/>
          <w:lang w:val="en-US"/>
        </w:rPr>
        <w:t>European Association for the S</w:t>
      </w:r>
      <w:r w:rsidR="00465642" w:rsidRPr="00383A0F">
        <w:rPr>
          <w:rFonts w:ascii="Book Antiqua" w:hAnsi="Book Antiqua" w:cs="Arial"/>
          <w:color w:val="000000" w:themeColor="text1"/>
          <w:lang w:val="en-US"/>
        </w:rPr>
        <w:t>tudy of the</w:t>
      </w:r>
      <w:r w:rsidR="00465642">
        <w:rPr>
          <w:rFonts w:ascii="Book Antiqua" w:hAnsi="Book Antiqua" w:cs="Arial"/>
          <w:color w:val="000000" w:themeColor="text1"/>
          <w:lang w:val="en-US"/>
        </w:rPr>
        <w:t xml:space="preserve"> L</w:t>
      </w:r>
      <w:r w:rsidR="00465642" w:rsidRPr="00383A0F">
        <w:rPr>
          <w:rFonts w:ascii="Book Antiqua" w:hAnsi="Book Antiqua" w:cs="Arial"/>
          <w:color w:val="000000" w:themeColor="text1"/>
          <w:lang w:val="en-US"/>
        </w:rPr>
        <w:t>iver (EASL)</w:t>
      </w:r>
      <w:r w:rsidRPr="00383A0F">
        <w:rPr>
          <w:rFonts w:ascii="Book Antiqua" w:hAnsi="Book Antiqua" w:cs="Arial"/>
          <w:color w:val="000000" w:themeColor="text1"/>
          <w:lang w:val="en-US"/>
        </w:rPr>
        <w:t xml:space="preserve">-ACLF classification in 2013 finally allows </w:t>
      </w:r>
      <w:r w:rsidR="0069643C" w:rsidRPr="00383A0F">
        <w:rPr>
          <w:rFonts w:ascii="Book Antiqua" w:hAnsi="Book Antiqua" w:cs="Arial"/>
          <w:color w:val="000000" w:themeColor="text1"/>
          <w:lang w:val="en-US"/>
        </w:rPr>
        <w:t>for the</w:t>
      </w:r>
      <w:r w:rsidRPr="00383A0F">
        <w:rPr>
          <w:rFonts w:ascii="Book Antiqua" w:hAnsi="Book Antiqua" w:cs="Arial"/>
          <w:color w:val="000000" w:themeColor="text1"/>
          <w:lang w:val="en-US"/>
        </w:rPr>
        <w:t xml:space="preserve"> </w:t>
      </w:r>
      <w:r w:rsidR="0069643C" w:rsidRPr="00383A0F">
        <w:rPr>
          <w:rFonts w:ascii="Book Antiqua" w:hAnsi="Book Antiqua" w:cs="Arial"/>
          <w:color w:val="000000" w:themeColor="text1"/>
          <w:lang w:val="en-US"/>
        </w:rPr>
        <w:t>grouping of</w:t>
      </w:r>
      <w:r w:rsidRPr="00383A0F">
        <w:rPr>
          <w:rFonts w:ascii="Book Antiqua" w:hAnsi="Book Antiqua" w:cs="Arial"/>
          <w:color w:val="000000" w:themeColor="text1"/>
          <w:lang w:val="en-US"/>
        </w:rPr>
        <w:t xml:space="preserve"> patients according to a </w:t>
      </w:r>
      <w:r w:rsidR="005656C1" w:rsidRPr="00383A0F">
        <w:rPr>
          <w:rFonts w:ascii="Book Antiqua" w:hAnsi="Book Antiqua" w:cs="Arial"/>
          <w:color w:val="000000" w:themeColor="text1"/>
          <w:lang w:val="en-US"/>
        </w:rPr>
        <w:t xml:space="preserve">common </w:t>
      </w:r>
      <w:r w:rsidRPr="00383A0F">
        <w:rPr>
          <w:rFonts w:ascii="Book Antiqua" w:hAnsi="Book Antiqua" w:cs="Arial"/>
          <w:color w:val="000000" w:themeColor="text1"/>
          <w:lang w:val="en-US"/>
        </w:rPr>
        <w:t>classification</w:t>
      </w:r>
      <w:r w:rsidR="0083090A">
        <w:rPr>
          <w:rFonts w:ascii="Book Antiqua" w:hAnsi="Book Antiqua" w:cs="Arial"/>
          <w:color w:val="000000" w:themeColor="text1"/>
          <w:lang w:val="en-US"/>
        </w:rPr>
        <w:t xml:space="preserve"> and identifies various </w:t>
      </w:r>
      <w:r w:rsidR="0083090A" w:rsidRPr="00383A0F">
        <w:rPr>
          <w:rFonts w:ascii="Book Antiqua" w:hAnsi="Book Antiqua" w:cs="Arial"/>
          <w:color w:val="000000" w:themeColor="text1"/>
          <w:lang w:val="en-US"/>
        </w:rPr>
        <w:t>groups of increasing severities</w:t>
      </w:r>
      <w:r w:rsidR="005B5A1B" w:rsidRPr="00383A0F">
        <w:rPr>
          <w:rFonts w:ascii="Book Antiqua" w:hAnsi="Book Antiqua" w:cs="Arial"/>
          <w:color w:val="000000" w:themeColor="text1"/>
          <w:lang w:val="en-US"/>
        </w:rPr>
        <w:t xml:space="preserve">. This will enable studies to use </w:t>
      </w:r>
      <w:r w:rsidR="0083090A" w:rsidRPr="00383A0F">
        <w:rPr>
          <w:rFonts w:ascii="Book Antiqua" w:hAnsi="Book Antiqua" w:cs="Arial"/>
          <w:color w:val="000000" w:themeColor="text1"/>
          <w:lang w:val="en-US"/>
        </w:rPr>
        <w:t>single criteria</w:t>
      </w:r>
      <w:r w:rsidR="005B5A1B" w:rsidRPr="00383A0F">
        <w:rPr>
          <w:rFonts w:ascii="Book Antiqua" w:hAnsi="Book Antiqua" w:cs="Arial"/>
          <w:color w:val="000000" w:themeColor="text1"/>
          <w:lang w:val="en-US"/>
        </w:rPr>
        <w:t xml:space="preserve"> to focus on the patients who are most critically ill (</w:t>
      </w:r>
      <w:r w:rsidRPr="00383A0F">
        <w:rPr>
          <w:rFonts w:ascii="Book Antiqua" w:hAnsi="Book Antiqua" w:cs="Arial"/>
          <w:color w:val="000000" w:themeColor="text1"/>
          <w:lang w:val="en-US"/>
        </w:rPr>
        <w:t>ACLF 3)</w:t>
      </w:r>
      <w:r w:rsidR="005B5A1B" w:rsidRPr="00383A0F">
        <w:rPr>
          <w:rFonts w:ascii="Book Antiqua" w:hAnsi="Book Antiqua" w:cs="Arial"/>
          <w:color w:val="000000" w:themeColor="text1"/>
          <w:lang w:val="en-US"/>
        </w:rPr>
        <w:t xml:space="preserve"> in future studies. </w:t>
      </w:r>
    </w:p>
    <w:p w14:paraId="62519AE0" w14:textId="77777777" w:rsidR="006416F4" w:rsidRPr="00383A0F" w:rsidRDefault="006416F4" w:rsidP="00383A0F">
      <w:pPr>
        <w:adjustRightInd w:val="0"/>
        <w:snapToGrid w:val="0"/>
        <w:spacing w:line="360" w:lineRule="auto"/>
        <w:jc w:val="both"/>
        <w:rPr>
          <w:rFonts w:ascii="Book Antiqua" w:hAnsi="Book Antiqua" w:cs="Arial"/>
          <w:color w:val="000000" w:themeColor="text1"/>
          <w:lang w:val="en-US"/>
        </w:rPr>
      </w:pPr>
    </w:p>
    <w:p w14:paraId="434C0D46" w14:textId="012EE42C" w:rsidR="00855A2C" w:rsidRPr="00383A0F" w:rsidRDefault="001E3328"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lastRenderedPageBreak/>
        <w:t xml:space="preserve">Which </w:t>
      </w:r>
      <w:r w:rsidR="00C27EBB" w:rsidRPr="00383A0F">
        <w:rPr>
          <w:rFonts w:ascii="Book Antiqua" w:hAnsi="Book Antiqua" w:cs="Arial"/>
          <w:b/>
          <w:i/>
          <w:color w:val="000000" w:themeColor="text1"/>
          <w:lang w:val="en-US"/>
        </w:rPr>
        <w:t>post-</w:t>
      </w:r>
      <w:r w:rsidR="00B3319A" w:rsidRPr="00383A0F">
        <w:rPr>
          <w:rFonts w:ascii="Book Antiqua" w:hAnsi="Book Antiqua" w:cs="Arial"/>
          <w:b/>
          <w:i/>
          <w:color w:val="000000" w:themeColor="text1"/>
          <w:lang w:val="en-US"/>
        </w:rPr>
        <w:t xml:space="preserve">transplant </w:t>
      </w:r>
      <w:r w:rsidRPr="00383A0F">
        <w:rPr>
          <w:rFonts w:ascii="Book Antiqua" w:hAnsi="Book Antiqua" w:cs="Arial"/>
          <w:b/>
          <w:i/>
          <w:color w:val="000000" w:themeColor="text1"/>
          <w:lang w:val="en-US"/>
        </w:rPr>
        <w:t>outcome is relevant?</w:t>
      </w:r>
      <w:r w:rsidR="00624FE7" w:rsidRPr="00383A0F">
        <w:rPr>
          <w:rFonts w:ascii="Book Antiqua" w:hAnsi="Book Antiqua" w:cs="Arial"/>
          <w:b/>
          <w:i/>
          <w:color w:val="000000" w:themeColor="text1"/>
          <w:lang w:val="en-US"/>
        </w:rPr>
        <w:t xml:space="preserve"> </w:t>
      </w:r>
    </w:p>
    <w:p w14:paraId="48C4B37E" w14:textId="7695A75B" w:rsidR="00CB4BAE" w:rsidRPr="00383A0F" w:rsidRDefault="0002788C"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There is no single or straightforward solutio</w:t>
      </w:r>
      <w:r w:rsidR="004404DF" w:rsidRPr="00383A0F">
        <w:rPr>
          <w:rFonts w:ascii="Book Antiqua" w:hAnsi="Book Antiqua" w:cs="Arial"/>
          <w:color w:val="000000" w:themeColor="text1"/>
          <w:lang w:val="en-US"/>
        </w:rPr>
        <w:t xml:space="preserve">n to </w:t>
      </w:r>
      <w:r w:rsidR="00C27EBB" w:rsidRPr="00383A0F">
        <w:rPr>
          <w:rFonts w:ascii="Book Antiqua" w:hAnsi="Book Antiqua" w:cs="Arial"/>
          <w:color w:val="000000" w:themeColor="text1"/>
          <w:lang w:val="en-US"/>
        </w:rPr>
        <w:t>determining the</w:t>
      </w:r>
      <w:r w:rsidR="005B5A1B" w:rsidRPr="00383A0F">
        <w:rPr>
          <w:rFonts w:ascii="Book Antiqua" w:hAnsi="Book Antiqua" w:cs="Arial"/>
          <w:color w:val="000000" w:themeColor="text1"/>
          <w:lang w:val="en-US"/>
        </w:rPr>
        <w:t xml:space="preserve"> most meaningful</w:t>
      </w:r>
      <w:r w:rsidR="00C27EBB" w:rsidRPr="00383A0F">
        <w:rPr>
          <w:rFonts w:ascii="Book Antiqua" w:hAnsi="Book Antiqua" w:cs="Arial"/>
          <w:color w:val="000000" w:themeColor="text1"/>
          <w:lang w:val="en-US"/>
        </w:rPr>
        <w:t xml:space="preserve"> </w:t>
      </w:r>
      <w:r w:rsidR="004404DF" w:rsidRPr="00383A0F">
        <w:rPr>
          <w:rFonts w:ascii="Book Antiqua" w:hAnsi="Book Antiqua" w:cs="Arial"/>
          <w:color w:val="000000" w:themeColor="text1"/>
          <w:lang w:val="en-US"/>
        </w:rPr>
        <w:t xml:space="preserve">outcome evaluation </w:t>
      </w:r>
      <w:r w:rsidR="00214279" w:rsidRPr="00383A0F">
        <w:rPr>
          <w:rFonts w:ascii="Book Antiqua" w:hAnsi="Book Antiqua" w:cs="Arial"/>
          <w:color w:val="000000" w:themeColor="text1"/>
          <w:lang w:val="en-US"/>
        </w:rPr>
        <w:t>endpoint</w:t>
      </w:r>
      <w:r w:rsidRPr="00383A0F">
        <w:rPr>
          <w:rFonts w:ascii="Book Antiqua" w:hAnsi="Book Antiqua" w:cs="Arial"/>
          <w:color w:val="000000" w:themeColor="text1"/>
          <w:lang w:val="en-US"/>
        </w:rPr>
        <w:t xml:space="preserve">. On the one hand, it makes sense to </w:t>
      </w:r>
      <w:r w:rsidR="005B5A1B" w:rsidRPr="00383A0F">
        <w:rPr>
          <w:rFonts w:ascii="Book Antiqua" w:hAnsi="Book Antiqua" w:cs="Arial"/>
          <w:color w:val="000000" w:themeColor="text1"/>
          <w:lang w:val="en-US"/>
        </w:rPr>
        <w:t>analyze</w:t>
      </w:r>
      <w:r w:rsidRPr="00383A0F">
        <w:rPr>
          <w:rFonts w:ascii="Book Antiqua" w:hAnsi="Book Antiqua" w:cs="Arial"/>
          <w:color w:val="000000" w:themeColor="text1"/>
          <w:lang w:val="en-US"/>
        </w:rPr>
        <w:t xml:space="preserve"> </w:t>
      </w:r>
      <w:r w:rsidR="00A65C47" w:rsidRPr="00383A0F">
        <w:rPr>
          <w:rFonts w:ascii="Book Antiqua" w:hAnsi="Book Antiqua" w:cs="Arial"/>
          <w:color w:val="000000" w:themeColor="text1"/>
          <w:lang w:val="en-US"/>
        </w:rPr>
        <w:t>post-</w:t>
      </w:r>
      <w:r w:rsidR="00FE4650" w:rsidRPr="00383A0F">
        <w:rPr>
          <w:rFonts w:ascii="Book Antiqua" w:hAnsi="Book Antiqua" w:cs="Arial"/>
          <w:color w:val="000000" w:themeColor="text1"/>
          <w:lang w:val="en-US"/>
        </w:rPr>
        <w:t>transplant</w:t>
      </w:r>
      <w:r w:rsidRPr="00383A0F">
        <w:rPr>
          <w:rFonts w:ascii="Book Antiqua" w:hAnsi="Book Antiqua" w:cs="Arial"/>
          <w:color w:val="000000" w:themeColor="text1"/>
          <w:lang w:val="en-US"/>
        </w:rPr>
        <w:t xml:space="preserve"> survival of patients with mu</w:t>
      </w:r>
      <w:r w:rsidR="005B5A1B" w:rsidRPr="00383A0F">
        <w:rPr>
          <w:rFonts w:ascii="Book Antiqua" w:hAnsi="Book Antiqua" w:cs="Arial"/>
          <w:color w:val="000000" w:themeColor="text1"/>
          <w:lang w:val="en-US"/>
        </w:rPr>
        <w:t>ltiple-</w:t>
      </w:r>
      <w:r w:rsidR="00C27EBB" w:rsidRPr="00383A0F">
        <w:rPr>
          <w:rFonts w:ascii="Book Antiqua" w:hAnsi="Book Antiqua" w:cs="Arial"/>
          <w:color w:val="000000" w:themeColor="text1"/>
          <w:lang w:val="en-US"/>
        </w:rPr>
        <w:t>organ failure on a short-</w:t>
      </w:r>
      <w:r w:rsidRPr="00383A0F">
        <w:rPr>
          <w:rFonts w:ascii="Book Antiqua" w:hAnsi="Book Antiqua" w:cs="Arial"/>
          <w:color w:val="000000" w:themeColor="text1"/>
          <w:lang w:val="en-US"/>
        </w:rPr>
        <w:t>term basis</w:t>
      </w:r>
      <w:r w:rsidR="005B5A1B" w:rsidRPr="00383A0F">
        <w:rPr>
          <w:rFonts w:ascii="Book Antiqua" w:hAnsi="Book Antiqua" w:cs="Arial"/>
          <w:color w:val="000000" w:themeColor="text1"/>
          <w:lang w:val="en-US"/>
        </w:rPr>
        <w:t xml:space="preserve"> to assess individual benefit of LT</w:t>
      </w:r>
      <w:r w:rsidRPr="00383A0F">
        <w:rPr>
          <w:rFonts w:ascii="Book Antiqua" w:hAnsi="Book Antiqua" w:cs="Arial"/>
          <w:color w:val="000000" w:themeColor="text1"/>
          <w:lang w:val="en-US"/>
        </w:rPr>
        <w:t xml:space="preserve">, for example 3 </w:t>
      </w:r>
      <w:proofErr w:type="spellStart"/>
      <w:r w:rsidRPr="00383A0F">
        <w:rPr>
          <w:rFonts w:ascii="Book Antiqua" w:hAnsi="Book Antiqua" w:cs="Arial"/>
          <w:color w:val="000000" w:themeColor="text1"/>
          <w:lang w:val="en-US"/>
        </w:rPr>
        <w:t>mo</w:t>
      </w:r>
      <w:proofErr w:type="spellEnd"/>
      <w:r w:rsidR="000A35EC"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{"citationID":"tLP6Se7m","properties":{"formattedCitation":"\\super [17]\\nosupersub{}","plainCitation":"[17]","noteIndex":0},"citationItems":[{"id":375,"uris":["http://zotero.org/users/local/BE2xVPev/items/J3GI9LLR"],"uri":["http://zotero.org/users/local/BE2xVPev/items/J3GI9LLR"],"itemData":{"id":375,"type":"article-journal","title":"Survival outcomes following liver transplantation (SOFT) score: a novel method to predict patient survival following liver transplantation","container-title":"American Journal of Transplantation: Official Journal of the American Society of Transplantation and the American Society of Transplant Surgeons","page":"2537-2546","volume":"8","issue":"12","source":"PubMed","abstract":"It is critical to balance waitlist mortality against posttransplant mortality. Our objective was to devise a scoring system that predicts recipient survival at 3 months following liver transplantation to complement MELD-predicted waitlist mortality. Univariate and multivariate analysis on 21,673 liver transplant recipients identified independent recipient and donor risk factors for posttransplant mortality. A retrospective analysis conducted on 30,321 waitlisted candidates reevaluated the predictive ability of the Model for End-Stage Liver Disease (MELD) score. We identified 13 recipient factors, 4 donor factors and 2 operative factors (warm and cold ischemia) as significant predictors of recipient mortality following liver transplantation at 3 months. The Survival Outcomes Following Liver Transplant (SOFT) Score utilized 18 risk factors (excluding warm ischemia) to successfully predict 3-month recipient survival following liver transplantation. This analysis represents a study of waitlisted candidates and transplant recipients of liver allografts after the MELD score was implemented. Unlike MELD, the SOFT score can accurately predict 3-month survival following liver transplantation. The most significant risk factors were previous transplantation and life support pretransplant. The SOFT score can help clinicians determine in real time which candidates should be transplanted with which allografts. Combined with MELD, SOFT can better quantify survival benefit for individual transplant procedures.","DOI":"10.1111/j.1600-6143.2008.02400.x","ISSN":"1600-6143","note":"PMID: 18945283","shortTitle":"Survival outcomes following liver transplantation (SOFT) score","journalAbbreviation":"Am. J. Transplant.","language":"eng","author":[{"family":"Rana","given":"A."},{"family":"Hardy","given":"M. A."},{"family":"Halazun","given":"K. J."},{"family":"Woodland","given":"D. C."},{"family":"Ratner","given":"L. E."},{"family":"Samstein","given":"B."},{"family":"Guarrera","given":"J. V."},{"family":"Brown","given":"R. S."},{"family":"Emond","given":"J. C."}],"issued":{"date-parts":[["2008",12]]}}}],"schema":"https://github.com/citation-style-language/schema/raw/master/csl-citation.json"} </w:instrText>
      </w:r>
      <w:r w:rsidR="000A35EC"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[17]</w:t>
      </w:r>
      <w:r w:rsidR="000A35EC"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On the other hand, </w:t>
      </w:r>
      <w:r w:rsidR="00617A43" w:rsidRPr="00383A0F">
        <w:rPr>
          <w:rFonts w:ascii="Book Antiqua" w:hAnsi="Book Antiqua" w:cs="Arial"/>
          <w:color w:val="000000" w:themeColor="text1"/>
          <w:lang w:val="en-US"/>
        </w:rPr>
        <w:t>maximizing organ utility</w:t>
      </w:r>
      <w:r w:rsidR="005B5A1B" w:rsidRPr="00383A0F">
        <w:rPr>
          <w:rFonts w:ascii="Book Antiqua" w:hAnsi="Book Antiqua" w:cs="Arial"/>
          <w:color w:val="000000" w:themeColor="text1"/>
          <w:lang w:val="en-US"/>
        </w:rPr>
        <w:t xml:space="preserve"> with the interest of the wider community of waiting list patients in mind </w:t>
      </w:r>
      <w:r w:rsidR="00617A43" w:rsidRPr="00383A0F">
        <w:rPr>
          <w:rFonts w:ascii="Book Antiqua" w:hAnsi="Book Antiqua" w:cs="Arial"/>
          <w:color w:val="000000" w:themeColor="text1"/>
          <w:lang w:val="en-US"/>
        </w:rPr>
        <w:t xml:space="preserve">probably requires a 5-year </w:t>
      </w:r>
      <w:r w:rsidR="00214279" w:rsidRPr="00383A0F">
        <w:rPr>
          <w:rFonts w:ascii="Book Antiqua" w:hAnsi="Book Antiqua" w:cs="Arial"/>
          <w:color w:val="000000" w:themeColor="text1"/>
          <w:lang w:val="en-US"/>
        </w:rPr>
        <w:t>endpoint</w:t>
      </w:r>
      <w:r w:rsidR="000A35EC"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{"citationID":"188cFLzA","properties":{"formattedCitation":"\\super [18]\\nosupersub{}","plainCitation":"[18]","noteIndex":0},"citationItems":[{"id":489,"uris":["http://zotero.org/users/local/BE2xVPev/items/3R7PDTEN"],"uri":["http://zotero.org/users/local/BE2xVPev/items/3R7PDTEN"],"itemData":{"id":489,"type":"article-journal","title":"Summary report of a national conference: Evolving concepts in liver allocation in the MELD and PELD era. December 8, 2003, Washington, DC, USA","container-title":"Liver Transplantation: Official Publication of the American Association for the Study of Liver Diseases and the International Liver Transplantation Society","page":"A6-22","volume":"10","issue":"10 Suppl 2","source":"PubMed","abstract":"A national conference was held to review and assess data gathered since implementation of MELD and PELD and determine future directions. The objectives of the conference were to review the current system of liver allocation with a critical analysis of its strengths and weaknesses. Conference participants used an evidence-based approach to consider whether predicted outcome after transplantation should influence allocation, to discuss the concept of minimal listing score, to revisit current and potential expansion of exception criteria, and to determine whether specific scores should be used for automatic removal of patients on the waiting list. After review of data from the first 18 months since implementation, association and society leaders, and surgeons and hepatologists with wide regional representation were invited to participate in small group discussions focusing on each of the main objectives. At the completion of the meeting, there was agreement that MELD has had a successful initial implementation, meeting the goal of providing a system of allocation that emphasizes the urgency of the candidate while diminishing the reliance on waiting time, and that it has proven to be a powerful tool for auditing the liver allocation system. It was also agreed that the data regarding the accuracy of PELD as a predictor of pretransplant mortality were less conclusive and that PELD should be considered in isolation. Recommendations for the transplant community, based on the analysis of the MELD data, were discussed and are presented in the summary document.","DOI":"10.1002/lt.20247","ISSN":"1527-6465","note":"PMID: 15382225","shortTitle":"Summary report of a national conference","journalAbbreviation":"Liver Transpl.","language":"eng","author":[{"family":"Olthoff","given":"Kim M."},{"family":"Brown","given":"Robert S."},{"family":"Delmonico","given":"Francis L."},{"family":"Freeman","given":"Richard B."},{"family":"McDiarmid","given":"Sue V."},{"family":"Merion","given":"Robert M."},{"family":"Millis","given":"J. Michael"},{"family":"Roberts","given":"John P."},{"family":"Shaked","given":"Abraham"},{"family":"Wiesner","given":"Russell H."},{"family":"Lucey","given":"Michael R."}],"issued":{"date-parts":[["2004",10]]}}}],"schema":"https://github.com/citation-style-language/schema/raw/master/csl-citation.json"} </w:instrText>
      </w:r>
      <w:r w:rsidR="000A35EC"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[18]</w:t>
      </w:r>
      <w:r w:rsidR="000A35EC" w:rsidRPr="00383A0F">
        <w:rPr>
          <w:rFonts w:ascii="Book Antiqua" w:hAnsi="Book Antiqua" w:cs="Arial"/>
          <w:color w:val="000000" w:themeColor="text1"/>
          <w:lang w:val="en-US"/>
        </w:rPr>
        <w:fldChar w:fldCharType="end"/>
      </w:r>
      <w:r w:rsidR="00584485" w:rsidRPr="00383A0F">
        <w:rPr>
          <w:rFonts w:ascii="Book Antiqua" w:hAnsi="Book Antiqua" w:cs="Arial"/>
          <w:color w:val="000000" w:themeColor="text1"/>
          <w:lang w:val="en-US"/>
        </w:rPr>
        <w:t xml:space="preserve">. </w:t>
      </w:r>
      <w:r w:rsidR="00617A43" w:rsidRPr="00383A0F">
        <w:rPr>
          <w:rFonts w:ascii="Book Antiqua" w:hAnsi="Book Antiqua" w:cs="Arial"/>
          <w:color w:val="000000" w:themeColor="text1"/>
          <w:lang w:val="en-US"/>
        </w:rPr>
        <w:t xml:space="preserve">In practice, the </w:t>
      </w:r>
      <w:r w:rsidR="00214279" w:rsidRPr="00383A0F">
        <w:rPr>
          <w:rFonts w:ascii="Book Antiqua" w:hAnsi="Book Antiqua" w:cs="Arial"/>
          <w:color w:val="000000" w:themeColor="text1"/>
          <w:lang w:val="en-US"/>
        </w:rPr>
        <w:t>endpoint</w:t>
      </w:r>
      <w:r w:rsidR="00617A43" w:rsidRPr="00383A0F">
        <w:rPr>
          <w:rFonts w:ascii="Book Antiqua" w:hAnsi="Book Antiqua" w:cs="Arial"/>
          <w:color w:val="000000" w:themeColor="text1"/>
          <w:lang w:val="en-US"/>
        </w:rPr>
        <w:t xml:space="preserve"> of most studies for critically ill patients and </w:t>
      </w:r>
      <w:r w:rsidR="0064519D" w:rsidRPr="00383A0F">
        <w:rPr>
          <w:rFonts w:ascii="Book Antiqua" w:hAnsi="Book Antiqua" w:cs="Arial"/>
          <w:color w:val="000000" w:themeColor="text1"/>
          <w:lang w:val="en-US"/>
        </w:rPr>
        <w:t>LT is u</w:t>
      </w:r>
      <w:r w:rsidR="0083090A">
        <w:rPr>
          <w:rFonts w:ascii="Book Antiqua" w:hAnsi="Book Antiqua" w:cs="Arial"/>
          <w:color w:val="000000" w:themeColor="text1"/>
          <w:lang w:val="en-US"/>
        </w:rPr>
        <w:t>sually one year (T</w:t>
      </w:r>
      <w:r w:rsidR="004D57BA" w:rsidRPr="00383A0F">
        <w:rPr>
          <w:rFonts w:ascii="Book Antiqua" w:hAnsi="Book Antiqua" w:cs="Arial"/>
          <w:color w:val="000000" w:themeColor="text1"/>
          <w:lang w:val="en-US"/>
        </w:rPr>
        <w:t>able 1</w:t>
      </w:r>
      <w:r w:rsidR="00710A60" w:rsidRPr="00383A0F">
        <w:rPr>
          <w:rFonts w:ascii="Book Antiqua" w:hAnsi="Book Antiqua" w:cs="Arial"/>
          <w:color w:val="000000" w:themeColor="text1"/>
          <w:lang w:val="en-US"/>
        </w:rPr>
        <w:t>)</w:t>
      </w:r>
      <w:r w:rsidR="00617A43" w:rsidRPr="00383A0F">
        <w:rPr>
          <w:rFonts w:ascii="Book Antiqua" w:hAnsi="Book Antiqua" w:cs="Arial"/>
          <w:color w:val="000000" w:themeColor="text1"/>
          <w:lang w:val="en-US"/>
        </w:rPr>
        <w:t xml:space="preserve">. This seems a reasonable </w:t>
      </w:r>
      <w:r w:rsidR="00A916BA" w:rsidRPr="00383A0F">
        <w:rPr>
          <w:rFonts w:ascii="Book Antiqua" w:hAnsi="Book Antiqua" w:cs="Arial"/>
          <w:color w:val="000000" w:themeColor="text1"/>
          <w:lang w:val="en-US"/>
        </w:rPr>
        <w:t>compromise</w:t>
      </w:r>
      <w:r w:rsidR="00C27EBB" w:rsidRPr="00383A0F">
        <w:rPr>
          <w:rFonts w:ascii="Book Antiqua" w:hAnsi="Book Antiqua" w:cs="Arial"/>
          <w:color w:val="000000" w:themeColor="text1"/>
          <w:lang w:val="en-US"/>
        </w:rPr>
        <w:t>,</w:t>
      </w:r>
      <w:r w:rsidR="00A916BA" w:rsidRPr="00383A0F">
        <w:rPr>
          <w:rFonts w:ascii="Book Antiqua" w:hAnsi="Book Antiqua" w:cs="Arial"/>
          <w:color w:val="000000" w:themeColor="text1"/>
          <w:lang w:val="en-US"/>
        </w:rPr>
        <w:t xml:space="preserve"> given that mortality </w:t>
      </w:r>
      <w:r w:rsidR="00C27EBB" w:rsidRPr="00383A0F">
        <w:rPr>
          <w:rFonts w:ascii="Book Antiqua" w:hAnsi="Book Antiqua" w:cs="Arial"/>
          <w:color w:val="000000" w:themeColor="text1"/>
          <w:lang w:val="en-US"/>
        </w:rPr>
        <w:t>beyond</w:t>
      </w:r>
      <w:r w:rsidR="00A916BA" w:rsidRPr="00383A0F">
        <w:rPr>
          <w:rFonts w:ascii="Book Antiqua" w:hAnsi="Book Antiqua" w:cs="Arial"/>
          <w:color w:val="000000" w:themeColor="text1"/>
          <w:lang w:val="en-US"/>
        </w:rPr>
        <w:t xml:space="preserve"> this </w:t>
      </w:r>
      <w:r w:rsidR="00214279" w:rsidRPr="00383A0F">
        <w:rPr>
          <w:rFonts w:ascii="Book Antiqua" w:hAnsi="Book Antiqua" w:cs="Arial"/>
          <w:color w:val="000000" w:themeColor="text1"/>
          <w:lang w:val="en-US"/>
        </w:rPr>
        <w:t>endpoint</w:t>
      </w:r>
      <w:r w:rsidR="00A916BA" w:rsidRPr="00383A0F">
        <w:rPr>
          <w:rFonts w:ascii="Book Antiqua" w:hAnsi="Book Antiqua" w:cs="Arial"/>
          <w:color w:val="000000" w:themeColor="text1"/>
          <w:lang w:val="en-US"/>
        </w:rPr>
        <w:t xml:space="preserve"> is les</w:t>
      </w:r>
      <w:r w:rsidR="00C27EBB" w:rsidRPr="00383A0F">
        <w:rPr>
          <w:rFonts w:ascii="Book Antiqua" w:hAnsi="Book Antiqua" w:cs="Arial"/>
          <w:color w:val="000000" w:themeColor="text1"/>
          <w:lang w:val="en-US"/>
        </w:rPr>
        <w:t>s attributable to immediate pre-</w:t>
      </w:r>
      <w:r w:rsidR="00A916BA" w:rsidRPr="00383A0F">
        <w:rPr>
          <w:rFonts w:ascii="Book Antiqua" w:hAnsi="Book Antiqua" w:cs="Arial"/>
          <w:color w:val="000000" w:themeColor="text1"/>
          <w:lang w:val="en-US"/>
        </w:rPr>
        <w:t xml:space="preserve">transplant clinical </w:t>
      </w:r>
      <w:r w:rsidR="00C27EBB" w:rsidRPr="00383A0F">
        <w:rPr>
          <w:rFonts w:ascii="Book Antiqua" w:hAnsi="Book Antiqua" w:cs="Arial"/>
          <w:color w:val="000000" w:themeColor="text1"/>
          <w:lang w:val="en-US"/>
        </w:rPr>
        <w:t>characteristics</w:t>
      </w:r>
      <w:r w:rsidR="00A916BA" w:rsidRPr="00383A0F">
        <w:rPr>
          <w:rFonts w:ascii="Book Antiqua" w:hAnsi="Book Antiqua" w:cs="Arial"/>
          <w:color w:val="000000" w:themeColor="text1"/>
          <w:lang w:val="en-US"/>
        </w:rPr>
        <w:t xml:space="preserve">. </w:t>
      </w:r>
      <w:r w:rsidR="005B5A1B" w:rsidRPr="00383A0F">
        <w:rPr>
          <w:rFonts w:ascii="Book Antiqua" w:hAnsi="Book Antiqua" w:cs="Arial"/>
          <w:color w:val="000000" w:themeColor="text1"/>
          <w:lang w:val="en-US"/>
        </w:rPr>
        <w:t>Particular attention should be given to</w:t>
      </w:r>
      <w:r w:rsidR="000433C9" w:rsidRPr="00383A0F">
        <w:rPr>
          <w:rFonts w:ascii="Book Antiqua" w:hAnsi="Book Antiqua" w:cs="Arial"/>
          <w:color w:val="000000" w:themeColor="text1"/>
          <w:lang w:val="en-US"/>
        </w:rPr>
        <w:t xml:space="preserve"> the number of </w:t>
      </w:r>
      <w:proofErr w:type="spellStart"/>
      <w:r w:rsidR="000433C9" w:rsidRPr="00383A0F">
        <w:rPr>
          <w:rFonts w:ascii="Book Antiqua" w:hAnsi="Book Antiqua" w:cs="Arial"/>
          <w:color w:val="000000" w:themeColor="text1"/>
          <w:lang w:val="en-US"/>
        </w:rPr>
        <w:t>retransplantations</w:t>
      </w:r>
      <w:proofErr w:type="spellEnd"/>
      <w:r w:rsidR="000433C9" w:rsidRPr="00383A0F">
        <w:rPr>
          <w:rFonts w:ascii="Book Antiqua" w:hAnsi="Book Antiqua" w:cs="Arial"/>
          <w:color w:val="000000" w:themeColor="text1"/>
          <w:lang w:val="en-US"/>
        </w:rPr>
        <w:t xml:space="preserve"> in order to assess not only patient survival but also organ utility. </w:t>
      </w:r>
    </w:p>
    <w:p w14:paraId="3D26D439" w14:textId="77777777" w:rsidR="00CB4BAE" w:rsidRPr="00383A0F" w:rsidRDefault="00CB4BAE" w:rsidP="00383A0F">
      <w:pPr>
        <w:adjustRightInd w:val="0"/>
        <w:snapToGrid w:val="0"/>
        <w:spacing w:line="360" w:lineRule="auto"/>
        <w:jc w:val="both"/>
        <w:rPr>
          <w:rFonts w:ascii="Book Antiqua" w:hAnsi="Book Antiqua" w:cs="Arial"/>
          <w:color w:val="000000" w:themeColor="text1"/>
          <w:lang w:val="en-US"/>
        </w:rPr>
      </w:pPr>
    </w:p>
    <w:p w14:paraId="25741BF1" w14:textId="750ED30E" w:rsidR="00D3760D" w:rsidRPr="00383A0F" w:rsidRDefault="00BF6FCC" w:rsidP="00383A0F">
      <w:pPr>
        <w:adjustRightInd w:val="0"/>
        <w:snapToGrid w:val="0"/>
        <w:spacing w:line="360" w:lineRule="auto"/>
        <w:jc w:val="both"/>
        <w:rPr>
          <w:rFonts w:ascii="Book Antiqua" w:hAnsi="Book Antiqua" w:cs="Arial"/>
          <w:b/>
          <w:i/>
          <w:color w:val="000000" w:themeColor="text1"/>
          <w:lang w:val="en-US"/>
        </w:rPr>
      </w:pPr>
      <w:r w:rsidRPr="00383A0F">
        <w:rPr>
          <w:rFonts w:ascii="Book Antiqua" w:hAnsi="Book Antiqua" w:cs="Arial"/>
          <w:b/>
          <w:i/>
          <w:color w:val="000000" w:themeColor="text1"/>
          <w:lang w:val="en-US"/>
        </w:rPr>
        <w:t>Finding significant risk factors of futile transplantation requires large cohorts with significant mortality and survival rates</w:t>
      </w:r>
    </w:p>
    <w:p w14:paraId="168D1167" w14:textId="5E0B2347" w:rsidR="00BF6FCC" w:rsidRPr="00383A0F" w:rsidRDefault="00393687"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The literature </w:t>
      </w:r>
      <w:r w:rsidR="00A916BA" w:rsidRPr="00383A0F">
        <w:rPr>
          <w:rFonts w:ascii="Book Antiqua" w:hAnsi="Book Antiqua" w:cs="Arial"/>
          <w:color w:val="000000" w:themeColor="text1"/>
          <w:lang w:val="en-US"/>
        </w:rPr>
        <w:t xml:space="preserve">specifically </w:t>
      </w:r>
      <w:r w:rsidR="00A65C47" w:rsidRPr="00383A0F">
        <w:rPr>
          <w:rFonts w:ascii="Book Antiqua" w:hAnsi="Book Antiqua" w:cs="Arial"/>
          <w:color w:val="000000" w:themeColor="text1"/>
          <w:lang w:val="en-US"/>
        </w:rPr>
        <w:t>devoted to the post-</w:t>
      </w:r>
      <w:r w:rsidR="00A90F33" w:rsidRPr="00383A0F">
        <w:rPr>
          <w:rFonts w:ascii="Book Antiqua" w:hAnsi="Book Antiqua" w:cs="Arial"/>
          <w:color w:val="000000" w:themeColor="text1"/>
          <w:lang w:val="en-US"/>
        </w:rPr>
        <w:t>transplant progno</w:t>
      </w:r>
      <w:r w:rsidR="00A916BA" w:rsidRPr="00383A0F">
        <w:rPr>
          <w:rFonts w:ascii="Book Antiqua" w:hAnsi="Book Antiqua" w:cs="Arial"/>
          <w:color w:val="000000" w:themeColor="text1"/>
          <w:lang w:val="en-US"/>
        </w:rPr>
        <w:t xml:space="preserve">sis of critically ill patients with ACLF (ACLF 3 patients) reports drastically different one-year survival results ranging from </w:t>
      </w:r>
      <w:r w:rsidR="004F4576" w:rsidRPr="00383A0F">
        <w:rPr>
          <w:rFonts w:ascii="Book Antiqua" w:hAnsi="Book Antiqua" w:cs="Arial"/>
          <w:color w:val="000000" w:themeColor="text1"/>
          <w:lang w:val="en-US"/>
        </w:rPr>
        <w:t>84%</w:t>
      </w:r>
      <w:r w:rsidR="005D085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{"citationID":"TVF7SF7n","properties":{"formattedCitation":"\\super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5D0858"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[10]</w:t>
      </w:r>
      <w:r w:rsidR="005D0858" w:rsidRPr="00383A0F">
        <w:rPr>
          <w:rFonts w:ascii="Book Antiqua" w:hAnsi="Book Antiqua" w:cs="Arial"/>
          <w:color w:val="000000" w:themeColor="text1"/>
          <w:lang w:val="en-US"/>
        </w:rPr>
        <w:fldChar w:fldCharType="end"/>
      </w:r>
      <w:r w:rsidR="004F4576" w:rsidRPr="00383A0F">
        <w:rPr>
          <w:rFonts w:ascii="Book Antiqua" w:hAnsi="Book Antiqua" w:cs="Arial"/>
          <w:color w:val="000000" w:themeColor="text1"/>
          <w:lang w:val="en-US"/>
        </w:rPr>
        <w:t xml:space="preserve"> to 43%</w:t>
      </w:r>
      <w:r w:rsidR="00062A1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{"citationID":"3wA8oQsP","properties":{"formattedCitation":"\\super [19]\\nosupersub{}","plainCitation":"[19]","noteIndex":0},"citationItems":[{"id":355,"uris":["http://zotero.org/users/local/BE2xVPev/items/ZEQZ3F28"],"uri":["http://zotero.org/users/local/BE2xVPev/items/ZEQZ3F28"],"itemData":{"id":355,"type":"article-journal","title":"Impact of acute-on-chronic liver failure on 90-day mortality following a first liver transplantation","container-title":"Liver International: Official Journal of the International Association for the Study of the Liver","page":"684-693","volume":"37","issue":"5","source":"PubMed","abstract":"BACKGROUND: Acute-on-chronic liver failure (ACLF) is associated with a significant short-term mortality rate (23%-74%), depending on the number of organ failures. Some patients present with ACLF at the time of liver transplantation (LT). The aim of this study was to assess whether ACLF was also a prognostic factor after LT and, if applicable, to construct a score that could predict 90-day mortality.\nMETHODS: Three hundred and fifty cirrhotic patients, who underwent LT between January 2008 and December 2013, were enrolled. We used ACLF grades according to EASL-CLIF consortium criteria to categorize the cirrhotic patients. A propensity score was applied with an Inverse Probability Treatment Weighting in a Cox model. A predictive score of early mortality after LT was generated.\nRESULTS: One hundred and forty patients (40%) met the criteria for ACLF. The overall mortality rate at 90 days post-transplant was 10.6% (37/350 patients). ACLF at the time of LT (HR: 5.78 [3.42-9.77], P&lt;.001) was an independent predictor of 90-day mortality. Infection occurring during the month before LT, high recipient age and male recipient, the reason for LT and a female donor were also independent risk factors for early mortality. Using these factors, we have proposed a model to predict 90-day mortality after LT.\nCONCLUSIONS: LT is feasible in cirrhotic patients with ACLF. However, we have shown that ACLF is a significant and independent predictor of 90-day mortality. We propose a score that can identify candidate cirrhotic patients in whom LT might be associated with futile LT.","DOI":"10.1111/liv.13355","ISSN":"1478-3231","note":"PMID: 28052486","journalAbbreviation":"Liver Int.","language":"eng","author":[{"family":"Levesque","given":"Eric"},{"family":"Winter","given":"Audrey"},{"family":"Noorah","given":"Zaid"},{"family":"Daurès","given":"Jean-Pierre"},{"family":"Landais","given":"Paul"},{"family":"Feray","given":"Cyrille"},{"family":"Azoulay","given":"Daniel"}],"issued":{"date-parts":[["2017",5]]}}}],"schema":"https://github.com/citation-style-language/schema/raw/master/csl-citation.json"} </w:instrText>
      </w:r>
      <w:r w:rsidR="00062A1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[19]</w:t>
      </w:r>
      <w:r w:rsidR="00062A13" w:rsidRPr="00383A0F">
        <w:rPr>
          <w:rFonts w:ascii="Book Antiqua" w:hAnsi="Book Antiqua" w:cs="Arial"/>
          <w:color w:val="000000" w:themeColor="text1"/>
          <w:lang w:val="en-US"/>
        </w:rPr>
        <w:fldChar w:fldCharType="end"/>
      </w:r>
      <w:r w:rsidR="004F4576" w:rsidRPr="00383A0F">
        <w:rPr>
          <w:rFonts w:ascii="Book Antiqua" w:hAnsi="Book Antiqua" w:cs="Arial"/>
          <w:color w:val="000000" w:themeColor="text1"/>
          <w:lang w:val="en-US"/>
        </w:rPr>
        <w:t xml:space="preserve">. Interestingly, </w:t>
      </w:r>
      <w:r w:rsidR="00EC1F65" w:rsidRPr="00383A0F">
        <w:rPr>
          <w:rFonts w:ascii="Book Antiqua" w:hAnsi="Book Antiqua" w:cs="Arial"/>
          <w:color w:val="000000" w:themeColor="text1"/>
          <w:lang w:val="en-US"/>
        </w:rPr>
        <w:t>these</w:t>
      </w:r>
      <w:r w:rsidR="004F4576" w:rsidRPr="00383A0F">
        <w:rPr>
          <w:rFonts w:ascii="Book Antiqua" w:hAnsi="Book Antiqua" w:cs="Arial"/>
          <w:color w:val="000000" w:themeColor="text1"/>
          <w:lang w:val="en-US"/>
        </w:rPr>
        <w:t xml:space="preserve"> stu</w:t>
      </w:r>
      <w:r w:rsidR="00EC1F65" w:rsidRPr="00383A0F">
        <w:rPr>
          <w:rFonts w:ascii="Book Antiqua" w:hAnsi="Book Antiqua" w:cs="Arial"/>
          <w:color w:val="000000" w:themeColor="text1"/>
          <w:lang w:val="en-US"/>
        </w:rPr>
        <w:t>dies do not identify</w:t>
      </w:r>
      <w:r w:rsidR="004F4576" w:rsidRPr="00383A0F">
        <w:rPr>
          <w:rFonts w:ascii="Book Antiqua" w:hAnsi="Book Antiqua" w:cs="Arial"/>
          <w:color w:val="000000" w:themeColor="text1"/>
          <w:lang w:val="en-US"/>
        </w:rPr>
        <w:t xml:space="preserve"> significant risk factors of mortality within their cohort</w:t>
      </w:r>
      <w:r w:rsidR="00EC1F65" w:rsidRPr="00383A0F">
        <w:rPr>
          <w:rFonts w:ascii="Book Antiqua" w:hAnsi="Book Antiqua" w:cs="Arial"/>
          <w:color w:val="000000" w:themeColor="text1"/>
          <w:lang w:val="en-US"/>
        </w:rPr>
        <w:t>s</w:t>
      </w:r>
      <w:r w:rsidR="004F4576" w:rsidRPr="00383A0F">
        <w:rPr>
          <w:rFonts w:ascii="Book Antiqua" w:hAnsi="Book Antiqua" w:cs="Arial"/>
          <w:color w:val="000000" w:themeColor="text1"/>
          <w:lang w:val="en-US"/>
        </w:rPr>
        <w:t xml:space="preserve"> of ACLF 3 patients. Two conclusions can be drawn from these observations. First, team-specific practices </w:t>
      </w:r>
      <w:r w:rsidR="00315F95" w:rsidRPr="00383A0F">
        <w:rPr>
          <w:rFonts w:ascii="Book Antiqua" w:hAnsi="Book Antiqua" w:cs="Arial"/>
          <w:color w:val="000000" w:themeColor="text1"/>
          <w:lang w:val="en-US"/>
        </w:rPr>
        <w:t xml:space="preserve">probably lead to selecting patients for LT that are quite different (despite being all classified as ACLF 3), which helps explaining the gap in </w:t>
      </w:r>
      <w:r w:rsidR="00A65C47" w:rsidRPr="00383A0F">
        <w:rPr>
          <w:rFonts w:ascii="Book Antiqua" w:hAnsi="Book Antiqua" w:cs="Arial"/>
          <w:color w:val="000000" w:themeColor="text1"/>
          <w:lang w:val="en-US"/>
        </w:rPr>
        <w:t>post-transplant</w:t>
      </w:r>
      <w:r w:rsidR="00315F95" w:rsidRPr="00383A0F">
        <w:rPr>
          <w:rFonts w:ascii="Book Antiqua" w:hAnsi="Book Antiqua" w:cs="Arial"/>
          <w:color w:val="000000" w:themeColor="text1"/>
          <w:lang w:val="en-US"/>
        </w:rPr>
        <w:t xml:space="preserve"> outcome. Second, both studies lack statistical power to identify mortality risk factors. This is due both to the size of their cohort</w:t>
      </w:r>
      <w:r w:rsidR="005B5A1B" w:rsidRPr="00383A0F">
        <w:rPr>
          <w:rFonts w:ascii="Book Antiqua" w:hAnsi="Book Antiqua" w:cs="Arial"/>
          <w:color w:val="000000" w:themeColor="text1"/>
          <w:lang w:val="en-US"/>
        </w:rPr>
        <w:t>s</w:t>
      </w:r>
      <w:r w:rsidR="00315F95" w:rsidRPr="00383A0F">
        <w:rPr>
          <w:rFonts w:ascii="Book Antiqua" w:hAnsi="Book Antiqua" w:cs="Arial"/>
          <w:color w:val="000000" w:themeColor="text1"/>
          <w:lang w:val="en-US"/>
        </w:rPr>
        <w:t xml:space="preserve"> and to the fact that the cohorts lack significant numbers of mortality events</w:t>
      </w:r>
      <w:r w:rsidR="00062A1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{"citationID":"eV8lTkz0","properties":{"formattedCitation":"\\super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062A1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[10]</w:t>
      </w:r>
      <w:r w:rsidR="00062A13" w:rsidRPr="00383A0F">
        <w:rPr>
          <w:rFonts w:ascii="Book Antiqua" w:hAnsi="Book Antiqua" w:cs="Arial"/>
          <w:color w:val="000000" w:themeColor="text1"/>
          <w:lang w:val="en-US"/>
        </w:rPr>
        <w:fldChar w:fldCharType="end"/>
      </w:r>
      <w:r w:rsidR="00315F95" w:rsidRPr="00383A0F">
        <w:rPr>
          <w:rFonts w:ascii="Book Antiqua" w:hAnsi="Book Antiqua" w:cs="Arial"/>
          <w:color w:val="000000" w:themeColor="text1"/>
          <w:lang w:val="en-US"/>
        </w:rPr>
        <w:t xml:space="preserve"> or survival events</w:t>
      </w:r>
      <w:r w:rsidR="00062A1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{"citationID":"lvsQ1rav","properties":{"formattedCitation":"\\super [19]\\nosupersub{}","plainCitation":"[19]","noteIndex":0},"citationItems":[{"id":355,"uris":["http://zotero.org/users/local/BE2xVPev/items/ZEQZ3F28"],"uri":["http://zotero.org/users/local/BE2xVPev/items/ZEQZ3F28"],"itemData":{"id":355,"type":"article-journal","title":"Impact of acute-on-chronic liver failure on 90-day mortality following a first liver transplantation","container-title":"Liver International: Official Journal of the International Association for the Study of the Liver","page":"684-693","volume":"37","issue":"5","source":"PubMed","abstract":"BACKGROUND: Acute-on-chronic liver failure (ACLF) is associated with a significant short-term mortality rate (23%-74%), depending on the number of organ failures. Some patients present with ACLF at the time of liver transplantation (LT). The aim of this study was to assess whether ACLF was also a prognostic factor after LT and, if applicable, to construct a score that could predict 90-day mortality.\nMETHODS: Three hundred and fifty cirrhotic patients, who underwent LT between January 2008 and December 2013, were enrolled. We used ACLF grades according to EASL-CLIF consortium criteria to categorize the cirrhotic patients. A propensity score was applied with an Inverse Probability Treatment Weighting in a Cox model. A predictive score of early mortality after LT was generated.\nRESULTS: One hundred and forty patients (40%) met the criteria for ACLF. The overall mortality rate at 90 days post-transplant was 10.6% (37/350 patients). ACLF at the time of LT (HR: 5.78 [3.42-9.77], P&lt;.001) was an independent predictor of 90-day mortality. Infection occurring during the month before LT, high recipient age and male recipient, the reason for LT and a female donor were also independent risk factors for early mortality. Using these factors, we have proposed a model to predict 90-day mortality after LT.\nCONCLUSIONS: LT is feasible in cirrhotic patients with ACLF. However, we have shown that ACLF is a significant and independent predictor of 90-day mortality. We propose a score that can identify candidate cirrhotic patients in whom LT might be associated with futile LT.","DOI":"10.1111/liv.13355","ISSN":"1478-3231","note":"PMID: 28052486","journalAbbreviation":"Liver Int.","language":"eng","author":[{"family":"Levesque","given":"Eric"},{"family":"Winter","given":"Audrey"},{"family":"Noorah","given":"Zaid"},{"family":"Daurès","given":"Jean-Pierre"},{"family":"Landais","given":"Paul"},{"family":"Feray","given":"Cyrille"},{"family":"Azoulay","given":"Daniel"}],"issued":{"date-parts":[["2017",5]]}}}],"schema":"https://github.com/citation-style-language/schema/raw/master/csl-citation.json"} </w:instrText>
      </w:r>
      <w:r w:rsidR="00062A1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[19]</w:t>
      </w:r>
      <w:r w:rsidR="00062A13" w:rsidRPr="00383A0F">
        <w:rPr>
          <w:rFonts w:ascii="Book Antiqua" w:hAnsi="Book Antiqua" w:cs="Arial"/>
          <w:color w:val="000000" w:themeColor="text1"/>
          <w:lang w:val="en-US"/>
        </w:rPr>
        <w:fldChar w:fldCharType="end"/>
      </w:r>
      <w:r w:rsidR="00315F95" w:rsidRPr="00383A0F">
        <w:rPr>
          <w:rFonts w:ascii="Book Antiqua" w:hAnsi="Book Antiqua" w:cs="Arial"/>
          <w:color w:val="000000" w:themeColor="text1"/>
          <w:lang w:val="en-US"/>
        </w:rPr>
        <w:t>.</w:t>
      </w:r>
    </w:p>
    <w:p w14:paraId="2DDBD9F8" w14:textId="6C5549AF" w:rsidR="00315F95" w:rsidRPr="00383A0F" w:rsidRDefault="0083090A" w:rsidP="00383A0F">
      <w:pPr>
        <w:adjustRightInd w:val="0"/>
        <w:snapToGrid w:val="0"/>
        <w:spacing w:line="360" w:lineRule="auto"/>
        <w:jc w:val="both"/>
        <w:rPr>
          <w:rFonts w:ascii="Book Antiqua" w:hAnsi="Book Antiqua" w:cs="Arial"/>
          <w:i/>
          <w:color w:val="000000" w:themeColor="text1"/>
          <w:lang w:val="en-US"/>
        </w:rPr>
      </w:pPr>
      <w:r>
        <w:rPr>
          <w:rFonts w:ascii="Book Antiqua" w:hAnsi="Book Antiqua" w:cs="Arial"/>
          <w:color w:val="000000" w:themeColor="text1"/>
          <w:lang w:val="en-US"/>
        </w:rPr>
        <w:t xml:space="preserve">  </w:t>
      </w:r>
      <w:r w:rsidR="00315F95" w:rsidRPr="00383A0F">
        <w:rPr>
          <w:rFonts w:ascii="Book Antiqua" w:hAnsi="Book Antiqua" w:cs="Arial"/>
          <w:color w:val="000000" w:themeColor="text1"/>
          <w:lang w:val="en-US"/>
        </w:rPr>
        <w:t xml:space="preserve">In practice, we need to pool different cohorts together, with enough patients and significant mortality and survival rates in order to be able to identify </w:t>
      </w:r>
      <w:r w:rsidR="005B5A1B" w:rsidRPr="00383A0F">
        <w:rPr>
          <w:rFonts w:ascii="Book Antiqua" w:hAnsi="Book Antiqua" w:cs="Arial"/>
          <w:color w:val="000000" w:themeColor="text1"/>
          <w:lang w:val="en-US"/>
        </w:rPr>
        <w:t>independent</w:t>
      </w:r>
      <w:r w:rsidR="00315F95" w:rsidRPr="00383A0F">
        <w:rPr>
          <w:rFonts w:ascii="Book Antiqua" w:hAnsi="Book Antiqua" w:cs="Arial"/>
          <w:color w:val="000000" w:themeColor="text1"/>
          <w:lang w:val="en-US"/>
        </w:rPr>
        <w:t xml:space="preserve"> prognostic factors.</w:t>
      </w:r>
      <w:r w:rsidR="00A602A2" w:rsidRPr="00383A0F">
        <w:rPr>
          <w:rFonts w:ascii="Book Antiqua" w:hAnsi="Book Antiqua" w:cs="Arial"/>
          <w:color w:val="000000" w:themeColor="text1"/>
          <w:lang w:val="en-US"/>
        </w:rPr>
        <w:t xml:space="preserve"> </w:t>
      </w:r>
    </w:p>
    <w:p w14:paraId="7924D2AC" w14:textId="1E8C67E5" w:rsidR="00943E70"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A0194E" w:rsidRPr="00383A0F">
        <w:rPr>
          <w:rFonts w:ascii="Book Antiqua" w:hAnsi="Book Antiqua" w:cs="Arial"/>
          <w:color w:val="000000" w:themeColor="text1"/>
          <w:lang w:val="en-US"/>
        </w:rPr>
        <w:t>We have selected</w:t>
      </w:r>
      <w:r w:rsidR="00A65C47" w:rsidRPr="00383A0F">
        <w:rPr>
          <w:rFonts w:ascii="Book Antiqua" w:hAnsi="Book Antiqua" w:cs="Arial"/>
          <w:color w:val="000000" w:themeColor="text1"/>
          <w:lang w:val="en-US"/>
        </w:rPr>
        <w:t xml:space="preserve"> references </w:t>
      </w:r>
      <w:r>
        <w:rPr>
          <w:rFonts w:ascii="Book Antiqua" w:hAnsi="Book Antiqua" w:cs="Arial"/>
          <w:color w:val="000000" w:themeColor="text1"/>
          <w:lang w:val="en-US"/>
        </w:rPr>
        <w:t>(T</w:t>
      </w:r>
      <w:r w:rsidR="004D57BA" w:rsidRPr="00383A0F">
        <w:rPr>
          <w:rFonts w:ascii="Book Antiqua" w:hAnsi="Book Antiqua" w:cs="Arial"/>
          <w:color w:val="000000" w:themeColor="text1"/>
          <w:lang w:val="en-US"/>
        </w:rPr>
        <w:t>able 1</w:t>
      </w:r>
      <w:r w:rsidR="00710A60" w:rsidRPr="00383A0F">
        <w:rPr>
          <w:rFonts w:ascii="Book Antiqua" w:hAnsi="Book Antiqua" w:cs="Arial"/>
          <w:color w:val="000000" w:themeColor="text1"/>
          <w:lang w:val="en-US"/>
        </w:rPr>
        <w:t>)</w:t>
      </w:r>
      <w:r w:rsidR="0064519D" w:rsidRPr="00383A0F">
        <w:rPr>
          <w:rFonts w:ascii="Book Antiqua" w:hAnsi="Book Antiqua" w:cs="Arial"/>
          <w:color w:val="000000" w:themeColor="text1"/>
          <w:lang w:val="en-US"/>
        </w:rPr>
        <w:t xml:space="preserve"> </w:t>
      </w:r>
      <w:r w:rsidR="00EE113A" w:rsidRPr="00383A0F">
        <w:rPr>
          <w:rFonts w:ascii="Book Antiqua" w:hAnsi="Book Antiqua" w:cs="Arial"/>
          <w:color w:val="000000" w:themeColor="text1"/>
          <w:lang w:val="en-US"/>
        </w:rPr>
        <w:t>and organ</w:t>
      </w:r>
      <w:r>
        <w:rPr>
          <w:rFonts w:ascii="Book Antiqua" w:hAnsi="Book Antiqua" w:cs="Arial"/>
          <w:color w:val="000000" w:themeColor="text1"/>
          <w:lang w:val="en-US"/>
        </w:rPr>
        <w:t>ized this review along 4 axes (T</w:t>
      </w:r>
      <w:r w:rsidR="00EE113A" w:rsidRPr="00383A0F">
        <w:rPr>
          <w:rFonts w:ascii="Book Antiqua" w:hAnsi="Book Antiqua" w:cs="Arial"/>
          <w:color w:val="000000" w:themeColor="text1"/>
          <w:lang w:val="en-US"/>
        </w:rPr>
        <w:t xml:space="preserve">able 2) </w:t>
      </w:r>
      <w:r w:rsidR="00A65C47" w:rsidRPr="00383A0F">
        <w:rPr>
          <w:rFonts w:ascii="Book Antiqua" w:hAnsi="Book Antiqua" w:cs="Arial"/>
          <w:color w:val="000000" w:themeColor="text1"/>
          <w:lang w:val="en-US"/>
        </w:rPr>
        <w:t>on the basis of</w:t>
      </w:r>
      <w:r w:rsidR="004F1911" w:rsidRPr="00383A0F">
        <w:rPr>
          <w:rFonts w:ascii="Book Antiqua" w:hAnsi="Book Antiqua" w:cs="Arial"/>
          <w:color w:val="000000" w:themeColor="text1"/>
          <w:lang w:val="en-US"/>
        </w:rPr>
        <w:t xml:space="preserve"> their ability to provide </w:t>
      </w:r>
      <w:r w:rsidR="00A0194E" w:rsidRPr="00383A0F">
        <w:rPr>
          <w:rFonts w:ascii="Book Antiqua" w:hAnsi="Book Antiqua" w:cs="Arial"/>
          <w:color w:val="000000" w:themeColor="text1"/>
          <w:lang w:val="en-US"/>
        </w:rPr>
        <w:t xml:space="preserve">insight into potential prognosis factors </w:t>
      </w:r>
      <w:r w:rsidR="004F1911" w:rsidRPr="00383A0F">
        <w:rPr>
          <w:rFonts w:ascii="Book Antiqua" w:hAnsi="Book Antiqua" w:cs="Arial"/>
          <w:color w:val="000000" w:themeColor="text1"/>
          <w:lang w:val="en-US"/>
        </w:rPr>
        <w:t xml:space="preserve">that can guide clinicians in the sensitive and taxing process of </w:t>
      </w:r>
      <w:r w:rsidR="00A0194E" w:rsidRPr="00383A0F">
        <w:rPr>
          <w:rFonts w:ascii="Book Antiqua" w:hAnsi="Book Antiqua" w:cs="Arial"/>
          <w:color w:val="000000" w:themeColor="text1"/>
          <w:lang w:val="en-US"/>
        </w:rPr>
        <w:t xml:space="preserve">deciding whether to list critically ill patients </w:t>
      </w:r>
      <w:r w:rsidR="005B5A1B" w:rsidRPr="00383A0F">
        <w:rPr>
          <w:rFonts w:ascii="Book Antiqua" w:hAnsi="Book Antiqua" w:cs="Arial"/>
          <w:color w:val="000000" w:themeColor="text1"/>
          <w:lang w:val="en-US"/>
        </w:rPr>
        <w:t>for LT</w:t>
      </w:r>
      <w:r w:rsidR="00A65C47" w:rsidRPr="00383A0F">
        <w:rPr>
          <w:rFonts w:ascii="Book Antiqua" w:hAnsi="Book Antiqua" w:cs="Arial"/>
          <w:color w:val="000000" w:themeColor="text1"/>
          <w:lang w:val="en-US"/>
        </w:rPr>
        <w:t>, and whether to transplant them</w:t>
      </w:r>
      <w:r w:rsidR="00A0194E" w:rsidRPr="00383A0F">
        <w:rPr>
          <w:rFonts w:ascii="Book Antiqua" w:hAnsi="Book Antiqua" w:cs="Arial"/>
          <w:color w:val="000000" w:themeColor="text1"/>
          <w:lang w:val="en-US"/>
        </w:rPr>
        <w:t xml:space="preserve">. </w:t>
      </w:r>
    </w:p>
    <w:p w14:paraId="265AA489" w14:textId="77777777" w:rsidR="004E6469" w:rsidRPr="00383A0F" w:rsidRDefault="004E6469" w:rsidP="00383A0F">
      <w:pPr>
        <w:adjustRightInd w:val="0"/>
        <w:snapToGrid w:val="0"/>
        <w:spacing w:line="360" w:lineRule="auto"/>
        <w:jc w:val="both"/>
        <w:rPr>
          <w:rFonts w:ascii="Book Antiqua" w:hAnsi="Book Antiqua" w:cs="Arial"/>
          <w:color w:val="000000" w:themeColor="text1"/>
          <w:lang w:val="en-US"/>
        </w:rPr>
      </w:pPr>
    </w:p>
    <w:p w14:paraId="75BD1CBB" w14:textId="5C239BEE" w:rsidR="00693CBD" w:rsidRPr="00383A0F" w:rsidRDefault="000662B7" w:rsidP="00383A0F">
      <w:pPr>
        <w:adjustRightInd w:val="0"/>
        <w:snapToGrid w:val="0"/>
        <w:spacing w:line="360" w:lineRule="auto"/>
        <w:jc w:val="both"/>
        <w:rPr>
          <w:rFonts w:ascii="Book Antiqua" w:hAnsi="Book Antiqua" w:cs="Arial"/>
          <w:b/>
          <w:color w:val="000000" w:themeColor="text1"/>
          <w:lang w:val="en-US"/>
        </w:rPr>
      </w:pPr>
      <w:r w:rsidRPr="00383A0F">
        <w:rPr>
          <w:rFonts w:ascii="Book Antiqua" w:hAnsi="Book Antiqua" w:cs="Arial"/>
          <w:b/>
          <w:color w:val="000000" w:themeColor="text1"/>
          <w:lang w:val="en-US"/>
        </w:rPr>
        <w:t>PRE-TRANSPLANT O</w:t>
      </w:r>
      <w:r w:rsidR="00693CBD" w:rsidRPr="00383A0F">
        <w:rPr>
          <w:rFonts w:ascii="Book Antiqua" w:hAnsi="Book Antiqua" w:cs="Arial"/>
          <w:b/>
          <w:color w:val="000000" w:themeColor="text1"/>
          <w:lang w:val="en-US"/>
        </w:rPr>
        <w:t xml:space="preserve">RGAN FAILURES: QUANTITATIVE AND </w:t>
      </w:r>
      <w:r w:rsidRPr="00383A0F">
        <w:rPr>
          <w:rFonts w:ascii="Book Antiqua" w:hAnsi="Book Antiqua" w:cs="Arial"/>
          <w:b/>
          <w:color w:val="000000" w:themeColor="text1"/>
          <w:lang w:val="en-US"/>
        </w:rPr>
        <w:t>QUALITATIVE</w:t>
      </w:r>
      <w:r w:rsidR="00E12265">
        <w:rPr>
          <w:rFonts w:ascii="Book Antiqua" w:hAnsi="Book Antiqua" w:cs="Arial" w:hint="eastAsia"/>
          <w:b/>
          <w:color w:val="000000" w:themeColor="text1"/>
          <w:lang w:val="en-US" w:eastAsia="zh-CN"/>
        </w:rPr>
        <w:t xml:space="preserve"> </w:t>
      </w:r>
      <w:r w:rsidRPr="00383A0F">
        <w:rPr>
          <w:rFonts w:ascii="Book Antiqua" w:hAnsi="Book Antiqua" w:cs="Arial"/>
          <w:b/>
          <w:color w:val="000000" w:themeColor="text1"/>
          <w:lang w:val="en-US"/>
        </w:rPr>
        <w:t>APPROACHE</w:t>
      </w:r>
      <w:r w:rsidR="00693CBD" w:rsidRPr="00383A0F">
        <w:rPr>
          <w:rFonts w:ascii="Book Antiqua" w:hAnsi="Book Antiqua" w:cs="Arial"/>
          <w:b/>
          <w:color w:val="000000" w:themeColor="text1"/>
          <w:lang w:val="en-US"/>
        </w:rPr>
        <w:t>S</w:t>
      </w:r>
    </w:p>
    <w:p w14:paraId="33F682D5" w14:textId="13639952" w:rsidR="009E459F" w:rsidRPr="00383A0F" w:rsidRDefault="007654A2"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b/>
          <w:i/>
          <w:color w:val="000000" w:themeColor="text1"/>
          <w:lang w:val="en-US"/>
        </w:rPr>
        <w:t>Pre</w:t>
      </w:r>
      <w:r w:rsidR="00A65C47" w:rsidRPr="00383A0F">
        <w:rPr>
          <w:rFonts w:ascii="Book Antiqua" w:hAnsi="Book Antiqua" w:cs="Arial"/>
          <w:b/>
          <w:i/>
          <w:color w:val="000000" w:themeColor="text1"/>
          <w:lang w:val="en-US"/>
        </w:rPr>
        <w:t>-</w:t>
      </w:r>
      <w:r w:rsidRPr="00383A0F">
        <w:rPr>
          <w:rFonts w:ascii="Book Antiqua" w:hAnsi="Book Antiqua" w:cs="Arial"/>
          <w:b/>
          <w:i/>
          <w:color w:val="000000" w:themeColor="text1"/>
          <w:lang w:val="en-US"/>
        </w:rPr>
        <w:t xml:space="preserve">transplant </w:t>
      </w:r>
      <w:r w:rsidR="009E459F" w:rsidRPr="00383A0F">
        <w:rPr>
          <w:rFonts w:ascii="Book Antiqua" w:hAnsi="Book Antiqua" w:cs="Arial"/>
          <w:b/>
          <w:i/>
          <w:color w:val="000000" w:themeColor="text1"/>
          <w:lang w:val="en-US"/>
        </w:rPr>
        <w:t xml:space="preserve">MELD </w:t>
      </w:r>
      <w:r w:rsidRPr="00383A0F">
        <w:rPr>
          <w:rFonts w:ascii="Book Antiqua" w:hAnsi="Book Antiqua" w:cs="Arial"/>
          <w:b/>
          <w:i/>
          <w:color w:val="000000" w:themeColor="text1"/>
          <w:lang w:val="en-US"/>
        </w:rPr>
        <w:t xml:space="preserve">score </w:t>
      </w:r>
      <w:r w:rsidR="009E459F" w:rsidRPr="00383A0F">
        <w:rPr>
          <w:rFonts w:ascii="Book Antiqua" w:hAnsi="Book Antiqua" w:cs="Arial"/>
          <w:b/>
          <w:i/>
          <w:color w:val="000000" w:themeColor="text1"/>
          <w:lang w:val="en-US"/>
        </w:rPr>
        <w:t>in critically ill patient</w:t>
      </w:r>
      <w:r w:rsidR="005B5A1B" w:rsidRPr="00383A0F">
        <w:rPr>
          <w:rFonts w:ascii="Book Antiqua" w:hAnsi="Book Antiqua" w:cs="Arial"/>
          <w:b/>
          <w:i/>
          <w:color w:val="000000" w:themeColor="text1"/>
          <w:lang w:val="en-US"/>
        </w:rPr>
        <w:t>s</w:t>
      </w:r>
      <w:r w:rsidR="009E459F" w:rsidRPr="00383A0F">
        <w:rPr>
          <w:rFonts w:ascii="Book Antiqua" w:hAnsi="Book Antiqua" w:cs="Arial"/>
          <w:b/>
          <w:i/>
          <w:color w:val="000000" w:themeColor="text1"/>
          <w:lang w:val="en-US"/>
        </w:rPr>
        <w:t xml:space="preserve"> </w:t>
      </w:r>
      <w:r w:rsidRPr="00383A0F">
        <w:rPr>
          <w:rFonts w:ascii="Book Antiqua" w:hAnsi="Book Antiqua" w:cs="Arial"/>
          <w:b/>
          <w:i/>
          <w:color w:val="000000" w:themeColor="text1"/>
          <w:lang w:val="en-US"/>
        </w:rPr>
        <w:t xml:space="preserve">does not predict </w:t>
      </w:r>
      <w:r w:rsidR="00A65C47" w:rsidRPr="00383A0F">
        <w:rPr>
          <w:rFonts w:ascii="Book Antiqua" w:hAnsi="Book Antiqua" w:cs="Arial"/>
          <w:b/>
          <w:i/>
          <w:color w:val="000000" w:themeColor="text1"/>
          <w:lang w:val="en-US"/>
        </w:rPr>
        <w:t>post-transplant</w:t>
      </w:r>
      <w:r w:rsidRPr="00383A0F">
        <w:rPr>
          <w:rFonts w:ascii="Book Antiqua" w:hAnsi="Book Antiqua" w:cs="Arial"/>
          <w:b/>
          <w:i/>
          <w:color w:val="000000" w:themeColor="text1"/>
          <w:lang w:val="en-US"/>
        </w:rPr>
        <w:t xml:space="preserve"> outcome</w:t>
      </w:r>
    </w:p>
    <w:p w14:paraId="3C39FB79" w14:textId="50C967A9" w:rsidR="00287E51" w:rsidRPr="00383A0F" w:rsidRDefault="00A65C47"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Since it</w:t>
      </w:r>
      <w:r w:rsidR="007654A2" w:rsidRPr="00383A0F">
        <w:rPr>
          <w:rFonts w:ascii="Book Antiqua" w:hAnsi="Book Antiqua" w:cs="Arial"/>
          <w:color w:val="000000" w:themeColor="text1"/>
          <w:lang w:val="en-US"/>
        </w:rPr>
        <w:t xml:space="preserve">s implementation, there has been much debate over the MELD’s potential use as a </w:t>
      </w:r>
      <w:r w:rsidRPr="00383A0F">
        <w:rPr>
          <w:rFonts w:ascii="Book Antiqua" w:hAnsi="Book Antiqua" w:cs="Arial"/>
          <w:color w:val="000000" w:themeColor="text1"/>
          <w:lang w:val="en-US"/>
        </w:rPr>
        <w:t>post-transplant</w:t>
      </w:r>
      <w:r w:rsidR="007654A2" w:rsidRPr="00383A0F">
        <w:rPr>
          <w:rFonts w:ascii="Book Antiqua" w:hAnsi="Book Antiqua" w:cs="Arial"/>
          <w:color w:val="000000" w:themeColor="text1"/>
          <w:lang w:val="en-US"/>
        </w:rPr>
        <w:t xml:space="preserve"> mortality predictor and, consequently, its potential use to identify those patients who are too sick to be transplanted</w:t>
      </w:r>
      <w:r w:rsidR="00A0194E" w:rsidRPr="00383A0F">
        <w:rPr>
          <w:rFonts w:ascii="Book Antiqua" w:hAnsi="Book Antiqua" w:cs="Arial"/>
          <w:color w:val="000000" w:themeColor="text1"/>
          <w:lang w:val="en-US"/>
        </w:rPr>
        <w:t xml:space="preserve"> by setting an upper limit beyond which patients should not have access to LT.</w:t>
      </w:r>
    </w:p>
    <w:p w14:paraId="3F2F6A24" w14:textId="5B0E6919" w:rsidR="007654A2"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287E51" w:rsidRPr="00383A0F">
        <w:rPr>
          <w:rFonts w:ascii="Book Antiqua" w:hAnsi="Book Antiqua" w:cs="Arial"/>
          <w:color w:val="000000" w:themeColor="text1"/>
          <w:lang w:val="en-US"/>
        </w:rPr>
        <w:t xml:space="preserve">In 2013, </w:t>
      </w:r>
      <w:proofErr w:type="spellStart"/>
      <w:r w:rsidR="00287E51" w:rsidRPr="00383A0F">
        <w:rPr>
          <w:rFonts w:ascii="Book Antiqua" w:hAnsi="Book Antiqua" w:cs="Arial"/>
          <w:color w:val="000000" w:themeColor="text1"/>
          <w:lang w:val="en-US"/>
        </w:rPr>
        <w:t>Petrowsky’s</w:t>
      </w:r>
      <w:proofErr w:type="spellEnd"/>
      <w:r w:rsidR="00287E51" w:rsidRPr="00383A0F">
        <w:rPr>
          <w:rFonts w:ascii="Book Antiqua" w:hAnsi="Book Antiqua" w:cs="Arial"/>
          <w:color w:val="000000" w:themeColor="text1"/>
          <w:lang w:val="en-US"/>
        </w:rPr>
        <w:t xml:space="preserve"> single center cohort of 169 patients with MELD scores &gt;</w:t>
      </w:r>
      <w:r>
        <w:rPr>
          <w:rFonts w:ascii="Book Antiqua" w:hAnsi="Book Antiqua" w:cs="Arial"/>
          <w:color w:val="000000" w:themeColor="text1"/>
          <w:lang w:val="en-US"/>
        </w:rPr>
        <w:t xml:space="preserve"> </w:t>
      </w:r>
      <w:r w:rsidR="00287E51" w:rsidRPr="00383A0F">
        <w:rPr>
          <w:rFonts w:ascii="Book Antiqua" w:hAnsi="Book Antiqua" w:cs="Arial"/>
          <w:color w:val="000000" w:themeColor="text1"/>
          <w:lang w:val="en-US"/>
        </w:rPr>
        <w:t xml:space="preserve">40 showed that the MELD score, along with the </w:t>
      </w:r>
      <w:proofErr w:type="spellStart"/>
      <w:r w:rsidR="00287E51" w:rsidRPr="00383A0F">
        <w:rPr>
          <w:rFonts w:ascii="Book Antiqua" w:hAnsi="Book Antiqua" w:cs="Arial"/>
          <w:color w:val="000000" w:themeColor="text1"/>
          <w:lang w:val="en-US"/>
        </w:rPr>
        <w:t>Charlson</w:t>
      </w:r>
      <w:proofErr w:type="spellEnd"/>
      <w:r w:rsidR="00287E51" w:rsidRPr="00383A0F">
        <w:rPr>
          <w:rFonts w:ascii="Book Antiqua" w:hAnsi="Book Antiqua" w:cs="Arial"/>
          <w:color w:val="000000" w:themeColor="text1"/>
          <w:lang w:val="en-US"/>
        </w:rPr>
        <w:t xml:space="preserve"> comorbidity index, cardiac risk and the presence of a septic shock, was significantly associated with poor </w:t>
      </w:r>
      <w:r w:rsidR="005C1946" w:rsidRPr="00383A0F">
        <w:rPr>
          <w:rFonts w:ascii="Book Antiqua" w:hAnsi="Book Antiqua" w:cs="Arial"/>
          <w:color w:val="000000" w:themeColor="text1"/>
          <w:lang w:val="en-US"/>
        </w:rPr>
        <w:t>post-transplant prognosis</w:t>
      </w:r>
      <w:r w:rsidR="00287E51" w:rsidRPr="00383A0F">
        <w:rPr>
          <w:rFonts w:ascii="Book Antiqua" w:hAnsi="Book Antiqua" w:cs="Arial"/>
          <w:color w:val="000000" w:themeColor="text1"/>
          <w:lang w:val="en-US"/>
        </w:rPr>
        <w:t>.</w:t>
      </w:r>
      <w:r w:rsidR="00ED43C7" w:rsidRPr="00383A0F">
        <w:rPr>
          <w:rFonts w:ascii="Book Antiqua" w:hAnsi="Book Antiqua" w:cs="Arial"/>
          <w:color w:val="000000" w:themeColor="text1"/>
          <w:lang w:val="en-US"/>
        </w:rPr>
        <w:t xml:space="preserve"> This relation </w:t>
      </w:r>
      <w:r w:rsidR="00A65C47" w:rsidRPr="00383A0F">
        <w:rPr>
          <w:rFonts w:ascii="Book Antiqua" w:hAnsi="Book Antiqua" w:cs="Arial"/>
          <w:color w:val="000000" w:themeColor="text1"/>
          <w:lang w:val="en-US"/>
        </w:rPr>
        <w:t>between the MELD score and post-</w:t>
      </w:r>
      <w:r w:rsidR="005C1946" w:rsidRPr="00383A0F">
        <w:rPr>
          <w:rFonts w:ascii="Book Antiqua" w:hAnsi="Book Antiqua" w:cs="Arial"/>
          <w:color w:val="000000" w:themeColor="text1"/>
          <w:lang w:val="en-US"/>
        </w:rPr>
        <w:t>transplant</w:t>
      </w:r>
      <w:r w:rsidR="00ED43C7" w:rsidRPr="00383A0F">
        <w:rPr>
          <w:rFonts w:ascii="Book Antiqua" w:hAnsi="Book Antiqua" w:cs="Arial"/>
          <w:color w:val="000000" w:themeColor="text1"/>
          <w:lang w:val="en-US"/>
        </w:rPr>
        <w:t xml:space="preserve"> survival among patients with high MELD scores has not been confirmed by other studies. </w:t>
      </w:r>
      <w:r w:rsidR="002E37C0" w:rsidRPr="00383A0F">
        <w:rPr>
          <w:rFonts w:ascii="Book Antiqua" w:hAnsi="Book Antiqua" w:cs="Arial"/>
          <w:color w:val="000000" w:themeColor="text1"/>
          <w:lang w:val="en-US"/>
        </w:rPr>
        <w:t>In 2013, a</w:t>
      </w:r>
      <w:r w:rsidR="007654A2" w:rsidRPr="00383A0F">
        <w:rPr>
          <w:rFonts w:ascii="Book Antiqua" w:hAnsi="Book Antiqua" w:cs="Arial"/>
          <w:color w:val="000000" w:themeColor="text1"/>
          <w:lang w:val="en-US"/>
        </w:rPr>
        <w:t xml:space="preserve"> general, systematic review of the literature</w:t>
      </w:r>
      <w:r w:rsidR="00FE57FE"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{"citationID":"W6HgRi5n","properties":{"formattedCitation":"\\super [20]\\nosupersub{}","plainCitation":"[20]","noteIndex":0},"citationItems":[{"id":542,"uris":["http://zotero.org/users/local/BE2xVPev/items/Q4PCI7PA"],"uri":["http://zotero.org/users/local/BE2xVPev/items/Q4PCI7PA"],"itemData":{"id":542,"type":"article-journal","title":"Predicting survival after liver transplantation based on pre-transplant MELD score: a systematic review of the literature","container-title":"PloS One","page":"e80661","volume":"8","issue":"12","source":"PubMed","abstract":"The model for end-stage liver disease (MELD) score is used to stratify candidates for liver transplantation based on objective measures of disease severity. MELD has been validated as a predictor of wait-list mortality in transplantation candidates and has been postulated as a predictor of post-transplant survival. The purpose of this study was to examine the predictive value of the pre-transplantation MELD score on post-transplant survival from relevant existing studies. A systematic review and critical appraisal was performed using Cochrane guidelines. PubMed, the Cochrane Library, Embase, and Web of Science were searched for articles published in the English language since 2005 using a structured search strategy. There were 3058 discrete citations identified and screened for possible inclusion. Any study examining the relationship between pre-transplant MELD and post-transplant survival in the general transplant population was included. Thirty-seven studies met these criteria and were included in the review. Studies were all case series that typically involved stratified analyses of survival by MELD. They represented 15 countries and a total of 53,691 patients. There was significant clinical heterogeneity in patient populations across studies, which precluded performance of a meta-analysis. In 15 studies, no statistically significant association between MELD and post-transplant survival was found. In the remaining 22, some association was found. Eleven studies also measured predictive ability with c-statistics. Values were below 0.7 in all but two studies, suggesting poor predictive value. In summary, while the majority of studies reported an association between pre-transplantation MELD score and post-transplant survival, they represented a low level of evidence. Therefore, their findings should be interpreted conservatively.","DOI":"10.1371/journal.pone.0080661","ISSN":"1932-6203","note":"PMID: 24349010\nPMCID: PMC3861188","shortTitle":"Predicting survival after liver transplantation based on pre-transplant MELD score","journalAbbreviation":"PLoS ONE","language":"eng","author":[{"family":"Klein","given":"Kristin B."},{"family":"Stafinski","given":"Taenia D."},{"family":"Menon","given":"Devidas"}],"issued":{"date-parts":[["2013"]]}}}],"schema":"https://github.com/citation-style-language/schema/raw/master/csl-citation.json"} </w:instrText>
      </w:r>
      <w:r w:rsidR="00FE57FE"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[20]</w:t>
      </w:r>
      <w:r w:rsidR="00FE57FE" w:rsidRPr="00383A0F">
        <w:rPr>
          <w:rFonts w:ascii="Book Antiqua" w:hAnsi="Book Antiqua" w:cs="Arial"/>
          <w:color w:val="000000" w:themeColor="text1"/>
          <w:lang w:val="en-US"/>
        </w:rPr>
        <w:fldChar w:fldCharType="end"/>
      </w:r>
      <w:r w:rsidR="007654A2" w:rsidRPr="00383A0F">
        <w:rPr>
          <w:rFonts w:ascii="Book Antiqua" w:hAnsi="Book Antiqua" w:cs="Arial"/>
          <w:color w:val="000000" w:themeColor="text1"/>
          <w:lang w:val="en-US"/>
        </w:rPr>
        <w:t xml:space="preserve"> concluded that the MELD score could not serve as a reliable predictor of </w:t>
      </w:r>
      <w:r w:rsidR="00A65C47" w:rsidRPr="00383A0F">
        <w:rPr>
          <w:rFonts w:ascii="Book Antiqua" w:hAnsi="Book Antiqua" w:cs="Arial"/>
          <w:color w:val="000000" w:themeColor="text1"/>
          <w:lang w:val="en-US"/>
        </w:rPr>
        <w:t>post-transplant</w:t>
      </w:r>
      <w:r w:rsidR="007654A2" w:rsidRPr="00383A0F">
        <w:rPr>
          <w:rFonts w:ascii="Book Antiqua" w:hAnsi="Book Antiqua" w:cs="Arial"/>
          <w:color w:val="000000" w:themeColor="text1"/>
          <w:lang w:val="en-US"/>
        </w:rPr>
        <w:t xml:space="preserve"> survival.</w:t>
      </w:r>
      <w:r w:rsidR="00ED43C7" w:rsidRPr="00383A0F">
        <w:rPr>
          <w:rFonts w:ascii="Book Antiqua" w:hAnsi="Book Antiqua" w:cs="Arial"/>
          <w:color w:val="000000" w:themeColor="text1"/>
          <w:lang w:val="en-US"/>
        </w:rPr>
        <w:t xml:space="preserve"> Large studies have confirmed this in the context of patients with high MELD scores. </w:t>
      </w:r>
      <w:r>
        <w:rPr>
          <w:rFonts w:ascii="Book Antiqua" w:hAnsi="Book Antiqua" w:cs="Arial"/>
          <w:color w:val="000000" w:themeColor="text1"/>
          <w:lang w:val="en-US"/>
        </w:rPr>
        <w:t>Looking back at the 34</w:t>
      </w:r>
      <w:r w:rsidR="007654A2" w:rsidRPr="00383A0F">
        <w:rPr>
          <w:rFonts w:ascii="Book Antiqua" w:hAnsi="Book Antiqua" w:cs="Arial"/>
          <w:color w:val="000000" w:themeColor="text1"/>
          <w:lang w:val="en-US"/>
        </w:rPr>
        <w:t xml:space="preserve">975 LT that </w:t>
      </w:r>
      <w:r w:rsidR="00A65C47" w:rsidRPr="00383A0F">
        <w:rPr>
          <w:rFonts w:ascii="Book Antiqua" w:hAnsi="Book Antiqua" w:cs="Arial"/>
          <w:color w:val="000000" w:themeColor="text1"/>
          <w:lang w:val="en-US"/>
        </w:rPr>
        <w:t>have taken</w:t>
      </w:r>
      <w:r w:rsidR="007654A2" w:rsidRPr="00383A0F">
        <w:rPr>
          <w:rFonts w:ascii="Book Antiqua" w:hAnsi="Book Antiqua" w:cs="Arial"/>
          <w:color w:val="000000" w:themeColor="text1"/>
          <w:lang w:val="en-US"/>
        </w:rPr>
        <w:t xml:space="preserve"> place in the United States since the introduction of the Share 35 policy in 2013, </w:t>
      </w:r>
      <w:proofErr w:type="spellStart"/>
      <w:r w:rsidR="007654A2" w:rsidRPr="00383A0F">
        <w:rPr>
          <w:rFonts w:ascii="Book Antiqua" w:hAnsi="Book Antiqua" w:cs="Arial"/>
          <w:color w:val="000000" w:themeColor="text1"/>
          <w:lang w:val="en-US"/>
        </w:rPr>
        <w:t>Kwong</w:t>
      </w:r>
      <w:proofErr w:type="spellEnd"/>
      <w:r w:rsidR="007654A2" w:rsidRPr="00383A0F">
        <w:rPr>
          <w:rFonts w:ascii="Book Antiqua" w:hAnsi="Book Antiqua" w:cs="Arial"/>
          <w:color w:val="000000" w:themeColor="text1"/>
          <w:lang w:val="en-US"/>
        </w:rPr>
        <w:t xml:space="preserve"> </w:t>
      </w:r>
      <w:r>
        <w:rPr>
          <w:rFonts w:ascii="Book Antiqua" w:hAnsi="Book Antiqua" w:cs="Arial"/>
          <w:i/>
          <w:color w:val="000000" w:themeColor="text1"/>
          <w:lang w:val="en-US"/>
        </w:rPr>
        <w:t>et al</w:t>
      </w:r>
      <w:r w:rsidR="00FE57FE"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{"citationID":"4OvIUG9G","properties":{"formattedCitation":"\\super [21]\\nosupersub{}","plainCitation":"[21]","noteIndex":0},"citationItems":[{"id":501,"uris":["http://zotero.org/users/local/BE2xVPev/items/IYDHV95F"],"uri":["http://zotero.org/users/local/BE2xVPev/items/IYDHV95F"],"itemData":{"id":501,"type":"article-journal","title":"Improved posttransplant mortality after share 35 for liver transplantation","container-title":"Hepatology (Baltimore, Md.)","page":"273-281","volume":"67","issue":"1","source":"PubMed","abstract":"The Share 35 policy was implemented in June 2013 to improve equity in access to liver transplantation (LT) between patients with fulminant liver failure and those with cirrhosis and severe hepatic decompensation. The aim of this study was to assess post-LT outcomes after Share 35. Relevant donor, procurement, and recipient data were extracted from the Organ Procurement and Transplantation Network/United Network for Organ Sharing database. All adult deceased donor LTs from January 1, 2010, to March 31, 2016, were included in the analysis. One-year patient survival before and after Share 35 was assessed by multivariable Cox proportional hazards analysis, with adjustment for variables known to affect graft survival. Of 34,975 adult LT recipients, 16,472 (47.1%) were transplanted after the implementation of Share 35, of whom 4,599 (27.9%) had a Model for End-Stage Liver Disease (MELD) score ≥35. One-year patient survival improved from 83.9% to 88.4% after Share 35 (P &lt; 0.01) for patients with MELD ≥35. There was no significant impact on survival of patients with MELD &lt;35 (P = 0.69). Quality of donor organs, as measured by a donor risk index without the regional share component, improved for patients with MELD ≥35 (P &lt; 0.01) and worsened for patients with lower MELD (P &lt; 0.01). In multivariable Cox regression analysis, Share 35 was associated with improved 1-year patient survival (hazard ratio, 0.69; 95% confidence interval, 0.60-0.80) in recipients with MELD ≥35.\nCONCLUSION: Share 35 has had a positive impact on survival after transplantation in patients with MELD ≥35, without a reciprocal detriment in patients with lower acuity; this was in part a result of more favorable donor-recipient matching. (Hepatology 2018;67:273-281).","DOI":"10.1002/hep.29301","ISSN":"1527-3350","note":"PMID: 28586179\nPMCID: PMC5756050","journalAbbreviation":"Hepatology","language":"eng","author":[{"family":"Kwong","given":"Allison J."},{"family":"Goel","given":"Aparna"},{"family":"Mannalithara","given":"Ajitha"},{"family":"Kim","given":"W. Ray"}],"issued":{"date-parts":[["2018"]]}}}],"schema":"https://github.com/citation-style-language/schema/raw/master/csl-citation.json"} </w:instrText>
      </w:r>
      <w:r w:rsidR="00FE57FE"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[21]</w:t>
      </w:r>
      <w:r w:rsidR="00FE57FE" w:rsidRPr="00383A0F">
        <w:rPr>
          <w:rFonts w:ascii="Book Antiqua" w:hAnsi="Book Antiqua" w:cs="Arial"/>
          <w:color w:val="000000" w:themeColor="text1"/>
          <w:lang w:val="en-US"/>
        </w:rPr>
        <w:fldChar w:fldCharType="end"/>
      </w:r>
      <w:r w:rsidR="007654A2" w:rsidRPr="00383A0F">
        <w:rPr>
          <w:rFonts w:ascii="Book Antiqua" w:hAnsi="Book Antiqua" w:cs="Arial"/>
          <w:color w:val="000000" w:themeColor="text1"/>
          <w:lang w:val="en-US"/>
        </w:rPr>
        <w:t xml:space="preserve"> found that although this policy had increased the proportion of recipients with &gt; 35 MELD scores, the one-year mortality had not increased, suggesting that transplanting patients with very high MELD scores did not increase mortality </w:t>
      </w:r>
      <w:r w:rsidR="007654A2" w:rsidRPr="0083090A">
        <w:rPr>
          <w:rFonts w:ascii="Book Antiqua" w:hAnsi="Book Antiqua" w:cs="Arial"/>
          <w:i/>
          <w:color w:val="000000" w:themeColor="text1"/>
          <w:lang w:val="en-US"/>
        </w:rPr>
        <w:t>per se</w:t>
      </w:r>
      <w:r w:rsidR="007654A2" w:rsidRPr="00383A0F">
        <w:rPr>
          <w:rFonts w:ascii="Book Antiqua" w:hAnsi="Book Antiqua" w:cs="Arial"/>
          <w:color w:val="000000" w:themeColor="text1"/>
          <w:lang w:val="en-US"/>
        </w:rPr>
        <w:t xml:space="preserve">. </w:t>
      </w:r>
    </w:p>
    <w:p w14:paraId="12E4C36E" w14:textId="5CE698F0" w:rsidR="007654A2"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7654A2" w:rsidRPr="00383A0F">
        <w:rPr>
          <w:rFonts w:ascii="Book Antiqua" w:hAnsi="Book Antiqua" w:cs="Arial"/>
          <w:color w:val="000000" w:themeColor="text1"/>
          <w:lang w:val="en-US"/>
        </w:rPr>
        <w:t xml:space="preserve">Among patients hospitalized in </w:t>
      </w:r>
      <w:r w:rsidR="009B529C" w:rsidRPr="00383A0F">
        <w:rPr>
          <w:rFonts w:ascii="Book Antiqua" w:hAnsi="Book Antiqua" w:cs="Arial"/>
          <w:color w:val="000000" w:themeColor="text1"/>
          <w:lang w:val="en-US"/>
        </w:rPr>
        <w:t xml:space="preserve">the </w:t>
      </w:r>
      <w:r w:rsidR="007654A2" w:rsidRPr="00383A0F">
        <w:rPr>
          <w:rFonts w:ascii="Book Antiqua" w:hAnsi="Book Antiqua" w:cs="Arial"/>
          <w:color w:val="000000" w:themeColor="text1"/>
          <w:lang w:val="en-US"/>
        </w:rPr>
        <w:t>ICU, the effec</w:t>
      </w:r>
      <w:r w:rsidR="00A65C47" w:rsidRPr="00383A0F">
        <w:rPr>
          <w:rFonts w:ascii="Book Antiqua" w:hAnsi="Book Antiqua" w:cs="Arial"/>
          <w:color w:val="000000" w:themeColor="text1"/>
          <w:lang w:val="en-US"/>
        </w:rPr>
        <w:t xml:space="preserve">t of higher MELD scores on </w:t>
      </w:r>
      <w:r w:rsidR="00E24E5F" w:rsidRPr="00383A0F">
        <w:rPr>
          <w:rFonts w:ascii="Book Antiqua" w:hAnsi="Book Antiqua" w:cs="Arial"/>
          <w:color w:val="000000" w:themeColor="text1"/>
          <w:lang w:val="en-US"/>
        </w:rPr>
        <w:t>post-transplant</w:t>
      </w:r>
      <w:r w:rsidR="007654A2" w:rsidRPr="00383A0F">
        <w:rPr>
          <w:rFonts w:ascii="Book Antiqua" w:hAnsi="Book Antiqua" w:cs="Arial"/>
          <w:color w:val="000000" w:themeColor="text1"/>
          <w:lang w:val="en-US"/>
        </w:rPr>
        <w:t xml:space="preserve"> mortality has be</w:t>
      </w:r>
      <w:r w:rsidR="00A65C47" w:rsidRPr="00383A0F">
        <w:rPr>
          <w:rFonts w:ascii="Book Antiqua" w:hAnsi="Book Antiqua" w:cs="Arial"/>
          <w:color w:val="000000" w:themeColor="text1"/>
          <w:lang w:val="en-US"/>
        </w:rPr>
        <w:t>en questioned repeatedly. A small</w:t>
      </w:r>
      <w:r w:rsidR="007654A2" w:rsidRPr="00383A0F">
        <w:rPr>
          <w:rFonts w:ascii="Book Antiqua" w:hAnsi="Book Antiqua" w:cs="Arial"/>
          <w:color w:val="000000" w:themeColor="text1"/>
          <w:lang w:val="en-US"/>
        </w:rPr>
        <w:t xml:space="preserve"> German study from 2011</w:t>
      </w:r>
      <w:r w:rsidR="00FE57FE"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{"citationID":"Wjs9D0Bm","properties":{"formattedCitation":"\\super [12]\\nosupersub{}","plainCitation":"[12]","noteIndex":0},"citationItems":[{"id":339,"uris":["http://zotero.org/users/local/BE2xVPev/items/PAFKCKKZ"],"uri":["http://zotero.org/users/local/BE2xVPev/items/PAFKCKKZ"],"itemData":{"id":339,"type":"article-journal","title":"Orthotopic liver transplantation in critically ill cirrhotic patients with multi-organ failure: a single-center experience","container-title":"Transplantation Proceedings","page":"3762-3768","volume":"43","issue":"10","source":"PubMed","abstract":"Due to the lack of donor organs for orthotopic liver transplantation (OLT) in Germany, a larger proportion of patients advance to multi-organ failure (MOF) before OLT. Twenty-three patients on the waiting list for OLT were admitted to our intensive care unit (ICU) from January 2007 until September 2009. They consisted of 16 men and 7 women of median (25th-75th percentile) age of 60 years (54-65). Acute Physiology and Chronic Health Evaluation (APACHE II) score upon ICU admission was 26 (19-34); Model of End-Stage Liver Disease (MELD) score was 29 (22-41); Sequential Organ Failure Assessment (SOFA) score was 12 (8-16). The 90-day mortality rate was 39%. A decrease in MELD score during the first 48 hours (-2 [-5-0] vs 2 [-1-4]; P=.019) was associated with survival. Thirteen patients underwent transplantation from the ICU. By the time of the OLT, the MELD scores had deteriorated to 38 (33-39) and SOFA scores to 19 (18-19). All patients were mechanically ventilated and received hemodynamic support with catecholamines. Ten of 13 patients (77%) received renal replacement therapy and/or single pass albumin dialysis. Eight of 13 patients (62%) had a SOFA score of 3 or 4 (organ failure) in each of the respective subscores for the cardiovascular, renal, and respiratory systems at the time of OLT. The 90-day mortality rate after OLT was 38% and the 1-year-mortality rate was 54%. Patients who did not survive 90 days post OLT showed lower MELD scores on admission (33 [18-35] vs 44 [32-46]; P=.045), an increased MELD during the first 48 hours (3 [1-4] vs -2 [-8-1]; P=.002), and a longer ICU stay before OLT (32 [18-37] vs 8 [2-15]; P=.006). In conclusion, OLT may be successful treatment for cirrhotic patients with MOF. Outcomes of MOF in cirrhotic patients may improve after OLT but are generally worse than acceptable. A shorter ICU waiting time seemed to be beneficial.","DOI":"10.1016/j.transproceed.2011.08.110","ISSN":"1873-2623","note":"PMID: 22172843","shortTitle":"Orthotopic liver transplantation in critically ill cirrhotic patients with multi-organ failure","journalAbbreviation":"Transplant. Proc.","language":"eng","author":[{"family":"Umgelter","given":"A."},{"family":"Lange","given":"K."},{"family":"Kornberg","given":"A."},{"family":"Büchler","given":"P."},{"family":"Friess","given":"H."},{"family":"Schmid","given":"R. M."}],"issued":{"date-parts":[["2011",12]]}}}],"schema":"https://github.com/citation-style-language/schema/raw/master/csl-citation.json"} </w:instrText>
      </w:r>
      <w:r w:rsidR="00FE57FE"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[12]</w:t>
      </w:r>
      <w:r w:rsidR="00FE57FE" w:rsidRPr="00383A0F">
        <w:rPr>
          <w:rFonts w:ascii="Book Antiqua" w:hAnsi="Book Antiqua" w:cs="Arial"/>
          <w:color w:val="000000" w:themeColor="text1"/>
          <w:lang w:val="en-US"/>
        </w:rPr>
        <w:fldChar w:fldCharType="end"/>
      </w:r>
      <w:r w:rsidR="00FE57FE" w:rsidRPr="00383A0F">
        <w:rPr>
          <w:rFonts w:ascii="Book Antiqua" w:hAnsi="Book Antiqua" w:cs="Arial"/>
          <w:color w:val="000000" w:themeColor="text1"/>
          <w:lang w:val="en-US"/>
        </w:rPr>
        <w:t xml:space="preserve"> </w:t>
      </w:r>
      <w:r w:rsidR="007654A2" w:rsidRPr="00383A0F">
        <w:rPr>
          <w:rFonts w:ascii="Book Antiqua" w:hAnsi="Book Antiqua" w:cs="Arial"/>
          <w:color w:val="000000" w:themeColor="text1"/>
          <w:lang w:val="en-US"/>
        </w:rPr>
        <w:t xml:space="preserve">found that, among the 13 patients who received LT from their ICU (all of </w:t>
      </w:r>
      <w:r w:rsidR="00A65C47" w:rsidRPr="00383A0F">
        <w:rPr>
          <w:rFonts w:ascii="Book Antiqua" w:hAnsi="Book Antiqua" w:cs="Arial"/>
          <w:color w:val="000000" w:themeColor="text1"/>
          <w:lang w:val="en-US"/>
        </w:rPr>
        <w:t>whom</w:t>
      </w:r>
      <w:r w:rsidR="007654A2" w:rsidRPr="00383A0F">
        <w:rPr>
          <w:rFonts w:ascii="Book Antiqua" w:hAnsi="Book Antiqua" w:cs="Arial"/>
          <w:color w:val="000000" w:themeColor="text1"/>
          <w:lang w:val="en-US"/>
        </w:rPr>
        <w:t xml:space="preserve"> were intubated and received </w:t>
      </w:r>
      <w:r w:rsidR="005C1946" w:rsidRPr="00383A0F">
        <w:rPr>
          <w:rFonts w:ascii="Book Antiqua" w:hAnsi="Book Antiqua" w:cs="Arial"/>
          <w:color w:val="000000" w:themeColor="text1"/>
          <w:lang w:val="en-US"/>
        </w:rPr>
        <w:t>n</w:t>
      </w:r>
      <w:r w:rsidR="007654A2" w:rsidRPr="00383A0F">
        <w:rPr>
          <w:rFonts w:ascii="Book Antiqua" w:hAnsi="Book Antiqua" w:cs="Arial"/>
          <w:color w:val="000000" w:themeColor="text1"/>
          <w:lang w:val="en-US"/>
        </w:rPr>
        <w:t xml:space="preserve">orepinephrine), there was, surprisingly, an inverse relation between the probability of </w:t>
      </w:r>
      <w:r w:rsidR="00E24E5F" w:rsidRPr="00383A0F">
        <w:rPr>
          <w:rFonts w:ascii="Book Antiqua" w:hAnsi="Book Antiqua" w:cs="Arial"/>
          <w:color w:val="000000" w:themeColor="text1"/>
          <w:lang w:val="en-US"/>
        </w:rPr>
        <w:t>post-transplant</w:t>
      </w:r>
      <w:r w:rsidR="007654A2" w:rsidRPr="00383A0F">
        <w:rPr>
          <w:rFonts w:ascii="Book Antiqua" w:hAnsi="Book Antiqua" w:cs="Arial"/>
          <w:color w:val="000000" w:themeColor="text1"/>
          <w:lang w:val="en-US"/>
        </w:rPr>
        <w:t xml:space="preserve"> mortality at 90 d and the severity of the MELD score. In a much larger study compiling all the results from the UNOS database from 2002 to 2013, </w:t>
      </w:r>
      <w:proofErr w:type="spellStart"/>
      <w:r w:rsidR="007654A2" w:rsidRPr="00383A0F">
        <w:rPr>
          <w:rFonts w:ascii="Book Antiqua" w:hAnsi="Book Antiqua" w:cs="Arial"/>
          <w:color w:val="000000" w:themeColor="text1"/>
          <w:lang w:val="en-US"/>
        </w:rPr>
        <w:t>Bitterman</w:t>
      </w:r>
      <w:proofErr w:type="spellEnd"/>
      <w:r w:rsidR="007654A2" w:rsidRPr="00383A0F">
        <w:rPr>
          <w:rFonts w:ascii="Book Antiqua" w:hAnsi="Book Antiqua" w:cs="Arial"/>
          <w:color w:val="000000" w:themeColor="text1"/>
          <w:lang w:val="en-US"/>
        </w:rPr>
        <w:t xml:space="preserve"> </w:t>
      </w:r>
      <w:r>
        <w:rPr>
          <w:rFonts w:ascii="Book Antiqua" w:hAnsi="Book Antiqua" w:cs="Arial"/>
          <w:i/>
          <w:color w:val="000000" w:themeColor="text1"/>
          <w:lang w:val="en-US"/>
        </w:rPr>
        <w:t>et al</w:t>
      </w:r>
      <w:r w:rsidR="00FE57FE"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{"citationID":"bbkqmjcq","properties":{"formattedCitation":"\\super [22]\\nosupersub{}","plainCitation":"[22]","noteIndex":0},"citationItems":[{"id":546,"uris":["http://zotero.org/users/local/BE2xVPev/items/IIMZZ4TB"],"uri":["http://zotero.org/users/local/BE2xVPev/items/IIMZZ4TB"],"itemData":{"id":546,"type":"article-journal","title":"Early post-transplant survival: Interaction of MELD score and hospitalization status","container-title":"Journal of Hepatology","page":"601-608","volume":"63","issue":"3","source":"PubMed","abstract":"BACKGROUND &amp; AIMS: Urgency-based allocation that relies on the MELD score prioritizes patients at the highest risk of waitlist mortality. However, identifying patients at greatest risk for short-term post-transplant mortality is needed in order to optimize the potential gains in overall survival obtained through improved long-term management of transplant recipients. There are limited data on the predictive ability of MELD score for early post-transplant mortality, and no data assessing the interaction between MELD score and hospitalization status.\nMETHODS: We analyzed UNOS data from 2002 to 2013 on 50,838 non-status 1 single-organ liver transplant recipients and fit multivariable logistic models to evaluate the association and interaction between MELD score and pre-transplant hospitalization status on short-term post-transplant mortality.\nRESULTS: There was a significant interaction (p&lt;0.01) between laboratory MELD score and hospitalization status on three-, six-, and 12-month post-transplant mortality in multivariable logistic models. This interaction was most pronounced in patients with a laboratory MELD score &lt;25 transplanted from an ICU, whose adjusted predicted three-, six-, and 12-month post-transplant mortality approximated those of patients with a MELD score </w:instrText>
      </w:r>
      <w:r w:rsidR="004B7DB2" w:rsidRPr="00383A0F">
        <w:rPr>
          <w:rFonts w:ascii="Cambria" w:eastAsia="Cambria" w:hAnsi="Cambria" w:cs="Cambria"/>
          <w:color w:val="000000" w:themeColor="text1"/>
          <w:lang w:val="en-US"/>
        </w:rPr>
        <w:instrText>⩾</w:instrText>
      </w:r>
      <w:r w:rsidR="004B7DB2" w:rsidRPr="00383A0F">
        <w:rPr>
          <w:rFonts w:ascii="Book Antiqua" w:hAnsi="Book Antiqua" w:cs="Arial"/>
          <w:color w:val="000000" w:themeColor="text1"/>
          <w:lang w:val="en-US"/>
        </w:rPr>
        <w:instrText xml:space="preserve">30. Compared to hospitalized patients with a MELD score of 30-34, those with a MELD score </w:instrText>
      </w:r>
      <w:r w:rsidR="004B7DB2" w:rsidRPr="00383A0F">
        <w:rPr>
          <w:rFonts w:ascii="Cambria" w:eastAsia="Cambria" w:hAnsi="Cambria" w:cs="Cambria"/>
          <w:color w:val="000000" w:themeColor="text1"/>
          <w:lang w:val="en-US"/>
        </w:rPr>
        <w:instrText>⩾</w:instrText>
      </w:r>
      <w:r w:rsidR="004B7DB2" w:rsidRPr="00383A0F">
        <w:rPr>
          <w:rFonts w:ascii="Book Antiqua" w:hAnsi="Book Antiqua" w:cs="Arial"/>
          <w:color w:val="000000" w:themeColor="text1"/>
          <w:lang w:val="en-US"/>
        </w:rPr>
        <w:instrText xml:space="preserve">35 in an ICU had significantly increased risk of three-month (OR: 1.54, 95% CI: 1.21-1.97), 6-month (OR: 1.35, 95% CI: 1.09-1.67), and 12-month (OR: 1.25, 95% CI: 1.03-1.52) post-transplant mortality.\nDISCUSSION: Pre-transplant ICU status modifies the risk of early post-transplant mortality, independent of MELD score. This should be considered when determining candidacy for transplantation in order to optimize efficient use of a scarce resource.","DOI":"10.1016/j.jhep.2015.03.034","ISSN":"1600-0641","note":"PMID: 25858520\nPMCID: PMC4543524","shortTitle":"Early post-transplant survival","journalAbbreviation":"J. Hepatol.","language":"eng","author":[{"family":"Bittermann","given":"Therese"},{"family":"Makar","given":"George"},{"family":"Goldberg","given":"David S."}],"issued":{"date-parts":[["2015",9]]}}}],"schema":"https://github.com/citation-style-language/schema/raw/master/csl-citation.json"} </w:instrText>
      </w:r>
      <w:r w:rsidR="00FE57FE"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[22]</w:t>
      </w:r>
      <w:r w:rsidR="00FE57FE" w:rsidRPr="00383A0F">
        <w:rPr>
          <w:rFonts w:ascii="Book Antiqua" w:hAnsi="Book Antiqua" w:cs="Arial"/>
          <w:color w:val="000000" w:themeColor="text1"/>
          <w:lang w:val="en-US"/>
        </w:rPr>
        <w:fldChar w:fldCharType="end"/>
      </w:r>
      <w:r w:rsidR="007654A2" w:rsidRPr="00383A0F">
        <w:rPr>
          <w:rFonts w:ascii="Book Antiqua" w:hAnsi="Book Antiqua" w:cs="Arial"/>
          <w:color w:val="000000" w:themeColor="text1"/>
          <w:lang w:val="en-US"/>
        </w:rPr>
        <w:t xml:space="preserve"> found that a higher MELD score was associated with higher </w:t>
      </w:r>
      <w:r w:rsidR="00E24E5F" w:rsidRPr="00383A0F">
        <w:rPr>
          <w:rFonts w:ascii="Book Antiqua" w:hAnsi="Book Antiqua" w:cs="Arial"/>
          <w:color w:val="000000" w:themeColor="text1"/>
          <w:lang w:val="en-US"/>
        </w:rPr>
        <w:t>post-transplant</w:t>
      </w:r>
      <w:r w:rsidR="007654A2" w:rsidRPr="00383A0F">
        <w:rPr>
          <w:rFonts w:ascii="Book Antiqua" w:hAnsi="Book Antiqua" w:cs="Arial"/>
          <w:color w:val="000000" w:themeColor="text1"/>
          <w:lang w:val="en-US"/>
        </w:rPr>
        <w:t xml:space="preserve"> mortality only among patients who were transplanted from their home. For the subgroup of patients who received LT from</w:t>
      </w:r>
      <w:r w:rsidR="00E24E5F" w:rsidRPr="00383A0F">
        <w:rPr>
          <w:rFonts w:ascii="Book Antiqua" w:hAnsi="Book Antiqua" w:cs="Arial"/>
          <w:color w:val="000000" w:themeColor="text1"/>
          <w:lang w:val="en-US"/>
        </w:rPr>
        <w:t xml:space="preserve"> the</w:t>
      </w:r>
      <w:r>
        <w:rPr>
          <w:rFonts w:ascii="Book Antiqua" w:hAnsi="Book Antiqua" w:cs="Arial"/>
          <w:color w:val="000000" w:themeColor="text1"/>
          <w:lang w:val="en-US"/>
        </w:rPr>
        <w:t xml:space="preserve"> ICU (4</w:t>
      </w:r>
      <w:r w:rsidR="007654A2" w:rsidRPr="00383A0F">
        <w:rPr>
          <w:rFonts w:ascii="Book Antiqua" w:hAnsi="Book Antiqua" w:cs="Arial"/>
          <w:color w:val="000000" w:themeColor="text1"/>
          <w:lang w:val="en-US"/>
        </w:rPr>
        <w:t xml:space="preserve">095 patients in their cohort), the MELD score could not </w:t>
      </w:r>
      <w:r w:rsidR="007654A2" w:rsidRPr="00383A0F">
        <w:rPr>
          <w:rFonts w:ascii="Book Antiqua" w:hAnsi="Book Antiqua" w:cs="Arial"/>
          <w:color w:val="000000" w:themeColor="text1"/>
          <w:lang w:val="en-US"/>
        </w:rPr>
        <w:lastRenderedPageBreak/>
        <w:t xml:space="preserve">discriminate between the patients with good or poor </w:t>
      </w:r>
      <w:r w:rsidR="00E24E5F" w:rsidRPr="00383A0F">
        <w:rPr>
          <w:rFonts w:ascii="Book Antiqua" w:hAnsi="Book Antiqua" w:cs="Arial"/>
          <w:color w:val="000000" w:themeColor="text1"/>
          <w:lang w:val="en-US"/>
        </w:rPr>
        <w:t>post-transplant</w:t>
      </w:r>
      <w:r w:rsidR="007654A2" w:rsidRPr="00383A0F">
        <w:rPr>
          <w:rFonts w:ascii="Book Antiqua" w:hAnsi="Book Antiqua" w:cs="Arial"/>
          <w:color w:val="000000" w:themeColor="text1"/>
          <w:lang w:val="en-US"/>
        </w:rPr>
        <w:t xml:space="preserve"> prognosis.</w:t>
      </w:r>
      <w:r w:rsidR="008A07A9" w:rsidRPr="00383A0F">
        <w:rPr>
          <w:rFonts w:ascii="Book Antiqua" w:hAnsi="Book Antiqua" w:cs="Arial"/>
          <w:color w:val="000000" w:themeColor="text1"/>
          <w:lang w:val="en-US"/>
        </w:rPr>
        <w:t xml:space="preserve"> Multiple v</w:t>
      </w:r>
      <w:r w:rsidR="002A144F" w:rsidRPr="00383A0F">
        <w:rPr>
          <w:rFonts w:ascii="Book Antiqua" w:hAnsi="Book Antiqua" w:cs="Arial"/>
          <w:color w:val="000000" w:themeColor="text1"/>
          <w:lang w:val="en-US"/>
        </w:rPr>
        <w:t xml:space="preserve">ariations of the MELD score have been tested in other studies with disappointing results for </w:t>
      </w:r>
      <w:r w:rsidR="007D37B0" w:rsidRPr="00383A0F">
        <w:rPr>
          <w:rFonts w:ascii="Book Antiqua" w:hAnsi="Book Antiqua" w:cs="Arial"/>
          <w:color w:val="000000" w:themeColor="text1"/>
          <w:lang w:val="en-US"/>
        </w:rPr>
        <w:t>critically ill</w:t>
      </w:r>
      <w:r w:rsidR="002A144F" w:rsidRPr="00383A0F">
        <w:rPr>
          <w:rFonts w:ascii="Book Antiqua" w:hAnsi="Book Antiqua" w:cs="Arial"/>
          <w:color w:val="000000" w:themeColor="text1"/>
          <w:lang w:val="en-US"/>
        </w:rPr>
        <w:t xml:space="preserve"> patients</w:t>
      </w:r>
      <w:r w:rsidR="00687C4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{"citationID":"Ezb4PWTN","properties":{"formattedCitation":"\\super [23]\\nosupersub{}","plainCitation":"[23]","noteIndex":0},"citationItems":[{"id":552,"uris":["http://zotero.org/users/local/BE2xVPev/items/HMVLVWUL"],"uri":["http://zotero.org/users/local/BE2xVPev/items/HMVLVWUL"],"itemData":{"id":552,"type":"article-journal","title":"The Donor-Risk-Index, ECD-Score and D-MELD-Score all fail to predict short-term outcome after liver transplantation with acceptable sensitivity and specificity","container-title":"Annals of Transplantation","page":"5-13","volume":"17","issue":"3","source":"PubMed","abstract":"BACKGROUND: Expansion of the donor pool by the use of grafts with extended donor criteria reduces waiting list mortality with an increased risk for graft and patient survival after liver transplantation. This study investigates the ability of the Donor-Risk-Index (DRI), the Extended-Criteria-Donor-Score (ECD-score) and the D-MELD-score to predict early outcome after liver transplantation.\nMATERIAL/METHODS: 291 consecutive adult liver transplants (01.01.2007-31.12.2010) were analysed in a single centre study with ongoing data collection. Primary study endpoints were 30-day mortality, 3-month mortality, 3-month patient and graft survival and the necessity of acute retransplantation within 30 days. For the primary study endpoints ROC-curve analysis was performed to calculate the sensitivity, specificity, and overall model correctness of the Donor-Risk-Index (DRI), Extended-Criteria-Donor-Score (ECD-score) and the D-MELD-Score as predictive models. Cut-off values were selected with the best Youden index.\nRESULTS: ROC-curve analysis showed areas under the curve (AUROCs) &lt;0.7 for the DRI, the ECD-Score and the D-MELD-Score as models for the prediction of 30-day mortality, 3-month mortality, 3-month patient survival, 3-month graft survival as well as the necessity of acute retransplantation within 30 days after transplantation with unacceptable low levels of overall model correctness (&lt;62%) and specificity (&lt;56%).\nCONCLUSIONS: The DRI, the ECD-Score and the D-MELD-Score all fail to predict short-term outcome after liver transplantation with acceptable overall model correctness in a current European transplant setting.","ISSN":"2329-0358","note":"PMID: 23018250","journalAbbreviation":"Ann. Transplant.","language":"eng","author":[{"family":"Schrem","given":"Harald"},{"family":"Reichert","given":"Benedikt"},{"family":"Frühauf","given":"Nils"},{"family":"Becker","given":"Thomas"},{"family":"Lehner","given":"Frank"},{"family":"Kleine","given":"Moritz"},{"family":"Bektas","given":"Hüseyin"},{"family":"Zachau","given":"Lea"},{"family":"Klempnauer","given":"Jürgen"}],"issued":{"date-parts":[["2012",9]]}}}],"schema":"https://github.com/citation-style-language/schema/raw/master/csl-citation.json"} </w:instrText>
      </w:r>
      <w:r w:rsidR="00687C47"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[23</w:t>
      </w:r>
      <w:r>
        <w:rPr>
          <w:rFonts w:ascii="Book Antiqua" w:hAnsi="Book Antiqua"/>
          <w:color w:val="000000" w:themeColor="text1"/>
          <w:vertAlign w:val="superscript"/>
          <w:lang w:val="en-US"/>
        </w:rPr>
        <w:t>-</w:t>
      </w:r>
      <w:r w:rsidR="00687C47" w:rsidRPr="00383A0F">
        <w:rPr>
          <w:rFonts w:ascii="Book Antiqua" w:hAnsi="Book Antiqua" w:cs="Arial"/>
          <w:color w:val="000000" w:themeColor="text1"/>
          <w:lang w:val="en-US"/>
        </w:rPr>
        <w:fldChar w:fldCharType="end"/>
      </w:r>
      <w:r w:rsidR="00FE57FE"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{"citationID":"6XqfskeF","properties":{"formattedCitation":"\\super [26]\\nosupersub{}","plainCitation":"[26]","noteIndex":0},"citationItems":[{"id":533,"uris":["http://zotero.org/users/local/BE2xVPev/items/GU6Y7XGR"],"uri":["http://zotero.org/users/local/BE2xVPev/items/GU6Y7XGR"],"itemData":{"id":533,"type":"article-journal","title":"Risk Assessment in High- and Low-MELD Liver Transplantation","container-title":"American Journal of Transplantation: Official Journal of the American Society of Transplantation and the American Society of Transplant Surgeons","page":"1050-1063","volume":"17","issue":"4","source":"PubMed","abstract":"Allocation of liver grafts triggers emotional debates, as those patients, not receiving an organ, are prone to death. We analyzed a high-Model of End-stage Liver Disease (MELD) cohort (laboratory MELD score ≥30, n = 100, median laboratory MELD score of 35; interquartile range 31-37) of liver transplant recipients at our center during the past 10 years and compared results with a low-MELD group, matched by propensity scoring for donor age, recipient age, and cold ischemia time. End points of our study were cumulative posttransplantation morbidity, cost, and survival. Six different prediction models, including donor age x recipient MELD (D-MELD), Difference between listing MELD and MELD at transplant (Delta MELD), donor-risk index (DRI), Survival Outcomes Following Liver Transplant (SOFT), balance-of-risk (BAR), and University of California Los Angeles-Futility Risk Score (UCLA-FRS), were applied in both cohorts to identify risk for poor outcome and high cost. All score models were compared with a clinical-oriented decision, based on the combination of hemofiltration plus ventilation. Median intensive care unit and hospital stays were 8 and 26 days, respectively, after liver transplantation of high-MELD patients, with a significantly increased morbidity compared with low-MELD patients (median comprehensive complication index 56 vs. 36 points [maximum points 100] and double cost [median US$179 631 vs. US$80 229]). Five-year survival, however, was only 8% less than that of low-MELD patients (70% vs. 78%). Most prediction scores showed disappointing low positive predictive values for posttransplantation mortality, such as mortality above thresholds, despite good specificity. The clinical observation of hemofiltration plus ventilation in high-MELD patients was even superior in this respect compared with D-MELD, DRI, Delta MELD, and UCLA-FRS but inferior to SOFT and BAR models. Of all models tested, only the BAR score was linearly associated with complications. In conclusion, the BAR score was most useful for risk classification in liver transplantation, based on expected posttransplantation mortality and morbidity. Difficult decisions to accept liver grafts in high-risk recipients may thus be guided by additional BAR score calculation, to increase the safe use of scarce organs.","DOI":"10.1111/ajt.14065","ISSN":"1600-6143","note":"PMID: 27676319","journalAbbreviation":"Am. J. Transplant.","language":"eng","author":[{"family":"Schlegel","given":"A."},{"family":"Linecker","given":"M."},{"family":"Kron","given":"P."},{"family":"Györi","given":"G."},{"family":"De Oliveira","given":"M. L."},{"family":"Müllhaupt","given":"B."},{"family":"Clavien","given":"P.-A."},{"family":"Dutkowski","given":"P."}],"issued":{"date-parts":[["2017"]]}}}],"schema":"https://github.com/citation-style-language/schema/raw/master/csl-citation.json"} </w:instrText>
      </w:r>
      <w:r w:rsidR="00FE57FE"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26]</w:t>
      </w:r>
      <w:r w:rsidR="00FE57FE" w:rsidRPr="00383A0F">
        <w:rPr>
          <w:rFonts w:ascii="Book Antiqua" w:hAnsi="Book Antiqua" w:cs="Arial"/>
          <w:color w:val="000000" w:themeColor="text1"/>
          <w:lang w:val="en-US"/>
        </w:rPr>
        <w:fldChar w:fldCharType="end"/>
      </w:r>
      <w:r w:rsidR="002A144F" w:rsidRPr="00383A0F">
        <w:rPr>
          <w:rFonts w:ascii="Book Antiqua" w:hAnsi="Book Antiqua" w:cs="Arial"/>
          <w:color w:val="000000" w:themeColor="text1"/>
          <w:lang w:val="en-US"/>
        </w:rPr>
        <w:t>.</w:t>
      </w:r>
      <w:r w:rsidR="006C02F2" w:rsidRPr="00383A0F">
        <w:rPr>
          <w:rFonts w:ascii="Book Antiqua" w:hAnsi="Book Antiqua" w:cs="Arial"/>
          <w:color w:val="000000" w:themeColor="text1"/>
          <w:lang w:val="en-US"/>
        </w:rPr>
        <w:t xml:space="preserve"> </w:t>
      </w:r>
    </w:p>
    <w:p w14:paraId="0031EAA7" w14:textId="15860FB3" w:rsidR="00E14AB1"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205AEB" w:rsidRPr="00383A0F">
        <w:rPr>
          <w:rFonts w:ascii="Book Antiqua" w:hAnsi="Book Antiqua" w:cs="Arial"/>
          <w:color w:val="000000" w:themeColor="text1"/>
          <w:lang w:val="en-US"/>
        </w:rPr>
        <w:t xml:space="preserve">In summary, the </w:t>
      </w:r>
      <w:r w:rsidR="008A07A9" w:rsidRPr="00383A0F">
        <w:rPr>
          <w:rFonts w:ascii="Book Antiqua" w:hAnsi="Book Antiqua" w:cs="Arial"/>
          <w:color w:val="000000" w:themeColor="text1"/>
          <w:lang w:val="en-US"/>
        </w:rPr>
        <w:t xml:space="preserve">MELD score is a reliable tool for predicting </w:t>
      </w:r>
      <w:r w:rsidR="00205AEB" w:rsidRPr="00383A0F">
        <w:rPr>
          <w:rFonts w:ascii="Book Antiqua" w:hAnsi="Book Antiqua" w:cs="Arial"/>
          <w:color w:val="000000" w:themeColor="text1"/>
          <w:lang w:val="en-US"/>
        </w:rPr>
        <w:t xml:space="preserve">short-term mortality of patients without LT and holds a key role in prioritizing the access of the sickest patients to LT. By contrast, it is not reliable to predict </w:t>
      </w:r>
      <w:r w:rsidR="00A65C47" w:rsidRPr="00383A0F">
        <w:rPr>
          <w:rFonts w:ascii="Book Antiqua" w:hAnsi="Book Antiqua" w:cs="Arial"/>
          <w:color w:val="000000" w:themeColor="text1"/>
          <w:lang w:val="en-US"/>
        </w:rPr>
        <w:t>post-transplant</w:t>
      </w:r>
      <w:r w:rsidR="00205AEB" w:rsidRPr="00383A0F">
        <w:rPr>
          <w:rFonts w:ascii="Book Antiqua" w:hAnsi="Book Antiqua" w:cs="Arial"/>
          <w:color w:val="000000" w:themeColor="text1"/>
          <w:lang w:val="en-US"/>
        </w:rPr>
        <w:t xml:space="preserve"> outcome, especially in the context of patients whose severe clinical state draws them to the ICU.</w:t>
      </w:r>
      <w:r w:rsidR="00697CB0" w:rsidRPr="00383A0F">
        <w:rPr>
          <w:rFonts w:ascii="Book Antiqua" w:hAnsi="Book Antiqua" w:cs="Arial"/>
          <w:color w:val="000000" w:themeColor="text1"/>
          <w:lang w:val="en-US"/>
        </w:rPr>
        <w:t xml:space="preserve"> </w:t>
      </w:r>
      <w:r w:rsidR="00205AEB" w:rsidRPr="00383A0F">
        <w:rPr>
          <w:rFonts w:ascii="Book Antiqua" w:hAnsi="Book Antiqua" w:cs="Arial"/>
          <w:color w:val="000000" w:themeColor="text1"/>
          <w:lang w:val="en-US"/>
        </w:rPr>
        <w:t xml:space="preserve">For those patients, </w:t>
      </w:r>
      <w:r w:rsidR="00A65C47" w:rsidRPr="00383A0F">
        <w:rPr>
          <w:rFonts w:ascii="Book Antiqua" w:hAnsi="Book Antiqua" w:cs="Arial"/>
          <w:color w:val="000000" w:themeColor="text1"/>
          <w:lang w:val="en-US"/>
        </w:rPr>
        <w:t>post-transplant</w:t>
      </w:r>
      <w:r w:rsidR="00205AEB" w:rsidRPr="00383A0F">
        <w:rPr>
          <w:rFonts w:ascii="Book Antiqua" w:hAnsi="Book Antiqua" w:cs="Arial"/>
          <w:color w:val="000000" w:themeColor="text1"/>
          <w:lang w:val="en-US"/>
        </w:rPr>
        <w:t xml:space="preserve"> prognosis may be significantly altered by an array of organ failures (</w:t>
      </w:r>
      <w:r w:rsidR="007D37B0" w:rsidRPr="00383A0F">
        <w:rPr>
          <w:rFonts w:ascii="Book Antiqua" w:hAnsi="Book Antiqua" w:cs="Arial"/>
          <w:color w:val="000000" w:themeColor="text1"/>
          <w:lang w:val="en-US"/>
        </w:rPr>
        <w:t>neurologic</w:t>
      </w:r>
      <w:r w:rsidR="00205AEB" w:rsidRPr="00383A0F">
        <w:rPr>
          <w:rFonts w:ascii="Book Antiqua" w:hAnsi="Book Antiqua" w:cs="Arial"/>
          <w:color w:val="000000" w:themeColor="text1"/>
          <w:lang w:val="en-US"/>
        </w:rPr>
        <w:t xml:space="preserve">, circulatory, pulmonary) that are not taken into account by the MELD score. </w:t>
      </w:r>
    </w:p>
    <w:p w14:paraId="46C56AD5" w14:textId="77777777" w:rsidR="006416F4" w:rsidRPr="00383A0F" w:rsidRDefault="006416F4" w:rsidP="00383A0F">
      <w:pPr>
        <w:adjustRightInd w:val="0"/>
        <w:snapToGrid w:val="0"/>
        <w:spacing w:line="360" w:lineRule="auto"/>
        <w:jc w:val="both"/>
        <w:rPr>
          <w:rFonts w:ascii="Book Antiqua" w:hAnsi="Book Antiqua" w:cs="Arial"/>
          <w:color w:val="000000" w:themeColor="text1"/>
          <w:lang w:val="en-US"/>
        </w:rPr>
      </w:pPr>
    </w:p>
    <w:p w14:paraId="2FD93C95" w14:textId="50A38F48" w:rsidR="00B304DC" w:rsidRPr="00383A0F" w:rsidRDefault="001742A8"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b/>
          <w:i/>
          <w:color w:val="000000" w:themeColor="text1"/>
          <w:lang w:val="en-US"/>
        </w:rPr>
        <w:t>Pre-transplant</w:t>
      </w:r>
      <w:r w:rsidR="00D63122" w:rsidRPr="00383A0F">
        <w:rPr>
          <w:rFonts w:ascii="Book Antiqua" w:hAnsi="Book Antiqua" w:cs="Arial"/>
          <w:b/>
          <w:i/>
          <w:color w:val="000000" w:themeColor="text1"/>
          <w:lang w:val="en-US"/>
        </w:rPr>
        <w:t xml:space="preserve"> SOFA, SOFT and BAR scores do not predict </w:t>
      </w:r>
      <w:r w:rsidR="00A65C47" w:rsidRPr="00383A0F">
        <w:rPr>
          <w:rFonts w:ascii="Book Antiqua" w:hAnsi="Book Antiqua" w:cs="Arial"/>
          <w:b/>
          <w:i/>
          <w:color w:val="000000" w:themeColor="text1"/>
          <w:lang w:val="en-US"/>
        </w:rPr>
        <w:t>post-transplant</w:t>
      </w:r>
      <w:r w:rsidR="00D63122" w:rsidRPr="00383A0F">
        <w:rPr>
          <w:rFonts w:ascii="Book Antiqua" w:hAnsi="Book Antiqua" w:cs="Arial"/>
          <w:b/>
          <w:i/>
          <w:color w:val="000000" w:themeColor="text1"/>
          <w:lang w:val="en-US"/>
        </w:rPr>
        <w:t xml:space="preserve"> outcomes for ACLF patients </w:t>
      </w:r>
    </w:p>
    <w:p w14:paraId="72531E89" w14:textId="0A0EB3E5" w:rsidR="00EE238C" w:rsidRPr="00383A0F" w:rsidRDefault="00EE238C"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Other </w:t>
      </w:r>
      <w:r w:rsidR="001742A8" w:rsidRPr="00383A0F">
        <w:rPr>
          <w:rFonts w:ascii="Book Antiqua" w:hAnsi="Book Antiqua" w:cs="Arial"/>
          <w:color w:val="000000" w:themeColor="text1"/>
          <w:lang w:val="en-US"/>
        </w:rPr>
        <w:t xml:space="preserve">pre-transplant </w:t>
      </w:r>
      <w:r w:rsidRPr="00383A0F">
        <w:rPr>
          <w:rFonts w:ascii="Book Antiqua" w:hAnsi="Book Antiqua" w:cs="Arial"/>
          <w:color w:val="000000" w:themeColor="text1"/>
          <w:lang w:val="en-US"/>
        </w:rPr>
        <w:t xml:space="preserve">scores have not proved to be useful in predicting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outcome</w:t>
      </w:r>
      <w:r w:rsidR="00D63122" w:rsidRPr="00383A0F">
        <w:rPr>
          <w:rFonts w:ascii="Book Antiqua" w:hAnsi="Book Antiqua" w:cs="Arial"/>
          <w:color w:val="000000" w:themeColor="text1"/>
          <w:lang w:val="en-US"/>
        </w:rPr>
        <w:t xml:space="preserve"> of critically ill patients with ACLF</w:t>
      </w:r>
      <w:r w:rsidRPr="00383A0F">
        <w:rPr>
          <w:rFonts w:ascii="Book Antiqua" w:hAnsi="Book Antiqua" w:cs="Arial"/>
          <w:color w:val="000000" w:themeColor="text1"/>
          <w:lang w:val="en-US"/>
        </w:rPr>
        <w:t xml:space="preserve">. First and foremost, the </w:t>
      </w:r>
      <w:r w:rsidR="0006094A">
        <w:rPr>
          <w:rFonts w:ascii="Book Antiqua" w:eastAsia="Times New Roman" w:hAnsi="Book Antiqua" w:cs="Arial"/>
          <w:bCs/>
          <w:color w:val="000000" w:themeColor="text1"/>
          <w:lang w:val="en-US"/>
        </w:rPr>
        <w:t>s</w:t>
      </w:r>
      <w:r w:rsidR="0006094A" w:rsidRPr="003E14C0">
        <w:rPr>
          <w:rFonts w:ascii="Book Antiqua" w:eastAsia="Times New Roman" w:hAnsi="Book Antiqua" w:cs="Arial"/>
          <w:bCs/>
          <w:color w:val="000000" w:themeColor="text1"/>
          <w:lang w:val="en-US"/>
        </w:rPr>
        <w:t>equential organ failure assessment</w:t>
      </w:r>
      <w:r w:rsidR="00465642" w:rsidRPr="00465642">
        <w:rPr>
          <w:rFonts w:ascii="Book Antiqua" w:hAnsi="Book Antiqua" w:cs="Arial"/>
          <w:color w:val="000000" w:themeColor="text1"/>
          <w:lang w:val="en-US"/>
        </w:rPr>
        <w:t xml:space="preserve"> </w:t>
      </w:r>
      <w:r w:rsidR="00465642">
        <w:rPr>
          <w:rFonts w:ascii="Book Antiqua" w:hAnsi="Book Antiqua" w:cs="Arial"/>
          <w:color w:val="000000" w:themeColor="text1"/>
          <w:lang w:val="en-US"/>
        </w:rPr>
        <w:t>(</w:t>
      </w:r>
      <w:r w:rsidRPr="00383A0F">
        <w:rPr>
          <w:rFonts w:ascii="Book Antiqua" w:hAnsi="Book Antiqua" w:cs="Arial"/>
          <w:color w:val="000000" w:themeColor="text1"/>
          <w:lang w:val="en-US"/>
        </w:rPr>
        <w:t>SOFA</w:t>
      </w:r>
      <w:r w:rsidR="00465642">
        <w:rPr>
          <w:rFonts w:ascii="Book Antiqua" w:hAnsi="Book Antiqua" w:cs="Arial"/>
          <w:color w:val="000000" w:themeColor="text1"/>
          <w:lang w:val="en-US"/>
        </w:rPr>
        <w:t>)</w:t>
      </w:r>
      <w:r w:rsidRPr="00383A0F">
        <w:rPr>
          <w:rFonts w:ascii="Book Antiqua" w:hAnsi="Book Antiqua" w:cs="Arial"/>
          <w:color w:val="000000" w:themeColor="text1"/>
          <w:lang w:val="en-US"/>
        </w:rPr>
        <w:t xml:space="preserve"> score, widely used in</w:t>
      </w:r>
      <w:r w:rsidR="00E24E5F" w:rsidRPr="00383A0F">
        <w:rPr>
          <w:rFonts w:ascii="Book Antiqua" w:hAnsi="Book Antiqua" w:cs="Arial"/>
          <w:color w:val="000000" w:themeColor="text1"/>
          <w:lang w:val="en-US"/>
        </w:rPr>
        <w:t xml:space="preserve"> the</w:t>
      </w:r>
      <w:r w:rsidRPr="00383A0F">
        <w:rPr>
          <w:rFonts w:ascii="Book Antiqua" w:hAnsi="Book Antiqua" w:cs="Arial"/>
          <w:color w:val="000000" w:themeColor="text1"/>
          <w:lang w:val="en-US"/>
        </w:rPr>
        <w:t xml:space="preserve"> ICU and from which the CLIF scores </w:t>
      </w:r>
      <w:r w:rsidR="00B933E5" w:rsidRPr="00383A0F">
        <w:rPr>
          <w:rFonts w:ascii="Book Antiqua" w:hAnsi="Book Antiqua" w:cs="Arial"/>
          <w:color w:val="000000" w:themeColor="text1"/>
          <w:lang w:val="en-US"/>
        </w:rPr>
        <w:t>are</w:t>
      </w:r>
      <w:r w:rsidRPr="00383A0F">
        <w:rPr>
          <w:rFonts w:ascii="Book Antiqua" w:hAnsi="Book Antiqua" w:cs="Arial"/>
          <w:color w:val="000000" w:themeColor="text1"/>
          <w:lang w:val="en-US"/>
        </w:rPr>
        <w:t xml:space="preserve"> derived, is not associated with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w:t>
      </w:r>
      <w:proofErr w:type="gramStart"/>
      <w:r w:rsidRPr="00383A0F">
        <w:rPr>
          <w:rFonts w:ascii="Book Antiqua" w:hAnsi="Book Antiqua" w:cs="Arial"/>
          <w:color w:val="000000" w:themeColor="text1"/>
          <w:lang w:val="en-US"/>
        </w:rPr>
        <w:t>mortality</w:t>
      </w:r>
      <w:r w:rsidR="00465642">
        <w:rPr>
          <w:rFonts w:ascii="Book Antiqua" w:hAnsi="Book Antiqua" w:cs="Arial"/>
          <w:color w:val="000000" w:themeColor="text1"/>
          <w:vertAlign w:val="superscript"/>
          <w:lang w:val="en-US"/>
        </w:rPr>
        <w:t>[</w:t>
      </w:r>
      <w:proofErr w:type="gramEnd"/>
      <w:r w:rsidR="00465642">
        <w:rPr>
          <w:rFonts w:ascii="Book Antiqua" w:hAnsi="Book Antiqua" w:cs="Arial"/>
          <w:color w:val="000000" w:themeColor="text1"/>
          <w:vertAlign w:val="superscript"/>
          <w:lang w:val="en-US"/>
        </w:rPr>
        <w:t>15,16,25,27]</w:t>
      </w:r>
      <w:r w:rsidRPr="00383A0F">
        <w:rPr>
          <w:rFonts w:ascii="Book Antiqua" w:hAnsi="Book Antiqua" w:cs="Arial"/>
          <w:color w:val="000000" w:themeColor="text1"/>
          <w:lang w:val="en-US"/>
        </w:rPr>
        <w:t>.</w:t>
      </w:r>
    </w:p>
    <w:p w14:paraId="6637D444" w14:textId="3DE00786" w:rsidR="002C5FD1" w:rsidRPr="00383A0F" w:rsidRDefault="00465642"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E0400E" w:rsidRPr="00383A0F">
        <w:rPr>
          <w:rFonts w:ascii="Book Antiqua" w:hAnsi="Book Antiqua" w:cs="Arial"/>
          <w:color w:val="000000" w:themeColor="text1"/>
          <w:lang w:val="en-US"/>
        </w:rPr>
        <w:t xml:space="preserve">In 2008, </w:t>
      </w:r>
      <w:r w:rsidR="005B29BD" w:rsidRPr="00383A0F">
        <w:rPr>
          <w:rFonts w:ascii="Book Antiqua" w:hAnsi="Book Antiqua" w:cs="Arial"/>
          <w:color w:val="000000" w:themeColor="text1"/>
          <w:lang w:val="en-US"/>
        </w:rPr>
        <w:t xml:space="preserve">Rana </w:t>
      </w:r>
      <w:r>
        <w:rPr>
          <w:rFonts w:ascii="Book Antiqua" w:hAnsi="Book Antiqua" w:cs="Arial"/>
          <w:i/>
          <w:color w:val="000000" w:themeColor="text1"/>
          <w:lang w:val="en-US"/>
        </w:rPr>
        <w:t>et al</w:t>
      </w:r>
      <w:r w:rsidRPr="00383A0F">
        <w:rPr>
          <w:rFonts w:ascii="Book Antiqua" w:hAnsi="Book Antiqua" w:cs="Arial"/>
          <w:color w:val="000000" w:themeColor="text1"/>
          <w:lang w:val="en-US"/>
        </w:rPr>
        <w:fldChar w:fldCharType="begin"/>
      </w:r>
      <w:r w:rsidRPr="00383A0F">
        <w:rPr>
          <w:rFonts w:ascii="Book Antiqua" w:hAnsi="Book Antiqua" w:cs="Arial"/>
          <w:color w:val="000000" w:themeColor="text1"/>
          <w:lang w:val="en-US"/>
        </w:rPr>
        <w:instrText xml:space="preserve"> ADDIN ZOTERO_ITEM CSL_CITATION {"citationID":"h3hF83EQ","properties":{"formattedCitation":"\\super [17]\\nosupersub{}","plainCitation":"[17]","noteIndex":0},"citationItems":[{"id":375,"uris":["http://zotero.org/users/local/BE2xVPev/items/J3GI9LLR"],"uri":["http://zotero.org/users/local/BE2xVPev/items/J3GI9LLR"],"itemData":{"id":375,"type":"article-journal","title":"Survival outcomes following liver transplantation (SOFT) score: a novel method to predict patient survival following liver transplantation","container-title":"American Journal of Transplantation: Official Journal of the American Society of Transplantation and the American Society of Transplant Surgeons","page":"2537-2546","volume":"8","issue":"12","source":"PubMed","abstract":"It is critical to balance waitlist mortality against posttransplant mortality. Our objective was to devise a scoring system that predicts recipient survival at 3 months following liver transplantation to complement MELD-predicted waitlist mortality. Univariate and multivariate analysis on 21,673 liver transplant recipients identified independent recipient and donor risk factors for posttransplant mortality. A retrospective analysis conducted on 30,321 waitlisted candidates reevaluated the predictive ability of the Model for End-Stage Liver Disease (MELD) score. We identified 13 recipient factors, 4 donor factors and 2 operative factors (warm and cold ischemia) as significant predictors of recipient mortality following liver transplantation at 3 months. The Survival Outcomes Following Liver Transplant (SOFT) Score utilized 18 risk factors (excluding warm ischemia) to successfully predict 3-month recipient survival following liver transplantation. This analysis represents a study of waitlisted candidates and transplant recipients of liver allografts after the MELD score was implemented. Unlike MELD, the SOFT score can accurately predict 3-month survival following liver transplantation. The most significant risk factors were previous transplantation and life support pretransplant. The SOFT score can help clinicians determine in real time which candidates should be transplanted with which allografts. Combined with MELD, SOFT can better quantify survival benefit for individual transplant procedures.","DOI":"10.1111/j.1600-6143.2008.02400.x","ISSN":"1600-6143","note":"PMID: 18945283","shortTitle":"Survival outcomes following liver transplantation (SOFT) score","journalAbbreviation":"Am. J. Transplant.","language":"eng","author":[{"family":"Rana","given":"A."},{"family":"Hardy","given":"M. A."},{"family":"Halazun","given":"K. J."},{"family":"Woodland","given":"D. C."},{"family":"Ratner","given":"L. E."},{"family":"Samstein","given":"B."},{"family":"Guarrera","given":"J. V."},{"family":"Brown","given":"R. S."},{"family":"Emond","given":"J. C."}],"issued":{"date-parts":[["2008",12]]}}}],"schema":"https://github.com/citation-style-language/schema/raw/master/csl-citation.json"} </w:instrText>
      </w:r>
      <w:r w:rsidRPr="00383A0F">
        <w:rPr>
          <w:rFonts w:ascii="Book Antiqua" w:hAnsi="Book Antiqua" w:cs="Arial"/>
          <w:color w:val="000000" w:themeColor="text1"/>
          <w:lang w:val="en-US"/>
        </w:rPr>
        <w:fldChar w:fldCharType="separate"/>
      </w:r>
      <w:r w:rsidRPr="00383A0F">
        <w:rPr>
          <w:rFonts w:ascii="Book Antiqua" w:hAnsi="Book Antiqua"/>
          <w:color w:val="000000" w:themeColor="text1"/>
          <w:vertAlign w:val="superscript"/>
          <w:lang w:val="en-US"/>
        </w:rPr>
        <w:t>[17]</w:t>
      </w:r>
      <w:r w:rsidRPr="00383A0F">
        <w:rPr>
          <w:rFonts w:ascii="Book Antiqua" w:hAnsi="Book Antiqua" w:cs="Arial"/>
          <w:color w:val="000000" w:themeColor="text1"/>
          <w:lang w:val="en-US"/>
        </w:rPr>
        <w:fldChar w:fldCharType="end"/>
      </w:r>
      <w:r w:rsidR="00907F73">
        <w:rPr>
          <w:rFonts w:ascii="Book Antiqua" w:hAnsi="Book Antiqua" w:cs="Arial"/>
          <w:color w:val="000000" w:themeColor="text1"/>
          <w:lang w:val="en-US"/>
        </w:rPr>
        <w:t xml:space="preserve"> </w:t>
      </w:r>
      <w:r w:rsidR="005B29BD" w:rsidRPr="00383A0F">
        <w:rPr>
          <w:rFonts w:ascii="Book Antiqua" w:hAnsi="Book Antiqua" w:cs="Arial"/>
          <w:color w:val="000000" w:themeColor="text1"/>
          <w:lang w:val="en-US"/>
        </w:rPr>
        <w:t xml:space="preserve">introduced </w:t>
      </w:r>
      <w:r>
        <w:rPr>
          <w:rFonts w:ascii="Book Antiqua" w:hAnsi="Book Antiqua" w:cs="Arial"/>
          <w:color w:val="000000" w:themeColor="text1"/>
          <w:lang w:val="en-US"/>
        </w:rPr>
        <w:t>the s</w:t>
      </w:r>
      <w:r w:rsidR="00E0400E" w:rsidRPr="00383A0F">
        <w:rPr>
          <w:rFonts w:ascii="Book Antiqua" w:hAnsi="Book Antiqua" w:cs="Arial"/>
          <w:color w:val="000000" w:themeColor="text1"/>
          <w:lang w:val="en-US"/>
        </w:rPr>
        <w:t xml:space="preserve">urvival outcomes following </w:t>
      </w:r>
      <w:r w:rsidR="0083090A">
        <w:rPr>
          <w:rFonts w:ascii="Book Antiqua" w:hAnsi="Book Antiqua" w:cs="Arial"/>
          <w:color w:val="000000" w:themeColor="text1"/>
          <w:lang w:val="en-US"/>
        </w:rPr>
        <w:t>LT</w:t>
      </w:r>
      <w:r w:rsidR="00E0400E" w:rsidRPr="00383A0F">
        <w:rPr>
          <w:rFonts w:ascii="Book Antiqua" w:hAnsi="Book Antiqua" w:cs="Arial"/>
          <w:color w:val="000000" w:themeColor="text1"/>
          <w:lang w:val="en-US"/>
        </w:rPr>
        <w:t xml:space="preserve"> (SOFT) score</w:t>
      </w:r>
      <w:r w:rsidR="002C5FD1" w:rsidRPr="00383A0F">
        <w:rPr>
          <w:rFonts w:ascii="Book Antiqua" w:hAnsi="Book Antiqua" w:cs="Arial"/>
          <w:color w:val="000000" w:themeColor="text1"/>
          <w:lang w:val="en-US"/>
        </w:rPr>
        <w:t>,</w:t>
      </w:r>
      <w:r w:rsidR="00E0400E" w:rsidRPr="00383A0F">
        <w:rPr>
          <w:rFonts w:ascii="Book Antiqua" w:hAnsi="Book Antiqua" w:cs="Arial"/>
          <w:color w:val="000000" w:themeColor="text1"/>
          <w:lang w:val="en-US"/>
        </w:rPr>
        <w:t xml:space="preserve"> </w:t>
      </w:r>
      <w:r w:rsidR="002C5FD1" w:rsidRPr="00383A0F">
        <w:rPr>
          <w:rFonts w:ascii="Book Antiqua" w:hAnsi="Book Antiqua" w:cs="Arial"/>
          <w:color w:val="000000" w:themeColor="text1"/>
          <w:lang w:val="en-US"/>
        </w:rPr>
        <w:t>which</w:t>
      </w:r>
      <w:r w:rsidR="00E0400E" w:rsidRPr="00383A0F">
        <w:rPr>
          <w:rFonts w:ascii="Book Antiqua" w:hAnsi="Book Antiqua" w:cs="Arial"/>
          <w:color w:val="000000" w:themeColor="text1"/>
          <w:lang w:val="en-US"/>
        </w:rPr>
        <w:t xml:space="preserve"> includes 18 risk factors</w:t>
      </w:r>
      <w:r w:rsidR="0002249D" w:rsidRPr="00383A0F">
        <w:rPr>
          <w:rFonts w:ascii="Book Antiqua" w:hAnsi="Book Antiqua" w:cs="Arial"/>
          <w:color w:val="000000" w:themeColor="text1"/>
          <w:lang w:val="en-US"/>
        </w:rPr>
        <w:t xml:space="preserve">. </w:t>
      </w:r>
      <w:r w:rsidR="001742A8" w:rsidRPr="00383A0F">
        <w:rPr>
          <w:rFonts w:ascii="Book Antiqua" w:hAnsi="Book Antiqua" w:cs="Arial"/>
          <w:color w:val="000000" w:themeColor="text1"/>
          <w:lang w:val="en-US"/>
        </w:rPr>
        <w:t>In a follow-</w:t>
      </w:r>
      <w:r w:rsidR="00E0400E" w:rsidRPr="00383A0F">
        <w:rPr>
          <w:rFonts w:ascii="Book Antiqua" w:hAnsi="Book Antiqua" w:cs="Arial"/>
          <w:color w:val="000000" w:themeColor="text1"/>
          <w:lang w:val="en-US"/>
        </w:rPr>
        <w:t>up study, Rana found that this score was useful for</w:t>
      </w:r>
      <w:r w:rsidR="002C5FD1" w:rsidRPr="00383A0F">
        <w:rPr>
          <w:rFonts w:ascii="Book Antiqua" w:hAnsi="Book Antiqua" w:cs="Arial"/>
          <w:color w:val="000000" w:themeColor="text1"/>
          <w:lang w:val="en-US"/>
        </w:rPr>
        <w:t xml:space="preserve"> high-risk patients (</w:t>
      </w:r>
      <w:proofErr w:type="spellStart"/>
      <w:r w:rsidR="002C5FD1" w:rsidRPr="00383A0F">
        <w:rPr>
          <w:rFonts w:ascii="Book Antiqua" w:hAnsi="Book Antiqua" w:cs="Arial"/>
          <w:color w:val="000000" w:themeColor="text1"/>
          <w:lang w:val="en-US"/>
        </w:rPr>
        <w:t>labMELD</w:t>
      </w:r>
      <w:proofErr w:type="spellEnd"/>
      <w:r>
        <w:rPr>
          <w:rFonts w:ascii="Book Antiqua" w:hAnsi="Book Antiqua" w:cs="Arial"/>
          <w:color w:val="000000" w:themeColor="text1"/>
          <w:lang w:val="en-US"/>
        </w:rPr>
        <w:t xml:space="preserve"> </w:t>
      </w:r>
      <w:r w:rsidR="002C5FD1" w:rsidRPr="00383A0F">
        <w:rPr>
          <w:rFonts w:ascii="Book Antiqua" w:hAnsi="Book Antiqua" w:cs="Arial"/>
          <w:color w:val="000000" w:themeColor="text1"/>
          <w:lang w:val="en-US"/>
        </w:rPr>
        <w:t>&gt;</w:t>
      </w:r>
      <w:r>
        <w:rPr>
          <w:rFonts w:ascii="Book Antiqua" w:hAnsi="Book Antiqua" w:cs="Arial"/>
          <w:color w:val="000000" w:themeColor="text1"/>
          <w:lang w:val="en-US"/>
        </w:rPr>
        <w:t xml:space="preserve"> </w:t>
      </w:r>
      <w:r w:rsidR="002C5FD1" w:rsidRPr="00383A0F">
        <w:rPr>
          <w:rFonts w:ascii="Book Antiqua" w:hAnsi="Book Antiqua" w:cs="Arial"/>
          <w:color w:val="000000" w:themeColor="text1"/>
          <w:lang w:val="en-US"/>
        </w:rPr>
        <w:t>40 and/or</w:t>
      </w:r>
      <w:r w:rsidR="009B529C" w:rsidRPr="00383A0F">
        <w:rPr>
          <w:rFonts w:ascii="Book Antiqua" w:hAnsi="Book Antiqua" w:cs="Arial"/>
          <w:color w:val="000000" w:themeColor="text1"/>
          <w:lang w:val="en-US"/>
        </w:rPr>
        <w:t xml:space="preserve"> patients hospitalized in the</w:t>
      </w:r>
      <w:r w:rsidR="00E0400E" w:rsidRPr="00383A0F">
        <w:rPr>
          <w:rFonts w:ascii="Book Antiqua" w:hAnsi="Book Antiqua" w:cs="Arial"/>
          <w:color w:val="000000" w:themeColor="text1"/>
          <w:lang w:val="en-US"/>
        </w:rPr>
        <w:t xml:space="preserve"> ICU </w:t>
      </w:r>
      <w:r w:rsidR="001742A8" w:rsidRPr="00383A0F">
        <w:rPr>
          <w:rFonts w:ascii="Book Antiqua" w:hAnsi="Book Antiqua" w:cs="Arial"/>
          <w:color w:val="000000" w:themeColor="text1"/>
          <w:lang w:val="en-US"/>
        </w:rPr>
        <w:t>pre-transplant</w:t>
      </w:r>
      <w:r w:rsidR="002C5FD1" w:rsidRPr="00383A0F">
        <w:rPr>
          <w:rFonts w:ascii="Book Antiqua" w:hAnsi="Book Antiqua" w:cs="Arial"/>
          <w:color w:val="000000" w:themeColor="text1"/>
          <w:lang w:val="en-US"/>
        </w:rPr>
        <w:t>)</w:t>
      </w:r>
      <w:r w:rsidR="00E0400E" w:rsidRPr="00383A0F">
        <w:rPr>
          <w:rFonts w:ascii="Book Antiqua" w:hAnsi="Book Antiqua" w:cs="Arial"/>
          <w:color w:val="000000" w:themeColor="text1"/>
          <w:lang w:val="en-US"/>
        </w:rPr>
        <w:t xml:space="preserve"> with a C statistic at 0.67 and 0.65)</w:t>
      </w:r>
      <w:r w:rsidR="00687C4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{"citationID":"J0f4wD44","properties":{"formattedCitation":"\\super [28]\\nosupersub{}","plainCitation":"[28]","noteIndex":0},"citationItems":[{"id":550,"uris":["http://zotero.org/users/local/BE2xVPev/items/IAC7SM39"],"uri":["http://zotero.org/users/local/BE2xVPev/items/IAC7SM39"],"itemData":{"id":550,"type":"article-journal","title":"The survival outcomes following liver transplantation (SOFT) score: validation with contemporaneous data and stratification of high-risk cohorts","container-title":"Clinical Transplantation","page":"627-632","volume":"27","issue":"4","source":"PubMed","abstract":"Models to project survival after liver transplantation are important to optimize outcomes. We introduced the survival outcomes following liver transplantation (SOFT) score in 2008 (1) and designed to predict survival in liver recipients at three months post-transplant with a C statistic of 0.70. Our objective was to validate the SOFT score, with more contemporaneous data from the OPTN database. We also applied the SOFT score to cohorts of the sickest transplant candidates and the poorest-quality allografts. Analysis included 21 949 patients transplanted from August 1, 2006, to October 1, 2010. Kaplan-Meier survival functions were used for time-to-event analysis. Model discrimination was assessed using the area under the receiver operating characteristic (ROC) curve. We validated the SOFT score in this cohort of 21 949 liver recipients. The C statistic was 0.70 (CI 0.68-0.71), identical to the original analysis. When applied to cohorts of high-risk recipients and poor-quality donor allografts, the SOFT score projected survival with a C statistic between 0.65 and 0.74. In this study, a validated SOFT score was informative among cohorts of the sickest transplant candidates and the poorest-quality allografts.","DOI":"10.1111/ctr.12181","ISSN":"1399-0012","note":"PMID: 23808891","shortTitle":"The survival outcomes following liver transplantation (SOFT) score","journalAbbreviation":"Clin Transplant","language":"eng","author":[{"family":"Rana","given":"Abbas"},{"family":"Jie","given":"Tun"},{"family":"Porubsky","given":"Marian"},{"family":"Habib","given":"Shahid"},{"family":"Rilo","given":"Horacio"},{"family":"Kaplan","given":"Bruce"},{"family":"Gruessner","given":"Angelika"},{"family":"Gruessner","given":"Rainer"}],"issued":{"date-parts":[["2013",8]]}}}],"schema":"https://github.com/citation-style-language/schema/raw/master/csl-citation.json"} </w:instrText>
      </w:r>
      <w:r w:rsidR="00687C47"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[28]</w:t>
      </w:r>
      <w:r w:rsidR="00687C47" w:rsidRPr="00383A0F">
        <w:rPr>
          <w:rFonts w:ascii="Book Antiqua" w:hAnsi="Book Antiqua" w:cs="Arial"/>
          <w:color w:val="000000" w:themeColor="text1"/>
          <w:lang w:val="en-US"/>
        </w:rPr>
        <w:fldChar w:fldCharType="end"/>
      </w:r>
      <w:r w:rsidR="00E0400E" w:rsidRPr="00383A0F">
        <w:rPr>
          <w:rFonts w:ascii="Book Antiqua" w:hAnsi="Book Antiqua" w:cs="Arial"/>
          <w:color w:val="000000" w:themeColor="text1"/>
          <w:lang w:val="en-US"/>
        </w:rPr>
        <w:t xml:space="preserve">. This finding was not confirmed in a cohort of patients with a </w:t>
      </w:r>
      <w:proofErr w:type="spellStart"/>
      <w:r w:rsidR="00E0400E" w:rsidRPr="00383A0F">
        <w:rPr>
          <w:rFonts w:ascii="Book Antiqua" w:hAnsi="Book Antiqua" w:cs="Arial"/>
          <w:color w:val="000000" w:themeColor="text1"/>
          <w:lang w:val="en-US"/>
        </w:rPr>
        <w:t>labMELD</w:t>
      </w:r>
      <w:proofErr w:type="spellEnd"/>
      <w:r>
        <w:rPr>
          <w:rFonts w:ascii="Book Antiqua" w:hAnsi="Book Antiqua" w:cs="Arial"/>
          <w:color w:val="000000" w:themeColor="text1"/>
          <w:lang w:val="en-US"/>
        </w:rPr>
        <w:t xml:space="preserve"> </w:t>
      </w:r>
      <w:r w:rsidR="00E0400E" w:rsidRPr="00383A0F">
        <w:rPr>
          <w:rFonts w:ascii="Book Antiqua" w:hAnsi="Book Antiqua" w:cs="Arial"/>
          <w:color w:val="000000" w:themeColor="text1"/>
          <w:lang w:val="en-US"/>
        </w:rPr>
        <w:t>&gt;</w:t>
      </w:r>
      <w:r>
        <w:rPr>
          <w:rFonts w:ascii="Book Antiqua" w:hAnsi="Book Antiqua" w:cs="Arial"/>
          <w:color w:val="000000" w:themeColor="text1"/>
          <w:lang w:val="en-US"/>
        </w:rPr>
        <w:t xml:space="preserve"> </w:t>
      </w:r>
      <w:r w:rsidR="00E0400E" w:rsidRPr="00383A0F">
        <w:rPr>
          <w:rFonts w:ascii="Book Antiqua" w:hAnsi="Book Antiqua" w:cs="Arial"/>
          <w:color w:val="000000" w:themeColor="text1"/>
          <w:lang w:val="en-US"/>
        </w:rPr>
        <w:t>30</w:t>
      </w:r>
      <w:r w:rsidR="00687C4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{"citationID":"l7bzP4sA","properties":{"formattedCitation":"\\super [23]\\nosupersub{}","plainCitation":"[23]","noteIndex":0},"citationItems":[{"id":552,"uris":["http://zotero.org/users/local/BE2xVPev/items/HMVLVWUL"],"uri":["http://zotero.org/users/local/BE2xVPev/items/HMVLVWUL"],"itemData":{"id":552,"type":"article-journal","title":"The Donor-Risk-Index, ECD-Score and D-MELD-Score all fail to predict short-term outcome after liver transplantation with acceptable sensitivity and specificity","container-title":"Annals of Transplantation","page":"5-13","volume":"17","issue":"3","source":"PubMed","abstract":"BACKGROUND: Expansion of the donor pool by the use of grafts with extended donor criteria reduces waiting list mortality with an increased risk for graft and patient survival after liver transplantation. This study investigates the ability of the Donor-Risk-Index (DRI), the Extended-Criteria-Donor-Score (ECD-score) and the D-MELD-score to predict early outcome after liver transplantation.\nMATERIAL/METHODS: 291 consecutive adult liver transplants (01.01.2007-31.12.2010) were analysed in a single centre study with ongoing data collection. Primary study endpoints were 30-day mortality, 3-month mortality, 3-month patient and graft survival and the necessity of acute retransplantation within 30 days. For the primary study endpoints ROC-curve analysis was performed to calculate the sensitivity, specificity, and overall model correctness of the Donor-Risk-Index (DRI), Extended-Criteria-Donor-Score (ECD-score) and the D-MELD-Score as predictive models. Cut-off values were selected with the best Youden index.\nRESULTS: ROC-curve analysis showed areas under the curve (AUROCs) &lt;0.7 for the DRI, the ECD-Score and the D-MELD-Score as models for the prediction of 30-day mortality, 3-month mortality, 3-month patient survival, 3-month graft survival as well as the necessity of acute retransplantation within 30 days after transplantation with unacceptable low levels of overall model correctness (&lt;62%) and specificity (&lt;56%).\nCONCLUSIONS: The DRI, the ECD-Score and the D-MELD-Score all fail to predict short-term outcome after liver transplantation with acceptable overall model correctness in a current European transplant setting.","ISSN":"2329-0358","note":"PMID: 23018250","journalAbbreviation":"Ann. Transplant.","language":"eng","author":[{"family":"Schrem","given":"Harald"},{"family":"Reichert","given":"Benedikt"},{"family":"Frühauf","given":"Nils"},{"family":"Becker","given":"Thomas"},{"family":"Lehner","given":"Frank"},{"family":"Kleine","given":"Moritz"},{"family":"Bektas","given":"Hüseyin"},{"family":"Zachau","given":"Lea"},{"family":"Klempnauer","given":"Jürgen"}],"issued":{"date-parts":[["2012",9]]}}}],"schema":"https://github.com/citation-style-language/schema/raw/master/csl-citation.json"} </w:instrText>
      </w:r>
      <w:r w:rsidR="00687C47"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[23]</w:t>
      </w:r>
      <w:r w:rsidR="00687C47" w:rsidRPr="00383A0F">
        <w:rPr>
          <w:rFonts w:ascii="Book Antiqua" w:hAnsi="Book Antiqua" w:cs="Arial"/>
          <w:color w:val="000000" w:themeColor="text1"/>
          <w:lang w:val="en-US"/>
        </w:rPr>
        <w:fldChar w:fldCharType="end"/>
      </w:r>
      <w:r w:rsidR="00B22F9F" w:rsidRPr="00383A0F">
        <w:rPr>
          <w:rFonts w:ascii="Book Antiqua" w:hAnsi="Book Antiqua" w:cs="Arial"/>
          <w:color w:val="000000" w:themeColor="text1"/>
          <w:lang w:val="en-US"/>
        </w:rPr>
        <w:t xml:space="preserve"> or in the multicenter</w:t>
      </w:r>
      <w:r w:rsidR="00E0400E" w:rsidRPr="00383A0F">
        <w:rPr>
          <w:rFonts w:ascii="Book Antiqua" w:hAnsi="Book Antiqua" w:cs="Arial"/>
          <w:color w:val="000000" w:themeColor="text1"/>
          <w:lang w:val="en-US"/>
        </w:rPr>
        <w:t xml:space="preserve"> study of patients with ACLF by </w:t>
      </w:r>
      <w:proofErr w:type="spellStart"/>
      <w:r w:rsidR="00E0400E" w:rsidRPr="00383A0F">
        <w:rPr>
          <w:rFonts w:ascii="Book Antiqua" w:hAnsi="Book Antiqua" w:cs="Arial"/>
          <w:color w:val="000000" w:themeColor="text1"/>
          <w:lang w:val="en-US"/>
        </w:rPr>
        <w:t>Artru</w:t>
      </w:r>
      <w:proofErr w:type="spellEnd"/>
      <w:r w:rsidR="00E0400E" w:rsidRPr="00383A0F">
        <w:rPr>
          <w:rFonts w:ascii="Book Antiqua" w:hAnsi="Book Antiqua" w:cs="Arial"/>
          <w:color w:val="000000" w:themeColor="text1"/>
          <w:lang w:val="en-US"/>
        </w:rPr>
        <w:t xml:space="preserve"> </w:t>
      </w:r>
      <w:r w:rsidRPr="00465642">
        <w:rPr>
          <w:rFonts w:ascii="Book Antiqua" w:hAnsi="Book Antiqua" w:cs="Arial"/>
          <w:i/>
          <w:color w:val="000000" w:themeColor="text1"/>
          <w:lang w:val="en-US"/>
        </w:rPr>
        <w:t>et al</w:t>
      </w:r>
      <w:r w:rsidRPr="00383A0F">
        <w:rPr>
          <w:rFonts w:ascii="Book Antiqua" w:hAnsi="Book Antiqua" w:cs="Arial"/>
          <w:color w:val="000000" w:themeColor="text1"/>
          <w:lang w:val="en-US"/>
        </w:rPr>
        <w:fldChar w:fldCharType="begin"/>
      </w:r>
      <w:r w:rsidRPr="00383A0F">
        <w:rPr>
          <w:rFonts w:ascii="Book Antiqua" w:hAnsi="Book Antiqua" w:cs="Arial"/>
          <w:color w:val="000000" w:themeColor="text1"/>
          <w:lang w:val="en-US"/>
        </w:rPr>
        <w:instrText xml:space="preserve"> ADDIN ZOTERO_ITEM CSL_CITATION {"citationID":"j0fKVkeU","properties":{"formattedCitation":"\\super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Pr="00383A0F">
        <w:rPr>
          <w:rFonts w:ascii="Book Antiqua" w:hAnsi="Book Antiqua" w:cs="Arial"/>
          <w:color w:val="000000" w:themeColor="text1"/>
          <w:lang w:val="en-US"/>
        </w:rPr>
        <w:fldChar w:fldCharType="separate"/>
      </w:r>
      <w:r w:rsidRPr="00383A0F">
        <w:rPr>
          <w:rFonts w:ascii="Book Antiqua" w:hAnsi="Book Antiqua"/>
          <w:color w:val="000000" w:themeColor="text1"/>
          <w:vertAlign w:val="superscript"/>
          <w:lang w:val="en-US"/>
        </w:rPr>
        <w:t>[10]</w:t>
      </w:r>
      <w:r w:rsidRPr="00383A0F">
        <w:rPr>
          <w:rFonts w:ascii="Book Antiqua" w:hAnsi="Book Antiqua" w:cs="Arial"/>
          <w:color w:val="000000" w:themeColor="text1"/>
          <w:lang w:val="en-US"/>
        </w:rPr>
        <w:fldChar w:fldCharType="end"/>
      </w:r>
      <w:r w:rsidR="00E0400E" w:rsidRPr="00383A0F">
        <w:rPr>
          <w:rFonts w:ascii="Book Antiqua" w:hAnsi="Book Antiqua" w:cs="Arial"/>
          <w:color w:val="000000" w:themeColor="text1"/>
          <w:lang w:val="en-US"/>
        </w:rPr>
        <w:t xml:space="preserve">in 2017. </w:t>
      </w:r>
    </w:p>
    <w:p w14:paraId="50C998FB" w14:textId="04744C23" w:rsidR="00E14AB1" w:rsidRPr="00383A0F" w:rsidRDefault="00465642"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E0400E" w:rsidRPr="00383A0F">
        <w:rPr>
          <w:rFonts w:ascii="Book Antiqua" w:hAnsi="Book Antiqua" w:cs="Arial"/>
          <w:color w:val="000000" w:themeColor="text1"/>
          <w:lang w:val="en-US"/>
        </w:rPr>
        <w:t xml:space="preserve">The </w:t>
      </w:r>
      <w:r>
        <w:rPr>
          <w:rFonts w:ascii="Book Antiqua" w:hAnsi="Book Antiqua" w:cs="Arial"/>
          <w:color w:val="000000" w:themeColor="text1"/>
          <w:lang w:val="en-US"/>
        </w:rPr>
        <w:t>b</w:t>
      </w:r>
      <w:r w:rsidR="00E0400E" w:rsidRPr="00383A0F">
        <w:rPr>
          <w:rFonts w:ascii="Book Antiqua" w:hAnsi="Book Antiqua" w:cs="Arial"/>
          <w:color w:val="000000" w:themeColor="text1"/>
          <w:lang w:val="en-US"/>
        </w:rPr>
        <w:t>alance of risk (BAR) score</w:t>
      </w:r>
      <w:r w:rsidR="0024218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{"citationID":"alR6n1Ip","properties":{"formattedCitation":"\\super [29]\\nosupersub{}","plainCitation":"[29]","noteIndex":0},"citationItems":[{"id":432,"uris":["http://zotero.org/users/local/BE2xVPev/items/ZBJVTCJ2"],"uri":["http://zotero.org/users/local/BE2xVPev/items/ZBJVTCJ2"],"itemData":{"id":432,"type":"article-journal","title":"Are there better guidelines for allocation in liver transplantation? A novel score targeting justice and utility in the model for end-stage liver disease era","container-title":"Annals of Surgery","page":"745-753; discussion 753","volume":"254","issue":"5","source":"PubMed","abstract":"OBJECTIVES: To design a new score on risk assessment for orthotopic liver transplantation (OLT) based on both donor and recipient parameters.\nBACKGROUND: The balance of waiting list mortality and posttransplant outcome remains a difficult task in the era of the model for end-stage liver disease (MELD).\nMETHODS: Using the United Network for Organ Sharing database, a risk analysis was performed in adult recipients of OLT in the United States of America between 2002 and 2010 (n = 37,255). Living donor-, partial-, or combined-, and donation after cardiac death liver transplants were excluded. Next, a risk score was calculated (balance of risk score, BAR score) on the basis of logistic regression factors, and validated using our own OLT database (n = 233). Finally, the new score was compared with other prediction systems including donor risk index, survival outcome following liver transplantation, donor-age combined with MELD, and MELD score alone.\nRESULTS: Six strongest predictors of posttransplant survival were identified: recipient MELD score, cold ischemia time, recipient age, donor age, previous OLT, and life support dependence prior to transplant. The new balance of risk score stratified recipients best in terms of patient survival in the United Network for Organ Sharing data, as in our European population.\nCONCLUSIONS: The BAR system provides a new, simple and reliable tool to detect unfavorable combinations of donor and recipient factors, and is readily available before decision making of accepting or not an organ for a specific recipient. This score may offer great potential for better justice and utility, as it revealed to be superior to recent developed other prediction scores.","DOI":"10.1097/SLA.0b013e3182365081","ISSN":"1528-1140","note":"PMID: 22042468","shortTitle":"Are there better guidelines for allocation in liver transplantation?","journalAbbreviation":"Ann. Surg.","language":"eng","author":[{"family":"Dutkowski","given":"Philipp"},{"family":"Oberkofler","given":"Christian E."},{"family":"Slankamenac","given":"Ksenija"},{"family":"Puhan","given":"Milo A."},{"family":"Schadde","given":"Erik"},{"family":"Müllhaupt","given":"Beat"},{"family":"Geier","given":"Andreas"},{"family":"Clavien","given":"Pierre A."}],"issued":{"date-parts":[["2011",11]]}}}],"schema":"https://github.com/citation-style-language/schema/raw/master/csl-citation.json"} </w:instrText>
      </w:r>
      <w:r w:rsidR="0024218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[29]</w:t>
      </w:r>
      <w:r w:rsidR="00242181" w:rsidRPr="00383A0F">
        <w:rPr>
          <w:rFonts w:ascii="Book Antiqua" w:hAnsi="Book Antiqua" w:cs="Arial"/>
          <w:color w:val="000000" w:themeColor="text1"/>
          <w:lang w:val="en-US"/>
        </w:rPr>
        <w:fldChar w:fldCharType="end"/>
      </w:r>
      <w:r w:rsidR="00E0400E" w:rsidRPr="00383A0F">
        <w:rPr>
          <w:rFonts w:ascii="Book Antiqua" w:hAnsi="Book Antiqua" w:cs="Arial"/>
          <w:color w:val="000000" w:themeColor="text1"/>
          <w:lang w:val="en-US"/>
        </w:rPr>
        <w:t xml:space="preserve"> was introduced in 2011 and includes 6 predictive factors. Some reports have validated this score</w:t>
      </w:r>
      <w:r>
        <w:rPr>
          <w:rFonts w:ascii="Book Antiqua" w:hAnsi="Book Antiqua" w:cs="Arial"/>
          <w:color w:val="000000" w:themeColor="text1"/>
          <w:vertAlign w:val="superscript"/>
          <w:lang w:val="en-US"/>
        </w:rPr>
        <w:t>[26,30]</w:t>
      </w:r>
      <w:r w:rsidR="001742A8" w:rsidRPr="00383A0F">
        <w:rPr>
          <w:rFonts w:ascii="Book Antiqua" w:hAnsi="Book Antiqua" w:cs="Arial"/>
          <w:color w:val="000000" w:themeColor="text1"/>
          <w:lang w:val="en-US"/>
        </w:rPr>
        <w:t xml:space="preserve"> while others have denied it</w:t>
      </w:r>
      <w:r w:rsidR="00E0400E" w:rsidRPr="00383A0F">
        <w:rPr>
          <w:rFonts w:ascii="Book Antiqua" w:hAnsi="Book Antiqua" w:cs="Arial"/>
          <w:color w:val="000000" w:themeColor="text1"/>
          <w:lang w:val="en-US"/>
        </w:rPr>
        <w:t>s discriminative power</w:t>
      </w:r>
      <w:r w:rsidR="00DF2BB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{"citationID":"IzFrhVN0","properties":{"formattedCitation":"\\super [31]\\nosupersub{}","plainCitation":"[31]","noteIndex":0},"citationItems":[{"id":570,"uris":["http://zotero.org/users/local/BE2xVPev/items/RUU3SDXE"],"uri":["http://zotero.org/users/local/BE2xVPev/items/RUU3SDXE"],"itemData":{"id":570,"type":"article-journal","title":"Value and limitations of the BAR-score for donor allocation in liver transplantation","container-title":"Langenbeck's Archives of Surgery","page":"1011-1019","volume":"399","issue":"8","source":"PubMed","abstract":"PURPOSE: The MELD-score was shown to be able to predict 90-day mortality in most patients with end-stage liver disease prior to liver transplantation and is used as a widely accepted measure for transplantation urgency. Prognostic ability of the BAR-score to predict 90-day post-transplant mortality by detection of unfavourable pretransplant combinations of donor and recipient factors may help to better balance urgency versus utility.\nMETHODS: Two German cohorts (Hannover, n=453; Kiel, n=234) were retrospectively analyzed using ROC-curve analysis, goodness-of-model-fit tests, summary measures and risk-adjusted multivariate binary regression. Included were all consecutive liver transplants performed in adult recipients (minimum age 18 years). Excluded were all combined transplants and living-related organ donor transplants.\nRESULTS: Risk-adjusted multivariate regression revealed that the BAR-score is an independent risk factor for 90-day mortality after transplantation in both cohorts from Hannover and Kiel combined (p&lt;0.001, OR=1.017, 95% CI:1.031-1.113). The area under the ROC-curve (AUROC) for the prediction of 90-day mortality using the BAR-score was 0.662 (95% CI 0.624-0.699, power&gt;95%). Measures for association between observed 90-day mortality and the predicted probabilities in the combined cohort were concordant in 63.5% with low summary measures (Somers' D test 0.32, Goodman-Kruskal Gamma test 0.34 and Kendall's Tau a test 0.07).\nCONCLUSIONS: The BAR-score performed below accepted thresholds for potentially useful clinical prognostic models. Prognostic models with better predictive ability with AUROCs&gt;0.700, concordance&gt;70% and larger summary measures are required for the prediction of 90-day post-transplant mortality to enable donor organ allocation with reliable weighing of urgency versus utility.","DOI":"10.1007/s00423-014-1247-x","ISSN":"1435-2451","note":"PMID: 25218679","journalAbbreviation":"Langenbecks Arch Surg","language":"eng","author":[{"family":"Schrem","given":"Harald"},{"family":"Platsakis","given":"Anna-Luise"},{"family":"Kaltenborn","given":"Alexander"},{"family":"Koch","given":"Armin"},{"family":"Metz","given":"Courtney"},{"family":"Barthold","given":"Marc"},{"family":"Krauth","given":"Christian"},{"family":"Amelung","given":"Volker"},{"family":"Braun","given":"Felix"},{"family":"Becker","given":"Thomas"},{"family":"Klempnauer","given":"Jürgen"},{"family":"Reichert","given":"Benedikt"}],"issued":{"date-parts":[["2014",12]]}}}],"schema":"https://github.com/citation-style-language/schema/raw/master/csl-citation.json"} </w:instrText>
      </w:r>
      <w:r w:rsidR="00DF2BB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[31</w:t>
      </w:r>
      <w:r>
        <w:rPr>
          <w:rFonts w:ascii="Book Antiqua" w:hAnsi="Book Antiqua"/>
          <w:color w:val="000000" w:themeColor="text1"/>
          <w:vertAlign w:val="superscript"/>
          <w:lang w:val="en-US"/>
        </w:rPr>
        <w:t>,</w:t>
      </w:r>
      <w:r w:rsidR="00DF2BB1" w:rsidRPr="00383A0F">
        <w:rPr>
          <w:rFonts w:ascii="Book Antiqua" w:hAnsi="Book Antiqua" w:cs="Arial"/>
          <w:color w:val="000000" w:themeColor="text1"/>
          <w:lang w:val="en-US"/>
        </w:rPr>
        <w:fldChar w:fldCharType="end"/>
      </w:r>
      <w:r w:rsidR="00DF2BB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{"citationID":"NIGMAuGG","properties":{"formattedCitation":"\\super [32]\\nosupersub{}","plainCitation":"[32]","noteIndex":0},"citationItems":[{"id":574,"uris":["http://zotero.org/users/local/BE2xVPev/items/PDAHW42B"],"uri":["http://zotero.org/users/local/BE2xVPev/items/PDAHW42B"],"itemData":{"id":574,"type":"article-journal","title":"Who is too healthy and who is too sick for liver transplantation: external validation of prognostic scores and survival-benefit estimation","container-title":"Scandinavian Journal of Gastroenterology","page":"1144-1151","volume":"50","issue":"9","source":"PubMed","abstract":"OBJECTIVE: Thresholds for when a patient should be considered too healthy or too sick to undergo liver transplantation (LT) have been pursued, but have undergone little external validation and may differ between centers and countries.\nMATERIAL AND METHODS: We investigated the ability of the Model for End-stage Liver Disease (MELD), D-MELD, Donor Risk Index (DRI) and Balance of Risk (BAR) scores to predict 1-year graft survival, and determined the 1-year survival-benefit of LT, compared with conservative management, according to MELD score and graft quality among 538 adult LT recipients with underlying chronic non-malignant liver disease.\nRESULTS: One-year graft survival rates showed small, but statistically significant variation according to MELD (p = 0.002) and D-MELD score (p = 0.04), and among LTs after year 2000 also according to BAR score (p = 0.01), but not according to DRI. Diagnostic accuracy of these scores was poor; area under the curve was 0.50-0.65 depending on the score. A 1-year survival-benefit of LT emerged at MELD scores ≥15, but also at lower MELD scores when using high-quality grafts (DRI &lt;1.075).\nCONCLUSIONS: The performance of various prognostic scores in the Finnish setting was poor. Careful clinical evaluation is imperative when deciding on the timing of LT in the course of chronic liver disease.","DOI":"10.3109/00365521.2015.1028992","ISSN":"1502-7708","note":"PMID: 25865580","shortTitle":"Who is too healthy and who is too sick for liver transplantation","journalAbbreviation":"Scand. J. Gastroenterol.","language":"eng","author":[{"family":"Åberg","given":"Fredrik"},{"family":"Nordin","given":"Arno"},{"family":"Mäkisalo","given":"Heikki"},{"family":"Isoniemi","given":"Helena"}],"issued":{"date-parts":[["2015"]]}}}],"schema":"https://github.com/citation-style-language/schema/raw/master/csl-citation.json"} </w:instrText>
      </w:r>
      <w:r w:rsidR="00DF2BB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32]</w:t>
      </w:r>
      <w:r w:rsidR="00DF2BB1" w:rsidRPr="00383A0F">
        <w:rPr>
          <w:rFonts w:ascii="Book Antiqua" w:hAnsi="Book Antiqua" w:cs="Arial"/>
          <w:color w:val="000000" w:themeColor="text1"/>
          <w:lang w:val="en-US"/>
        </w:rPr>
        <w:fldChar w:fldCharType="end"/>
      </w:r>
      <w:r w:rsidR="00DF2BB1" w:rsidRPr="00383A0F">
        <w:rPr>
          <w:rFonts w:ascii="Book Antiqua" w:hAnsi="Book Antiqua" w:cs="Arial"/>
          <w:color w:val="000000" w:themeColor="text1"/>
          <w:lang w:val="en-US"/>
        </w:rPr>
        <w:t>.</w:t>
      </w:r>
      <w:r w:rsidR="00E0400E" w:rsidRPr="00383A0F">
        <w:rPr>
          <w:rFonts w:ascii="Book Antiqua" w:hAnsi="Book Antiqua" w:cs="Arial"/>
          <w:color w:val="000000" w:themeColor="text1"/>
          <w:lang w:val="en-US"/>
        </w:rPr>
        <w:t xml:space="preserve"> In the specific context of candidates with ACLF, this score has not proved to be useful</w:t>
      </w:r>
      <w:r w:rsidR="0024218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{"citationID":"s8PmYNJ0","properties":{"formattedCitation":"\\super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24218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[10]</w:t>
      </w:r>
      <w:r w:rsidR="00242181" w:rsidRPr="00383A0F">
        <w:rPr>
          <w:rFonts w:ascii="Book Antiqua" w:hAnsi="Book Antiqua" w:cs="Arial"/>
          <w:color w:val="000000" w:themeColor="text1"/>
          <w:lang w:val="en-US"/>
        </w:rPr>
        <w:fldChar w:fldCharType="end"/>
      </w:r>
      <w:r w:rsidR="00E0400E" w:rsidRPr="00383A0F">
        <w:rPr>
          <w:rFonts w:ascii="Book Antiqua" w:hAnsi="Book Antiqua" w:cs="Arial"/>
          <w:color w:val="000000" w:themeColor="text1"/>
          <w:lang w:val="en-US"/>
        </w:rPr>
        <w:t xml:space="preserve">. </w:t>
      </w:r>
    </w:p>
    <w:p w14:paraId="26790040" w14:textId="77777777" w:rsidR="00E14AB1" w:rsidRPr="00383A0F" w:rsidRDefault="00E14AB1" w:rsidP="00383A0F">
      <w:pPr>
        <w:adjustRightInd w:val="0"/>
        <w:snapToGrid w:val="0"/>
        <w:spacing w:line="360" w:lineRule="auto"/>
        <w:jc w:val="both"/>
        <w:rPr>
          <w:rFonts w:ascii="Book Antiqua" w:hAnsi="Book Antiqua" w:cs="Arial"/>
          <w:color w:val="000000" w:themeColor="text1"/>
          <w:lang w:val="en-US"/>
        </w:rPr>
      </w:pPr>
    </w:p>
    <w:p w14:paraId="1274C455" w14:textId="6C9A9657" w:rsidR="003D6D20" w:rsidRPr="00383A0F" w:rsidRDefault="001742A8" w:rsidP="000F1A83">
      <w:pPr>
        <w:adjustRightInd w:val="0"/>
        <w:snapToGrid w:val="0"/>
        <w:spacing w:line="360" w:lineRule="auto"/>
        <w:jc w:val="both"/>
        <w:outlineLvl w:val="0"/>
        <w:rPr>
          <w:rFonts w:ascii="Book Antiqua" w:hAnsi="Book Antiqua" w:cs="Arial"/>
          <w:color w:val="000000" w:themeColor="text1"/>
          <w:lang w:val="en-US"/>
        </w:rPr>
      </w:pPr>
      <w:r w:rsidRPr="00383A0F">
        <w:rPr>
          <w:rFonts w:ascii="Book Antiqua" w:hAnsi="Book Antiqua" w:cs="Arial"/>
          <w:b/>
          <w:i/>
          <w:color w:val="000000" w:themeColor="text1"/>
          <w:lang w:val="en-US"/>
        </w:rPr>
        <w:t>Does being hospitalized</w:t>
      </w:r>
      <w:r w:rsidR="00D63122" w:rsidRPr="00383A0F">
        <w:rPr>
          <w:rFonts w:ascii="Book Antiqua" w:hAnsi="Book Antiqua" w:cs="Arial"/>
          <w:b/>
          <w:i/>
          <w:color w:val="000000" w:themeColor="text1"/>
          <w:lang w:val="en-US"/>
        </w:rPr>
        <w:t xml:space="preserve"> in </w:t>
      </w:r>
      <w:r w:rsidRPr="00383A0F">
        <w:rPr>
          <w:rFonts w:ascii="Book Antiqua" w:hAnsi="Book Antiqua" w:cs="Arial"/>
          <w:b/>
          <w:i/>
          <w:color w:val="000000" w:themeColor="text1"/>
          <w:lang w:val="en-US"/>
        </w:rPr>
        <w:t xml:space="preserve">the </w:t>
      </w:r>
      <w:r w:rsidR="003D6D20" w:rsidRPr="00383A0F">
        <w:rPr>
          <w:rFonts w:ascii="Book Antiqua" w:hAnsi="Book Antiqua" w:cs="Arial"/>
          <w:b/>
          <w:i/>
          <w:color w:val="000000" w:themeColor="text1"/>
          <w:lang w:val="en-US"/>
        </w:rPr>
        <w:t xml:space="preserve">ICU </w:t>
      </w:r>
      <w:r w:rsidR="00D63122" w:rsidRPr="00383A0F">
        <w:rPr>
          <w:rFonts w:ascii="Book Antiqua" w:hAnsi="Book Antiqua" w:cs="Arial"/>
          <w:b/>
          <w:i/>
          <w:color w:val="000000" w:themeColor="text1"/>
          <w:lang w:val="en-US"/>
        </w:rPr>
        <w:t>before transplantation</w:t>
      </w:r>
      <w:r w:rsidRPr="00383A0F">
        <w:rPr>
          <w:rFonts w:ascii="Book Antiqua" w:hAnsi="Book Antiqua" w:cs="Arial"/>
          <w:b/>
          <w:i/>
          <w:color w:val="000000" w:themeColor="text1"/>
          <w:lang w:val="en-US"/>
        </w:rPr>
        <w:t xml:space="preserve"> matter</w:t>
      </w:r>
      <w:r w:rsidR="00D63122" w:rsidRPr="00383A0F">
        <w:rPr>
          <w:rFonts w:ascii="Book Antiqua" w:hAnsi="Book Antiqua" w:cs="Arial"/>
          <w:b/>
          <w:i/>
          <w:color w:val="000000" w:themeColor="text1"/>
          <w:lang w:val="en-US"/>
        </w:rPr>
        <w:t>?</w:t>
      </w:r>
    </w:p>
    <w:p w14:paraId="5C924FF9" w14:textId="0EF21290" w:rsidR="00D63122" w:rsidRPr="00383A0F" w:rsidRDefault="00D63122"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The literature devoted to analyzing the impact of the hospitalization status of patients on their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outcome is ambiguous. </w:t>
      </w:r>
      <w:r w:rsidR="00697CB0" w:rsidRPr="00383A0F">
        <w:rPr>
          <w:rFonts w:ascii="Book Antiqua" w:hAnsi="Book Antiqua" w:cs="Arial"/>
          <w:color w:val="000000" w:themeColor="text1"/>
          <w:lang w:val="en-US"/>
        </w:rPr>
        <w:t>Three</w:t>
      </w:r>
      <w:r w:rsidR="003D6D20" w:rsidRPr="00383A0F">
        <w:rPr>
          <w:rFonts w:ascii="Book Antiqua" w:hAnsi="Book Antiqua" w:cs="Arial"/>
          <w:color w:val="000000" w:themeColor="text1"/>
          <w:lang w:val="en-US"/>
        </w:rPr>
        <w:t xml:space="preserve"> large studies from </w:t>
      </w:r>
      <w:r w:rsidR="003D6D20" w:rsidRPr="00383A0F">
        <w:rPr>
          <w:rFonts w:ascii="Book Antiqua" w:hAnsi="Book Antiqua" w:cs="Arial"/>
          <w:color w:val="000000" w:themeColor="text1"/>
          <w:lang w:val="en-US"/>
        </w:rPr>
        <w:lastRenderedPageBreak/>
        <w:t>the UNOS database</w:t>
      </w:r>
      <w:r w:rsidR="0024218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{"citationID":"N5hi9wp9","properties":{"formattedCitation":"\\super [17]\\nosupersub{}","plainCitation":"[17]","noteIndex":0},"citationItems":[{"id":375,"uris":["http://zotero.org/users/local/BE2xVPev/items/J3GI9LLR"],"uri":["http://zotero.org/users/local/BE2xVPev/items/J3GI9LLR"],"itemData":{"id":375,"type":"article-journal","title":"Survival outcomes following liver transplantation (SOFT) score: a novel method to predict patient survival following liver transplantation","container-title":"American Journal of Transplantation: Official Journal of the American Society of Transplantation and the American Society of Transplant Surgeons","page":"2537-2546","volume":"8","issue":"12","source":"PubMed","abstract":"It is critical to balance waitlist mortality against posttransplant mortality. Our objective was to devise a scoring system that predicts recipient survival at 3 months following liver transplantation to complement MELD-predicted waitlist mortality. Univariate and multivariate analysis on 21,673 liver transplant recipients identified independent recipient and donor risk factors for posttransplant mortality. A retrospective analysis conducted on 30,321 waitlisted candidates reevaluated the predictive ability of the Model for End-Stage Liver Disease (MELD) score. We identified 13 recipient factors, 4 donor factors and 2 operative factors (warm and cold ischemia) as significant predictors of recipient mortality following liver transplantation at 3 months. The Survival Outcomes Following Liver Transplant (SOFT) Score utilized 18 risk factors (excluding warm ischemia) to successfully predict 3-month recipient survival following liver transplantation. This analysis represents a study of waitlisted candidates and transplant recipients of liver allografts after the MELD score was implemented. Unlike MELD, the SOFT score can accurately predict 3-month survival following liver transplantation. The most significant risk factors were previous transplantation and life support pretransplant. The SOFT score can help clinicians determine in real time which candidates should be transplanted with which allografts. Combined with MELD, SOFT can better quantify survival benefit for individual transplant procedures.","DOI":"10.1111/j.1600-6143.2008.02400.x","ISSN":"1600-6143","note":"PMID: 18945283","shortTitle":"Survival outcomes following liver transplantation (SOFT) score","journalAbbreviation":"Am. J. Transplant.","language":"eng","author":[{"family":"Rana","given":"A."},{"family":"Hardy","given":"M. A."},{"family":"Halazun","given":"K. J."},{"family":"Woodland","given":"D. C."},{"family":"Ratner","given":"L. E."},{"family":"Samstein","given":"B."},{"family":"Guarrera","given":"J. V."},{"family":"Brown","given":"R. S."},{"family":"Emond","given":"J. C."}],"issued":{"date-parts":[["2008",12]]}}}],"schema":"https://github.com/citation-style-language/schema/raw/master/csl-citation.json"} </w:instrText>
      </w:r>
      <w:r w:rsidR="0024218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[17</w:t>
      </w:r>
      <w:r w:rsidR="00465642">
        <w:rPr>
          <w:rFonts w:ascii="Book Antiqua" w:hAnsi="Book Antiqua"/>
          <w:color w:val="000000" w:themeColor="text1"/>
          <w:vertAlign w:val="superscript"/>
          <w:lang w:val="en-US"/>
        </w:rPr>
        <w:t>,</w:t>
      </w:r>
      <w:r w:rsidR="00242181" w:rsidRPr="00383A0F">
        <w:rPr>
          <w:rFonts w:ascii="Book Antiqua" w:hAnsi="Book Antiqua" w:cs="Arial"/>
          <w:color w:val="000000" w:themeColor="text1"/>
          <w:lang w:val="en-US"/>
        </w:rPr>
        <w:fldChar w:fldCharType="end"/>
      </w:r>
      <w:r w:rsidR="00DF2BB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{"citationID":"PRMFMHtE","properties":{"formattedCitation":"\\super [33]\\nosupersub{}","plainCitation":"[33]","noteIndex":0},"citationItems":[{"id":566,"uris":["http://zotero.org/users/local/BE2xVPev/items/SNKVWLGQ"],"uri":["http://zotero.org/users/local/BE2xVPev/items/SNKVWLGQ"],"itemData":{"id":566,"type":"article-journal","title":"Survival after liver transplantation in the United States: a disease-specific analysis of the UNOS database","container-title":"Liver Transplantation: Official Publication of the American Association for the Study of Liver Diseases and the International Liver Transplantation Society","page":"886-897","volume":"10","issue":"7","source":"PubMed","abstract":"Our goal was to describe disease-specific survival and the clinical variables that predict survival in a large national cohort of adult liver transplant recipients. Data on 17,044 adult patients who received an initial orthotopic liver transplant between 1990 and 1996 with follow-up through 1999 was obtained from the United Network for Organ Sharing (UNOS). Disease-specific Kaplan-Meier survival plots and Cox Proportional Hazards models were estimated, and differences in the clinical characteristics of patients at the time of transplantation by disease were examined. Overall posttransplant survival currently exceeds 85% in the first year and is approaching 75% at 5 years. Unadjusted Kaplan-Meier survival is improved for recipients who are younger, female, and in better clinical condition. Survival is a function of disease and level of illness: cancer, fulminant liver failure, alcoholic liver disease, and the hepatitidies have the poorest prognosis, while primary billiary cirrohsis and sclerosing cholangitis have the best. Recipients who were outpatients before transplantation have longer survival than those transplanted from the hospital or intensive care unit. Although the model for end-stage liver disease (MELD) score was designed to predict pretransplant survival, patients with higher MELD scores have poorer posttransplant survival, but the MELD score is less predictive than the specific disease. Differences in disease-specific survival are partially explained by differences in disease severity at the time of transplantation. In conclusion, Disease-specific survival models indicate that there remains tremendous variability in survival as a function of underlying liver disease. However, a significant portion of the difference in survival between diseases arises from differences in clinical characteristics at the time of transplantation.","DOI":"10.1002/lt.20137","ISSN":"1527-6465","note":"PMID: 15237373","shortTitle":"Survival after liver transplantation in the United States","journalAbbreviation":"Liver Transpl.","language":"eng","author":[{"family":"Roberts","given":"Mark S."},{"family":"Angus","given":"Derek C."},{"family":"Bryce","given":"Cindy L."},{"family":"Valenta","given":"Zdenek"},{"family":"Weissfeld","given":"Lisa"}],"issued":{"date-parts":[["2004",7]]}}}],"schema":"https://github.com/citation-style-language/schema/raw/master/csl-citation.json"} </w:instrText>
      </w:r>
      <w:r w:rsidR="00DF2BB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33]</w:t>
      </w:r>
      <w:r w:rsidR="00DF2BB1" w:rsidRPr="00383A0F">
        <w:rPr>
          <w:rFonts w:ascii="Book Antiqua" w:hAnsi="Book Antiqua" w:cs="Arial"/>
          <w:color w:val="000000" w:themeColor="text1"/>
          <w:lang w:val="en-US"/>
        </w:rPr>
        <w:fldChar w:fldCharType="end"/>
      </w:r>
      <w:r w:rsidR="003D6D20" w:rsidRPr="00383A0F">
        <w:rPr>
          <w:rFonts w:ascii="Book Antiqua" w:hAnsi="Book Antiqua" w:cs="Arial"/>
          <w:color w:val="000000" w:themeColor="text1"/>
          <w:lang w:val="en-US"/>
        </w:rPr>
        <w:t xml:space="preserve"> </w:t>
      </w:r>
      <w:r w:rsidR="00697CB0" w:rsidRPr="00383A0F">
        <w:rPr>
          <w:rFonts w:ascii="Book Antiqua" w:hAnsi="Book Antiqua" w:cs="Arial"/>
          <w:color w:val="000000" w:themeColor="text1"/>
          <w:lang w:val="en-US"/>
        </w:rPr>
        <w:t>and one study in the United Kingdom and Ireland</w:t>
      </w:r>
      <w:r w:rsidR="00DF2BB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{"citationID":"DJw0FPjp","properties":{"formattedCitation":"\\super [34]\\nosupersub{}","plainCitation":"[34]","noteIndex":0},"citationItems":[{"id":568,"uris":["http://zotero.org/users/local/BE2xVPev/items/SRLVQ84I"],"uri":["http://zotero.org/users/local/BE2xVPev/items/SRLVQ84I"],"itemData":{"id":568,"type":"article-journal","title":"Functional status of patients before liver transplantation as a predictor of posttransplant mortality","container-title":"Transplantation","page":"52-57","volume":"80","issue":"1","source":"PubMed","abstract":"BACKGROUND: Risk models for mortality after liver transplantation have poor predictive ability. We examined whether the performance of these risk models can be improved by including information about patients' functional status (i.e., their ability to carry out activities of daily living) in addition to conventional clinical risk factors.\nMETHODS: The UK and Ireland Liver Transplant Audit has data on all liver transplantations carried out in both countries since 1994. We examined the association of functional status measures taken immediately before transplantation on a 5-point scale (modified version of the Eastern Cooperative Oncology Group performance status) and mortality 90 days after transplantation. Logistic regression was used to adjust for other risk factors.\nRESULTS: Posttransplant mortality increased from 5.3% in patients able to carry out normal activity without restriction (functional status 1) to 24.8% in patients completely reliant on nursing and medical care (functional status 5; P for trend 0.003). This association remained after adjustment for conventional risk factors (adjusted P for trend 0.003). Adjusted odds ratios with functional status 3 (the most frequent functional status) as baseline category were 0.60 (95% confidence interval 0.29-1.25) for functional status 1, 0.70 (0.50-0.97) for functional status 2, 1.00 (0.71-1.41) for functional status 4, and 1.85 (1.07-3.19) for functional status 5.\nCONCLUSIONS: Considering a patient's functional status or more general measures of a patient's health status before transplantation in addition to conventional clinical factors may help to improve our ability to predict posttransplant survival.","ISSN":"0041-1337","note":"PMID: 16003233","journalAbbreviation":"Transplantation","language":"eng","author":[{"family":"Jacob","given":"Mathew"},{"family":"Copley","given":"Lynn P."},{"family":"Lewsey","given":"James D."},{"family":"Gimson","given":"Alex"},{"family":"Rela","given":"Mohamed"},{"family":"Meulen","given":"Jan H. P.","non-dropping-particle":"van der"},{"literal":"UK and Ireland Liver Transplant Audit"}],"issued":{"date-parts":[["2005",7,15]]}}}],"schema":"https://github.com/citation-style-language/schema/raw/master/csl-citation.json"} </w:instrText>
      </w:r>
      <w:r w:rsidR="00DF2BB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[34]</w:t>
      </w:r>
      <w:r w:rsidR="00DF2BB1" w:rsidRPr="00383A0F">
        <w:rPr>
          <w:rFonts w:ascii="Book Antiqua" w:hAnsi="Book Antiqua" w:cs="Arial"/>
          <w:color w:val="000000" w:themeColor="text1"/>
          <w:lang w:val="en-US"/>
        </w:rPr>
        <w:fldChar w:fldCharType="end"/>
      </w:r>
      <w:r w:rsidR="00697CB0" w:rsidRPr="00383A0F">
        <w:rPr>
          <w:rFonts w:ascii="Book Antiqua" w:hAnsi="Book Antiqua" w:cs="Arial"/>
          <w:color w:val="000000" w:themeColor="text1"/>
          <w:lang w:val="en-US"/>
        </w:rPr>
        <w:t xml:space="preserve"> </w:t>
      </w:r>
      <w:r w:rsidR="005C1946" w:rsidRPr="00383A0F">
        <w:rPr>
          <w:rFonts w:ascii="Book Antiqua" w:hAnsi="Book Antiqua" w:cs="Arial"/>
          <w:color w:val="000000" w:themeColor="text1"/>
          <w:lang w:val="en-US"/>
        </w:rPr>
        <w:t xml:space="preserve">found </w:t>
      </w:r>
      <w:r w:rsidR="003D6D20" w:rsidRPr="00383A0F">
        <w:rPr>
          <w:rFonts w:ascii="Book Antiqua" w:hAnsi="Book Antiqua" w:cs="Arial"/>
          <w:color w:val="000000" w:themeColor="text1"/>
          <w:lang w:val="en-US"/>
        </w:rPr>
        <w:t xml:space="preserve">a markedly increased mortality rate for transplant recipients who </w:t>
      </w:r>
      <w:r w:rsidR="005C1946" w:rsidRPr="00383A0F">
        <w:rPr>
          <w:rFonts w:ascii="Book Antiqua" w:hAnsi="Book Antiqua" w:cs="Arial"/>
          <w:color w:val="000000" w:themeColor="text1"/>
          <w:lang w:val="en-US"/>
        </w:rPr>
        <w:t xml:space="preserve">were </w:t>
      </w:r>
      <w:r w:rsidR="003D6D20" w:rsidRPr="00383A0F">
        <w:rPr>
          <w:rFonts w:ascii="Book Antiqua" w:hAnsi="Book Antiqua" w:cs="Arial"/>
          <w:color w:val="000000" w:themeColor="text1"/>
          <w:lang w:val="en-US"/>
        </w:rPr>
        <w:t xml:space="preserve">in </w:t>
      </w:r>
      <w:r w:rsidRPr="00383A0F">
        <w:rPr>
          <w:rFonts w:ascii="Book Antiqua" w:hAnsi="Book Antiqua" w:cs="Arial"/>
          <w:color w:val="000000" w:themeColor="text1"/>
          <w:lang w:val="en-US"/>
        </w:rPr>
        <w:t>the</w:t>
      </w:r>
      <w:r w:rsidR="003D6D20" w:rsidRPr="00383A0F">
        <w:rPr>
          <w:rFonts w:ascii="Book Antiqua" w:hAnsi="Book Antiqua" w:cs="Arial"/>
          <w:color w:val="000000" w:themeColor="text1"/>
          <w:lang w:val="en-US"/>
        </w:rPr>
        <w:t xml:space="preserve"> ICU prior to LT.</w:t>
      </w:r>
      <w:r w:rsidRPr="00383A0F">
        <w:rPr>
          <w:rFonts w:ascii="Book Antiqua" w:hAnsi="Book Antiqua" w:cs="Arial"/>
          <w:color w:val="000000" w:themeColor="text1"/>
          <w:lang w:val="en-US"/>
        </w:rPr>
        <w:t xml:space="preserve"> On the other hand, a study devoted </w:t>
      </w:r>
      <w:r w:rsidR="005C1946" w:rsidRPr="00383A0F">
        <w:rPr>
          <w:rFonts w:ascii="Book Antiqua" w:hAnsi="Book Antiqua" w:cs="Arial"/>
          <w:color w:val="000000" w:themeColor="text1"/>
          <w:lang w:val="en-US"/>
        </w:rPr>
        <w:t xml:space="preserve">specifically </w:t>
      </w:r>
      <w:r w:rsidRPr="00383A0F">
        <w:rPr>
          <w:rFonts w:ascii="Book Antiqua" w:hAnsi="Book Antiqua" w:cs="Arial"/>
          <w:color w:val="000000" w:themeColor="text1"/>
          <w:lang w:val="en-US"/>
        </w:rPr>
        <w:t xml:space="preserve">to this issue </w:t>
      </w:r>
      <w:r w:rsidR="005C1946" w:rsidRPr="00383A0F">
        <w:rPr>
          <w:rFonts w:ascii="Book Antiqua" w:hAnsi="Book Antiqua" w:cs="Arial"/>
          <w:color w:val="000000" w:themeColor="text1"/>
          <w:lang w:val="en-US"/>
        </w:rPr>
        <w:t xml:space="preserve">did </w:t>
      </w:r>
      <w:r w:rsidRPr="00383A0F">
        <w:rPr>
          <w:rFonts w:ascii="Book Antiqua" w:hAnsi="Book Antiqua" w:cs="Arial"/>
          <w:color w:val="000000" w:themeColor="text1"/>
          <w:lang w:val="en-US"/>
        </w:rPr>
        <w:t>not identify hospitalization in the ICU as a</w:t>
      </w:r>
      <w:r w:rsidR="00FB2BD8" w:rsidRPr="00383A0F">
        <w:rPr>
          <w:rFonts w:ascii="Book Antiqua" w:hAnsi="Book Antiqua" w:cs="Arial"/>
          <w:color w:val="000000" w:themeColor="text1"/>
          <w:lang w:val="en-US"/>
        </w:rPr>
        <w:t xml:space="preserve"> significant mortality risk factor</w:t>
      </w:r>
      <w:r w:rsidR="00DF2BB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{"citationID":"VRdUkPk2","properties":{"formattedCitation":"\\super [15]\\nosupersub{}","plainCitation":"[15]","noteIndex":0},"citationItems":[{"id":245,"uris":["http://zotero.org/users/local/BE2xVPev/items/TUZ2EBU2"],"uri":["http://zotero.org/users/local/BE2xVPev/items/TUZ2EBU2"],"itemData":{"id":245,"type":"article-journal","title":"Liver transplantation in patients with end-stage liver disease requiring intensive care unit admission and intubation","container-title":"Liver Transplantation: Official Publication of the American Association for the Study of Liver Diseases and the International Liver Transplantation Society","page":"761-767","volume":"21","issue":"6","source":"PubMed","abstract":"Data regarding transplantation outcomes in ventilated intensive care unit (ICU)-dependent patients with end-stage liver disease (ESLD) are conflicting. This single-center cohort study investigated the outcomes of patients with ESLD who were intubated with mechanical support before liver transplantation (LT). The ICU plus intubation group consisted of 42 patients with decompensated cirrhosis and mechanical ventilation before transplantation. LT was considered for intubated ICU patients if the fraction of inspired oxygen was ≤40% with a positive end-expiratory pressure</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10, low pressor requirements, and the absence of an active infection. Intubated ICU patients were compared to 80 patients requiring ICU admission before transplantation without intubation and to 126 matched non-ICU-bound patients. Patients requiring ICU care with intubation and ICU care alone had more severe postoperative complications than non-ICU-bound patients. Intubation before transplantation was associated with more postoperative pneumonias (15% in intubated ICU transplant candidates, 5% in ICU-bound but not intubated patients, and 3% in control group patients;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0.02). Parameters of reperfusion injury and renal function on postoperative day (POD) 2 and POD 7 were similar in all groups. Bilirubin levels were higher in the ICU plus intubation group at POD 2 and POD 7 after transplantation but were normalized in all groups within 3 months. The ICU plus intubation group versus the ICU-only group and the non-ICU group had decreased 1-, 3-, and 5-year graft survival (81% versus 84% versus 92%, 76% versus 78% versus 87%, and 71% versus 77% versus 84%, respectively;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0.19), but statistical significance was not reached. A Glasgow coma scale score of &lt;7 versus &gt;7 before transplantation was associated with high postoperative mortality in ICU-bound patients requiring intubation (38% versus 23%;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0.01). In conclusion, ICU admission and mechanical ventilation should not be considered contraindications for LT. With careful patient selection, acceptable long-term outcomes can be achieved despite increased postoperative complications.","DOI":"10.1002/lt.24115","ISSN":"1527-6473","note":"PMID: 25865305","journalAbbreviation":"Liver Transpl.","language":"eng","author":[{"family":"Knaak","given":"Jan"},{"family":"McVey","given":"Mark"},{"family":"Bazerbachi","given":"Fateh"},{"family":"Goldaracena","given":"Nicolás"},{"family":"Spetzler","given":"Vinzent"},{"family":"Selzner","given":"Nazia"},{"family":"Cattral","given":"Mark"},{"family":"Greig","given":"Paul"},{"family":"Lilly","given":"Les"},{"family":"McGilvray","given":"Ian"},{"family":"Levy","given":"Gary"},{"family":"Ghanekar","given":"Anand"},{"family":"Renner","given":"Eberhard"},{"family":"Grant","given":"David"},{"family":"Hawryluck","given":"Laura"},{"family":"Selzner","given":"Markus"}],"issued":{"date-parts":[["2015",6]]}}}],"schema":"https://github.com/citation-style-language/schema/raw/master/csl-citation.json"} </w:instrText>
      </w:r>
      <w:r w:rsidR="00DF2BB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[15]</w:t>
      </w:r>
      <w:r w:rsidR="00DF2BB1" w:rsidRPr="00383A0F">
        <w:rPr>
          <w:rFonts w:ascii="Book Antiqua" w:hAnsi="Book Antiqua" w:cs="Arial"/>
          <w:color w:val="000000" w:themeColor="text1"/>
          <w:lang w:val="en-US"/>
        </w:rPr>
        <w:fldChar w:fldCharType="end"/>
      </w:r>
      <w:r w:rsidR="00FB2BD8" w:rsidRPr="00383A0F">
        <w:rPr>
          <w:rFonts w:ascii="Book Antiqua" w:hAnsi="Book Antiqua" w:cs="Arial"/>
          <w:color w:val="000000" w:themeColor="text1"/>
          <w:lang w:val="en-US"/>
        </w:rPr>
        <w:t>. Moreover, the ACLF 3 patients fro</w:t>
      </w:r>
      <w:r w:rsidR="001742A8" w:rsidRPr="00383A0F">
        <w:rPr>
          <w:rFonts w:ascii="Book Antiqua" w:hAnsi="Book Antiqua" w:cs="Arial"/>
          <w:color w:val="000000" w:themeColor="text1"/>
          <w:lang w:val="en-US"/>
        </w:rPr>
        <w:t xml:space="preserve">m the </w:t>
      </w:r>
      <w:proofErr w:type="spellStart"/>
      <w:r w:rsidR="001742A8" w:rsidRPr="00383A0F">
        <w:rPr>
          <w:rFonts w:ascii="Book Antiqua" w:hAnsi="Book Antiqua" w:cs="Arial"/>
          <w:color w:val="000000" w:themeColor="text1"/>
          <w:lang w:val="en-US"/>
        </w:rPr>
        <w:t>Artru</w:t>
      </w:r>
      <w:proofErr w:type="spellEnd"/>
      <w:r w:rsidR="001742A8" w:rsidRPr="00383A0F">
        <w:rPr>
          <w:rFonts w:ascii="Book Antiqua" w:hAnsi="Book Antiqua" w:cs="Arial"/>
          <w:color w:val="000000" w:themeColor="text1"/>
          <w:lang w:val="en-US"/>
        </w:rPr>
        <w:t xml:space="preserve"> study, all of whom </w:t>
      </w:r>
      <w:r w:rsidR="005C1946" w:rsidRPr="00383A0F">
        <w:rPr>
          <w:rFonts w:ascii="Book Antiqua" w:hAnsi="Book Antiqua" w:cs="Arial"/>
          <w:color w:val="000000" w:themeColor="text1"/>
          <w:lang w:val="en-US"/>
        </w:rPr>
        <w:t xml:space="preserve">were </w:t>
      </w:r>
      <w:r w:rsidR="00FB2BD8" w:rsidRPr="00383A0F">
        <w:rPr>
          <w:rFonts w:ascii="Book Antiqua" w:hAnsi="Book Antiqua" w:cs="Arial"/>
          <w:color w:val="000000" w:themeColor="text1"/>
          <w:lang w:val="en-US"/>
        </w:rPr>
        <w:t xml:space="preserve">hospitalized in </w:t>
      </w:r>
      <w:r w:rsidR="009B529C" w:rsidRPr="00383A0F">
        <w:rPr>
          <w:rFonts w:ascii="Book Antiqua" w:hAnsi="Book Antiqua" w:cs="Arial"/>
          <w:color w:val="000000" w:themeColor="text1"/>
          <w:lang w:val="en-US"/>
        </w:rPr>
        <w:t xml:space="preserve">the </w:t>
      </w:r>
      <w:r w:rsidR="00FB2BD8" w:rsidRPr="00383A0F">
        <w:rPr>
          <w:rFonts w:ascii="Book Antiqua" w:hAnsi="Book Antiqua" w:cs="Arial"/>
          <w:color w:val="000000" w:themeColor="text1"/>
          <w:lang w:val="en-US"/>
        </w:rPr>
        <w:t xml:space="preserve">ICU, </w:t>
      </w:r>
      <w:r w:rsidR="005C1946" w:rsidRPr="00383A0F">
        <w:rPr>
          <w:rFonts w:ascii="Book Antiqua" w:hAnsi="Book Antiqua" w:cs="Arial"/>
          <w:color w:val="000000" w:themeColor="text1"/>
          <w:lang w:val="en-US"/>
        </w:rPr>
        <w:t xml:space="preserve">did </w:t>
      </w:r>
      <w:r w:rsidR="00FB2BD8" w:rsidRPr="00383A0F">
        <w:rPr>
          <w:rFonts w:ascii="Book Antiqua" w:hAnsi="Book Antiqua" w:cs="Arial"/>
          <w:color w:val="000000" w:themeColor="text1"/>
          <w:lang w:val="en-US"/>
        </w:rPr>
        <w:t xml:space="preserve">not have a significantly different outcome from the patients with lower ACLF grades who </w:t>
      </w:r>
      <w:r w:rsidR="005C1946" w:rsidRPr="00383A0F">
        <w:rPr>
          <w:rFonts w:ascii="Book Antiqua" w:hAnsi="Book Antiqua" w:cs="Arial"/>
          <w:color w:val="000000" w:themeColor="text1"/>
          <w:lang w:val="en-US"/>
        </w:rPr>
        <w:t>were</w:t>
      </w:r>
      <w:r w:rsidR="00FB2BD8" w:rsidRPr="00383A0F">
        <w:rPr>
          <w:rFonts w:ascii="Book Antiqua" w:hAnsi="Book Antiqua" w:cs="Arial"/>
          <w:color w:val="000000" w:themeColor="text1"/>
          <w:lang w:val="en-US"/>
        </w:rPr>
        <w:t>, for the most part, not hospitalized in</w:t>
      </w:r>
      <w:r w:rsidR="009B529C" w:rsidRPr="00383A0F">
        <w:rPr>
          <w:rFonts w:ascii="Book Antiqua" w:hAnsi="Book Antiqua" w:cs="Arial"/>
          <w:color w:val="000000" w:themeColor="text1"/>
          <w:lang w:val="en-US"/>
        </w:rPr>
        <w:t xml:space="preserve"> the</w:t>
      </w:r>
      <w:r w:rsidR="00FB2BD8" w:rsidRPr="00383A0F">
        <w:rPr>
          <w:rFonts w:ascii="Book Antiqua" w:hAnsi="Book Antiqua" w:cs="Arial"/>
          <w:color w:val="000000" w:themeColor="text1"/>
          <w:lang w:val="en-US"/>
        </w:rPr>
        <w:t xml:space="preserve"> ICU</w:t>
      </w:r>
      <w:r w:rsidR="00DF2BB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{"citationID":"R8p9T4x1","properties":{"formattedCitation":"\\super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DF2BB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[10]</w:t>
      </w:r>
      <w:r w:rsidR="00DF2BB1" w:rsidRPr="00383A0F">
        <w:rPr>
          <w:rFonts w:ascii="Book Antiqua" w:hAnsi="Book Antiqua" w:cs="Arial"/>
          <w:color w:val="000000" w:themeColor="text1"/>
          <w:lang w:val="en-US"/>
        </w:rPr>
        <w:fldChar w:fldCharType="end"/>
      </w:r>
      <w:r w:rsidR="00FB2BD8" w:rsidRPr="00383A0F">
        <w:rPr>
          <w:rFonts w:ascii="Book Antiqua" w:hAnsi="Book Antiqua" w:cs="Arial"/>
          <w:color w:val="000000" w:themeColor="text1"/>
          <w:lang w:val="en-US"/>
        </w:rPr>
        <w:t>.</w:t>
      </w:r>
    </w:p>
    <w:p w14:paraId="294128AC" w14:textId="62AA8788" w:rsidR="00E14AB1" w:rsidRPr="00383A0F" w:rsidRDefault="00465642"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FB2BD8" w:rsidRPr="00383A0F">
        <w:rPr>
          <w:rFonts w:ascii="Book Antiqua" w:hAnsi="Book Antiqua" w:cs="Arial"/>
          <w:color w:val="000000" w:themeColor="text1"/>
          <w:lang w:val="en-US"/>
        </w:rPr>
        <w:t xml:space="preserve">At the heart of this question lies the inescapable fact that </w:t>
      </w:r>
      <w:r w:rsidR="003A2A38" w:rsidRPr="00383A0F">
        <w:rPr>
          <w:rFonts w:ascii="Book Antiqua" w:hAnsi="Book Antiqua" w:cs="Arial"/>
          <w:color w:val="000000" w:themeColor="text1"/>
          <w:lang w:val="en-US"/>
        </w:rPr>
        <w:t>admission criteria in</w:t>
      </w:r>
      <w:r w:rsidR="009B529C" w:rsidRPr="00383A0F">
        <w:rPr>
          <w:rFonts w:ascii="Book Antiqua" w:hAnsi="Book Antiqua" w:cs="Arial"/>
          <w:color w:val="000000" w:themeColor="text1"/>
          <w:lang w:val="en-US"/>
        </w:rPr>
        <w:t xml:space="preserve"> the</w:t>
      </w:r>
      <w:r w:rsidR="003A2A38" w:rsidRPr="00383A0F">
        <w:rPr>
          <w:rFonts w:ascii="Book Antiqua" w:hAnsi="Book Antiqua" w:cs="Arial"/>
          <w:color w:val="000000" w:themeColor="text1"/>
          <w:lang w:val="en-US"/>
        </w:rPr>
        <w:t xml:space="preserve"> ICU are subjective and center-dependent. Consequently, it does not seem </w:t>
      </w:r>
      <w:r w:rsidR="001742A8" w:rsidRPr="00383A0F">
        <w:rPr>
          <w:rFonts w:ascii="Book Antiqua" w:hAnsi="Book Antiqua" w:cs="Arial"/>
          <w:color w:val="000000" w:themeColor="text1"/>
          <w:lang w:val="en-US"/>
        </w:rPr>
        <w:t xml:space="preserve">sound that </w:t>
      </w:r>
      <w:r w:rsidR="005C1946" w:rsidRPr="00383A0F">
        <w:rPr>
          <w:rFonts w:ascii="Book Antiqua" w:hAnsi="Book Antiqua" w:cs="Arial"/>
          <w:color w:val="000000" w:themeColor="text1"/>
          <w:lang w:val="en-US"/>
        </w:rPr>
        <w:t xml:space="preserve">such </w:t>
      </w:r>
      <w:r w:rsidRPr="00383A0F">
        <w:rPr>
          <w:rFonts w:ascii="Book Antiqua" w:hAnsi="Book Antiqua" w:cs="Arial"/>
          <w:color w:val="000000" w:themeColor="text1"/>
          <w:lang w:val="en-US"/>
        </w:rPr>
        <w:t>criteria</w:t>
      </w:r>
      <w:r w:rsidR="003A2A38" w:rsidRPr="00383A0F">
        <w:rPr>
          <w:rFonts w:ascii="Book Antiqua" w:hAnsi="Book Antiqua" w:cs="Arial"/>
          <w:color w:val="000000" w:themeColor="text1"/>
          <w:lang w:val="en-US"/>
        </w:rPr>
        <w:t>, in and of itself, should constitute a substantive argument against transplantation for ACLF patients</w:t>
      </w:r>
      <w:r w:rsidR="00701E05" w:rsidRPr="00383A0F">
        <w:rPr>
          <w:rFonts w:ascii="Book Antiqua" w:hAnsi="Book Antiqua" w:cs="Arial"/>
          <w:color w:val="000000" w:themeColor="text1"/>
          <w:lang w:val="en-US"/>
        </w:rPr>
        <w:t xml:space="preserve"> and even less an argument against admitting critically ill ACLF patients in</w:t>
      </w:r>
      <w:r w:rsidR="009B529C" w:rsidRPr="00383A0F">
        <w:rPr>
          <w:rFonts w:ascii="Book Antiqua" w:hAnsi="Book Antiqua" w:cs="Arial"/>
          <w:color w:val="000000" w:themeColor="text1"/>
          <w:lang w:val="en-US"/>
        </w:rPr>
        <w:t xml:space="preserve"> the</w:t>
      </w:r>
      <w:r w:rsidR="00701E05" w:rsidRPr="00383A0F">
        <w:rPr>
          <w:rFonts w:ascii="Book Antiqua" w:hAnsi="Book Antiqua" w:cs="Arial"/>
          <w:color w:val="000000" w:themeColor="text1"/>
          <w:lang w:val="en-US"/>
        </w:rPr>
        <w:t xml:space="preserve"> ICU. </w:t>
      </w:r>
    </w:p>
    <w:p w14:paraId="0A63CBE6" w14:textId="77777777" w:rsidR="00E14AB1" w:rsidRPr="00383A0F" w:rsidRDefault="00E14AB1" w:rsidP="00383A0F">
      <w:pPr>
        <w:adjustRightInd w:val="0"/>
        <w:snapToGrid w:val="0"/>
        <w:spacing w:line="360" w:lineRule="auto"/>
        <w:jc w:val="both"/>
        <w:rPr>
          <w:rFonts w:ascii="Book Antiqua" w:hAnsi="Book Antiqua" w:cs="Arial"/>
          <w:color w:val="000000" w:themeColor="text1"/>
          <w:lang w:val="en-US"/>
        </w:rPr>
      </w:pPr>
    </w:p>
    <w:p w14:paraId="73ACE487" w14:textId="04C4E60E" w:rsidR="00B9721F" w:rsidRPr="00383A0F" w:rsidRDefault="00B9721F" w:rsidP="000F1A83">
      <w:pPr>
        <w:adjustRightInd w:val="0"/>
        <w:snapToGrid w:val="0"/>
        <w:spacing w:line="360" w:lineRule="auto"/>
        <w:jc w:val="both"/>
        <w:outlineLvl w:val="0"/>
        <w:rPr>
          <w:rFonts w:ascii="Book Antiqua" w:hAnsi="Book Antiqua" w:cs="Arial"/>
          <w:color w:val="000000" w:themeColor="text1"/>
          <w:lang w:val="en-US"/>
        </w:rPr>
      </w:pPr>
      <w:r w:rsidRPr="00383A0F">
        <w:rPr>
          <w:rFonts w:ascii="Book Antiqua" w:hAnsi="Book Antiqua" w:cs="Arial"/>
          <w:b/>
          <w:i/>
          <w:color w:val="000000" w:themeColor="text1"/>
          <w:lang w:val="en-US"/>
        </w:rPr>
        <w:t>Pros and cons of the ACLF classification</w:t>
      </w:r>
    </w:p>
    <w:p w14:paraId="741B2261" w14:textId="6D612390" w:rsidR="00B9721F" w:rsidRPr="00383A0F" w:rsidRDefault="00B9721F"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There are two leading definitions of ACLF</w:t>
      </w:r>
      <w:r w:rsidR="005C1946" w:rsidRPr="00383A0F">
        <w:rPr>
          <w:rFonts w:ascii="Book Antiqua" w:hAnsi="Book Antiqua" w:cs="Arial"/>
          <w:color w:val="000000" w:themeColor="text1"/>
          <w:lang w:val="en-US"/>
        </w:rPr>
        <w:t>:</w:t>
      </w:r>
      <w:r w:rsidRPr="00383A0F">
        <w:rPr>
          <w:rFonts w:ascii="Book Antiqua" w:hAnsi="Book Antiqua" w:cs="Arial"/>
          <w:color w:val="000000" w:themeColor="text1"/>
          <w:lang w:val="en-US"/>
        </w:rPr>
        <w:t xml:space="preserve"> one created by the </w:t>
      </w:r>
      <w:r w:rsidR="00465642" w:rsidRPr="00383A0F">
        <w:rPr>
          <w:rFonts w:ascii="Book Antiqua" w:hAnsi="Book Antiqua" w:cs="Arial"/>
          <w:color w:val="000000" w:themeColor="text1"/>
          <w:lang w:val="en-US"/>
        </w:rPr>
        <w:t>Asia-Pac</w:t>
      </w:r>
      <w:r w:rsidR="00465642">
        <w:rPr>
          <w:rFonts w:ascii="Book Antiqua" w:hAnsi="Book Antiqua" w:cs="Arial"/>
          <w:color w:val="000000" w:themeColor="text1"/>
          <w:lang w:val="en-US"/>
        </w:rPr>
        <w:t>ific Association for the Study of t</w:t>
      </w:r>
      <w:r w:rsidR="00465642" w:rsidRPr="00383A0F">
        <w:rPr>
          <w:rFonts w:ascii="Book Antiqua" w:hAnsi="Book Antiqua" w:cs="Arial"/>
          <w:color w:val="000000" w:themeColor="text1"/>
          <w:lang w:val="en-US"/>
        </w:rPr>
        <w:t>he Liver</w:t>
      </w:r>
      <w:r w:rsidRPr="00383A0F">
        <w:rPr>
          <w:rFonts w:ascii="Book Antiqua" w:hAnsi="Book Antiqua" w:cs="Arial"/>
          <w:color w:val="000000" w:themeColor="text1"/>
          <w:lang w:val="en-US"/>
        </w:rPr>
        <w:t xml:space="preserve"> (APASL)</w:t>
      </w:r>
      <w:r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{"citationID":"v9kF0d10","properties":{"formattedCitation":"\\super [35]\\nosupersub{}","plainCitation":"[35]","noteIndex":0},"citationItems":[{"id":548,"uris":["http://zotero.org/users/local/BE2xVPev/items/85FVDU4I"],"uri":["http://zotero.org/users/local/BE2xVPev/items/85FVDU4I"],"itemData":{"id":548,"type":"article-journal","title":"Acute-on-chronic liver failure: consensus recommendations of the Asian Pacific Association for the study of the liver (APASL)","container-title":"Hepatology International","page":"269-282","volume":"3","issue":"1","source":"PubMed","abstract":"The Asian Pacific Association for the Study of the Liver (APASL) set up a working party on acute-on-chronic liver failure (ACLF) in 2004, with a mandate to develop consensus guidelines on various aspects of ACLF relevant to disease patterns and clinical practice in the Asia-Pacific region. Experts predominantly from the Asia-Pacific region constituted this working party and were requested to identify different issues of ACLF and develop the consensus guidelines. A 2-day meeting of the working party was held on January 22-23, 2008, at New Delhi, India, to discuss and finalize the consensus statements. Only those statements that were unanimously approved by the experts were accepted. These statements were circulated to all the experts and subsequently presented at the Annual Conference of the APASL at Seoul, Korea, in March 2008. The consensus statements along with relevant background information are presented in this review.","DOI":"10.1007/s12072-008-9106-x","ISSN":"1936-0533","note":"PMID: 19669378\nPMCID: PMC2712314","shortTitle":"Acute-on-chronic liver failure","journalAbbreviation":"Hepatol Int","language":"eng","author":[{"family":"Sarin","given":"Shiv Kumar"},{"family":"Kumar","given":"Ashish"},{"family":"Almeida","given":"John A."},{"family":"Chawla","given":"Yogesh Kumar"},{"family":"Fan","given":"Sheung Tat"},{"family":"Garg","given":"Hitendra"},{"family":"Silva","given":"H. Janaka","non-dropping-particle":"de"},{"family":"Hamid","given":"Saeed Sadiq"},{"family":"Jalan","given":"Rajiv"},{"family":"Komolmit","given":"Piyawat"},{"family":"Lau","given":"George K."},{"family":"Liu","given":"Qing"},{"family":"Madan","given":"Kaushal"},{"family":"Mohamed","given":"Rosmawati"},{"family":"Ning","given":"Qin"},{"family":"Rahman","given":"Salimur"},{"family":"Rastogi","given":"Archana"},{"family":"Riordan","given":"Stephen M."},{"family":"Sakhuja","given":"Puja"},{"family":"Samuel","given":"Didier"},{"family":"Shah","given":"Samir"},{"family":"Sharma","given":"Barjesh Chander"},{"family":"Sharma","given":"Praveen"},{"family":"Takikawa","given":"Yasuhiro"},{"family":"Thapa","given":"Babu Ram"},{"family":"Wai","given":"Chun-Tao"},{"family":"Yuen","given":"Man-Fung"}],"issued":{"date-parts":[["2009",3]]}}}],"schema":"https://github.com/citation-style-language/schema/raw/master/csl-citation.json"} </w:instrText>
      </w:r>
      <w:r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[35]</w:t>
      </w:r>
      <w:r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the other by the </w:t>
      </w:r>
      <w:bookmarkStart w:id="34" w:name="OLE_LINK19"/>
      <w:r w:rsidRPr="00383A0F">
        <w:rPr>
          <w:rFonts w:ascii="Book Antiqua" w:hAnsi="Book Antiqua" w:cs="Arial"/>
          <w:color w:val="000000" w:themeColor="text1"/>
          <w:lang w:val="en-US"/>
        </w:rPr>
        <w:t>EASL</w:t>
      </w:r>
      <w:bookmarkEnd w:id="34"/>
      <w:r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{"citationID":"5jo7QjLO","properties":{"formattedCitation":"\\super [36]\\nosupersub{}","plainCitation":"[36]","noteIndex":0},"citationItems":[{"id":124,"uris":["http://zotero.org/users/local/BE2xVPev/items/V52VEM8W"],"uri":["http://zotero.org/users/local/BE2xVPev/items/V52VEM8W"],"itemData":{"id":124,"type":"article-journal","title":"Acute-on-chronic liver failure is a distinct syndrome that develops in patients with acute decompensation of cirrhosis","container-title":"Gastroenterology","page":"1426-1437, 1437.e1-9","volume":"144","issue":"7","source":"PubMed","abstract":"BACKGROUND &amp; AIMS: Patients with cirrhosis hospitalized for an acute decompensation (AD) and organ failure are at risk for imminent death and considered to have acute-on-chronic liver failure (ACLF). However, there are no established diagnostic criteria for ACLF, so little is known about its development and progression. We aimed to identify diagnostic criteria of ACLF and describe the development of this syndrome in European patients with AD.\nMETHODS: We collected data from 1343 hospitalized patients with cirrhosis and AD from February to September 2011 at 29 liver units in 8 European countries. We used the organ failure and mortality data to define ACLF grades, assess mortality, and identify differences between ACLF and AD. We established diagnostic criteria for ACLF based on analyses of patients with organ failure (defined by the chronic liver failure-sequential organ failure assessment [CLIF-SOFA] score) and high 28-day mortality rate (&gt;15%).\nRESULTS: Of the patients assessed, 303 had ACLF when the study began, 112 developed ACLF, and 928 did not have ACLF. The 28-day mortality rate among patients who had ACLF when the study began was 33.9%, among those who developed ACLF was 29.7%, and among those who did not have ACLF was 1.9%. Patients with ACLF were younger and more frequently alcoholic, had more associated bacterial infections, and had higher numbers of leukocytes and higher plasma levels of C-reactive protein than patients without ACLF (P &lt; .001). Higher CLIF-SOFA scores and leukocyte counts were independent predictors of mortality in patients with ACLF. In patients without a prior history of AD, ACLF was unexpectedly characterized by higher numbers of organ failures, leukocyte count, and mortality compared with ACLF in patients with a prior history of AD.\nCONCLUSIONS: We analyzed data from patients with cirrhosis and AD to establish diagnostic criteria for ACLF and showed that it is distinct from AD, based not only on the presence of organ failure(s) and high mortality rate but also on age, precipitating events, and systemic inflammation. ACLF mortality is associated with loss of organ function and high leukocyte counts. ACLF is especially severe in patients with no prior history of AD.","DOI":"10.1053/j.gastro.2013.02.042","ISSN":"1528-0012","note":"PMID: 23474284","journalAbbreviation":"Gastroenterology","language":"eng","author":[{"family":"Moreau","given":"Richard"},{"family":"Jalan","given":"Rajiv"},{"family":"Gines","given":"Pere"},{"family":"Pavesi","given":"Marco"},{"family":"Angeli","given":"Paolo"},{"family":"Cordoba","given":"Juan"},{"family":"Durand","given":"Francois"},{"family":"Gustot","given":"Thierry"},{"family":"Saliba","given":"Faouzi"},{"family":"Domenicali","given":"Marco"},{"family":"Gerbes","given":"Alexander"},{"family":"Wendon","given":"Julia"},{"family":"Alessandria","given":"Carlo"},{"family":"Laleman","given":"Wim"},{"family":"Zeuzem","given":"Stefan"},{"family":"Trebicka","given":"Jonel"},{"family":"Bernardi","given":"Mauro"},{"family":"Arroyo","given":"Vicente"},{"literal":"CANONIC Study Investigators of the EASL–CLIF Consortium"}],"issued":{"date-parts":[["2013",6]]}}}],"schema":"https://github.com/citation-style-language/schema/raw/master/csl-citation.json"} </w:instrText>
      </w:r>
      <w:r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[36</w:t>
      </w:r>
      <w:r w:rsidR="00465642">
        <w:rPr>
          <w:rFonts w:ascii="Book Antiqua" w:hAnsi="Book Antiqua"/>
          <w:color w:val="000000" w:themeColor="text1"/>
          <w:vertAlign w:val="superscript"/>
          <w:lang w:val="en-US"/>
        </w:rPr>
        <w:t>,</w:t>
      </w:r>
      <w:r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{"citationID":"kNpAK9CA","properties":{"formattedCitation":"\\super [37]\\nosupersub{}","plainCitation":"[37]","noteIndex":0},"citationItems":[{"id":588,"uris":["http://zotero.org/users/local/BE2xVPev/items/CRUL92YK"],"uri":["http://zotero.org/users/local/BE2xVPev/items/CRUL92YK"],"itemData":{"id":588,"type":"article-journal","title":"Toward an improved definition of acute-on-chronic liver failure","container-title":"Gastroenterology","page":"4-10","volume":"147","issue":"1","source":"PubMed","DOI":"10.1053/j.gastro.2014.05.005","ISSN":"1528-0012","note":"PMID: 24853409","journalAbbreviation":"Gastroenterology","language":"eng","author":[{"family":"Jalan","given":"Rajiv"},{"family":"Yurdaydin","given":"Cihan"},{"family":"Bajaj","given":"Jasmohan S."},{"family":"Acharya","given":"Subrat K."},{"family":"Arroyo","given":"Vicente"},{"family":"Lin","given":"Han-Chieh"},{"family":"Gines","given":"Pere"},{"family":"Kim","given":"W. Ray"},{"family":"Kamath","given":"Patrick S."},{"literal":"World Gastroenterology Organization Working Party"}],"issued":{"date-parts":[["2014",7]]}}}],"schema":"https://github.com/citation-style-language/schema/raw/master/csl-citation.json"} </w:instrText>
      </w:r>
      <w:r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37]</w:t>
      </w:r>
      <w:r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Both definitions distinguish ACLF from acute liver failure and from decompensated cirrhosis</w:t>
      </w:r>
      <w:r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{"citationID":"ZwLnnzuH","properties":{"formattedCitation":"\\super [38]\\nosupersub{}","plainCitation":"[38]","noteIndex":0},"citationItems":[{"id":485,"uris":["http://zotero.org/users/local/BE2xVPev/items/4X9BL3CQ"],"uri":["http://zotero.org/users/local/BE2xVPev/items/4X9BL3CQ"],"itemData":{"id":485,"type":"article-journal","title":"Acute-on-chronic liver failure","container-title":"Lancet (London, England)","page":"1576-1587","volume":"386","issue":"10003","source":"PubMed","abstract":"Acute-on-chronic liver failure combines an acute deterioration in liver function in an individual with pre-existing chronic liver disease and hepatic and extrahepatic organ failures, and is associated with substantial short-term mortality. Common precipitants include bacterial and viral infections, alcoholic hepatitis, and surgery, but in more than 40% of patients, no precipitating event is identified. Systemic inflammation and susceptibility to infection are characteristic pathophysiological features. A new diagnostic score, the Chronic Liver Failure Consortium (CLIF-C) organ failure score, has been developed for classification and prognostic assessment of patients with acute-on-chronic liver failure. Disease can be reversed in many patients, and thus clinical management focuses upon the identification and treatment of the precipitant while providing multiorgan-supportive care that addresses the complex pattern of physiological disturbance in critically ill patients with liver disease. Liver transplantation is a highly effective intervention in some specific cases, but recipient identification, organ availability, timing of transplantation, and high resource use are barriers to more widespread application. Recognition of acute-on-chronic liver failure as a clinically and pathophysiologically distinct syndrome with defined diagnostic and prognostic criteria will help to encourage the development of new management pathways and interventions to address the unacceptably high mortality.","DOI":"10.1016/S0140-6736(15)00309-8","ISSN":"1474-547X","note":"PMID: 26423181","journalAbbreviation":"Lancet","language":"eng","author":[{"family":"Bernal","given":"William"},{"family":"Jalan","given":"Rajiv"},{"family":"Quaglia","given":"Alberto"},{"family":"Simpson","given":"Kenneth"},{"family":"Wendon","given":"Julia"},{"family":"Burroughs","given":"Andrew"}],"issued":{"date-parts":[["2015",10,17]]}}}],"schema":"https://github.com/citation-style-language/schema/raw/master/csl-citation.json"} </w:instrText>
      </w:r>
      <w:r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[38]</w:t>
      </w:r>
      <w:r w:rsidRPr="00383A0F">
        <w:rPr>
          <w:rFonts w:ascii="Book Antiqua" w:hAnsi="Book Antiqua" w:cs="Arial"/>
          <w:color w:val="000000" w:themeColor="text1"/>
          <w:lang w:val="en-US"/>
        </w:rPr>
        <w:fldChar w:fldCharType="end"/>
      </w:r>
      <w:r w:rsidR="001D4A3B" w:rsidRPr="00383A0F">
        <w:rPr>
          <w:rFonts w:ascii="Book Antiqua" w:hAnsi="Book Antiqua" w:cs="Arial"/>
          <w:color w:val="000000" w:themeColor="text1"/>
          <w:lang w:val="en-US"/>
        </w:rPr>
        <w:t>. Using the APASL</w:t>
      </w:r>
      <w:r w:rsidRPr="00383A0F">
        <w:rPr>
          <w:rFonts w:ascii="Book Antiqua" w:hAnsi="Book Antiqua" w:cs="Arial"/>
          <w:color w:val="000000" w:themeColor="text1"/>
          <w:lang w:val="en-US"/>
        </w:rPr>
        <w:t xml:space="preserve">-ACLF definition, three Chinese </w:t>
      </w:r>
      <w:proofErr w:type="gramStart"/>
      <w:r w:rsidRPr="00383A0F">
        <w:rPr>
          <w:rFonts w:ascii="Book Antiqua" w:hAnsi="Book Antiqua" w:cs="Arial"/>
          <w:color w:val="000000" w:themeColor="text1"/>
          <w:lang w:val="en-US"/>
        </w:rPr>
        <w:t>studies</w:t>
      </w:r>
      <w:r w:rsidR="00465642" w:rsidRPr="00465642">
        <w:rPr>
          <w:rFonts w:ascii="Book Antiqua" w:hAnsi="Book Antiqua" w:cs="Arial"/>
          <w:color w:val="000000" w:themeColor="text1"/>
          <w:vertAlign w:val="superscript"/>
          <w:lang w:val="en-US"/>
        </w:rPr>
        <w:t>[</w:t>
      </w:r>
      <w:proofErr w:type="gramEnd"/>
      <w:r w:rsidR="00465642" w:rsidRPr="00465642">
        <w:rPr>
          <w:rFonts w:ascii="Book Antiqua" w:hAnsi="Book Antiqua" w:cs="Arial"/>
          <w:color w:val="000000" w:themeColor="text1"/>
          <w:vertAlign w:val="superscript"/>
          <w:lang w:val="en-US"/>
        </w:rPr>
        <w:t>39-41]</w:t>
      </w:r>
      <w:r w:rsidRPr="00383A0F">
        <w:rPr>
          <w:rFonts w:ascii="Book Antiqua" w:hAnsi="Book Antiqua" w:cs="Arial"/>
          <w:color w:val="000000" w:themeColor="text1"/>
          <w:lang w:val="en-US"/>
        </w:rPr>
        <w:t xml:space="preserve"> have shown that ACLF patients could have post-transplant survival rates similar to those of non-ACLF patients. But these studies have a number of distinctive features that are not directly translatable to either the European or the American context: the majority of the patients were transplanted for hepatitis B-induced cirrhosis (rather than alcohol or hepatitis C virus) and they include a large proportion of living donors. </w:t>
      </w:r>
    </w:p>
    <w:p w14:paraId="160DC391" w14:textId="123E185B" w:rsidR="00B9721F" w:rsidRPr="00383A0F" w:rsidRDefault="00465642"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B9721F" w:rsidRPr="00383A0F">
        <w:rPr>
          <w:rFonts w:ascii="Book Antiqua" w:hAnsi="Book Antiqua" w:cs="Arial"/>
          <w:color w:val="000000" w:themeColor="text1"/>
          <w:lang w:val="en-US"/>
        </w:rPr>
        <w:t xml:space="preserve">The discriminative power of the EASL-ACLF classification is debated in terms of post-transplant survival. This entity, based on the assessment of 6 organ functions, distinguishes only </w:t>
      </w:r>
      <w:r w:rsidR="0076226D" w:rsidRPr="00383A0F">
        <w:rPr>
          <w:rFonts w:ascii="Book Antiqua" w:hAnsi="Book Antiqua" w:cs="Arial"/>
          <w:color w:val="000000" w:themeColor="text1"/>
          <w:lang w:val="en-US"/>
        </w:rPr>
        <w:t>3</w:t>
      </w:r>
      <w:r w:rsidR="00B9721F" w:rsidRPr="00383A0F">
        <w:rPr>
          <w:rFonts w:ascii="Book Antiqua" w:hAnsi="Book Antiqua" w:cs="Arial"/>
          <w:color w:val="000000" w:themeColor="text1"/>
          <w:lang w:val="en-US"/>
        </w:rPr>
        <w:t xml:space="preserve"> grades (from </w:t>
      </w:r>
      <w:r w:rsidR="0076226D" w:rsidRPr="00383A0F">
        <w:rPr>
          <w:rFonts w:ascii="Book Antiqua" w:hAnsi="Book Antiqua" w:cs="Arial"/>
          <w:color w:val="000000" w:themeColor="text1"/>
          <w:lang w:val="en-US"/>
        </w:rPr>
        <w:t>one organ failure</w:t>
      </w:r>
      <w:r w:rsidR="00B9721F" w:rsidRPr="00383A0F">
        <w:rPr>
          <w:rFonts w:ascii="Book Antiqua" w:hAnsi="Book Antiqua" w:cs="Arial"/>
          <w:color w:val="000000" w:themeColor="text1"/>
          <w:lang w:val="en-US"/>
        </w:rPr>
        <w:t xml:space="preserve"> to 3 or more organ failures). Each grade is associated with increasing transplant-free short-term mortality rate, ranging from 14.6% (for ACLF 1) to 78.6% (for ACLF 3) at 28 d</w:t>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{"citationID":"moZaVBkV","properties":{"formattedCitation":"\\super [36]\\nosupersub{}","plainCitation":"[36]","noteIndex":0},"citationItems":[{"id":124,"uris":["http://zotero.org/users/local/BE2xVPev/items/V52VEM8W"],"uri":["http://zotero.org/users/local/BE2xVPev/items/V52VEM8W"],"itemData":{"id":124,"type":"article-journal","title":"Acute-on-chronic liver failure is a distinct syndrome that develops in patients with acute decompensation of cirrhosis","container-title":"Gastroenterology","page":"1426-1437, 1437.e1-9","volume":"144","issue":"7","source":"PubMed","abstract":"BACKGROUND &amp; AIMS: Patients with cirrhosis hospitalized for an acute decompensation (AD) and organ failure are at risk for imminent death and considered to have acute-on-chronic liver failure (ACLF). However, there are no established diagnostic criteria for ACLF, so little is known about its development and progression. We aimed to identify diagnostic criteria of ACLF and describe the development of this syndrome in European patients with AD.\nMETHODS: We collected data from 1343 hospitalized patients with cirrhosis and AD from February to September 2011 at 29 liver units in 8 European countries. We used the organ failure and mortality data to define ACLF grades, assess mortality, and identify differences between ACLF and AD. We established diagnostic criteria for ACLF based on analyses of patients with organ failure (defined by the chronic liver failure-sequential organ failure assessment [CLIF-SOFA] score) and high 28-day mortality rate (&gt;15%).\nRESULTS: Of the patients assessed, 303 had ACLF when the study began, 112 developed ACLF, and 928 did not have ACLF. The 28-day mortality rate among patients who had ACLF when the study began was 33.9%, among those who developed ACLF was 29.7%, and among those who did not have ACLF was 1.9%. Patients with ACLF were younger and more frequently alcoholic, had more associated bacterial infections, and had higher numbers of leukocytes and higher plasma levels of C-reactive protein than patients without ACLF (P &lt; .001). Higher CLIF-SOFA scores and leukocyte counts were independent predictors of mortality in patients with ACLF. In patients without a prior history of AD, ACLF was unexpectedly characterized by higher numbers of organ failures, leukocyte count, and mortality compared with ACLF in patients with a prior history of AD.\nCONCLUSIONS: We analyzed data from patients with cirrhosis and AD to establish diagnostic criteria for ACLF and showed that it is distinct from AD, based not only on the presence of organ failure(s) and high mortality rate but also on age, precipitating events, and systemic inflammation. ACLF mortality is associated with loss of organ function and high leukocyte counts. ACLF is especially severe in patients with no prior history of AD.","DOI":"10.1053/j.gastro.2013.02.042","ISSN":"1528-0012","note":"PMID: 23474284","journalAbbreviation":"Gastroenterology","language":"eng","author":[{"family":"Moreau","given":"Richard"},{"family":"Jalan","given":"Rajiv"},{"family":"Gines","given":"Pere"},{"family":"Pavesi","given":"Marco"},{"family":"Angeli","given":"Paolo"},{"family":"Cordoba","given":"Juan"},{"family":"Durand","given":"Francois"},{"family":"Gustot","given":"Thierry"},{"family":"Saliba","given":"Faouzi"},{"family":"Domenicali","given":"Marco"},{"family":"Gerbes","given":"Alexander"},{"family":"Wendon","given":"Julia"},{"family":"Alessandria","given":"Carlo"},{"family":"Laleman","given":"Wim"},{"family":"Zeuzem","given":"Stefan"},{"family":"Trebicka","given":"Jonel"},{"family":"Bernardi","given":"Mauro"},{"family":"Arroyo","given":"Vicente"},{"literal":"CANONIC Study Investigators of the EASL–CLIF Consortium"}],"issued":{"date-parts":[["2013",6]]}}}],"schema":"https://github.com/citation-style-language/schema/raw/master/csl-citation.json"}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[36]</w:t>
      </w:r>
      <w:r w:rsidR="00B9721F"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t>. The individual benefit of LT for patients with ACLF 3 has been demonstrated in the CANONIC cohort</w:t>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{"citationID":"5fx8aGop","properties":{"formattedCitation":"\\super [42]\\nosupersub{}","plainCitation":"[42]","noteIndex":0},"citationItems":[{"id":414,"uris":["http://zotero.org/users/local/BE2xVPev/items/67SXJS6I"],"uri":["http://zotero.org/users/local/BE2xVPev/items/67SXJS6I"],"itemData":{"id":414,"type":"article-journal","title":"Clinical Course of acute-on-chronic liver failure syndrome and effects on prognosis","container-title":"Hepatology (Baltimore, Md.)","page":"243-252","volume":"62","issue":"1","source":"PubMed","abstract":"Acute-on-chronic liver failure (ACLF) is characterized by acute decompensation (AD) of cirrhosis, organ failure(s), and high 28-day mortality. We investigated whether assessments of patients at specific time points predicted their need for liver transplantation (LT) or the potential futility of their care. We assessed clinical courses of 388 patients who had ACLF at enrollment, from February through September 2011, or during early (28-day) follow-up of the prospective multicenter European Chronic Liver Failure (CLIF) ACLF in Cirrhosis study. We assessed ACLF grades at different time points to define disease resolution, improvement, worsening, or steady or fluctuating course. ACLF resolved or improved in 49.2%, had a steady or fluctuating course in 30.4%, and worsened in 20.4%. The 28-day transplant-free mortality was low-to-moderate (6%-18%) in patients with nonsevere early course (final no ACLF or ACLF-1) and high-to-very high (42%-92%) in those with severe early course (final ACLF-2 or -3) independently of initial grades. Independent predictors of course severity were CLIF Consortium ACLF score (CLIF-C ACLFs) and presence of liver failure (total bilirubin ≥12 mg/dL) at ACLF diagnosis. Eighty-one percent had their final ACLF grade at 1 week, resulting in accurate prediction of short- (28-day) and mid-term (90-day) mortality by ACLF grade at 3-7 days. Among patients that underwent early LT, 75% survived for at least 1 year. Among patients with ≥4 organ failures, or CLIF-C ACLFs &gt;64 at days 3-7 days, and did not undergo LT, mortality was 100% by 28 days.\nCONCLUSIONS: Assessment of ACLF patients at 3-7 days of the syndrome provides a tool to define the emergency of LT and a rational basis for intensive care discontinuation owing to futility.","DOI":"10.1002/hep.27849","ISSN":"1527-3350","note":"PMID: 25877702","journalAbbreviation":"Hepatology","language":"eng","author":[{"family":"Gustot","given":"Thierry"},{"family":"Fernandez","given":"Javier"},{"family":"Garcia","given":"Elisabet"},{"family":"Morando","given":"Filippo"},{"family":"Caraceni","given":"Paolo"},{"family":"Alessandria","given":"Carlo"},{"family":"Laleman","given":"Wim"},{"family":"Trebicka","given":"Jonel"},{"family":"Elkrief","given":"Laure"},{"family":"Hopf","given":"Corinna"},{"family":"Solís-Munoz","given":"Pablo"},{"family":"Saliba","given":"Faouzi"},{"family":"Zeuzem","given":"Stefan"},{"family":"Albillos","given":"Augustin"},{"family":"Benten","given":"Daniel"},{"family":"Montero-Alvarez","given":"José Luis"},{"family":"Chivas","given":"Maria Teresa"},{"family":"Concepción","given":"Mar"},{"family":"Córdoba","given":"Juan"},{"family":"McCormick","given":"Aiden"},{"family":"Stauber","given":"Rudolf"},{"family":"Vogel","given":"Wolfgang"},{"family":"Gottardi","given":"Andrea","non-dropping-particle":"de"},{"family":"Welzel","given":"Tania M."},{"family":"Domenicali","given":"Marco"},{"family":"Risso","given":"Alessandro"},{"family":"Wendon","given":"Julia"},{"family":"Deulofeu","given":"Carme"},{"family":"Angeli","given":"Paolo"},{"family":"Durand","given":"François"},{"family":"Pavesi","given":"Marco"},{"family":"Gerbes","given":"Alexander"},{"family":"Jalan","given":"Rajiv"},{"family":"Moreau","given":"Richard"},{"family":"Ginés","given":"Pere"},{"family":"Bernardi","given":"Mauro"},{"family":"Arroyo","given":"Vicente"},{"literal":"CANONIC Study Investigators of the EASL-CLIF Consortium"}],"issued":{"date-parts":[["2015",7]]}}}],"schema":"https://github.com/citation-style-language/schema/raw/master/csl-citation.json"}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[42]</w:t>
      </w:r>
      <w:r w:rsidR="00B9721F"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t xml:space="preserve"> and confirmed subsequently</w:t>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{"citationID":"TfiDbUzb","properties":{"formattedCitation":"\\super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[10</w:t>
      </w:r>
      <w:r>
        <w:rPr>
          <w:rFonts w:ascii="Book Antiqua" w:hAnsi="Book Antiqua"/>
          <w:color w:val="000000" w:themeColor="text1"/>
          <w:vertAlign w:val="superscript"/>
          <w:lang w:val="en-US"/>
        </w:rPr>
        <w:t>,</w:t>
      </w:r>
      <w:r w:rsidR="00B9721F" w:rsidRPr="00383A0F">
        <w:rPr>
          <w:rFonts w:ascii="Book Antiqua" w:hAnsi="Book Antiqua" w:cs="Arial"/>
          <w:color w:val="000000" w:themeColor="text1"/>
          <w:lang w:val="en-US"/>
        </w:rPr>
        <w:fldChar w:fldCharType="end"/>
      </w:r>
      <w:r w:rsidR="00704E8B"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{"citationID":"3sVnDs3T","properties":{"formattedCitation":"\\super [43]\\nosupersub{}","plainCitation":"[43]","noteIndex":0},"citationItems":[{"id":626,"uris":["http://zotero.org/users/local/BE2xVPev/items/J6AD8CWZ"],"uri":["http://zotero.org/users/local/BE2xVPev/items/J6AD8CWZ"],"itemData":{"id":626,"type":"article-journal","title":"Liver transplantation in patients with multiple organ failures: Feasibility and outcomes","container-title":"Journal of Hepatology","source":"PubMed","abstract":"BACKGROUND &amp; AIMS: Multiple organ failures (OFs) are common in patients with cirrhosis, but the independent effect of the number or type of OFs on liver transplantation (LT) outcomes is not well defined.\nMETHOD: United Network for Organ Sharing data were analyzed from 2002 to 2016 for all adults listed for LT who received an LT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after listing. We estimated post-LT survival stratified by number and type of pre-transplant OFs before and after adjusting for confounding variables.\nRESULTS: During the study period, 4,714 (4.1%) patients died and 19,375 (16.6%) patients were transplanted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of listing. One or more OF were more common in those who were transplanted (57.4%) compared to those without LT (9.5%). The probability of staying alive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on the waiting list without LT decreased with increasing number of OFs; while 90% were alive without OF, only 20% were alive with two OFs, and 2-8% with three or more OFs. The interval between listing and transplantation decreased with an increase in OFs, and the median time to transplant after listing was only 4-5</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with three or more OFs. Although the risk of post-LT mortality increased with increasing number of OFs, the 90-day patient survival was 90% and one-year survival was 81% in the presence of 5-6 OFs. The number of OFs was an independent predictor of survival, but the maximum difference in one-year graft or patient survival between those without OF and those with 5-6 OFs was only 9%. Additionally, the type of OF had minimal impact on outcomes.\nCONCLUSIONS: Liver transplantation is feasible with excellent outcomes, even in the presence of five or six OFs.\nLAY SUMMARY: Multiple organ failures, ranging from 1-6, are common in hospitalized patients with cirrhosis. The survival without liver transplant is dismal in the presence of three or more organ failures. Small retrospective studies have shown that liver transplant is feasible with good outcomes even in the presence of multiple organ failures. In this study, using a large national dataset, we show that survival chances for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days in those with three or more organ failures are less than 8%. However, if a liver transplant is performed quickly, the survival chances are very high with one-year survival ranging from 84% with three organ failures to 81% with 5-6 organ failures.","DOI":"10.1016/j.jhep.2018.07.007","ISSN":"1600-0641","note":"PMID: 30071241","shortTitle":"Liver transplantation in patients with multiple organ failures","journalAbbreviation":"J. Hepatol.","language":"eng","author":[{"family":"Thuluvath","given":"Paul J."},{"family":"Thuluvath","given":"Avesh J."},{"family":"Hanish","given":"Steven"},{"family":"Savva","given":"Yulia"}],"issued":{"date-parts":[["2018",7,31]]}}}],"schema":"https://github.com/citation-style-language/schema/raw/master/csl-citation.json"} </w:instrText>
      </w:r>
      <w:r w:rsidR="00704E8B"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43]</w:t>
      </w:r>
      <w:r w:rsidR="00704E8B" w:rsidRPr="00383A0F">
        <w:rPr>
          <w:rFonts w:ascii="Book Antiqua" w:hAnsi="Book Antiqua" w:cs="Arial"/>
          <w:color w:val="000000" w:themeColor="text1"/>
          <w:lang w:val="en-US"/>
        </w:rPr>
        <w:fldChar w:fldCharType="end"/>
      </w:r>
      <w:r w:rsidR="00704E8B" w:rsidRPr="00383A0F">
        <w:rPr>
          <w:rFonts w:ascii="Book Antiqua" w:hAnsi="Book Antiqua" w:cs="Arial"/>
          <w:color w:val="000000" w:themeColor="text1"/>
          <w:lang w:val="en-US"/>
        </w:rPr>
        <w:t>.</w:t>
      </w:r>
      <w:r w:rsidR="00B9721F" w:rsidRPr="00383A0F">
        <w:rPr>
          <w:rFonts w:ascii="Book Antiqua" w:hAnsi="Book Antiqua" w:cs="Arial"/>
          <w:color w:val="000000" w:themeColor="text1"/>
          <w:lang w:val="en-US"/>
        </w:rPr>
        <w:t xml:space="preserve"> What remains under debate is the extent to which the severity of ACLF patients affects their post-transplant outcome. In fact, </w:t>
      </w:r>
      <w:r w:rsidR="00B9721F" w:rsidRPr="00383A0F">
        <w:rPr>
          <w:rFonts w:ascii="Book Antiqua" w:hAnsi="Book Antiqua" w:cs="Arial"/>
          <w:color w:val="000000" w:themeColor="text1"/>
          <w:lang w:val="en-US"/>
        </w:rPr>
        <w:lastRenderedPageBreak/>
        <w:t xml:space="preserve">whether ACLF patients (all grades considered) suffer from significantly worse </w:t>
      </w:r>
      <w:r w:rsidR="0076226D" w:rsidRPr="00383A0F">
        <w:rPr>
          <w:rFonts w:ascii="Book Antiqua" w:hAnsi="Book Antiqua" w:cs="Arial"/>
          <w:color w:val="000000" w:themeColor="text1"/>
          <w:lang w:val="en-US"/>
        </w:rPr>
        <w:t xml:space="preserve">post-transplant </w:t>
      </w:r>
      <w:r w:rsidR="00B9721F" w:rsidRPr="00383A0F">
        <w:rPr>
          <w:rFonts w:ascii="Book Antiqua" w:hAnsi="Book Antiqua" w:cs="Arial"/>
          <w:color w:val="000000" w:themeColor="text1"/>
          <w:lang w:val="en-US"/>
        </w:rPr>
        <w:t>outcomes than non-ACLF patients is in itself controversial. In 2017, a single-center study showed that ACLF was associated with a significantly higher post-transplant mortality than that shown in non-ACLF patients</w:t>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{"citationID":"GLqqAgCk","properties":{"formattedCitation":"\\super [19]\\nosupersub{}","plainCitation":"[19]","noteIndex":0},"citationItems":[{"id":355,"uris":["http://zotero.org/users/local/BE2xVPev/items/ZEQZ3F28"],"uri":["http://zotero.org/users/local/BE2xVPev/items/ZEQZ3F28"],"itemData":{"id":355,"type":"article-journal","title":"Impact of acute-on-chronic liver failure on 90-day mortality following a first liver transplantation","container-title":"Liver International: Official Journal of the International Association for the Study of the Liver","page":"684-693","volume":"37","issue":"5","source":"PubMed","abstract":"BACKGROUND: Acute-on-chronic liver failure (ACLF) is associated with a significant short-term mortality rate (23%-74%), depending on the number of organ failures. Some patients present with ACLF at the time of liver transplantation (LT). The aim of this study was to assess whether ACLF was also a prognostic factor after LT and, if applicable, to construct a score that could predict 90-day mortality.\nMETHODS: Three hundred and fifty cirrhotic patients, who underwent LT between January 2008 and December 2013, were enrolled. We used ACLF grades according to EASL-CLIF consortium criteria to categorize the cirrhotic patients. A propensity score was applied with an Inverse Probability Treatment Weighting in a Cox model. A predictive score of early mortality after LT was generated.\nRESULTS: One hundred and forty patients (40%) met the criteria for ACLF. The overall mortality rate at 90 days post-transplant was 10.6% (37/350 patients). ACLF at the time of LT (HR: 5.78 [3.42-9.77], P&lt;.001) was an independent predictor of 90-day mortality. Infection occurring during the month before LT, high recipient age and male recipient, the reason for LT and a female donor were also independent risk factors for early mortality. Using these factors, we have proposed a model to predict 90-day mortality after LT.\nCONCLUSIONS: LT is feasible in cirrhotic patients with ACLF. However, we have shown that ACLF is a significant and independent predictor of 90-day mortality. We propose a score that can identify candidate cirrhotic patients in whom LT might be associated with futile LT.","DOI":"10.1111/liv.13355","ISSN":"1478-3231","note":"PMID: 28052486","journalAbbreviation":"Liver Int.","language":"eng","author":[{"family":"Levesque","given":"Eric"},{"family":"Winter","given":"Audrey"},{"family":"Noorah","given":"Zaid"},{"family":"Daurès","given":"Jean-Pierre"},{"family":"Landais","given":"Paul"},{"family":"Feray","given":"Cyrille"},{"family":"Azoulay","given":"Daniel"}],"issued":{"date-parts":[["2017",5]]}}}],"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[19]</w:t>
      </w:r>
      <w:r w:rsidR="00B9721F"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t xml:space="preserve">. The 30 patients with ACLF 3 who were transplanted </w:t>
      </w:r>
      <w:r w:rsidR="0076226D" w:rsidRPr="00383A0F">
        <w:rPr>
          <w:rFonts w:ascii="Book Antiqua" w:hAnsi="Book Antiqua" w:cs="Arial"/>
          <w:color w:val="000000" w:themeColor="text1"/>
          <w:lang w:val="en-US"/>
        </w:rPr>
        <w:t xml:space="preserve">in that cohort </w:t>
      </w:r>
      <w:r w:rsidR="00B9721F" w:rsidRPr="00383A0F">
        <w:rPr>
          <w:rFonts w:ascii="Book Antiqua" w:hAnsi="Book Antiqua" w:cs="Arial"/>
          <w:color w:val="000000" w:themeColor="text1"/>
          <w:lang w:val="en-US"/>
        </w:rPr>
        <w:t>had a remarkably low one-year survival rate of 43.3%. The same year, a multi-center study reported opposite results, with a one-year survival rate of 83.6% for ACLF 3 patients</w:t>
      </w:r>
      <w:r w:rsidR="0076226D" w:rsidRPr="00383A0F">
        <w:rPr>
          <w:rFonts w:ascii="Book Antiqua" w:hAnsi="Book Antiqua" w:cs="Arial"/>
          <w:color w:val="000000" w:themeColor="text1"/>
          <w:lang w:val="en-US"/>
        </w:rPr>
        <w:t>,</w:t>
      </w:r>
      <w:r w:rsidR="00B9721F" w:rsidRPr="00383A0F">
        <w:rPr>
          <w:rFonts w:ascii="Book Antiqua" w:hAnsi="Book Antiqua" w:cs="Arial"/>
          <w:color w:val="000000" w:themeColor="text1"/>
          <w:lang w:val="en-US"/>
        </w:rPr>
        <w:t xml:space="preserve"> which was not significantly different from the survival rates of ACLF 1 and 2 patients and even from patients without ACLF</w:t>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{"citationID":"JULjr5PA","properties":{"formattedCitation":"\\super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[10]</w:t>
      </w:r>
      <w:r w:rsidR="00B9721F"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t xml:space="preserve">. Our own study, also published in 2017, with 55 ACLF patients in </w:t>
      </w:r>
      <w:r w:rsidR="009B529C" w:rsidRPr="00383A0F">
        <w:rPr>
          <w:rFonts w:ascii="Book Antiqua" w:hAnsi="Book Antiqua" w:cs="Arial"/>
          <w:color w:val="000000" w:themeColor="text1"/>
          <w:lang w:val="en-US"/>
        </w:rPr>
        <w:t xml:space="preserve">the </w:t>
      </w:r>
      <w:r w:rsidR="00B9721F" w:rsidRPr="00383A0F">
        <w:rPr>
          <w:rFonts w:ascii="Book Antiqua" w:hAnsi="Book Antiqua" w:cs="Arial"/>
          <w:color w:val="000000" w:themeColor="text1"/>
          <w:lang w:val="en-US"/>
        </w:rPr>
        <w:t>ICU prior to transplantation, reports an “intermediate” one-year survival rate of 60%</w:t>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{"citationID":"UOWjXsGe","properties":{"formattedCitation":"\\super [44]\\nosupersub{}","plainCitation":"[44]","noteIndex":0},"citationItems":[{"id":337,"uris":["http://zotero.org/users/local/BE2xVPev/items/LIQHZU2B"],"uri":["http://zotero.org/users/local/BE2xVPev/items/LIQHZU2B"],"itemData":{"id":337,"type":"article-journal","title":"Liver transplantation in critically ill patients: Preoperative predictive factors of post-transplant mortality to avoid futility","container-title":"Clinical Transplantation","volume":"31","issue":"12","source":"PubMed","abstract":"BACKGROUND: The allocation of liver transplants to patients with acute liver failure (ALF) and acute-on-chronic liver failure (ACLF) with multi-organ failure who are admitted in ICU remains controversial due to their high post-transplant mortality rate and the absence of identified mortality risk factors.\nMETHODS: We performed a single-center retrospective cohort study to determine the post-transplant mortality rate of patients with ALF and ACLF requiring ICU care prior to liver transplant (LT) and identified pretransplant factors of post-transplant mortality.\nRESULTS: Eighty-four patients (29 with ALF and 55 with ACLF) received a liver transplant while they were hospitalized at the ICU. Their mean model for end-stage liver disease (MELD) score was 41, and their mean sequential organ failure assessment (SOFA) was 15 the day before transplant. The overall 1-year survival rate was 66%. In multivariate analysis, pretransplant lactate level and acute respiratory distress syndrome (ARDS) were the only two independent factors associated with post-transplant mortality. The absence of ARDS and a pretransplant lactate level&lt; 5 mmol/L led to the identification of a subgroup of ICU patients with a good 1-year post-transplant survival (&gt;80%).\nCONCLUSIONS: Low lactatemia lactate level and the absence of ARDS could be useful criteria in selecting those patients in ICU who could be eligible for liver transplant.","DOI":"10.1111/ctr.13115","ISSN":"1399-0012","note":"PMID: 28895204","shortTitle":"Liver transplantation in critically ill patients","journalAbbreviation":"Clin Transplant","language":"eng","author":[{"family":"Michard","given":"Baptiste"},{"family":"Artzner","given":"Thierry"},{"family":"Lebas","given":"Benjamin"},{"family":"Besch","given":"Camille"},{"family":"Guillot","given":"Max"},{"family":"Faitot","given":"François"},{"family":"Lefebvre","given":"François"},{"family":"Bachellier","given":"Philippe"},{"family":"Castelain","given":"Vincent"},{"family":"Maestraggi","given":"Quentin"},{"family":"Schneider","given":"Francis"}],"issued":{"date-parts":[["2017",12]]}}}],"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[44]</w:t>
      </w:r>
      <w:r w:rsidR="00B9721F"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t xml:space="preserve">. </w:t>
      </w:r>
      <w:r w:rsidR="00C02B74" w:rsidRPr="00383A0F">
        <w:rPr>
          <w:rFonts w:ascii="Book Antiqua" w:hAnsi="Book Antiqua" w:cs="Arial"/>
          <w:color w:val="000000" w:themeColor="text1"/>
          <w:lang w:val="en-US"/>
        </w:rPr>
        <w:t>A</w:t>
      </w:r>
      <w:r w:rsidR="00B9721F" w:rsidRPr="00383A0F">
        <w:rPr>
          <w:rFonts w:ascii="Book Antiqua" w:hAnsi="Book Antiqua" w:cs="Arial"/>
          <w:color w:val="000000" w:themeColor="text1"/>
          <w:lang w:val="en-US"/>
        </w:rPr>
        <w:t xml:space="preserve"> South Korea</w:t>
      </w:r>
      <w:r w:rsidR="00C02B74" w:rsidRPr="00383A0F">
        <w:rPr>
          <w:rFonts w:ascii="Book Antiqua" w:hAnsi="Book Antiqua" w:cs="Arial"/>
          <w:color w:val="000000" w:themeColor="text1"/>
          <w:lang w:val="en-US"/>
        </w:rPr>
        <w:t>n study</w:t>
      </w:r>
      <w:r w:rsidR="00B9721F" w:rsidRPr="00383A0F">
        <w:rPr>
          <w:rFonts w:ascii="Book Antiqua" w:hAnsi="Book Antiqua" w:cs="Arial"/>
          <w:color w:val="000000" w:themeColor="text1"/>
          <w:lang w:val="en-US"/>
        </w:rPr>
        <w:t xml:space="preserve">, </w:t>
      </w:r>
      <w:r w:rsidR="00C02B74" w:rsidRPr="00383A0F">
        <w:rPr>
          <w:rFonts w:ascii="Book Antiqua" w:hAnsi="Book Antiqua" w:cs="Arial"/>
          <w:color w:val="000000" w:themeColor="text1"/>
          <w:lang w:val="en-US"/>
        </w:rPr>
        <w:t>focusing</w:t>
      </w:r>
      <w:r w:rsidR="00B9721F" w:rsidRPr="00383A0F">
        <w:rPr>
          <w:rFonts w:ascii="Book Antiqua" w:hAnsi="Book Antiqua" w:cs="Arial"/>
          <w:color w:val="000000" w:themeColor="text1"/>
          <w:lang w:val="en-US"/>
        </w:rPr>
        <w:t xml:space="preserve"> </w:t>
      </w:r>
      <w:r w:rsidR="0076226D" w:rsidRPr="00383A0F">
        <w:rPr>
          <w:rFonts w:ascii="Book Antiqua" w:hAnsi="Book Antiqua" w:cs="Arial"/>
          <w:color w:val="000000" w:themeColor="text1"/>
          <w:lang w:val="en-US"/>
        </w:rPr>
        <w:t xml:space="preserve">exclusively </w:t>
      </w:r>
      <w:r w:rsidR="00B9721F" w:rsidRPr="00383A0F">
        <w:rPr>
          <w:rFonts w:ascii="Book Antiqua" w:hAnsi="Book Antiqua" w:cs="Arial"/>
          <w:color w:val="000000" w:themeColor="text1"/>
          <w:lang w:val="en-US"/>
        </w:rPr>
        <w:t xml:space="preserve">living donors but using the EASL-ACLF definition did not find significantly different </w:t>
      </w:r>
      <w:r w:rsidR="00E24E5F" w:rsidRPr="00383A0F">
        <w:rPr>
          <w:rFonts w:ascii="Book Antiqua" w:hAnsi="Book Antiqua" w:cs="Arial"/>
          <w:color w:val="000000" w:themeColor="text1"/>
          <w:lang w:val="en-US"/>
        </w:rPr>
        <w:t>post-transplant</w:t>
      </w:r>
      <w:r w:rsidR="00B9721F" w:rsidRPr="00383A0F">
        <w:rPr>
          <w:rFonts w:ascii="Book Antiqua" w:hAnsi="Book Antiqua" w:cs="Arial"/>
          <w:color w:val="000000" w:themeColor="text1"/>
          <w:lang w:val="en-US"/>
        </w:rPr>
        <w:t xml:space="preserve"> patient survival between the various ACLF grades</w:t>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{"citationID":"fnntOd2p","properties":{"formattedCitation":"\\super [45]\\nosupersub{}","plainCitation":"[45]","noteIndex":0},"citationItems":[{"id":529,"uris":["http://zotero.org/users/local/BE2xVPev/items/JUSGMV3Z"],"uri":["http://zotero.org/users/local/BE2xVPev/items/JUSGMV3Z"],"itemData":{"id":529,"type":"article-journal","title":"Adult Living Donor Liver Transplantation for Acute-on-Chronic Liver Failure in High-Model for End-Stage Liver Disease Score Patients","container-title":"American Journal of Transplantation: Official Journal of the American Society of Transplantation and the American Society of Transplant Surgeons","page":"1833-1842","volume":"17","issue":"7","source":"PubMed","abstract":"The large volume of adult living donor liver transplantations (ALDLTs) at our center affords a unique opportunity to examine the impact of acute-on-chronic liver failure (ACLF) among high-Model for End-Stage Liver Disease MELD score patients. From February 1998 to March 2010, 1958 cirrhotic recipients were analyzed to study the relationship between MELD scores and ALDLT outcomes. A total of 327 high-MELD score recipients were categorized into ACLF and non-ACLF groups, and their outcomes were compared. The 5-year graft and patient survival in the high-MELD group were 75.2% and 76.4%, respectively, which were significantly worse than the low and intermediate MELD groups. The presence of ACLF associated with higher MELD scores appeared to be the dominant factor responsible for the inferior results of patients with MELD score of 30-34 points. The 5-year graft survivals in the ACLF group was 70.5% and in the non-ACLF group it was 81.0% (p = 0.035). Therefore, ALDLT should be performed as soon as possible in high-MELD score patients prior to ACLF development. Moreover, ACLF patients should be separately categorized when analyzing the outcomes of ALDLT. ALDLT for ACLF patients should not be discouraged because favorable outcomes can be expected through timely ALDLT and comprehensive management.","DOI":"10.1111/ajt.14198","ISSN":"1600-6143","note":"PMID: 28097804\nPMCID: PMC5516156","journalAbbreviation":"Am. J. Transplant.","language":"eng","author":[{"family":"Moon","given":"D.-B."},{"family":"Lee","given":"S.-G."},{"family":"Kang","given":"W.-H."},{"family":"Song","given":"G.-W."},{"family":"Jung","given":"D.-H."},{"family":"Park","given":"G.-C."},{"family":"Cho","given":"H.-D."},{"family":"Jwa","given":"E.-K."},{"family":"Kim","given":"W.-J."},{"family":"Ha","given":"T.-Y."},{"family":"Kim","given":"H.-J."}],"issued":{"date-parts":[["2017",7]]}}}],"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[45]</w:t>
      </w:r>
      <w:r w:rsidR="00B9721F"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t xml:space="preserve">. </w:t>
      </w:r>
      <w:r w:rsidR="00C02B74" w:rsidRPr="00383A0F">
        <w:rPr>
          <w:rFonts w:ascii="Book Antiqua" w:hAnsi="Book Antiqua" w:cs="Arial"/>
          <w:color w:val="000000" w:themeColor="text1"/>
          <w:lang w:val="en-US"/>
        </w:rPr>
        <w:t>Finally, a large UNOS retrospective study found an 81% one-year survival rate for patients with 5-6 organ failures</w:t>
      </w:r>
      <w:r w:rsidR="00704E8B"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{"citationID":"nhCYxPqh","properties":{"formattedCitation":"\\super [43]\\nosupersub{}","plainCitation":"[43]","noteIndex":0},"citationItems":[{"id":626,"uris":["http://zotero.org/users/local/BE2xVPev/items/J6AD8CWZ"],"uri":["http://zotero.org/users/local/BE2xVPev/items/J6AD8CWZ"],"itemData":{"id":626,"type":"article-journal","title":"Liver transplantation in patients with multiple organ failures: Feasibility and outcomes","container-title":"Journal of Hepatology","source":"PubMed","abstract":"BACKGROUND &amp; AIMS: Multiple organ failures (OFs) are common in patients with cirrhosis, but the independent effect of the number or type of OFs on liver transplantation (LT) outcomes is not well defined.\nMETHOD: United Network for Organ Sharing data were analyzed from 2002 to 2016 for all adults listed for LT who received an LT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after listing. We estimated post-LT survival stratified by number and type of pre-transplant OFs before and after adjusting for confounding variables.\nRESULTS: During the study period, 4,714 (4.1%) patients died and 19,375 (16.6%) patients were transplanted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of listing. One or more OF were more common in those who were transplanted (57.4%) compared to those without LT (9.5%). The probability of staying alive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on the waiting list without LT decreased with increasing number of OFs; while 90% were alive without OF, only 20% were alive with two OFs, and 2-8% with three or more OFs. The interval between listing and transplantation decreased with an increase in OFs, and the median time to transplant after listing was only 4-5</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with three or more OFs. Although the risk of post-LT mortality increased with increasing number of OFs, the 90-day patient survival was 90% and one-year survival was 81% in the presence of 5-6 OFs. The number of OFs was an independent predictor of survival, but the maximum difference in one-year graft or patient survival between those without OF and those with 5-6 OFs was only 9%. Additionally, the type of OF had minimal impact on outcomes.\nCONCLUSIONS: Liver transplantation is feasible with excellent outcomes, even in the presence of five or six OFs.\nLAY SUMMARY: Multiple organ failures, ranging from 1-6, are common in hospitalized patients with cirrhosis. The survival without liver transplant is dismal in the presence of three or more organ failures. Small retrospective studies have shown that liver transplant is feasible with good outcomes even in the presence of multiple organ failures. In this study, using a large national dataset, we show that survival chances for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days in those with three or more organ failures are less than 8%. However, if a liver transplant is performed quickly, the survival chances are very high with one-year survival ranging from 84% with three organ failures to 81% with 5-6 organ failures.","DOI":"10.1016/j.jhep.2018.07.007","ISSN":"1600-0641","note":"PMID: 30071241","shortTitle":"Liver transplantation in patients with multiple organ failures","journalAbbreviation":"J. Hepatol.","language":"eng","author":[{"family":"Thuluvath","given":"Paul J."},{"family":"Thuluvath","given":"Avesh J."},{"family":"Hanish","given":"Steven"},{"family":"Savva","given":"Yulia"}],"issued":{"date-parts":[["2018",7,31]]}}}],"schema":"https://github.com/citation-style-language/schema/raw/master/csl-citation.json"} </w:instrText>
      </w:r>
      <w:r w:rsidR="00704E8B"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[43]</w:t>
      </w:r>
      <w:r w:rsidR="00704E8B" w:rsidRPr="00383A0F">
        <w:rPr>
          <w:rFonts w:ascii="Book Antiqua" w:hAnsi="Book Antiqua" w:cs="Arial"/>
          <w:color w:val="000000" w:themeColor="text1"/>
          <w:lang w:val="en-US"/>
        </w:rPr>
        <w:fldChar w:fldCharType="end"/>
      </w:r>
      <w:r>
        <w:rPr>
          <w:rFonts w:ascii="Book Antiqua" w:hAnsi="Book Antiqua" w:cs="Arial"/>
          <w:color w:val="000000" w:themeColor="text1"/>
          <w:lang w:val="en-US"/>
        </w:rPr>
        <w:t>.</w:t>
      </w:r>
    </w:p>
    <w:p w14:paraId="0C00C013" w14:textId="609E84BA" w:rsidR="00B9721F" w:rsidRPr="00383A0F" w:rsidRDefault="00465642"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B9721F" w:rsidRPr="00383A0F">
        <w:rPr>
          <w:rFonts w:ascii="Book Antiqua" w:hAnsi="Book Antiqua" w:cs="Arial"/>
          <w:color w:val="000000" w:themeColor="text1"/>
          <w:lang w:val="en-US"/>
        </w:rPr>
        <w:t xml:space="preserve">An overall picture emerges from these studies. First, the grade of ACLF can reliably be used to assess the transplant-free prognosis of patients. Second, patients with ACLF 3 individually benefit from LT. </w:t>
      </w:r>
      <w:r w:rsidR="0041500E" w:rsidRPr="00383A0F">
        <w:rPr>
          <w:rFonts w:ascii="Book Antiqua" w:hAnsi="Book Antiqua" w:cs="Arial"/>
          <w:color w:val="000000" w:themeColor="text1"/>
          <w:lang w:val="en-US"/>
        </w:rPr>
        <w:t>Third</w:t>
      </w:r>
      <w:r w:rsidR="00B9721F" w:rsidRPr="00383A0F">
        <w:rPr>
          <w:rFonts w:ascii="Book Antiqua" w:hAnsi="Book Antiqua" w:cs="Arial"/>
          <w:color w:val="000000" w:themeColor="text1"/>
          <w:lang w:val="en-US"/>
        </w:rPr>
        <w:t>, the grade of ACLF cannot be used to gain insight into the post-transplant outcome of the highest-acuity patients. This observation leads to two pragmatic points concerning future research on LT for ACLF 3 patients. First, the exact</w:t>
      </w:r>
      <w:r w:rsidR="00B9721F" w:rsidRPr="00465642">
        <w:rPr>
          <w:rFonts w:ascii="Book Antiqua" w:hAnsi="Book Antiqua" w:cs="Arial"/>
          <w:color w:val="000000" w:themeColor="text1"/>
          <w:lang w:val="en-US"/>
        </w:rPr>
        <w:t xml:space="preserve"> number</w:t>
      </w:r>
      <w:r w:rsidR="00B9721F" w:rsidRPr="00383A0F">
        <w:rPr>
          <w:rFonts w:ascii="Book Antiqua" w:hAnsi="Book Antiqua" w:cs="Arial"/>
          <w:color w:val="000000" w:themeColor="text1"/>
          <w:lang w:val="en-US"/>
        </w:rPr>
        <w:t xml:space="preserve"> of organ failures should be considered when reporting outcomes of patients transplanted with ACLF 3 (</w:t>
      </w:r>
      <w:r w:rsidR="00B9721F" w:rsidRPr="00465642">
        <w:rPr>
          <w:rFonts w:ascii="Book Antiqua" w:hAnsi="Book Antiqua" w:cs="Arial"/>
          <w:i/>
          <w:color w:val="000000" w:themeColor="text1"/>
          <w:lang w:val="en-US"/>
        </w:rPr>
        <w:t>i.e.</w:t>
      </w:r>
      <w:r w:rsidR="00B9721F" w:rsidRPr="00383A0F">
        <w:rPr>
          <w:rFonts w:ascii="Book Antiqua" w:hAnsi="Book Antiqua" w:cs="Arial"/>
          <w:color w:val="000000" w:themeColor="text1"/>
          <w:lang w:val="en-US"/>
        </w:rPr>
        <w:t xml:space="preserve"> whether patients </w:t>
      </w:r>
      <w:r w:rsidR="0076226D" w:rsidRPr="00383A0F">
        <w:rPr>
          <w:rFonts w:ascii="Book Antiqua" w:hAnsi="Book Antiqua" w:cs="Arial"/>
          <w:color w:val="000000" w:themeColor="text1"/>
          <w:lang w:val="en-US"/>
        </w:rPr>
        <w:t xml:space="preserve">have </w:t>
      </w:r>
      <w:r w:rsidR="00B9721F" w:rsidRPr="00383A0F">
        <w:rPr>
          <w:rFonts w:ascii="Book Antiqua" w:hAnsi="Book Antiqua" w:cs="Arial"/>
          <w:color w:val="000000" w:themeColor="text1"/>
          <w:lang w:val="en-US"/>
        </w:rPr>
        <w:t xml:space="preserve">3, 4, 5 or 6 organ failures). Second, the </w:t>
      </w:r>
      <w:r w:rsidR="00B9721F" w:rsidRPr="00465642">
        <w:rPr>
          <w:rFonts w:ascii="Book Antiqua" w:hAnsi="Book Antiqua" w:cs="Arial"/>
          <w:color w:val="000000" w:themeColor="text1"/>
          <w:lang w:val="en-US"/>
        </w:rPr>
        <w:t>nature</w:t>
      </w:r>
      <w:r w:rsidR="00B9721F" w:rsidRPr="00383A0F">
        <w:rPr>
          <w:rFonts w:ascii="Book Antiqua" w:hAnsi="Book Antiqua" w:cs="Arial"/>
          <w:i/>
          <w:color w:val="000000" w:themeColor="text1"/>
          <w:lang w:val="en-US"/>
        </w:rPr>
        <w:t xml:space="preserve"> </w:t>
      </w:r>
      <w:r w:rsidR="00B9721F" w:rsidRPr="00383A0F">
        <w:rPr>
          <w:rFonts w:ascii="Book Antiqua" w:hAnsi="Book Antiqua" w:cs="Arial"/>
          <w:color w:val="000000" w:themeColor="text1"/>
          <w:lang w:val="en-US"/>
        </w:rPr>
        <w:t xml:space="preserve">of the organ failure should be investigated to determine which organ failures are most </w:t>
      </w:r>
      <w:r w:rsidR="0076226D" w:rsidRPr="00383A0F">
        <w:rPr>
          <w:rFonts w:ascii="Book Antiqua" w:hAnsi="Book Antiqua" w:cs="Arial"/>
          <w:color w:val="000000" w:themeColor="text1"/>
          <w:lang w:val="en-US"/>
        </w:rPr>
        <w:t xml:space="preserve">relevant </w:t>
      </w:r>
      <w:r w:rsidR="00B9721F" w:rsidRPr="00383A0F">
        <w:rPr>
          <w:rFonts w:ascii="Book Antiqua" w:hAnsi="Book Antiqua" w:cs="Arial"/>
          <w:color w:val="000000" w:themeColor="text1"/>
          <w:lang w:val="en-US"/>
        </w:rPr>
        <w:t xml:space="preserve">in determining </w:t>
      </w:r>
      <w:r w:rsidR="00E24E5F" w:rsidRPr="00383A0F">
        <w:rPr>
          <w:rFonts w:ascii="Book Antiqua" w:hAnsi="Book Antiqua" w:cs="Arial"/>
          <w:color w:val="000000" w:themeColor="text1"/>
          <w:lang w:val="en-US"/>
        </w:rPr>
        <w:t>post-transplant</w:t>
      </w:r>
      <w:r w:rsidR="00B9721F" w:rsidRPr="00383A0F">
        <w:rPr>
          <w:rFonts w:ascii="Book Antiqua" w:hAnsi="Book Antiqua" w:cs="Arial"/>
          <w:color w:val="000000" w:themeColor="text1"/>
          <w:lang w:val="en-US"/>
        </w:rPr>
        <w:t xml:space="preserve"> outcome</w:t>
      </w:r>
      <w:r w:rsidR="00707081" w:rsidRPr="00383A0F">
        <w:rPr>
          <w:rFonts w:ascii="Book Antiqua" w:hAnsi="Book Antiqua" w:cs="Arial"/>
          <w:color w:val="000000" w:themeColor="text1"/>
          <w:lang w:val="en-US"/>
        </w:rPr>
        <w:fldChar w:fldCharType="begin"/>
      </w:r>
      <w:r w:rsidR="00707081" w:rsidRPr="00383A0F">
        <w:rPr>
          <w:rFonts w:ascii="Book Antiqua" w:hAnsi="Book Antiqua" w:cs="Arial"/>
          <w:color w:val="000000" w:themeColor="text1"/>
          <w:lang w:val="en-US"/>
        </w:rPr>
        <w:instrText xml:space="preserve"> ADDIN ZOTERO_ITEM CSL_CITATION {"citationID":"2EQXhEbZ","properties":{"formattedCitation":"\\super [46]\\nosupersub{}","plainCitation":"[46]","noteIndex":0},"citationItems":[{"id":343,"uris":["http://zotero.org/users/local/BE2xVPev/items/8LMDS9U8"],"uri":["http://zotero.org/users/local/BE2xVPev/items/8LMDS9U8"],"itemData":{"id":343,"type":"article-journal","title":"Reply to: \"Liver transplantation for grade 3 acute-on-chronic liver failure: Type of organ failure is important\"","container-title":"Journal of Hepatology","source":"PubMed","DOI":"10.1016/j.jhep.2017.10.022","ISSN":"1600-0641","note":"PMID: 29100997","shortTitle":"Reply to","journalAbbreviation":"J. Hepatol.","language":"eng","author":[{"family":"Artru","given":"Florent"},{"family":"Louvet","given":"Alexandre"}],"issued":{"date-parts":[["2017",10,31]]}}}],"schema":"https://github.com/citation-style-language/schema/raw/master/csl-citation.json"} </w:instrText>
      </w:r>
      <w:r w:rsidR="00707081" w:rsidRPr="00383A0F">
        <w:rPr>
          <w:rFonts w:ascii="Book Antiqua" w:hAnsi="Book Antiqua" w:cs="Arial"/>
          <w:color w:val="000000" w:themeColor="text1"/>
          <w:lang w:val="en-US"/>
        </w:rPr>
        <w:fldChar w:fldCharType="separate"/>
      </w:r>
      <w:r w:rsidR="00707081" w:rsidRPr="00383A0F">
        <w:rPr>
          <w:rFonts w:ascii="Book Antiqua" w:hAnsi="Book Antiqua"/>
          <w:color w:val="000000" w:themeColor="text1"/>
          <w:vertAlign w:val="superscript"/>
          <w:lang w:val="en-US"/>
        </w:rPr>
        <w:t>[46,</w:t>
      </w:r>
      <w:r w:rsidR="00707081"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{"citationID":"JyEL0utq","properties":{"formattedCitation":"\\super [47]\\nosupersub{}","plainCitation":"[47]","noteIndex":0},"citationItems":[{"id":353,"uris":["http://zotero.org/users/local/BE2xVPev/items/8FIM5CEJ"],"uri":["http://zotero.org/users/local/BE2xVPev/items/8FIM5CEJ"],"itemData":{"id":353,"type":"article-journal","title":"Liver transplantation for grade 3 acute-on-chronic liver failure: Type of organ failure is important","container-title":"Journal of Hepatology","source":"PubMed","DOI":"10.1016/j.jhep.2017.09.030","ISSN":"1600-0641","note":"PMID: 29100998","shortTitle":"Liver transplantation for grade 3 acute-on-chronic liver failure","journalAbbreviation":"J. Hepatol.","language":"eng","author":[{"family":"Choudhary","given":"Narendra Singh"},{"family":"Saraf","given":"Neeraj"},{"family":"Soin","given":"Arvinder S."}],"issued":{"date-parts":[["2017",10,31]]}}}],"schema":"https://github.com/citation-style-language/schema/raw/master/csl-citation.json"}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47]</w:t>
      </w:r>
      <w:r w:rsidR="00B9721F"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t xml:space="preserve">. </w:t>
      </w:r>
    </w:p>
    <w:p w14:paraId="3521FB27" w14:textId="77777777" w:rsidR="00B9721F" w:rsidRPr="00383A0F" w:rsidRDefault="00B9721F" w:rsidP="00383A0F">
      <w:pPr>
        <w:adjustRightInd w:val="0"/>
        <w:snapToGrid w:val="0"/>
        <w:spacing w:line="360" w:lineRule="auto"/>
        <w:jc w:val="both"/>
        <w:rPr>
          <w:rFonts w:ascii="Book Antiqua" w:hAnsi="Book Antiqua" w:cs="Arial"/>
          <w:color w:val="000000" w:themeColor="text1"/>
          <w:lang w:val="en-US"/>
        </w:rPr>
      </w:pPr>
    </w:p>
    <w:p w14:paraId="2794C899" w14:textId="088EB606" w:rsidR="00CE45D1" w:rsidRPr="00383A0F" w:rsidRDefault="00CE45D1"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Considering organ failure</w:t>
      </w:r>
      <w:r w:rsidR="00FE4650" w:rsidRPr="00383A0F">
        <w:rPr>
          <w:rFonts w:ascii="Book Antiqua" w:hAnsi="Book Antiqua" w:cs="Arial"/>
          <w:b/>
          <w:i/>
          <w:color w:val="000000" w:themeColor="text1"/>
          <w:lang w:val="en-US"/>
        </w:rPr>
        <w:t>s</w:t>
      </w:r>
      <w:r w:rsidR="00E0400E" w:rsidRPr="00383A0F">
        <w:rPr>
          <w:rFonts w:ascii="Book Antiqua" w:hAnsi="Book Antiqua" w:cs="Arial"/>
          <w:b/>
          <w:i/>
          <w:color w:val="000000" w:themeColor="text1"/>
          <w:lang w:val="en-US"/>
        </w:rPr>
        <w:t xml:space="preserve"> </w:t>
      </w:r>
      <w:r w:rsidR="00E14AB1" w:rsidRPr="00383A0F">
        <w:rPr>
          <w:rFonts w:ascii="Book Antiqua" w:hAnsi="Book Antiqua" w:cs="Arial"/>
          <w:b/>
          <w:i/>
          <w:color w:val="000000" w:themeColor="text1"/>
          <w:lang w:val="en-US"/>
        </w:rPr>
        <w:t>individually</w:t>
      </w:r>
    </w:p>
    <w:p w14:paraId="303BEDF0" w14:textId="560D518A" w:rsidR="00460136" w:rsidRPr="00383A0F" w:rsidRDefault="0072114B"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Some isolated studies have shown that acut</w:t>
      </w:r>
      <w:r w:rsidR="001742A8" w:rsidRPr="00383A0F">
        <w:rPr>
          <w:rFonts w:ascii="Book Antiqua" w:hAnsi="Book Antiqua" w:cs="Arial"/>
          <w:color w:val="000000" w:themeColor="text1"/>
          <w:lang w:val="en-US"/>
        </w:rPr>
        <w:t>e kidney injury</w:t>
      </w:r>
      <w:r w:rsidR="00444E2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{"citationID":"uHsDOpvX","properties":{"formattedCitation":"\\super [48]\\nosupersub{}","plainCitation":"[48]","noteIndex":0},"citationItems":[{"id":594,"uris":["http://zotero.org/users/local/BE2xVPev/items/XYZBT5ZS"],"uri":["http://zotero.org/users/local/BE2xVPev/items/XYZBT5ZS"],"itemData":{"id":594,"type":"article-journal","title":"Pretransplant renal dysfunction predicts poorer outcome in liver transplantation","container-title":"Clinical Nephrology","page":"159-164","volume":"48","issue":"3","source":"PubMed","abstract":"The postoperative courses of 115 liver transplant recipients were reviewed to monitor for outcomes of acute renal failure and mortality. An analysis of baseline (preoperative) variables with particular attention to baseline renal function was accomplished to establish predictive variables for a complicated postoperative course. Acute renal failure requiring dialysis occurred in 27 cases (23%) and was associated with a prolonged ICU stay, greater infectious complications, greater hospital charges and a high mortality rate (46 +/- 11% vs. 9 +/- 3%) as compared to patients who did not experience acute renal failure. Death occurred in 20 patients (17%) overall prior to discharge. In order to assess the contribution of renal function, the population was divided arbitrarily into two groups based on preoperative serum creatinine. Group 1 (n = 50) had a preoperative serum creatinine &lt; 1.0 mg/dl (mean +/- SD = 2.2 +/- 0.2 mg/dl) and Group 2 (n = 65) had a preoperative serum creatinine &lt; or = 1.0 mg/dl (0.7 +/- 0.1 mg/dl). The groups experienced similar operative courses. Group 1 patients experienced significantly longer ICU stays (18 +/- 3 vs. 10 +/- 2 days), higher rates of acute renal failure requiring dialysis (52 +/- 7 vs. 5 +/- 2%), higher hospital charges (231,454 +/- 17,088 vs. 178,755 +/- 14,744 $, US) and a greatly increased mortality rate (32 +/- 1 vs. 6 +/- 1%), as compared to Group 2 patients. A multifactorial regression analysis demonstrated that of all pretransplant factors analyzed, elevation in the serum creatinine was significantly associated and was the strongest predictor of both outcomes: acute renal failure requiring dialysis (ROC = 0.89) and death (ROC = 0.83). The presence or absence of hepatorenal syndrome did not influence the results of this analysis. This study demonstrates that cirrhotic patients with renal dysfunction, as indicated by an elevated serum creatinine, experience a poor surgical outcome following liver transplantation. These patients may require special attention in the perioperative period. Alternatively, these data may influence the selection of ideal candidates for liver transplantation, where scarce resources need to be applied appropriately.","ISSN":"0301-0430","note":"PMID: 9342487","journalAbbreviation":"Clin. Nephrol.","language":"eng","author":[{"family":"Lafayette","given":"R. A."},{"family":"Paré","given":"G."},{"family":"Schmid","given":"C. H."},{"family":"King","given":"A. J."},{"family":"Rohrer","given":"R. J."},{"family":"Nasraway","given":"S. A."}],"issued":{"date-parts":[["1997",9]]}}}],"schema":"https://github.com/citation-style-language/schema/raw/master/csl-citation.json"} </w:instrText>
      </w:r>
      <w:r w:rsidR="00444E2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[48]</w:t>
      </w:r>
      <w:r w:rsidR="00444E25" w:rsidRPr="00383A0F">
        <w:rPr>
          <w:rFonts w:ascii="Book Antiqua" w:hAnsi="Book Antiqua" w:cs="Arial"/>
          <w:color w:val="000000" w:themeColor="text1"/>
          <w:lang w:val="en-US"/>
        </w:rPr>
        <w:fldChar w:fldCharType="end"/>
      </w:r>
      <w:r w:rsidR="001742A8" w:rsidRPr="00383A0F">
        <w:rPr>
          <w:rFonts w:ascii="Book Antiqua" w:hAnsi="Book Antiqua" w:cs="Arial"/>
          <w:color w:val="000000" w:themeColor="text1"/>
          <w:lang w:val="en-US"/>
        </w:rPr>
        <w:t xml:space="preserve"> has</w:t>
      </w:r>
      <w:r w:rsidRPr="00383A0F">
        <w:rPr>
          <w:rFonts w:ascii="Book Antiqua" w:hAnsi="Book Antiqua" w:cs="Arial"/>
          <w:color w:val="000000" w:themeColor="text1"/>
          <w:lang w:val="en-US"/>
        </w:rPr>
        <w:t xml:space="preserve"> an effect on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mortality but this has not been investigated in the specific context of ACLF.</w:t>
      </w:r>
      <w:r w:rsidR="00E618D4" w:rsidRPr="00383A0F">
        <w:rPr>
          <w:rFonts w:ascii="Book Antiqua" w:hAnsi="Book Antiqua" w:cs="Arial"/>
          <w:color w:val="000000" w:themeColor="text1"/>
          <w:lang w:val="en-US"/>
        </w:rPr>
        <w:t xml:space="preserve"> </w:t>
      </w:r>
      <w:r w:rsidR="001742A8" w:rsidRPr="00383A0F">
        <w:rPr>
          <w:rFonts w:ascii="Book Antiqua" w:hAnsi="Book Antiqua" w:cs="Arial"/>
          <w:color w:val="000000" w:themeColor="text1"/>
          <w:lang w:val="en-US"/>
        </w:rPr>
        <w:t>Pre-transplant</w:t>
      </w:r>
      <w:r w:rsidR="00E618D4" w:rsidRPr="00383A0F">
        <w:rPr>
          <w:rFonts w:ascii="Book Antiqua" w:hAnsi="Book Antiqua" w:cs="Arial"/>
          <w:color w:val="000000" w:themeColor="text1"/>
          <w:lang w:val="en-US"/>
        </w:rPr>
        <w:t xml:space="preserve"> encephalopathy has</w:t>
      </w:r>
      <w:r w:rsidR="006E34E2" w:rsidRPr="00383A0F">
        <w:rPr>
          <w:rFonts w:ascii="Book Antiqua" w:hAnsi="Book Antiqua" w:cs="Arial"/>
          <w:color w:val="000000" w:themeColor="text1"/>
          <w:lang w:val="en-US"/>
        </w:rPr>
        <w:t xml:space="preserve"> </w:t>
      </w:r>
      <w:r w:rsidR="00E618D4" w:rsidRPr="00383A0F">
        <w:rPr>
          <w:rFonts w:ascii="Book Antiqua" w:hAnsi="Book Antiqua" w:cs="Arial"/>
          <w:color w:val="000000" w:themeColor="text1"/>
          <w:lang w:val="en-US"/>
        </w:rPr>
        <w:t xml:space="preserve">been proved to lead to poorer </w:t>
      </w:r>
      <w:r w:rsidR="00A65C47" w:rsidRPr="00383A0F">
        <w:rPr>
          <w:rFonts w:ascii="Book Antiqua" w:hAnsi="Book Antiqua" w:cs="Arial"/>
          <w:color w:val="000000" w:themeColor="text1"/>
          <w:lang w:val="en-US"/>
        </w:rPr>
        <w:t>post-transplant</w:t>
      </w:r>
      <w:r w:rsidR="00E618D4" w:rsidRPr="00383A0F">
        <w:rPr>
          <w:rFonts w:ascii="Book Antiqua" w:hAnsi="Book Antiqua" w:cs="Arial"/>
          <w:color w:val="000000" w:themeColor="text1"/>
          <w:lang w:val="en-US"/>
        </w:rPr>
        <w:t xml:space="preserve"> outcomes in general</w:t>
      </w:r>
      <w:r w:rsidR="00444E2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{"citationID":"tIzAfrlX","properties":{"formattedCitation":"\\super [49]\\nosupersub{}","plainCitation":"[49]","noteIndex":0},"citationItems":[{"id":596,"uris":["http://zotero.org/users/local/BE2xVPev/items/KC9ZRIGZ"],"uri":["http://zotero.org/users/local/BE2xVPev/items/KC9ZRIGZ"],"itemData":{"id":596,"type":"article-journal","title":"The impact of pretransplant hepatic encephalopathy on survival following liver transplantation","container-title":"Liver Transplantation: Official Publication of the American Association for the Study of Liver Diseases and the International Liver Transplantation Society","page":"873-880","volume":"21","issue":"7","source":"PubMed","abstract":"Hepatic encephalopathy (HE) is a surrogate marker of liver disease severity, and more severe HE is associated with higher mortality among patients with chronic liver disease. However, whether severity of HE at the time of liver transplantation (LT) directly impacts post-LT survival or whether this suspected mortality linkage is due to more severe liver disease and subsequently higher rates of post-LT infection is not well defined. Using population-based data from the 2003 to 2013 United Network for Organ Sharing registry, we evaluated the impact of HE at the time of LT on post-LT survival among adults in the United States. Survival was stratified by HE severity (none, grade 1-2, grade 3-4) and Model for End-Stage Liver Disease score and was evaluated using Kaplan-Meier methods and multivariate Cox proportional hazards models. From 2003 to 2013, 59,937 patients underwent LT (36.1%, no HE; 53.8%, grade 1-2 HE; 10.2%, grade 3-4 HE). Compared to no HE, patients with grade 3-4 HE had significantly lower overall post-LT survival (1-year, 82.5% versus 90.3%;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&lt;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0.001; 5-year, 69.1% versus 74.4%;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&lt;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0.001). On multivariate regression, grade 3-4 HE was independently associated with lower overall post-LT survival (HR, 1.27; 95% CI, 1.17-1.39;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&lt;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0.001). However, the increased mortality associated with HE is observed primarily within the first year following LT and was a reflection of higher rates of infection-related deaths among patients with more severe HE. In conclusion, grade 3-4 HE at the time of LT is associated with lower post-LT survival, with a proposed direct or indirect association of more severe HE before LT with increased rates of post-LT infections. Increased awareness and vigilance toward treating HE before LT and more aggressive monitoring and treatment for infections in the perioperative setting may improve LT outcomes.","DOI":"10.1002/lt.24153","ISSN":"1527-6473","note":"PMID: 25902933","journalAbbreviation":"Liver Transpl.","language":"eng","author":[{"family":"Wong","given":"Robert J."},{"family":"Aguilar","given":"Maria"},{"family":"Gish","given":"Robert G."},{"family":"Cheung","given":"Ramsey"},{"family":"Ahmed","given":"Aijaz"}],"issued":{"date-parts":[["2015",7]]}}}],"schema":"https://github.com/citation-style-language/schema/raw/master/csl-citation.json"} </w:instrText>
      </w:r>
      <w:r w:rsidR="00444E2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[49]</w:t>
      </w:r>
      <w:r w:rsidR="00444E25" w:rsidRPr="00383A0F">
        <w:rPr>
          <w:rFonts w:ascii="Book Antiqua" w:hAnsi="Book Antiqua" w:cs="Arial"/>
          <w:color w:val="000000" w:themeColor="text1"/>
          <w:lang w:val="en-US"/>
        </w:rPr>
        <w:fldChar w:fldCharType="end"/>
      </w:r>
      <w:r w:rsidR="00E618D4" w:rsidRPr="00383A0F">
        <w:rPr>
          <w:rFonts w:ascii="Book Antiqua" w:hAnsi="Book Antiqua" w:cs="Arial"/>
          <w:color w:val="000000" w:themeColor="text1"/>
          <w:lang w:val="en-US"/>
        </w:rPr>
        <w:t xml:space="preserve"> and in the particular context of critically ill patients</w:t>
      </w:r>
      <w:r w:rsidR="00F5743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{"citationID":"PUtIS5gM","properties":{"formattedCitation":"\\super [15]\\nosupersub{}","plainCitation":"[15]","noteIndex":0},"citationItems":[{"id":245,"uris":["http://zotero.org/users/local/BE2xVPev/items/TUZ2EBU2"],"uri":["http://zotero.org/users/local/BE2xVPev/items/TUZ2EBU2"],"itemData":{"id":245,"type":"article-journal","title":"Liver transplantation in patients with end-stage liver disease requiring intensive care unit admission and intubation","container-title":"Liver Transplantation: Official Publication of the American Association for the Study of Liver Diseases and the International Liver Transplantation Society","page":"761-767","volume":"21","issue":"6","source":"PubMed","abstract":"Data regarding transplantation outcomes in ventilated intensive care unit (ICU)-dependent patients with end-stage liver disease (ESLD) are conflicting. This single-center cohort study investigated the outcomes of patients with ESLD who were intubated with mechanical support before liver transplantation (LT). The ICU plus intubation group consisted of 42 patients with decompensated cirrhosis and mechanical ventilation before transplantation. LT was considered for intubated ICU patients if the fraction of inspired oxygen was ≤40% with a positive end-expiratory pressure</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10, low pressor requirements, and the absence of an active infection. Intubated ICU patients were compared to 80 patients requiring ICU admission before transplantation without intubation and to 126 matched non-ICU-bound patients. Patients requiring ICU care with intubation and ICU care alone had more severe postoperative complications than non-ICU-bound patients. Intubation before transplantation was associated with more postoperative pneumonias (15% in intubated ICU transplant candidates, 5% in ICU-bound but not intubated patients, and 3% in control group patients;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0.02). Parameters of reperfusion injury and renal function on postoperative day (POD) 2 and POD 7 were similar in all groups. Bilirubin levels were higher in the ICU plus intubation group at POD 2 and POD 7 after transplantation but were normalized in all groups within 3 months. The ICU plus intubation group versus the ICU-only group and the non-ICU group had decreased 1-, 3-, and 5-year graft survival (81% versus 84% versus 92%, 76% versus 78% versus 87%, and 71% versus 77% versus 84%, respectively;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0.19), but statistical significance was not reached. A Glasgow coma scale score of &lt;7 versus &gt;7 before transplantation was associated with high postoperative mortality in ICU-bound patients requiring intubation (38% versus 23%;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0.01). In conclusion, ICU admission and mechanical ventilation should not be considered contraindications for LT. With careful patient selection, acceptable long-term outcomes can be achieved despite increased postoperative complications.","DOI":"10.1002/lt.24115","ISSN":"1527-6473","note":"PMID: 25865305","journalAbbreviation":"Liver Transpl.","language":"eng","author":[{"family":"Knaak","given":"Jan"},{"family":"McVey","given":"Mark"},{"family":"Bazerbachi","given":"Fateh"},{"family":"Goldaracena","given":"Nicolás"},{"family":"Spetzler","given":"Vinzent"},{"family":"Selzner","given":"Nazia"},{"family":"Cattral","given":"Mark"},{"family":"Greig","given":"Paul"},{"family":"Lilly","given":"Les"},{"family":"McGilvray","given":"Ian"},{"family":"Levy","given":"Gary"},{"family":"Ghanekar","given":"Anand"},{"family":"Renner","given":"Eberhard"},{"family":"Grant","given":"David"},{"family":"Hawryluck","given":"Laura"},{"family":"Selzner","given":"Markus"}],"issued":{"date-parts":[["2015",6]]}}}],"schema":"https://github.com/citation-style-language/schema/raw/master/csl-citation.json"} </w:instrText>
      </w:r>
      <w:r w:rsidR="00F5743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[15]</w:t>
      </w:r>
      <w:r w:rsidR="00F57435" w:rsidRPr="00383A0F">
        <w:rPr>
          <w:rFonts w:ascii="Book Antiqua" w:hAnsi="Book Antiqua" w:cs="Arial"/>
          <w:color w:val="000000" w:themeColor="text1"/>
          <w:lang w:val="en-US"/>
        </w:rPr>
        <w:fldChar w:fldCharType="end"/>
      </w:r>
      <w:r w:rsidR="00E618D4" w:rsidRPr="00383A0F">
        <w:rPr>
          <w:rFonts w:ascii="Book Antiqua" w:hAnsi="Book Antiqua" w:cs="Arial"/>
          <w:color w:val="000000" w:themeColor="text1"/>
          <w:lang w:val="en-US"/>
        </w:rPr>
        <w:t>.</w:t>
      </w:r>
      <w:r w:rsidR="002F4C60" w:rsidRPr="00383A0F">
        <w:rPr>
          <w:rFonts w:ascii="Book Antiqua" w:hAnsi="Book Antiqua" w:cs="Arial"/>
          <w:color w:val="000000" w:themeColor="text1"/>
          <w:lang w:val="en-US"/>
        </w:rPr>
        <w:t xml:space="preserve"> </w:t>
      </w:r>
      <w:r w:rsidRPr="00383A0F">
        <w:rPr>
          <w:rFonts w:ascii="Book Antiqua" w:hAnsi="Book Antiqua" w:cs="Arial"/>
          <w:color w:val="000000" w:themeColor="text1"/>
          <w:lang w:val="en-US"/>
        </w:rPr>
        <w:t>Our own work</w:t>
      </w:r>
      <w:r w:rsidR="00F5743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{"citationID":"fcR17QuH","properties":{"formattedCitation":"\\super [44]\\nosupersub{}","plainCitation":"[44]","noteIndex":0},"citationItems":[{"id":337,"uris":["http://zotero.org/users/local/BE2xVPev/items/LIQHZU2B"],"uri":["http://zotero.org/users/local/BE2xVPev/items/LIQHZU2B"],"itemData":{"id":337,"type":"article-journal","title":"Liver transplantation in critically ill patients: Preoperative predictive factors of post-transplant mortality to avoid futility","container-title":"Clinical Transplantation","volume":"31","issue":"12","source":"PubMed","abstract":"BACKGROUND: The allocation of liver transplants to patients with acute liver failure (ALF) and acute-on-chronic liver failure (ACLF) with multi-organ failure who are admitted in ICU remains controversial due to their high post-transplant mortality rate and the absence of identified mortality risk factors.\nMETHODS: We performed a single-center retrospective cohort study to determine the post-transplant mortality rate of patients with ALF and ACLF requiring ICU care prior to liver transplant (LT) and identified pretransplant factors of post-transplant mortality.\nRESULTS: Eighty-four patients (29 with ALF and 55 with ACLF) received a liver transplant while they were hospitalized at the ICU. Their mean model for end-stage liver disease (MELD) score was 41, and their mean sequential organ failure assessment (SOFA) was 15 the day before transplant. The overall 1-year survival rate was 66%. In multivariate analysis, pretransplant lactate level and acute respiratory distress syndrome (ARDS) were the only two independent factors associated with post-transplant mortality. The absence of ARDS and a pretransplant lactate level&lt; 5 mmol/L led to the identification of a subgroup of ICU patients with a good 1-year post-transplant survival (&gt;80%).\nCONCLUSIONS: Low lactatemia lactate level and the absence of ARDS could be useful criteria in selecting those patients in ICU who could be eligible for liver transplant.","DOI":"10.1111/ctr.13115","ISSN":"1399-0012","note":"PMID: 28895204","shortTitle":"Liver transplantation in critically ill patients","journalAbbreviation":"Clin Transplant","language":"eng","author":[{"family":"Michard","given":"Baptiste"},{"family":"Artzner","given":"Thierry"},{"family":"Lebas","given":"Benjamin"},{"family":"Besch","given":"Camille"},{"family":"Guillot","given":"Max"},{"family":"Faitot","given":"François"},{"family":"Lefebvre","given":"François"},{"family":"Bachellier","given":"Philippe"},{"family":"Castelain","given":"Vincent"},{"family":"Maestraggi","given":"Quentin"},{"family":"Schneider","given":"Francis"}],"issued":{"date-parts":[["2017",12]]}}}],"schema":"https://github.com/citation-style-language/schema/raw/master/csl-citation.json"} </w:instrText>
      </w:r>
      <w:r w:rsidR="00F5743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[44]</w:t>
      </w:r>
      <w:r w:rsidR="00F57435"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has shown that </w:t>
      </w:r>
      <w:r w:rsidR="001742A8" w:rsidRPr="00383A0F">
        <w:rPr>
          <w:rFonts w:ascii="Book Antiqua" w:hAnsi="Book Antiqua" w:cs="Arial"/>
          <w:color w:val="000000" w:themeColor="text1"/>
          <w:lang w:val="en-US"/>
        </w:rPr>
        <w:t>pre-transplant</w:t>
      </w:r>
      <w:r w:rsidR="00604CDE" w:rsidRPr="00383A0F">
        <w:rPr>
          <w:rFonts w:ascii="Book Antiqua" w:hAnsi="Book Antiqua" w:cs="Arial"/>
          <w:color w:val="000000" w:themeColor="text1"/>
          <w:lang w:val="en-US"/>
        </w:rPr>
        <w:t xml:space="preserve"> </w:t>
      </w:r>
      <w:r w:rsidR="006C5756" w:rsidRPr="00383A0F">
        <w:rPr>
          <w:rFonts w:ascii="Book Antiqua" w:hAnsi="Book Antiqua" w:cs="Arial"/>
          <w:color w:val="000000" w:themeColor="text1"/>
          <w:lang w:val="en-US"/>
        </w:rPr>
        <w:t xml:space="preserve">moderate or severe </w:t>
      </w:r>
      <w:r w:rsidR="00F911AD" w:rsidRPr="00383A0F">
        <w:rPr>
          <w:rFonts w:ascii="Book Antiqua" w:hAnsi="Book Antiqua" w:cs="Arial"/>
          <w:color w:val="000000" w:themeColor="text1"/>
          <w:lang w:val="en-US"/>
        </w:rPr>
        <w:lastRenderedPageBreak/>
        <w:t>acute respiratory distress syndrome</w:t>
      </w:r>
      <w:r w:rsidR="0076226D" w:rsidRPr="00383A0F">
        <w:rPr>
          <w:rFonts w:ascii="Book Antiqua" w:hAnsi="Book Antiqua" w:cs="Arial"/>
          <w:color w:val="000000" w:themeColor="text1"/>
          <w:lang w:val="en-US"/>
        </w:rPr>
        <w:t xml:space="preserve"> (with PaO</w:t>
      </w:r>
      <w:r w:rsidR="0076226D" w:rsidRPr="00383A0F">
        <w:rPr>
          <w:rFonts w:ascii="Book Antiqua" w:hAnsi="Book Antiqua" w:cs="Arial"/>
          <w:color w:val="000000" w:themeColor="text1"/>
          <w:vertAlign w:val="subscript"/>
          <w:lang w:val="en-US"/>
        </w:rPr>
        <w:t>2</w:t>
      </w:r>
      <w:r w:rsidR="0076226D" w:rsidRPr="00383A0F">
        <w:rPr>
          <w:rFonts w:ascii="Book Antiqua" w:hAnsi="Book Antiqua" w:cs="Arial"/>
          <w:color w:val="000000" w:themeColor="text1"/>
          <w:lang w:val="en-US"/>
        </w:rPr>
        <w:t>/FiO</w:t>
      </w:r>
      <w:r w:rsidR="0076226D" w:rsidRPr="00383A0F">
        <w:rPr>
          <w:rFonts w:ascii="Book Antiqua" w:hAnsi="Book Antiqua" w:cs="Arial"/>
          <w:color w:val="000000" w:themeColor="text1"/>
          <w:vertAlign w:val="subscript"/>
          <w:lang w:val="en-US"/>
        </w:rPr>
        <w:t>2</w:t>
      </w:r>
      <w:r w:rsidR="0076226D" w:rsidRPr="00383A0F">
        <w:rPr>
          <w:rFonts w:ascii="Book Antiqua" w:hAnsi="Book Antiqua" w:cs="Arial"/>
          <w:color w:val="000000" w:themeColor="text1"/>
          <w:lang w:val="en-US"/>
        </w:rPr>
        <w:t xml:space="preserve"> &lt; 200</w:t>
      </w:r>
      <w:r w:rsidR="00871E9B">
        <w:rPr>
          <w:rFonts w:ascii="Book Antiqua" w:hAnsi="Book Antiqua" w:cs="Arial"/>
          <w:color w:val="000000" w:themeColor="text1"/>
          <w:lang w:val="en-US"/>
        </w:rPr>
        <w:t xml:space="preserve"> </w:t>
      </w:r>
      <w:r w:rsidR="0076226D" w:rsidRPr="00383A0F">
        <w:rPr>
          <w:rFonts w:ascii="Book Antiqua" w:hAnsi="Book Antiqua" w:cs="Arial"/>
          <w:color w:val="000000" w:themeColor="text1"/>
          <w:lang w:val="en-US"/>
        </w:rPr>
        <w:t>mmHg)</w:t>
      </w:r>
      <w:r w:rsidR="00460136" w:rsidRPr="00383A0F">
        <w:rPr>
          <w:rFonts w:ascii="Book Antiqua" w:hAnsi="Book Antiqua" w:cs="Arial"/>
          <w:color w:val="000000" w:themeColor="text1"/>
          <w:lang w:val="en-US"/>
        </w:rPr>
        <w:t xml:space="preserve"> and </w:t>
      </w:r>
      <w:r w:rsidR="001742A8" w:rsidRPr="00383A0F">
        <w:rPr>
          <w:rFonts w:ascii="Book Antiqua" w:hAnsi="Book Antiqua" w:cs="Arial"/>
          <w:color w:val="000000" w:themeColor="text1"/>
          <w:lang w:val="en-US"/>
        </w:rPr>
        <w:t xml:space="preserve">elevated </w:t>
      </w:r>
      <w:r w:rsidR="00460136" w:rsidRPr="00383A0F">
        <w:rPr>
          <w:rFonts w:ascii="Book Antiqua" w:hAnsi="Book Antiqua" w:cs="Arial"/>
          <w:color w:val="000000" w:themeColor="text1"/>
          <w:lang w:val="en-US"/>
        </w:rPr>
        <w:t>lactate levels</w:t>
      </w:r>
      <w:r w:rsidR="0076226D" w:rsidRPr="00383A0F">
        <w:rPr>
          <w:rFonts w:ascii="Book Antiqua" w:hAnsi="Book Antiqua" w:cs="Arial"/>
          <w:color w:val="000000" w:themeColor="text1"/>
          <w:lang w:val="en-US"/>
        </w:rPr>
        <w:t xml:space="preserve"> (&gt; 5</w:t>
      </w:r>
      <w:r w:rsidR="00871E9B">
        <w:rPr>
          <w:rFonts w:ascii="Book Antiqua" w:hAnsi="Book Antiqua" w:cs="Arial"/>
          <w:color w:val="000000" w:themeColor="text1"/>
          <w:lang w:val="en-US"/>
        </w:rPr>
        <w:t xml:space="preserve"> </w:t>
      </w:r>
      <w:r w:rsidR="0076226D" w:rsidRPr="00383A0F">
        <w:rPr>
          <w:rFonts w:ascii="Book Antiqua" w:hAnsi="Book Antiqua" w:cs="Arial"/>
          <w:color w:val="000000" w:themeColor="text1"/>
          <w:lang w:val="en-US"/>
        </w:rPr>
        <w:t>mmol/L)</w:t>
      </w:r>
      <w:r w:rsidRPr="00383A0F">
        <w:rPr>
          <w:rFonts w:ascii="Book Antiqua" w:hAnsi="Book Antiqua" w:cs="Arial"/>
          <w:color w:val="000000" w:themeColor="text1"/>
          <w:lang w:val="en-US"/>
        </w:rPr>
        <w:t xml:space="preserve"> </w:t>
      </w:r>
      <w:r w:rsidR="001742A8" w:rsidRPr="00383A0F">
        <w:rPr>
          <w:rFonts w:ascii="Book Antiqua" w:hAnsi="Book Antiqua" w:cs="Arial"/>
          <w:color w:val="000000" w:themeColor="text1"/>
          <w:lang w:val="en-US"/>
        </w:rPr>
        <w:t>were</w:t>
      </w:r>
      <w:r w:rsidRPr="00383A0F">
        <w:rPr>
          <w:rFonts w:ascii="Book Antiqua" w:hAnsi="Book Antiqua" w:cs="Arial"/>
          <w:color w:val="000000" w:themeColor="text1"/>
          <w:lang w:val="en-US"/>
        </w:rPr>
        <w:t xml:space="preserve"> significantly associated with </w:t>
      </w:r>
      <w:r w:rsidR="00460136" w:rsidRPr="00383A0F">
        <w:rPr>
          <w:rFonts w:ascii="Book Antiqua" w:hAnsi="Book Antiqua" w:cs="Arial"/>
          <w:color w:val="000000" w:themeColor="text1"/>
          <w:lang w:val="en-US"/>
        </w:rPr>
        <w:t xml:space="preserve">higher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mortality in ACLF patients.</w:t>
      </w:r>
      <w:r w:rsidR="001A0E5D" w:rsidRPr="00383A0F">
        <w:rPr>
          <w:rFonts w:ascii="Book Antiqua" w:hAnsi="Book Antiqua" w:cs="Arial"/>
          <w:color w:val="000000" w:themeColor="text1"/>
          <w:lang w:val="en-US"/>
        </w:rPr>
        <w:t xml:space="preserve"> </w:t>
      </w:r>
      <w:r w:rsidR="00460136" w:rsidRPr="00383A0F">
        <w:rPr>
          <w:rFonts w:ascii="Book Antiqua" w:hAnsi="Book Antiqua" w:cs="Arial"/>
          <w:color w:val="000000" w:themeColor="text1"/>
          <w:lang w:val="en-US"/>
        </w:rPr>
        <w:t xml:space="preserve">This qualitative approach, based on </w:t>
      </w:r>
      <w:r w:rsidR="00015CB6" w:rsidRPr="00383A0F">
        <w:rPr>
          <w:rFonts w:ascii="Book Antiqua" w:hAnsi="Book Antiqua" w:cs="Arial"/>
          <w:color w:val="000000" w:themeColor="text1"/>
          <w:lang w:val="en-US"/>
        </w:rPr>
        <w:t xml:space="preserve">precise individual organ dysfunctions, could be promising in </w:t>
      </w:r>
      <w:r w:rsidR="001742A8" w:rsidRPr="00383A0F">
        <w:rPr>
          <w:rFonts w:ascii="Book Antiqua" w:hAnsi="Book Antiqua" w:cs="Arial"/>
          <w:color w:val="000000" w:themeColor="text1"/>
          <w:lang w:val="en-US"/>
        </w:rPr>
        <w:t>identifying</w:t>
      </w:r>
      <w:r w:rsidR="00015CB6" w:rsidRPr="00383A0F">
        <w:rPr>
          <w:rFonts w:ascii="Book Antiqua" w:hAnsi="Book Antiqua" w:cs="Arial"/>
          <w:color w:val="000000" w:themeColor="text1"/>
          <w:lang w:val="en-US"/>
        </w:rPr>
        <w:t xml:space="preserve"> robust and reproducible exclusion criteria for </w:t>
      </w:r>
      <w:r w:rsidR="00FE4650" w:rsidRPr="00383A0F">
        <w:rPr>
          <w:rFonts w:ascii="Book Antiqua" w:hAnsi="Book Antiqua" w:cs="Arial"/>
          <w:color w:val="000000" w:themeColor="text1"/>
          <w:lang w:val="en-US"/>
        </w:rPr>
        <w:t>LT</w:t>
      </w:r>
      <w:r w:rsidR="00015CB6" w:rsidRPr="00383A0F">
        <w:rPr>
          <w:rFonts w:ascii="Book Antiqua" w:hAnsi="Book Antiqua" w:cs="Arial"/>
          <w:color w:val="000000" w:themeColor="text1"/>
          <w:lang w:val="en-US"/>
        </w:rPr>
        <w:t>.</w:t>
      </w:r>
    </w:p>
    <w:p w14:paraId="19C349B6" w14:textId="327019D8" w:rsidR="00EE5A4B" w:rsidRPr="00383A0F" w:rsidRDefault="00871E9B"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D832E2" w:rsidRPr="00383A0F">
        <w:rPr>
          <w:rFonts w:ascii="Book Antiqua" w:hAnsi="Book Antiqua" w:cs="Arial"/>
          <w:color w:val="000000" w:themeColor="text1"/>
          <w:lang w:val="en-US"/>
        </w:rPr>
        <w:t>T</w:t>
      </w:r>
      <w:r w:rsidR="003A3A1E" w:rsidRPr="00383A0F">
        <w:rPr>
          <w:rFonts w:ascii="Book Antiqua" w:hAnsi="Book Antiqua" w:cs="Arial"/>
          <w:color w:val="000000" w:themeColor="text1"/>
          <w:lang w:val="en-US"/>
        </w:rPr>
        <w:t xml:space="preserve">he nature of each organ failure should be </w:t>
      </w:r>
      <w:r w:rsidR="00D832E2" w:rsidRPr="00383A0F">
        <w:rPr>
          <w:rFonts w:ascii="Book Antiqua" w:hAnsi="Book Antiqua" w:cs="Arial"/>
          <w:color w:val="000000" w:themeColor="text1"/>
          <w:lang w:val="en-US"/>
        </w:rPr>
        <w:t>defined precisely</w:t>
      </w:r>
      <w:r w:rsidR="003A3A1E" w:rsidRPr="00383A0F">
        <w:rPr>
          <w:rFonts w:ascii="Book Antiqua" w:hAnsi="Book Antiqua" w:cs="Arial"/>
          <w:color w:val="000000" w:themeColor="text1"/>
          <w:lang w:val="en-US"/>
        </w:rPr>
        <w:t xml:space="preserve">. For example, </w:t>
      </w:r>
      <w:r w:rsidR="0054171B" w:rsidRPr="00383A0F">
        <w:rPr>
          <w:rFonts w:ascii="Book Antiqua" w:hAnsi="Book Antiqua" w:cs="Arial"/>
          <w:color w:val="000000" w:themeColor="text1"/>
          <w:lang w:val="en-US"/>
        </w:rPr>
        <w:t xml:space="preserve">intubation is considered, </w:t>
      </w:r>
      <w:r w:rsidR="00D832E2" w:rsidRPr="00383A0F">
        <w:rPr>
          <w:rFonts w:ascii="Book Antiqua" w:hAnsi="Book Antiqua" w:cs="Arial"/>
          <w:color w:val="000000" w:themeColor="text1"/>
          <w:lang w:val="en-US"/>
        </w:rPr>
        <w:t>in and of itself</w:t>
      </w:r>
      <w:r w:rsidR="0054171B" w:rsidRPr="00383A0F">
        <w:rPr>
          <w:rFonts w:ascii="Book Antiqua" w:hAnsi="Book Antiqua" w:cs="Arial"/>
          <w:color w:val="000000" w:themeColor="text1"/>
          <w:lang w:val="en-US"/>
        </w:rPr>
        <w:t xml:space="preserve">, as a </w:t>
      </w:r>
      <w:r w:rsidR="00D832E2" w:rsidRPr="00383A0F">
        <w:rPr>
          <w:rFonts w:ascii="Book Antiqua" w:hAnsi="Book Antiqua" w:cs="Arial"/>
          <w:color w:val="000000" w:themeColor="text1"/>
          <w:lang w:val="en-US"/>
        </w:rPr>
        <w:t>pejorative</w:t>
      </w:r>
      <w:r w:rsidR="0054171B" w:rsidRPr="00383A0F">
        <w:rPr>
          <w:rFonts w:ascii="Book Antiqua" w:hAnsi="Book Antiqua" w:cs="Arial"/>
          <w:color w:val="000000" w:themeColor="text1"/>
          <w:lang w:val="en-US"/>
        </w:rPr>
        <w:t xml:space="preserve"> prognostic factor</w:t>
      </w:r>
      <w:r w:rsidR="00704E8B"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{"citationID":"ROitSzk2","properties":{"formattedCitation":"\\super [43]\\nosupersub{}","plainCitation":"[43]","noteIndex":0},"citationItems":[{"id":626,"uris":["http://zotero.org/users/local/BE2xVPev/items/J6AD8CWZ"],"uri":["http://zotero.org/users/local/BE2xVPev/items/J6AD8CWZ"],"itemData":{"id":626,"type":"article-journal","title":"Liver transplantation in patients with multiple organ failures: Feasibility and outcomes","container-title":"Journal of Hepatology","source":"PubMed","abstract":"BACKGROUND &amp; AIMS: Multiple organ failures (OFs) are common in patients with cirrhosis, but the independent effect of the number or type of OFs on liver transplantation (LT) outcomes is not well defined.\nMETHOD: United Network for Organ Sharing data were analyzed from 2002 to 2016 for all adults listed for LT who received an LT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after listing. We estimated post-LT survival stratified by number and type of pre-transplant OFs before and after adjusting for confounding variables.\nRESULTS: During the study period, 4,714 (4.1%) patients died and 19,375 (16.6%) patients were transplanted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of listing. One or more OF were more common in those who were transplanted (57.4%) compared to those without LT (9.5%). The probability of staying alive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on the waiting list without LT decreased with increasing number of OFs; while 90% were alive without OF, only 20% were alive with two OFs, and 2-8% with three or more OFs. The interval between listing and transplantation decreased with an increase in OFs, and the median time to transplant after listing was only 4-5</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with three or more OFs. Although the risk of post-LT mortality increased with increasing number of OFs, the 90-day patient survival was 90% and one-year survival was 81% in the presence of 5-6 OFs. The number of OFs was an independent predictor of survival, but the maximum difference in one-year graft or patient survival between those without OF and those with 5-6 OFs was only 9%. Additionally, the type of OF had minimal impact on outcomes.\nCONCLUSIONS: Liver transplantation is feasible with excellent outcomes, even in the presence of five or six OFs.\nLAY SUMMARY: Multiple organ failures, ranging from 1-6, are common in hospitalized patients with cirrhosis. The survival without liver transplant is dismal in the presence of three or more organ failures. Small retrospective studies have shown that liver transplant is feasible with good outcomes even in the presence of multiple organ failures. In this study, using a large national dataset, we show that survival chances for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days in those with three or more organ failures are less than 8%. However, if a liver transplant is performed quickly, the survival chances are very high with one-year survival ranging from 84% with three organ failures to 81% with 5-6 organ failures.","DOI":"10.1016/j.jhep.2018.07.007","ISSN":"1600-0641","note":"PMID: 30071241","shortTitle":"Liver transplantation in patients with multiple organ failures","journalAbbreviation":"J. Hepatol.","language":"eng","author":[{"family":"Thuluvath","given":"Paul J."},{"family":"Thuluvath","given":"Avesh J."},{"family":"Hanish","given":"Steven"},{"family":"Savva","given":"Yulia"}],"issued":{"date-parts":[["2018",7,31]]}}}],"schema":"https://github.com/citation-style-language/schema/raw/master/csl-citation.json"} </w:instrText>
      </w:r>
      <w:r w:rsidR="00704E8B"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[43]</w:t>
      </w:r>
      <w:r w:rsidR="00704E8B" w:rsidRPr="00383A0F">
        <w:rPr>
          <w:rFonts w:ascii="Book Antiqua" w:hAnsi="Book Antiqua" w:cs="Arial"/>
          <w:color w:val="000000" w:themeColor="text1"/>
          <w:lang w:val="en-US"/>
        </w:rPr>
        <w:fldChar w:fldCharType="end"/>
      </w:r>
      <w:r w:rsidR="0054171B" w:rsidRPr="00383A0F">
        <w:rPr>
          <w:rFonts w:ascii="Book Antiqua" w:hAnsi="Book Antiqua" w:cs="Arial"/>
          <w:color w:val="000000" w:themeColor="text1"/>
          <w:lang w:val="en-US"/>
        </w:rPr>
        <w:t>. However</w:t>
      </w:r>
      <w:r w:rsidR="00D832E2" w:rsidRPr="00383A0F">
        <w:rPr>
          <w:rFonts w:ascii="Book Antiqua" w:hAnsi="Book Antiqua" w:cs="Arial"/>
          <w:color w:val="000000" w:themeColor="text1"/>
          <w:lang w:val="en-US"/>
        </w:rPr>
        <w:t>,</w:t>
      </w:r>
      <w:r w:rsidR="0054171B" w:rsidRPr="00383A0F">
        <w:rPr>
          <w:rFonts w:ascii="Book Antiqua" w:hAnsi="Book Antiqua" w:cs="Arial"/>
          <w:color w:val="000000" w:themeColor="text1"/>
          <w:lang w:val="en-US"/>
        </w:rPr>
        <w:t xml:space="preserve"> one should distinguish between intubation for neurological failure and for </w:t>
      </w:r>
      <w:r w:rsidR="00D832E2" w:rsidRPr="00383A0F">
        <w:rPr>
          <w:rFonts w:ascii="Book Antiqua" w:hAnsi="Book Antiqua" w:cs="Arial"/>
          <w:color w:val="000000" w:themeColor="text1"/>
          <w:lang w:val="en-US"/>
        </w:rPr>
        <w:t>respiratory</w:t>
      </w:r>
      <w:r w:rsidR="0054171B" w:rsidRPr="00383A0F">
        <w:rPr>
          <w:rFonts w:ascii="Book Antiqua" w:hAnsi="Book Antiqua" w:cs="Arial"/>
          <w:color w:val="000000" w:themeColor="text1"/>
          <w:lang w:val="en-US"/>
        </w:rPr>
        <w:t xml:space="preserve"> failu</w:t>
      </w:r>
      <w:r w:rsidR="00D832E2" w:rsidRPr="00383A0F">
        <w:rPr>
          <w:rFonts w:ascii="Book Antiqua" w:hAnsi="Book Antiqua" w:cs="Arial"/>
          <w:color w:val="000000" w:themeColor="text1"/>
          <w:lang w:val="en-US"/>
        </w:rPr>
        <w:t>re, which has been shown to be an</w:t>
      </w:r>
      <w:r w:rsidR="0054171B" w:rsidRPr="00383A0F">
        <w:rPr>
          <w:rFonts w:ascii="Book Antiqua" w:hAnsi="Book Antiqua" w:cs="Arial"/>
          <w:color w:val="000000" w:themeColor="text1"/>
          <w:lang w:val="en-US"/>
        </w:rPr>
        <w:t xml:space="preserve"> independent prognostic factor in </w:t>
      </w:r>
      <w:r w:rsidR="00D832E2" w:rsidRPr="00383A0F">
        <w:rPr>
          <w:rFonts w:ascii="Book Antiqua" w:hAnsi="Book Antiqua" w:cs="Arial"/>
          <w:color w:val="000000" w:themeColor="text1"/>
          <w:lang w:val="en-US"/>
        </w:rPr>
        <w:t>critically ill patients (</w:t>
      </w:r>
      <w:proofErr w:type="spellStart"/>
      <w:r w:rsidR="00D832E2" w:rsidRPr="00383A0F">
        <w:rPr>
          <w:rFonts w:ascii="Book Antiqua" w:hAnsi="Book Antiqua" w:cs="Arial"/>
          <w:color w:val="000000" w:themeColor="text1"/>
          <w:lang w:val="en-US"/>
        </w:rPr>
        <w:t>Knaak</w:t>
      </w:r>
      <w:proofErr w:type="spellEnd"/>
      <w:r w:rsidR="00D832E2" w:rsidRPr="00383A0F">
        <w:rPr>
          <w:rFonts w:ascii="Book Antiqua" w:hAnsi="Book Antiqua" w:cs="Arial"/>
          <w:color w:val="000000" w:themeColor="text1"/>
          <w:lang w:val="en-US"/>
        </w:rPr>
        <w:t xml:space="preserve"> </w:t>
      </w:r>
      <w:r w:rsidR="00D832E2" w:rsidRPr="00871E9B">
        <w:rPr>
          <w:rFonts w:ascii="Book Antiqua" w:hAnsi="Book Antiqua" w:cs="Arial"/>
          <w:i/>
          <w:color w:val="000000" w:themeColor="text1"/>
          <w:lang w:val="en-US"/>
        </w:rPr>
        <w:t xml:space="preserve">et </w:t>
      </w:r>
      <w:proofErr w:type="gramStart"/>
      <w:r w:rsidR="00D832E2" w:rsidRPr="00871E9B">
        <w:rPr>
          <w:rFonts w:ascii="Book Antiqua" w:hAnsi="Book Antiqua" w:cs="Arial"/>
          <w:i/>
          <w:color w:val="000000" w:themeColor="text1"/>
          <w:lang w:val="en-US"/>
        </w:rPr>
        <w:t>al</w:t>
      </w:r>
      <w:r>
        <w:rPr>
          <w:rFonts w:ascii="Book Antiqua" w:hAnsi="Book Antiqua" w:cs="Arial"/>
          <w:color w:val="000000" w:themeColor="text1"/>
          <w:vertAlign w:val="superscript"/>
          <w:lang w:val="en-US"/>
        </w:rPr>
        <w:t>[</w:t>
      </w:r>
      <w:proofErr w:type="gramEnd"/>
      <w:r>
        <w:rPr>
          <w:rFonts w:ascii="Book Antiqua" w:hAnsi="Book Antiqua" w:cs="Arial"/>
          <w:color w:val="000000" w:themeColor="text1"/>
          <w:vertAlign w:val="superscript"/>
          <w:lang w:val="en-US"/>
        </w:rPr>
        <w:t>15]</w:t>
      </w:r>
      <w:r w:rsidR="0054171B" w:rsidRPr="00383A0F">
        <w:rPr>
          <w:rFonts w:ascii="Book Antiqua" w:hAnsi="Book Antiqua" w:cs="Arial"/>
          <w:color w:val="000000" w:themeColor="text1"/>
          <w:lang w:val="en-US"/>
        </w:rPr>
        <w:t xml:space="preserve">). </w:t>
      </w:r>
    </w:p>
    <w:p w14:paraId="48F49B11" w14:textId="77777777" w:rsidR="00EE5A4B" w:rsidRPr="00383A0F" w:rsidRDefault="00EE5A4B" w:rsidP="00383A0F">
      <w:pPr>
        <w:adjustRightInd w:val="0"/>
        <w:snapToGrid w:val="0"/>
        <w:spacing w:line="360" w:lineRule="auto"/>
        <w:jc w:val="both"/>
        <w:rPr>
          <w:rFonts w:ascii="Book Antiqua" w:hAnsi="Book Antiqua" w:cs="Arial"/>
          <w:color w:val="000000" w:themeColor="text1"/>
          <w:lang w:val="en-US"/>
        </w:rPr>
      </w:pPr>
    </w:p>
    <w:p w14:paraId="60A2A36C" w14:textId="1FF019D7" w:rsidR="000662B7" w:rsidRPr="00383A0F" w:rsidRDefault="000662B7" w:rsidP="00383A0F">
      <w:pPr>
        <w:pStyle w:val="a3"/>
        <w:adjustRightInd w:val="0"/>
        <w:snapToGrid w:val="0"/>
        <w:spacing w:line="360" w:lineRule="auto"/>
        <w:ind w:left="0"/>
        <w:contextualSpacing w:val="0"/>
        <w:jc w:val="both"/>
        <w:rPr>
          <w:rFonts w:ascii="Book Antiqua" w:hAnsi="Book Antiqua" w:cs="Arial"/>
          <w:b/>
          <w:color w:val="000000" w:themeColor="text1"/>
          <w:lang w:val="en-US"/>
        </w:rPr>
      </w:pPr>
      <w:r w:rsidRPr="00383A0F">
        <w:rPr>
          <w:rFonts w:ascii="Book Antiqua" w:hAnsi="Book Antiqua" w:cs="Arial"/>
          <w:b/>
          <w:color w:val="000000" w:themeColor="text1"/>
          <w:lang w:val="en-US"/>
        </w:rPr>
        <w:t>A DYNAMIC PERSPECTIVE ON ACLF: WHAT IS THE OPTIMAL TIMING FOR LT IN CRITICALLY ILL PATIENTS?</w:t>
      </w:r>
    </w:p>
    <w:p w14:paraId="1F65D050" w14:textId="79192C33" w:rsidR="001F779D" w:rsidRPr="00383A0F" w:rsidRDefault="001F779D" w:rsidP="00383A0F">
      <w:pPr>
        <w:pStyle w:val="a3"/>
        <w:adjustRightInd w:val="0"/>
        <w:snapToGrid w:val="0"/>
        <w:spacing w:line="360" w:lineRule="auto"/>
        <w:ind w:left="0"/>
        <w:contextualSpacing w:val="0"/>
        <w:jc w:val="both"/>
        <w:rPr>
          <w:rFonts w:ascii="Book Antiqua" w:hAnsi="Book Antiqua" w:cs="Arial"/>
          <w:color w:val="000000" w:themeColor="text1"/>
          <w:lang w:val="en-US"/>
        </w:rPr>
      </w:pPr>
      <w:proofErr w:type="spellStart"/>
      <w:r w:rsidRPr="00383A0F">
        <w:rPr>
          <w:rFonts w:ascii="Book Antiqua" w:hAnsi="Book Antiqua" w:cs="Arial"/>
          <w:color w:val="000000" w:themeColor="text1"/>
          <w:lang w:val="en-US"/>
        </w:rPr>
        <w:t>Gustot's</w:t>
      </w:r>
      <w:proofErr w:type="spellEnd"/>
      <w:r w:rsidRPr="00383A0F">
        <w:rPr>
          <w:rFonts w:ascii="Book Antiqua" w:hAnsi="Book Antiqua" w:cs="Arial"/>
          <w:color w:val="000000" w:themeColor="text1"/>
          <w:lang w:val="en-US"/>
        </w:rPr>
        <w:t xml:space="preserve"> 2015 analysis</w:t>
      </w:r>
      <w:r w:rsidR="00871E9B" w:rsidRPr="00383A0F">
        <w:rPr>
          <w:rFonts w:ascii="Book Antiqua" w:hAnsi="Book Antiqua" w:cs="Arial"/>
          <w:color w:val="000000" w:themeColor="text1"/>
          <w:lang w:val="en-US"/>
        </w:rPr>
        <w:fldChar w:fldCharType="begin"/>
      </w:r>
      <w:r w:rsidR="00871E9B" w:rsidRPr="00383A0F">
        <w:rPr>
          <w:rFonts w:ascii="Book Antiqua" w:hAnsi="Book Antiqua" w:cs="Arial"/>
          <w:color w:val="000000" w:themeColor="text1"/>
          <w:lang w:val="en-US"/>
        </w:rPr>
        <w:instrText xml:space="preserve"> ADDIN ZOTERO_ITEM CSL_CITATION {"citationID":"Gjk102JQ","properties":{"formattedCitation":"\\super [42]\\nosupersub{}","plainCitation":"[42]","noteIndex":0},"citationItems":[{"id":414,"uris":["http://zotero.org/users/local/BE2xVPev/items/67SXJS6I"],"uri":["http://zotero.org/users/local/BE2xVPev/items/67SXJS6I"],"itemData":{"id":414,"type":"article-journal","title":"Clinical Course of acute-on-chronic liver failure syndrome and effects on prognosis","container-title":"Hepatology (Baltimore, Md.)","page":"243-252","volume":"62","issue":"1","source":"PubMed","abstract":"Acute-on-chronic liver failure (ACLF) is characterized by acute decompensation (AD) of cirrhosis, organ failure(s), and high 28-day mortality. We investigated whether assessments of patients at specific time points predicted their need for liver transplantation (LT) or the potential futility of their care. We assessed clinical courses of 388 patients who had ACLF at enrollment, from February through September 2011, or during early (28-day) follow-up of the prospective multicenter European Chronic Liver Failure (CLIF) ACLF in Cirrhosis study. We assessed ACLF grades at different time points to define disease resolution, improvement, worsening, or steady or fluctuating course. ACLF resolved or improved in 49.2%, had a steady or fluctuating course in 30.4%, and worsened in 20.4%. The 28-day transplant-free mortality was low-to-moderate (6%-18%) in patients with nonsevere early course (final no ACLF or ACLF-1) and high-to-very high (42%-92%) in those with severe early course (final ACLF-2 or -3) independently of initial grades. Independent predictors of course severity were CLIF Consortium ACLF score (CLIF-C ACLFs) and presence of liver failure (total bilirubin ≥12 mg/dL) at ACLF diagnosis. Eighty-one percent had their final ACLF grade at 1 week, resulting in accurate prediction of short- (28-day) and mid-term (90-day) mortality by ACLF grade at 3-7 days. Among patients that underwent early LT, 75% survived for at least 1 year. Among patients with ≥4 organ failures, or CLIF-C ACLFs &gt;64 at days 3-7 days, and did not undergo LT, mortality was 100% by 28 days.\nCONCLUSIONS: Assessment of ACLF patients at 3-7 days of the syndrome provides a tool to define the emergency of LT and a rational basis for intensive care discontinuation owing to futility.","DOI":"10.1002/hep.27849","ISSN":"1527-3350","note":"PMID: 25877702","journalAbbreviation":"Hepatology","language":"eng","author":[{"family":"Gustot","given":"Thierry"},{"family":"Fernandez","given":"Javier"},{"family":"Garcia","given":"Elisabet"},{"family":"Morando","given":"Filippo"},{"family":"Caraceni","given":"Paolo"},{"family":"Alessandria","given":"Carlo"},{"family":"Laleman","given":"Wim"},{"family":"Trebicka","given":"Jonel"},{"family":"Elkrief","given":"Laure"},{"family":"Hopf","given":"Corinna"},{"family":"Solís-Munoz","given":"Pablo"},{"family":"Saliba","given":"Faouzi"},{"family":"Zeuzem","given":"Stefan"},{"family":"Albillos","given":"Augustin"},{"family":"Benten","given":"Daniel"},{"family":"Montero-Alvarez","given":"José Luis"},{"family":"Chivas","given":"Maria Teresa"},{"family":"Concepción","given":"Mar"},{"family":"Córdoba","given":"Juan"},{"family":"McCormick","given":"Aiden"},{"family":"Stauber","given":"Rudolf"},{"family":"Vogel","given":"Wolfgang"},{"family":"Gottardi","given":"Andrea","non-dropping-particle":"de"},{"family":"Welzel","given":"Tania M."},{"family":"Domenicali","given":"Marco"},{"family":"Risso","given":"Alessandro"},{"family":"Wendon","given":"Julia"},{"family":"Deulofeu","given":"Carme"},{"family":"Angeli","given":"Paolo"},{"family":"Durand","given":"François"},{"family":"Pavesi","given":"Marco"},{"family":"Gerbes","given":"Alexander"},{"family":"Jalan","given":"Rajiv"},{"family":"Moreau","given":"Richard"},{"family":"Ginés","given":"Pere"},{"family":"Bernardi","given":"Mauro"},{"family":"Arroyo","given":"Vicente"},{"literal":"CANONIC Study Investigators of the EASL-CLIF Consortium"}],"issued":{"date-parts":[["2015",7]]}}}],"schema":"https://github.com/citation-style-language/schema/raw/master/csl-citation.json"} </w:instrText>
      </w:r>
      <w:r w:rsidR="00871E9B" w:rsidRPr="00383A0F">
        <w:rPr>
          <w:rFonts w:ascii="Book Antiqua" w:hAnsi="Book Antiqua" w:cs="Arial"/>
          <w:color w:val="000000" w:themeColor="text1"/>
          <w:lang w:val="en-US"/>
        </w:rPr>
        <w:fldChar w:fldCharType="separate"/>
      </w:r>
      <w:r w:rsidR="00871E9B" w:rsidRPr="00383A0F">
        <w:rPr>
          <w:rFonts w:ascii="Book Antiqua" w:hAnsi="Book Antiqua"/>
          <w:color w:val="000000" w:themeColor="text1"/>
          <w:vertAlign w:val="superscript"/>
          <w:lang w:val="en-US"/>
        </w:rPr>
        <w:t>[42]</w:t>
      </w:r>
      <w:r w:rsidR="00871E9B"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of the CANONIC cohort has shown that ACLF is </w:t>
      </w:r>
      <w:r w:rsidR="005041A3" w:rsidRPr="00383A0F">
        <w:rPr>
          <w:rFonts w:ascii="Book Antiqua" w:hAnsi="Book Antiqua" w:cs="Arial"/>
          <w:color w:val="000000" w:themeColor="text1"/>
          <w:lang w:val="en-US"/>
        </w:rPr>
        <w:t xml:space="preserve">a </w:t>
      </w:r>
      <w:r w:rsidRPr="00383A0F">
        <w:rPr>
          <w:rFonts w:ascii="Book Antiqua" w:hAnsi="Book Antiqua" w:cs="Arial"/>
          <w:color w:val="000000" w:themeColor="text1"/>
          <w:lang w:val="en-US"/>
        </w:rPr>
        <w:t xml:space="preserve">dynamic process and </w:t>
      </w:r>
      <w:r w:rsidR="001C6F0F" w:rsidRPr="00383A0F">
        <w:rPr>
          <w:rFonts w:ascii="Book Antiqua" w:hAnsi="Book Antiqua" w:cs="Arial"/>
          <w:color w:val="000000" w:themeColor="text1"/>
          <w:lang w:val="en-US"/>
        </w:rPr>
        <w:t>that some patients’</w:t>
      </w:r>
      <w:r w:rsidRPr="00383A0F">
        <w:rPr>
          <w:rFonts w:ascii="Book Antiqua" w:hAnsi="Book Antiqua" w:cs="Arial"/>
          <w:color w:val="000000" w:themeColor="text1"/>
          <w:lang w:val="en-US"/>
        </w:rPr>
        <w:t xml:space="preserve"> conditions can improve without transplant</w:t>
      </w:r>
      <w:r w:rsidR="00E24E5F" w:rsidRPr="00383A0F">
        <w:rPr>
          <w:rFonts w:ascii="Book Antiqua" w:hAnsi="Book Antiqua" w:cs="Arial"/>
          <w:color w:val="000000" w:themeColor="text1"/>
          <w:lang w:val="en-US"/>
        </w:rPr>
        <w:t>ation</w:t>
      </w:r>
      <w:r w:rsidRPr="00383A0F">
        <w:rPr>
          <w:rFonts w:ascii="Book Antiqua" w:hAnsi="Book Antiqua" w:cs="Arial"/>
          <w:color w:val="000000" w:themeColor="text1"/>
          <w:lang w:val="en-US"/>
        </w:rPr>
        <w:t xml:space="preserve">. </w:t>
      </w:r>
      <w:r w:rsidR="001C6F0F" w:rsidRPr="00383A0F">
        <w:rPr>
          <w:rFonts w:ascii="Book Antiqua" w:hAnsi="Book Antiqua" w:cs="Arial"/>
          <w:color w:val="000000" w:themeColor="text1"/>
          <w:lang w:val="en-US"/>
        </w:rPr>
        <w:t>In particular,</w:t>
      </w:r>
      <w:r w:rsidRPr="00383A0F">
        <w:rPr>
          <w:rFonts w:ascii="Book Antiqua" w:hAnsi="Book Antiqua" w:cs="Arial"/>
          <w:color w:val="000000" w:themeColor="text1"/>
          <w:lang w:val="en-US"/>
        </w:rPr>
        <w:t xml:space="preserve"> 40% of the patients </w:t>
      </w:r>
      <w:r w:rsidR="001C6F0F" w:rsidRPr="00383A0F">
        <w:rPr>
          <w:rFonts w:ascii="Book Antiqua" w:hAnsi="Book Antiqua" w:cs="Arial"/>
          <w:color w:val="000000" w:themeColor="text1"/>
          <w:lang w:val="en-US"/>
        </w:rPr>
        <w:t xml:space="preserve">who were initially diagnosed with ACLF 2 or 3 improved in the course of their hospital stay </w:t>
      </w:r>
      <w:r w:rsidRPr="00383A0F">
        <w:rPr>
          <w:rFonts w:ascii="Book Antiqua" w:hAnsi="Book Antiqua" w:cs="Arial"/>
          <w:color w:val="000000" w:themeColor="text1"/>
          <w:lang w:val="en-US"/>
        </w:rPr>
        <w:t xml:space="preserve">to ACLF 0 or 1. He </w:t>
      </w:r>
      <w:r w:rsidR="005041A3" w:rsidRPr="00383A0F">
        <w:rPr>
          <w:rFonts w:ascii="Book Antiqua" w:hAnsi="Book Antiqua" w:cs="Arial"/>
          <w:color w:val="000000" w:themeColor="text1"/>
          <w:lang w:val="en-US"/>
        </w:rPr>
        <w:t>also showed that the transplant-</w:t>
      </w:r>
      <w:r w:rsidRPr="00383A0F">
        <w:rPr>
          <w:rFonts w:ascii="Book Antiqua" w:hAnsi="Book Antiqua" w:cs="Arial"/>
          <w:color w:val="000000" w:themeColor="text1"/>
          <w:lang w:val="en-US"/>
        </w:rPr>
        <w:t xml:space="preserve">free prognosis of patients was determined more by their evolution and by their ACLF grade between day 3 and </w:t>
      </w:r>
      <w:r w:rsidR="005041A3" w:rsidRPr="00383A0F">
        <w:rPr>
          <w:rFonts w:ascii="Book Antiqua" w:hAnsi="Book Antiqua" w:cs="Arial"/>
          <w:color w:val="000000" w:themeColor="text1"/>
          <w:lang w:val="en-US"/>
        </w:rPr>
        <w:t xml:space="preserve">day </w:t>
      </w:r>
      <w:r w:rsidRPr="00383A0F">
        <w:rPr>
          <w:rFonts w:ascii="Book Antiqua" w:hAnsi="Book Antiqua" w:cs="Arial"/>
          <w:color w:val="000000" w:themeColor="text1"/>
          <w:lang w:val="en-US"/>
        </w:rPr>
        <w:t>7 than by their initial ACLF grade.</w:t>
      </w:r>
      <w:r w:rsidR="007961FD" w:rsidRPr="00383A0F">
        <w:rPr>
          <w:rFonts w:ascii="Book Antiqua" w:hAnsi="Book Antiqua" w:cs="Arial"/>
          <w:color w:val="000000" w:themeColor="text1"/>
          <w:lang w:val="en-US"/>
        </w:rPr>
        <w:t xml:space="preserve"> Th</w:t>
      </w:r>
      <w:r w:rsidR="00546F4E" w:rsidRPr="00383A0F">
        <w:rPr>
          <w:rFonts w:ascii="Book Antiqua" w:hAnsi="Book Antiqua" w:cs="Arial"/>
          <w:color w:val="000000" w:themeColor="text1"/>
          <w:lang w:val="en-US"/>
        </w:rPr>
        <w:t>ese</w:t>
      </w:r>
      <w:r w:rsidR="007961FD" w:rsidRPr="00383A0F">
        <w:rPr>
          <w:rFonts w:ascii="Book Antiqua" w:hAnsi="Book Antiqua" w:cs="Arial"/>
          <w:color w:val="000000" w:themeColor="text1"/>
          <w:lang w:val="en-US"/>
        </w:rPr>
        <w:t xml:space="preserve"> important observation</w:t>
      </w:r>
      <w:r w:rsidR="00546F4E" w:rsidRPr="00383A0F">
        <w:rPr>
          <w:rFonts w:ascii="Book Antiqua" w:hAnsi="Book Antiqua" w:cs="Arial"/>
          <w:color w:val="000000" w:themeColor="text1"/>
          <w:lang w:val="en-US"/>
        </w:rPr>
        <w:t>s</w:t>
      </w:r>
      <w:r w:rsidR="007961FD" w:rsidRPr="00383A0F">
        <w:rPr>
          <w:rFonts w:ascii="Book Antiqua" w:hAnsi="Book Antiqua" w:cs="Arial"/>
          <w:color w:val="000000" w:themeColor="text1"/>
          <w:lang w:val="en-US"/>
        </w:rPr>
        <w:t xml:space="preserve"> ha</w:t>
      </w:r>
      <w:r w:rsidR="00546F4E" w:rsidRPr="00383A0F">
        <w:rPr>
          <w:rFonts w:ascii="Book Antiqua" w:hAnsi="Book Antiqua" w:cs="Arial"/>
          <w:color w:val="000000" w:themeColor="text1"/>
          <w:lang w:val="en-US"/>
        </w:rPr>
        <w:t>ve</w:t>
      </w:r>
      <w:r w:rsidR="007961FD" w:rsidRPr="00383A0F">
        <w:rPr>
          <w:rFonts w:ascii="Book Antiqua" w:hAnsi="Book Antiqua" w:cs="Arial"/>
          <w:color w:val="000000" w:themeColor="text1"/>
          <w:lang w:val="en-US"/>
        </w:rPr>
        <w:t xml:space="preserve"> been confirmed </w:t>
      </w:r>
      <w:r w:rsidR="00546F4E" w:rsidRPr="00383A0F">
        <w:rPr>
          <w:rFonts w:ascii="Book Antiqua" w:hAnsi="Book Antiqua" w:cs="Arial"/>
          <w:color w:val="000000" w:themeColor="text1"/>
          <w:lang w:val="en-US"/>
        </w:rPr>
        <w:t>in other cohorts</w:t>
      </w:r>
      <w:r w:rsidR="0033438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{"citationID":"aOB2q5Gf","properties":{"formattedCitation":"\\super [50]\\nosupersub{}","plainCitation":"[50]","noteIndex":0},"citationItems":[{"id":418,"uris":["http://zotero.org/users/local/BE2xVPev/items/8WVVBT6W"],"uri":["http://zotero.org/users/local/BE2xVPev/items/8WVVBT6W"],"itemData":{"id":418,"type":"article-journal","title":"Acute-on-chronic liver failure: an update","container-title":"Gut","page":"541-553","volume":"66","issue":"3","source":"PubMed","abstract":"Acute-on-chronic liver failure (ACLF) is a syndrome characterised by acute decompensation of chronic liver disease associated with organ failures and high short-term mortality. Alcohol and chronic viral hepatitis are the most common underlying liver diseases. Up to 40%-50% of the cases of ACLF have no identifiable trigger; in the remaining patients, sepsis, active alcoholism and relapse of chronic viral hepatitis are the most common reported precipitating factors. An excessive systemic inflammatory response seems to play a crucial role in the development of ACLF. Using a liver-adapted sequential organ assessment failure score, it is possible to triage and prognosticate the outcome of patients with ACLF. The course of ACLF is dynamic and changes over the course of hospital admission. Most of the patients will have a clear prognosis between day 3 and 7 of hospital admission and clinical decisions such as evaluation for liver transplant or discussion over goals of care could be tailored using clinical scores. Bioartificial liver support systems, granulocyte-colony stimulating factors or stem-cell transplant are in the horizon of medical care of this patient population; however, data are too premature to implement them as standard of care.","DOI":"10.1136/gutjnl-2016-312670","ISSN":"1468-3288","note":"PMID: 28053053\nPMCID: PMC5534763","shortTitle":"Acute-on-chronic liver failure","journalAbbreviation":"Gut","language":"eng","author":[{"family":"Hernaez","given":"Ruben"},{"family":"Solà","given":"Elsa"},{"family":"Moreau","given":"Richard"},{"family":"Ginès","given":"Pere"}],"issued":{"date-parts":[["2017"]]}}}],"schema":"https://github.com/citation-style-language/schema/raw/master/csl-citation.json"} </w:instrText>
      </w:r>
      <w:r w:rsidR="00334388"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[50]</w:t>
      </w:r>
      <w:r w:rsidR="00334388" w:rsidRPr="00383A0F">
        <w:rPr>
          <w:rFonts w:ascii="Book Antiqua" w:hAnsi="Book Antiqua" w:cs="Arial"/>
          <w:color w:val="000000" w:themeColor="text1"/>
          <w:lang w:val="en-US"/>
        </w:rPr>
        <w:fldChar w:fldCharType="end"/>
      </w:r>
      <w:r w:rsidR="007961FD" w:rsidRPr="00383A0F">
        <w:rPr>
          <w:rFonts w:ascii="Book Antiqua" w:hAnsi="Book Antiqua" w:cs="Arial"/>
          <w:color w:val="000000" w:themeColor="text1"/>
          <w:lang w:val="en-US"/>
        </w:rPr>
        <w:t>.</w:t>
      </w:r>
      <w:r w:rsidRPr="00383A0F">
        <w:rPr>
          <w:rFonts w:ascii="Book Antiqua" w:hAnsi="Book Antiqua" w:cs="Arial"/>
          <w:color w:val="000000" w:themeColor="text1"/>
          <w:lang w:val="en-US"/>
        </w:rPr>
        <w:t xml:space="preserve"> Only 9 patients with ACLF 3 were transplanted in </w:t>
      </w:r>
      <w:proofErr w:type="spellStart"/>
      <w:r w:rsidRPr="00383A0F">
        <w:rPr>
          <w:rFonts w:ascii="Book Antiqua" w:hAnsi="Book Antiqua" w:cs="Arial"/>
          <w:color w:val="000000" w:themeColor="text1"/>
          <w:lang w:val="en-US"/>
        </w:rPr>
        <w:t>Gustot's</w:t>
      </w:r>
      <w:proofErr w:type="spellEnd"/>
      <w:r w:rsidRPr="00383A0F">
        <w:rPr>
          <w:rFonts w:ascii="Book Antiqua" w:hAnsi="Book Antiqua" w:cs="Arial"/>
          <w:color w:val="000000" w:themeColor="text1"/>
          <w:lang w:val="en-US"/>
        </w:rPr>
        <w:t xml:space="preserve"> study, which does not allow him to draw conclusions concerning the optimal management of critically ill ACLF patients with regard to transplantation.</w:t>
      </w:r>
      <w:r w:rsidR="00334388" w:rsidRPr="00383A0F">
        <w:rPr>
          <w:rFonts w:ascii="Book Antiqua" w:hAnsi="Book Antiqua" w:cs="Arial"/>
          <w:color w:val="000000" w:themeColor="text1"/>
          <w:lang w:val="en-US"/>
        </w:rPr>
        <w:t xml:space="preserve"> </w:t>
      </w:r>
    </w:p>
    <w:p w14:paraId="7BE938EB" w14:textId="7ED06387" w:rsidR="00343B9D" w:rsidRPr="00383A0F" w:rsidRDefault="00871E9B"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b/>
          <w:i/>
          <w:color w:val="000000" w:themeColor="text1"/>
          <w:lang w:val="en-US"/>
        </w:rPr>
        <w:t xml:space="preserve">  </w:t>
      </w:r>
      <w:r w:rsidR="001F779D" w:rsidRPr="00383A0F">
        <w:rPr>
          <w:rFonts w:ascii="Book Antiqua" w:hAnsi="Book Antiqua" w:cs="Arial"/>
          <w:color w:val="000000" w:themeColor="text1"/>
          <w:lang w:val="en-US"/>
        </w:rPr>
        <w:t>A number of pragmatic points can nevertheless be drawn from this important study</w:t>
      </w:r>
      <w:r w:rsidR="00546F4E" w:rsidRPr="00383A0F">
        <w:rPr>
          <w:rFonts w:ascii="Book Antiqua" w:hAnsi="Book Antiqua" w:cs="Arial"/>
          <w:color w:val="000000" w:themeColor="text1"/>
          <w:lang w:val="en-US"/>
        </w:rPr>
        <w:t xml:space="preserve">. </w:t>
      </w:r>
      <w:r w:rsidR="00A3040C" w:rsidRPr="00383A0F">
        <w:rPr>
          <w:rFonts w:ascii="Book Antiqua" w:hAnsi="Book Antiqua" w:cs="Arial"/>
          <w:color w:val="000000" w:themeColor="text1"/>
          <w:lang w:val="en-US"/>
        </w:rPr>
        <w:t>First, there is a growing consensus that more patients with ACLF whose condition was considered desperate should be admitted to</w:t>
      </w:r>
      <w:r w:rsidR="005041A3" w:rsidRPr="00383A0F">
        <w:rPr>
          <w:rFonts w:ascii="Book Antiqua" w:hAnsi="Book Antiqua" w:cs="Arial"/>
          <w:color w:val="000000" w:themeColor="text1"/>
          <w:lang w:val="en-US"/>
        </w:rPr>
        <w:t xml:space="preserve"> the</w:t>
      </w:r>
      <w:r w:rsidR="00A3040C" w:rsidRPr="00383A0F">
        <w:rPr>
          <w:rFonts w:ascii="Book Antiqua" w:hAnsi="Book Antiqua" w:cs="Arial"/>
          <w:color w:val="000000" w:themeColor="text1"/>
          <w:lang w:val="en-US"/>
        </w:rPr>
        <w:t xml:space="preserve"> ICU for initial </w:t>
      </w:r>
      <w:r w:rsidR="00A824BF" w:rsidRPr="00383A0F">
        <w:rPr>
          <w:rFonts w:ascii="Book Antiqua" w:hAnsi="Book Antiqua" w:cs="Arial"/>
          <w:color w:val="000000" w:themeColor="text1"/>
          <w:lang w:val="en-US"/>
        </w:rPr>
        <w:t>organ support</w:t>
      </w:r>
      <w:r w:rsidR="00A3040C" w:rsidRPr="00383A0F">
        <w:rPr>
          <w:rFonts w:ascii="Book Antiqua" w:hAnsi="Book Antiqua" w:cs="Arial"/>
          <w:color w:val="000000" w:themeColor="text1"/>
          <w:lang w:val="en-US"/>
        </w:rPr>
        <w:t xml:space="preserve"> and monitoring</w:t>
      </w:r>
      <w:r w:rsidR="001F44D9"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{"citationID":"yVF0EuEB","properties":{"formattedCitation":"\\super [38]\\nosupersub{}","plainCitation":"[38]","noteIndex":0},"citationItems":[{"id":485,"uris":["http://zotero.org/users/local/BE2xVPev/items/4X9BL3CQ"],"uri":["http://zotero.org/users/local/BE2xVPev/items/4X9BL3CQ"],"itemData":{"id":485,"type":"article-journal","title":"Acute-on-chronic liver failure","container-title":"Lancet (London, England)","page":"1576-1587","volume":"386","issue":"10003","source":"PubMed","abstract":"Acute-on-chronic liver failure combines an acute deterioration in liver function in an individual with pre-existing chronic liver disease and hepatic and extrahepatic organ failures, and is associated with substantial short-term mortality. Common precipitants include bacterial and viral infections, alcoholic hepatitis, and surgery, but in more than 40% of patients, no precipitating event is identified. Systemic inflammation and susceptibility to infection are characteristic pathophysiological features. A new diagnostic score, the Chronic Liver Failure Consortium (CLIF-C) organ failure score, has been developed for classification and prognostic assessment of patients with acute-on-chronic liver failure. Disease can be reversed in many patients, and thus clinical management focuses upon the identification and treatment of the precipitant while providing multiorgan-supportive care that addresses the complex pattern of physiological disturbance in critically ill patients with liver disease. Liver transplantation is a highly effective intervention in some specific cases, but recipient identification, organ availability, timing of transplantation, and high resource use are barriers to more widespread application. Recognition of acute-on-chronic liver failure as a clinically and pathophysiologically distinct syndrome with defined diagnostic and prognostic criteria will help to encourage the development of new management pathways and interventions to address the unacceptably high mortality.","DOI":"10.1016/S0140-6736(15)00309-8","ISSN":"1474-547X","note":"PMID: 26423181","journalAbbreviation":"Lancet","language":"eng","author":[{"family":"Bernal","given":"William"},{"family":"Jalan","given":"Rajiv"},{"family":"Quaglia","given":"Alberto"},{"family":"Simpson","given":"Kenneth"},{"family":"Wendon","given":"Julia"},{"family":"Burroughs","given":"Andrew"}],"issued":{"date-parts":[["2015",10,17]]}}}],"schema":"https://github.com/citation-style-language/schema/raw/master/csl-citation.json"} </w:instrText>
      </w:r>
      <w:r w:rsidR="001F44D9"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[38]</w:t>
      </w:r>
      <w:r w:rsidR="001F44D9" w:rsidRPr="00383A0F">
        <w:rPr>
          <w:rFonts w:ascii="Book Antiqua" w:hAnsi="Book Antiqua" w:cs="Arial"/>
          <w:color w:val="000000" w:themeColor="text1"/>
          <w:lang w:val="en-US"/>
        </w:rPr>
        <w:fldChar w:fldCharType="end"/>
      </w:r>
      <w:r w:rsidR="00A3040C" w:rsidRPr="00383A0F">
        <w:rPr>
          <w:rFonts w:ascii="Book Antiqua" w:hAnsi="Book Antiqua" w:cs="Arial"/>
          <w:color w:val="000000" w:themeColor="text1"/>
          <w:lang w:val="en-US"/>
        </w:rPr>
        <w:t xml:space="preserve">. Second, </w:t>
      </w:r>
      <w:r w:rsidR="005041A3" w:rsidRPr="00383A0F">
        <w:rPr>
          <w:rFonts w:ascii="Book Antiqua" w:hAnsi="Book Antiqua" w:cs="Arial"/>
          <w:color w:val="000000" w:themeColor="text1"/>
          <w:lang w:val="en-US"/>
        </w:rPr>
        <w:t>an expedited</w:t>
      </w:r>
      <w:r w:rsidR="00210AC3" w:rsidRPr="00383A0F">
        <w:rPr>
          <w:rFonts w:ascii="Book Antiqua" w:hAnsi="Book Antiqua" w:cs="Arial"/>
          <w:color w:val="000000" w:themeColor="text1"/>
          <w:lang w:val="en-US"/>
        </w:rPr>
        <w:t xml:space="preserve"> </w:t>
      </w:r>
      <w:r w:rsidR="001742A8" w:rsidRPr="00383A0F">
        <w:rPr>
          <w:rFonts w:ascii="Book Antiqua" w:hAnsi="Book Antiqua" w:cs="Arial"/>
          <w:color w:val="000000" w:themeColor="text1"/>
          <w:lang w:val="en-US"/>
        </w:rPr>
        <w:t>pre-transplant</w:t>
      </w:r>
      <w:r w:rsidR="00210AC3" w:rsidRPr="00383A0F">
        <w:rPr>
          <w:rFonts w:ascii="Book Antiqua" w:hAnsi="Book Antiqua" w:cs="Arial"/>
          <w:color w:val="000000" w:themeColor="text1"/>
          <w:lang w:val="en-US"/>
        </w:rPr>
        <w:t xml:space="preserve"> assessment </w:t>
      </w:r>
      <w:r w:rsidR="003E14C0">
        <w:rPr>
          <w:rFonts w:ascii="Book Antiqua" w:hAnsi="Book Antiqua" w:cs="Arial"/>
          <w:color w:val="000000" w:themeColor="text1"/>
          <w:lang w:val="en-US"/>
        </w:rPr>
        <w:t xml:space="preserve">[computed tomography </w:t>
      </w:r>
      <w:r w:rsidR="00210AC3" w:rsidRPr="00383A0F">
        <w:rPr>
          <w:rFonts w:ascii="Book Antiqua" w:hAnsi="Book Antiqua" w:cs="Arial"/>
          <w:color w:val="000000" w:themeColor="text1"/>
          <w:lang w:val="en-US"/>
        </w:rPr>
        <w:t>(CT</w:t>
      </w:r>
      <w:r w:rsidR="003E14C0">
        <w:rPr>
          <w:rFonts w:ascii="Book Antiqua" w:hAnsi="Book Antiqua" w:cs="Arial"/>
          <w:color w:val="000000" w:themeColor="text1"/>
          <w:lang w:val="en-US"/>
        </w:rPr>
        <w:t>)</w:t>
      </w:r>
      <w:r w:rsidR="00210AC3" w:rsidRPr="00383A0F">
        <w:rPr>
          <w:rFonts w:ascii="Book Antiqua" w:hAnsi="Book Antiqua" w:cs="Arial"/>
          <w:color w:val="000000" w:themeColor="text1"/>
          <w:lang w:val="en-US"/>
        </w:rPr>
        <w:t xml:space="preserve"> scan to eliminate a tumor, cardiovascular</w:t>
      </w:r>
      <w:r w:rsidR="003E14C0">
        <w:rPr>
          <w:rFonts w:ascii="Book Antiqua" w:hAnsi="Book Antiqua" w:cs="Arial"/>
          <w:color w:val="000000" w:themeColor="text1"/>
          <w:lang w:val="en-US"/>
        </w:rPr>
        <w:t xml:space="preserve"> screening, psychiatric history]</w:t>
      </w:r>
      <w:r w:rsidR="00210AC3" w:rsidRPr="00383A0F">
        <w:rPr>
          <w:rFonts w:ascii="Book Antiqua" w:hAnsi="Book Antiqua" w:cs="Arial"/>
          <w:color w:val="000000" w:themeColor="text1"/>
          <w:lang w:val="en-US"/>
        </w:rPr>
        <w:t xml:space="preserve"> should be completed within the first 2 or 3 d after admission in order to decide</w:t>
      </w:r>
      <w:r w:rsidR="005041A3" w:rsidRPr="00383A0F">
        <w:rPr>
          <w:rFonts w:ascii="Book Antiqua" w:hAnsi="Book Antiqua" w:cs="Arial"/>
          <w:color w:val="000000" w:themeColor="text1"/>
          <w:lang w:val="en-US"/>
        </w:rPr>
        <w:t xml:space="preserve"> whether or not </w:t>
      </w:r>
      <w:r w:rsidR="00210AC3" w:rsidRPr="00383A0F">
        <w:rPr>
          <w:rFonts w:ascii="Book Antiqua" w:hAnsi="Book Antiqua" w:cs="Arial"/>
          <w:color w:val="000000" w:themeColor="text1"/>
          <w:lang w:val="en-US"/>
        </w:rPr>
        <w:t xml:space="preserve">to </w:t>
      </w:r>
      <w:r w:rsidR="005041A3" w:rsidRPr="00383A0F">
        <w:rPr>
          <w:rFonts w:ascii="Book Antiqua" w:hAnsi="Book Antiqua" w:cs="Arial"/>
          <w:color w:val="000000" w:themeColor="text1"/>
          <w:lang w:val="en-US"/>
        </w:rPr>
        <w:t>place</w:t>
      </w:r>
      <w:r w:rsidR="00A824BF" w:rsidRPr="00383A0F">
        <w:rPr>
          <w:rFonts w:ascii="Book Antiqua" w:hAnsi="Book Antiqua" w:cs="Arial"/>
          <w:color w:val="000000" w:themeColor="text1"/>
          <w:lang w:val="en-US"/>
        </w:rPr>
        <w:t xml:space="preserve"> (or maintain)</w:t>
      </w:r>
      <w:r w:rsidR="00210AC3" w:rsidRPr="00383A0F">
        <w:rPr>
          <w:rFonts w:ascii="Book Antiqua" w:hAnsi="Book Antiqua" w:cs="Arial"/>
          <w:color w:val="000000" w:themeColor="text1"/>
          <w:lang w:val="en-US"/>
        </w:rPr>
        <w:t xml:space="preserve"> </w:t>
      </w:r>
      <w:r w:rsidR="005041A3" w:rsidRPr="00383A0F">
        <w:rPr>
          <w:rFonts w:ascii="Book Antiqua" w:hAnsi="Book Antiqua" w:cs="Arial"/>
          <w:color w:val="000000" w:themeColor="text1"/>
          <w:lang w:val="en-US"/>
        </w:rPr>
        <w:t xml:space="preserve">the patient on the </w:t>
      </w:r>
      <w:r w:rsidR="00A824BF" w:rsidRPr="00383A0F">
        <w:rPr>
          <w:rFonts w:ascii="Book Antiqua" w:hAnsi="Book Antiqua" w:cs="Arial"/>
          <w:color w:val="000000" w:themeColor="text1"/>
          <w:lang w:val="en-US"/>
        </w:rPr>
        <w:t xml:space="preserve">transplant </w:t>
      </w:r>
      <w:r w:rsidR="005041A3" w:rsidRPr="00383A0F">
        <w:rPr>
          <w:rFonts w:ascii="Book Antiqua" w:hAnsi="Book Antiqua" w:cs="Arial"/>
          <w:color w:val="000000" w:themeColor="text1"/>
          <w:lang w:val="en-US"/>
        </w:rPr>
        <w:t>waiting list</w:t>
      </w:r>
      <w:r w:rsidR="00210AC3" w:rsidRPr="00383A0F">
        <w:rPr>
          <w:rFonts w:ascii="Book Antiqua" w:hAnsi="Book Antiqua" w:cs="Arial"/>
          <w:color w:val="000000" w:themeColor="text1"/>
          <w:lang w:val="en-US"/>
        </w:rPr>
        <w:t xml:space="preserve">. Third, </w:t>
      </w:r>
      <w:r w:rsidR="00A3040C" w:rsidRPr="00383A0F">
        <w:rPr>
          <w:rFonts w:ascii="Book Antiqua" w:hAnsi="Book Antiqua" w:cs="Arial"/>
          <w:color w:val="000000" w:themeColor="text1"/>
          <w:lang w:val="en-US"/>
        </w:rPr>
        <w:t>patients’ condition</w:t>
      </w:r>
      <w:r w:rsidR="00C15635" w:rsidRPr="00383A0F">
        <w:rPr>
          <w:rFonts w:ascii="Book Antiqua" w:hAnsi="Book Antiqua" w:cs="Arial"/>
          <w:color w:val="000000" w:themeColor="text1"/>
          <w:lang w:val="en-US"/>
        </w:rPr>
        <w:t>s</w:t>
      </w:r>
      <w:r w:rsidR="00A3040C" w:rsidRPr="00383A0F">
        <w:rPr>
          <w:rFonts w:ascii="Book Antiqua" w:hAnsi="Book Antiqua" w:cs="Arial"/>
          <w:color w:val="000000" w:themeColor="text1"/>
          <w:lang w:val="en-US"/>
        </w:rPr>
        <w:t xml:space="preserve"> should be carefully monitored and a </w:t>
      </w:r>
      <w:r w:rsidR="00A3040C" w:rsidRPr="00383A0F">
        <w:rPr>
          <w:rFonts w:ascii="Book Antiqua" w:hAnsi="Book Antiqua" w:cs="Arial"/>
          <w:color w:val="000000" w:themeColor="text1"/>
          <w:lang w:val="en-US"/>
        </w:rPr>
        <w:lastRenderedPageBreak/>
        <w:t xml:space="preserve">complete assessment of their condition should be done between day 3 and </w:t>
      </w:r>
      <w:r w:rsidR="005041A3" w:rsidRPr="00383A0F">
        <w:rPr>
          <w:rFonts w:ascii="Book Antiqua" w:hAnsi="Book Antiqua" w:cs="Arial"/>
          <w:color w:val="000000" w:themeColor="text1"/>
          <w:lang w:val="en-US"/>
        </w:rPr>
        <w:t xml:space="preserve">day 7, in order </w:t>
      </w:r>
      <w:r w:rsidR="00A3040C" w:rsidRPr="00383A0F">
        <w:rPr>
          <w:rFonts w:ascii="Book Antiqua" w:hAnsi="Book Antiqua" w:cs="Arial"/>
          <w:color w:val="000000" w:themeColor="text1"/>
          <w:lang w:val="en-US"/>
        </w:rPr>
        <w:t xml:space="preserve">to </w:t>
      </w:r>
      <w:r w:rsidR="005041A3" w:rsidRPr="00383A0F">
        <w:rPr>
          <w:rFonts w:ascii="Book Antiqua" w:hAnsi="Book Antiqua" w:cs="Arial"/>
          <w:color w:val="000000" w:themeColor="text1"/>
          <w:lang w:val="en-US"/>
        </w:rPr>
        <w:t>gain</w:t>
      </w:r>
      <w:r w:rsidR="00A3040C" w:rsidRPr="00383A0F">
        <w:rPr>
          <w:rFonts w:ascii="Book Antiqua" w:hAnsi="Book Antiqua" w:cs="Arial"/>
          <w:color w:val="000000" w:themeColor="text1"/>
          <w:lang w:val="en-US"/>
        </w:rPr>
        <w:t xml:space="preserve"> a better picture of their progno</w:t>
      </w:r>
      <w:r w:rsidR="00210AC3" w:rsidRPr="00383A0F">
        <w:rPr>
          <w:rFonts w:ascii="Book Antiqua" w:hAnsi="Book Antiqua" w:cs="Arial"/>
          <w:color w:val="000000" w:themeColor="text1"/>
          <w:lang w:val="en-US"/>
        </w:rPr>
        <w:t xml:space="preserve">sis. </w:t>
      </w:r>
    </w:p>
    <w:p w14:paraId="3BC16BCB" w14:textId="2B5D7B1F" w:rsidR="007961FD" w:rsidRPr="00383A0F" w:rsidRDefault="003E14C0"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proofErr w:type="spellStart"/>
      <w:r w:rsidR="00343B9D" w:rsidRPr="00383A0F">
        <w:rPr>
          <w:rFonts w:ascii="Book Antiqua" w:hAnsi="Book Antiqua" w:cs="Arial"/>
          <w:color w:val="000000" w:themeColor="text1"/>
          <w:lang w:val="en-US"/>
        </w:rPr>
        <w:t>Gustot’s</w:t>
      </w:r>
      <w:proofErr w:type="spellEnd"/>
      <w:r w:rsidR="00343B9D" w:rsidRPr="00383A0F">
        <w:rPr>
          <w:rFonts w:ascii="Book Antiqua" w:hAnsi="Book Antiqua" w:cs="Arial"/>
          <w:color w:val="000000" w:themeColor="text1"/>
          <w:lang w:val="en-US"/>
        </w:rPr>
        <w:t xml:space="preserve"> insight concerning the dynamic nature of ACLF also raises an important question: how does the patients’ evolution before LT affect their </w:t>
      </w:r>
      <w:r w:rsidR="00A65C47" w:rsidRPr="00383A0F">
        <w:rPr>
          <w:rFonts w:ascii="Book Antiqua" w:hAnsi="Book Antiqua" w:cs="Arial"/>
          <w:color w:val="000000" w:themeColor="text1"/>
          <w:lang w:val="en-US"/>
        </w:rPr>
        <w:t>post-transplant</w:t>
      </w:r>
      <w:r w:rsidR="00343B9D" w:rsidRPr="00383A0F">
        <w:rPr>
          <w:rFonts w:ascii="Book Antiqua" w:hAnsi="Book Antiqua" w:cs="Arial"/>
          <w:color w:val="000000" w:themeColor="text1"/>
          <w:lang w:val="en-US"/>
        </w:rPr>
        <w:t xml:space="preserve"> prognosis? </w:t>
      </w:r>
      <w:proofErr w:type="spellStart"/>
      <w:r w:rsidR="00343B9D" w:rsidRPr="00383A0F">
        <w:rPr>
          <w:rFonts w:ascii="Book Antiqua" w:hAnsi="Book Antiqua" w:cs="Arial"/>
          <w:color w:val="000000" w:themeColor="text1"/>
          <w:lang w:val="en-US"/>
        </w:rPr>
        <w:t>Artru</w:t>
      </w:r>
      <w:proofErr w:type="spellEnd"/>
      <w:r w:rsidR="00343B9D" w:rsidRPr="00383A0F">
        <w:rPr>
          <w:rFonts w:ascii="Book Antiqua" w:hAnsi="Book Antiqua" w:cs="Arial"/>
          <w:color w:val="000000" w:themeColor="text1"/>
          <w:lang w:val="en-US"/>
        </w:rPr>
        <w:t xml:space="preserve"> reports a remarkably high </w:t>
      </w:r>
      <w:r w:rsidR="00F2527C" w:rsidRPr="00383A0F">
        <w:rPr>
          <w:rFonts w:ascii="Book Antiqua" w:hAnsi="Book Antiqua" w:cs="Arial"/>
          <w:color w:val="000000" w:themeColor="text1"/>
          <w:lang w:val="en-US"/>
        </w:rPr>
        <w:t>one-year survival rate for his multicenter</w:t>
      </w:r>
      <w:r w:rsidR="00343B9D" w:rsidRPr="00383A0F">
        <w:rPr>
          <w:rFonts w:ascii="Book Antiqua" w:hAnsi="Book Antiqua" w:cs="Arial"/>
          <w:color w:val="000000" w:themeColor="text1"/>
          <w:lang w:val="en-US"/>
        </w:rPr>
        <w:t xml:space="preserve"> cohort of patients with ACLF 3</w:t>
      </w:r>
      <w:r w:rsidR="00F2527C" w:rsidRPr="00383A0F">
        <w:rPr>
          <w:rFonts w:ascii="Book Antiqua" w:hAnsi="Book Antiqua" w:cs="Arial"/>
          <w:color w:val="000000" w:themeColor="text1"/>
          <w:lang w:val="en-US"/>
        </w:rPr>
        <w:t xml:space="preserve"> (83.6%) and </w:t>
      </w:r>
      <w:r w:rsidR="00A65C89" w:rsidRPr="00383A0F">
        <w:rPr>
          <w:rFonts w:ascii="Book Antiqua" w:hAnsi="Book Antiqua" w:cs="Arial"/>
          <w:color w:val="000000" w:themeColor="text1"/>
          <w:lang w:val="en-US"/>
        </w:rPr>
        <w:t xml:space="preserve">underlines </w:t>
      </w:r>
      <w:r w:rsidR="00A824BF" w:rsidRPr="00383A0F">
        <w:rPr>
          <w:rFonts w:ascii="Book Antiqua" w:hAnsi="Book Antiqua" w:cs="Arial"/>
          <w:color w:val="000000" w:themeColor="text1"/>
          <w:lang w:val="en-US"/>
        </w:rPr>
        <w:t xml:space="preserve">that </w:t>
      </w:r>
      <w:r w:rsidR="00A65C89" w:rsidRPr="00383A0F">
        <w:rPr>
          <w:rFonts w:ascii="Book Antiqua" w:hAnsi="Book Antiqua" w:cs="Arial"/>
          <w:color w:val="000000" w:themeColor="text1"/>
          <w:lang w:val="en-US"/>
        </w:rPr>
        <w:t xml:space="preserve">there was </w:t>
      </w:r>
      <w:r w:rsidR="001D268F" w:rsidRPr="00383A0F">
        <w:rPr>
          <w:rFonts w:ascii="Book Antiqua" w:hAnsi="Book Antiqua" w:cs="Arial"/>
          <w:color w:val="000000" w:themeColor="text1"/>
          <w:lang w:val="en-US"/>
        </w:rPr>
        <w:t>an improvement in the number of organ failures in the patients who were transplanted from the ICU</w:t>
      </w:r>
      <w:r w:rsidR="00A824BF" w:rsidRPr="00383A0F">
        <w:rPr>
          <w:rFonts w:ascii="Book Antiqua" w:hAnsi="Book Antiqua" w:cs="Arial"/>
          <w:color w:val="000000" w:themeColor="text1"/>
          <w:lang w:val="en-US"/>
        </w:rPr>
        <w:t xml:space="preserve"> in his study</w:t>
      </w:r>
      <w:r w:rsidR="008625D6"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{"citationID":"b29IfqYC","properties":{"formattedCitation":"\\super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8625D6"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[10]</w:t>
      </w:r>
      <w:r w:rsidR="008625D6" w:rsidRPr="00383A0F">
        <w:rPr>
          <w:rFonts w:ascii="Book Antiqua" w:hAnsi="Book Antiqua" w:cs="Arial"/>
          <w:color w:val="000000" w:themeColor="text1"/>
          <w:lang w:val="en-US"/>
        </w:rPr>
        <w:fldChar w:fldCharType="end"/>
      </w:r>
      <w:r w:rsidR="001D268F" w:rsidRPr="00383A0F">
        <w:rPr>
          <w:rFonts w:ascii="Book Antiqua" w:hAnsi="Book Antiqua" w:cs="Arial"/>
          <w:color w:val="000000" w:themeColor="text1"/>
          <w:lang w:val="en-US"/>
        </w:rPr>
        <w:t xml:space="preserve">. </w:t>
      </w:r>
    </w:p>
    <w:p w14:paraId="25848C09" w14:textId="6B39C401" w:rsidR="007961FD" w:rsidRPr="00383A0F" w:rsidRDefault="003E14C0"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1D268F" w:rsidRPr="00383A0F">
        <w:rPr>
          <w:rFonts w:ascii="Book Antiqua" w:hAnsi="Book Antiqua" w:cs="Arial"/>
          <w:color w:val="000000" w:themeColor="text1"/>
          <w:lang w:val="en-US"/>
        </w:rPr>
        <w:t>Different strategies can be followed in terms of transplantation</w:t>
      </w:r>
      <w:r w:rsidR="00A824BF" w:rsidRPr="00383A0F">
        <w:rPr>
          <w:rFonts w:ascii="Book Antiqua" w:hAnsi="Book Antiqua" w:cs="Arial"/>
          <w:color w:val="000000" w:themeColor="text1"/>
          <w:lang w:val="en-US"/>
        </w:rPr>
        <w:t xml:space="preserve"> timing</w:t>
      </w:r>
      <w:r w:rsidR="001D268F" w:rsidRPr="00383A0F">
        <w:rPr>
          <w:rFonts w:ascii="Book Antiqua" w:hAnsi="Book Antiqua" w:cs="Arial"/>
          <w:color w:val="000000" w:themeColor="text1"/>
          <w:lang w:val="en-US"/>
        </w:rPr>
        <w:t xml:space="preserve">. One attitude consists in limiting access to LT for patients whose clinical condition is improving while they are in </w:t>
      </w:r>
      <w:r w:rsidR="009B529C" w:rsidRPr="00383A0F">
        <w:rPr>
          <w:rFonts w:ascii="Book Antiqua" w:hAnsi="Book Antiqua" w:cs="Arial"/>
          <w:color w:val="000000" w:themeColor="text1"/>
          <w:lang w:val="en-US"/>
        </w:rPr>
        <w:t xml:space="preserve">the </w:t>
      </w:r>
      <w:r w:rsidR="001D268F" w:rsidRPr="00383A0F">
        <w:rPr>
          <w:rFonts w:ascii="Book Antiqua" w:hAnsi="Book Antiqua" w:cs="Arial"/>
          <w:color w:val="000000" w:themeColor="text1"/>
          <w:lang w:val="en-US"/>
        </w:rPr>
        <w:t xml:space="preserve">ICU, or even to transplant them after they have left the ICU. This guarantees better post-transplant results but relies on a selectivity that </w:t>
      </w:r>
      <w:r w:rsidR="00A824BF" w:rsidRPr="00383A0F">
        <w:rPr>
          <w:rFonts w:ascii="Book Antiqua" w:hAnsi="Book Antiqua" w:cs="Arial"/>
          <w:color w:val="000000" w:themeColor="text1"/>
          <w:lang w:val="en-US"/>
        </w:rPr>
        <w:t>could</w:t>
      </w:r>
      <w:r w:rsidR="007961FD" w:rsidRPr="00383A0F">
        <w:rPr>
          <w:rFonts w:ascii="Book Antiqua" w:hAnsi="Book Antiqua" w:cs="Arial"/>
          <w:color w:val="000000" w:themeColor="text1"/>
          <w:lang w:val="en-US"/>
        </w:rPr>
        <w:t xml:space="preserve"> sacrifice a substantial number of patients with relatively good </w:t>
      </w:r>
      <w:r w:rsidR="00E24E5F" w:rsidRPr="00383A0F">
        <w:rPr>
          <w:rFonts w:ascii="Book Antiqua" w:hAnsi="Book Antiqua" w:cs="Arial"/>
          <w:color w:val="000000" w:themeColor="text1"/>
          <w:lang w:val="en-US"/>
        </w:rPr>
        <w:t>post-transplant</w:t>
      </w:r>
      <w:r w:rsidR="007961FD" w:rsidRPr="00383A0F">
        <w:rPr>
          <w:rFonts w:ascii="Book Antiqua" w:hAnsi="Book Antiqua" w:cs="Arial"/>
          <w:color w:val="000000" w:themeColor="text1"/>
          <w:lang w:val="en-US"/>
        </w:rPr>
        <w:t xml:space="preserve"> outcome expectancy</w:t>
      </w:r>
      <w:r w:rsidR="008625D6"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{"citationID":"AcSLukSd","properties":{"formattedCitation":"\\super [51]\\nosupersub{}","plainCitation":"[51]","noteIndex":0},"citationItems":[{"id":323,"uris":["http://zotero.org/users/local/BE2xVPev/items/R5BIF3S8"],"uri":["http://zotero.org/users/local/BE2xVPev/items/R5BIF3S8"],"itemData":{"id":323,"type":"article-journal","title":"New concepts in acute-on-chronic liver failure: Implications for liver transplantation","container-title":"Liver Transplantation: Official Publication of the American Association for the Study of Liver Diseases and the International Liver Transplantation Society","page":"234-243","volume":"23","issue":"2","source":"PubMed","abstract":"Acute-on-chronic liver failure (ACLF) is a recently defined syndrome that occurs frequently in patients with cirrhosis and is associated with a poor short-term prognosis. Currently, management of patients with ACLF is mainly supportive. Despite medical progress, this syndrome frequently leads to multiorgan failure, sepsis, and, ultimately, death. The results of attempts to use liver transplantation (LT) to manage this critical condition have been poorly reported but are promising. Currently, selection criteria of ACLF patients for LT, instructions for prioritization on the waiting list, and objective indicators for removal of ACLF patients from the waiting list in cases of clinical deterioration are poorly defined. Before potential changes can be implemented into decisional algorithms, their effects, either on the benefits to individual patients or on global transplant outcomes, should be carefully evaluated using objective longterm endpoints that take into account ethical considerations concerning LT. Liver Transplantation 23 234-243 2017 AASLD.","DOI":"10.1002/lt.24654","ISSN":"1527-6473","note":"PMID: 27750389","shortTitle":"New concepts in acute-on-chronic liver failure","journalAbbreviation":"Liver Transpl.","language":"eng","author":[{"family":"Putignano","given":"Antonella"},{"family":"Gustot","given":"Thierry"}],"issued":{"date-parts":[["2017",2]]}}}],"schema":"https://github.com/citation-style-language/schema/raw/master/csl-citation.json"} </w:instrText>
      </w:r>
      <w:r w:rsidR="008625D6"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[51]</w:t>
      </w:r>
      <w:r w:rsidR="008625D6" w:rsidRPr="00383A0F">
        <w:rPr>
          <w:rFonts w:ascii="Book Antiqua" w:hAnsi="Book Antiqua" w:cs="Arial"/>
          <w:color w:val="000000" w:themeColor="text1"/>
          <w:lang w:val="en-US"/>
        </w:rPr>
        <w:fldChar w:fldCharType="end"/>
      </w:r>
      <w:r w:rsidR="007961FD" w:rsidRPr="00383A0F">
        <w:rPr>
          <w:rFonts w:ascii="Book Antiqua" w:hAnsi="Book Antiqua" w:cs="Arial"/>
          <w:color w:val="000000" w:themeColor="text1"/>
          <w:lang w:val="en-US"/>
        </w:rPr>
        <w:t>. </w:t>
      </w:r>
      <w:r w:rsidR="001D268F" w:rsidRPr="00383A0F">
        <w:rPr>
          <w:rFonts w:ascii="Book Antiqua" w:hAnsi="Book Antiqua" w:cs="Arial"/>
          <w:color w:val="000000" w:themeColor="text1"/>
          <w:lang w:val="en-US"/>
        </w:rPr>
        <w:t>Another attitude consists in transplant</w:t>
      </w:r>
      <w:r w:rsidR="00A824BF" w:rsidRPr="00383A0F">
        <w:rPr>
          <w:rFonts w:ascii="Book Antiqua" w:hAnsi="Book Antiqua" w:cs="Arial"/>
          <w:color w:val="000000" w:themeColor="text1"/>
          <w:lang w:val="en-US"/>
        </w:rPr>
        <w:t>ing</w:t>
      </w:r>
      <w:r w:rsidR="001D268F" w:rsidRPr="00383A0F">
        <w:rPr>
          <w:rFonts w:ascii="Book Antiqua" w:hAnsi="Book Antiqua" w:cs="Arial"/>
          <w:color w:val="000000" w:themeColor="text1"/>
          <w:lang w:val="en-US"/>
        </w:rPr>
        <w:t xml:space="preserve"> patients more rapidly if their clinical state is deteriorating. This attitude could nevertheless lead to potentially worse </w:t>
      </w:r>
      <w:r w:rsidR="00E24E5F" w:rsidRPr="00383A0F">
        <w:rPr>
          <w:rFonts w:ascii="Book Antiqua" w:hAnsi="Book Antiqua" w:cs="Arial"/>
          <w:color w:val="000000" w:themeColor="text1"/>
          <w:lang w:val="en-US"/>
        </w:rPr>
        <w:t>post-transplant</w:t>
      </w:r>
      <w:r w:rsidR="001D268F" w:rsidRPr="00383A0F">
        <w:rPr>
          <w:rFonts w:ascii="Book Antiqua" w:hAnsi="Book Antiqua" w:cs="Arial"/>
          <w:color w:val="000000" w:themeColor="text1"/>
          <w:lang w:val="en-US"/>
        </w:rPr>
        <w:t xml:space="preserve"> outcome</w:t>
      </w:r>
      <w:r w:rsidR="004902B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{"citationID":"K9eVs4ME","properties":{"formattedCitation":"\\super [12]\\nosupersub{}","plainCitation":"[12]","noteIndex":0},"citationItems":[{"id":339,"uris":["http://zotero.org/users/local/BE2xVPev/items/PAFKCKKZ"],"uri":["http://zotero.org/users/local/BE2xVPev/items/PAFKCKKZ"],"itemData":{"id":339,"type":"article-journal","title":"Orthotopic liver transplantation in critically ill cirrhotic patients with multi-organ failure: a single-center experience","container-title":"Transplantation Proceedings","page":"3762-3768","volume":"43","issue":"10","source":"PubMed","abstract":"Due to the lack of donor organs for orthotopic liver transplantation (OLT) in Germany, a larger proportion of patients advance to multi-organ failure (MOF) before OLT. Twenty-three patients on the waiting list for OLT were admitted to our intensive care unit (ICU) from January 2007 until September 2009. They consisted of 16 men and 7 women of median (25th-75th percentile) age of 60 years (54-65). Acute Physiology and Chronic Health Evaluation (APACHE II) score upon ICU admission was 26 (19-34); Model of End-Stage Liver Disease (MELD) score was 29 (22-41); Sequential Organ Failure Assessment (SOFA) score was 12 (8-16). The 90-day mortality rate was 39%. A decrease in MELD score during the first 48 hours (-2 [-5-0] vs 2 [-1-4]; P=.019) was associated with survival. Thirteen patients underwent transplantation from the ICU. By the time of the OLT, the MELD scores had deteriorated to 38 (33-39) and SOFA scores to 19 (18-19). All patients were mechanically ventilated and received hemodynamic support with catecholamines. Ten of 13 patients (77%) received renal replacement therapy and/or single pass albumin dialysis. Eight of 13 patients (62%) had a SOFA score of 3 or 4 (organ failure) in each of the respective subscores for the cardiovascular, renal, and respiratory systems at the time of OLT. The 90-day mortality rate after OLT was 38% and the 1-year-mortality rate was 54%. Patients who did not survive 90 days post OLT showed lower MELD scores on admission (33 [18-35] vs 44 [32-46]; P=.045), an increased MELD during the first 48 hours (3 [1-4] vs -2 [-8-1]; P=.002), and a longer ICU stay before OLT (32 [18-37] vs 8 [2-15]; P=.006). In conclusion, OLT may be successful treatment for cirrhotic patients with MOF. Outcomes of MOF in cirrhotic patients may improve after OLT but are generally worse than acceptable. A shorter ICU waiting time seemed to be beneficial.","DOI":"10.1016/j.transproceed.2011.08.110","ISSN":"1873-2623","note":"PMID: 22172843","shortTitle":"Orthotopic liver transplantation in critically ill cirrhotic patients with multi-organ failure","journalAbbreviation":"Transplant. Proc.","language":"eng","author":[{"family":"Umgelter","given":"A."},{"family":"Lange","given":"K."},{"family":"Kornberg","given":"A."},{"family":"Büchler","given":"P."},{"family":"Friess","given":"H."},{"family":"Schmid","given":"R. M."}],"issued":{"date-parts":[["2011",12]]}}}],"schema":"https://github.com/citation-style-language/schema/raw/master/csl-citation.json"} </w:instrText>
      </w:r>
      <w:r w:rsidR="004902B7"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[12]</w:t>
      </w:r>
      <w:r w:rsidR="004902B7" w:rsidRPr="00383A0F">
        <w:rPr>
          <w:rFonts w:ascii="Book Antiqua" w:hAnsi="Book Antiqua" w:cs="Arial"/>
          <w:color w:val="000000" w:themeColor="text1"/>
          <w:lang w:val="en-US"/>
        </w:rPr>
        <w:fldChar w:fldCharType="end"/>
      </w:r>
      <w:r w:rsidR="00A824BF" w:rsidRPr="00383A0F">
        <w:rPr>
          <w:rFonts w:ascii="Book Antiqua" w:hAnsi="Book Antiqua" w:cs="Arial"/>
          <w:color w:val="000000" w:themeColor="text1"/>
          <w:lang w:val="en-US"/>
        </w:rPr>
        <w:t>.</w:t>
      </w:r>
    </w:p>
    <w:p w14:paraId="3CDCCB93" w14:textId="22214F2E" w:rsidR="001C6F0F" w:rsidRPr="00383A0F" w:rsidRDefault="003E14C0"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1D268F" w:rsidRPr="00383A0F">
        <w:rPr>
          <w:rFonts w:ascii="Book Antiqua" w:hAnsi="Book Antiqua" w:cs="Arial"/>
          <w:color w:val="000000" w:themeColor="text1"/>
          <w:lang w:val="en-US"/>
        </w:rPr>
        <w:t xml:space="preserve">Once again, there is not enough </w:t>
      </w:r>
      <w:r w:rsidR="009D30DA" w:rsidRPr="00383A0F">
        <w:rPr>
          <w:rFonts w:ascii="Book Antiqua" w:hAnsi="Book Antiqua" w:cs="Arial"/>
          <w:color w:val="000000" w:themeColor="text1"/>
          <w:lang w:val="en-US"/>
        </w:rPr>
        <w:t>data</w:t>
      </w:r>
      <w:r w:rsidR="001D268F" w:rsidRPr="00383A0F">
        <w:rPr>
          <w:rFonts w:ascii="Book Antiqua" w:hAnsi="Book Antiqua" w:cs="Arial"/>
          <w:color w:val="000000" w:themeColor="text1"/>
          <w:lang w:val="en-US"/>
        </w:rPr>
        <w:t xml:space="preserve"> to answer this thorny question. Future studies will have to consider both the clinical state of patients (in particular their ACLF grade) not only on admission and on the day of transplant, but also</w:t>
      </w:r>
      <w:r w:rsidR="00945715" w:rsidRPr="00383A0F">
        <w:rPr>
          <w:rFonts w:ascii="Book Antiqua" w:hAnsi="Book Antiqua" w:cs="Arial"/>
          <w:color w:val="000000" w:themeColor="text1"/>
          <w:lang w:val="en-US"/>
        </w:rPr>
        <w:t xml:space="preserve"> between day 3 and day 7. Such studies </w:t>
      </w:r>
      <w:r w:rsidR="004902B7" w:rsidRPr="00383A0F">
        <w:rPr>
          <w:rFonts w:ascii="Book Antiqua" w:hAnsi="Book Antiqua" w:cs="Arial"/>
          <w:color w:val="000000" w:themeColor="text1"/>
          <w:lang w:val="en-US"/>
        </w:rPr>
        <w:t>w</w:t>
      </w:r>
      <w:r w:rsidR="00945715" w:rsidRPr="00383A0F">
        <w:rPr>
          <w:rFonts w:ascii="Book Antiqua" w:hAnsi="Book Antiqua" w:cs="Arial"/>
          <w:color w:val="000000" w:themeColor="text1"/>
          <w:lang w:val="en-US"/>
        </w:rPr>
        <w:t>ill have to try to differentiate patients according to the short-term evolution of their condition in</w:t>
      </w:r>
      <w:r w:rsidR="009B529C" w:rsidRPr="00383A0F">
        <w:rPr>
          <w:rFonts w:ascii="Book Antiqua" w:hAnsi="Book Antiqua" w:cs="Arial"/>
          <w:color w:val="000000" w:themeColor="text1"/>
          <w:lang w:val="en-US"/>
        </w:rPr>
        <w:t xml:space="preserve"> the</w:t>
      </w:r>
      <w:r w:rsidR="00945715" w:rsidRPr="00383A0F">
        <w:rPr>
          <w:rFonts w:ascii="Book Antiqua" w:hAnsi="Book Antiqua" w:cs="Arial"/>
          <w:color w:val="000000" w:themeColor="text1"/>
          <w:lang w:val="en-US"/>
        </w:rPr>
        <w:t xml:space="preserve"> ICU in order to determine the impact of their clinical trajectory on </w:t>
      </w:r>
      <w:r w:rsidR="00E24E5F" w:rsidRPr="00383A0F">
        <w:rPr>
          <w:rFonts w:ascii="Book Antiqua" w:hAnsi="Book Antiqua" w:cs="Arial"/>
          <w:color w:val="000000" w:themeColor="text1"/>
          <w:lang w:val="en-US"/>
        </w:rPr>
        <w:t>post-transplant</w:t>
      </w:r>
      <w:r w:rsidR="00945715" w:rsidRPr="00383A0F">
        <w:rPr>
          <w:rFonts w:ascii="Book Antiqua" w:hAnsi="Book Antiqua" w:cs="Arial"/>
          <w:color w:val="000000" w:themeColor="text1"/>
          <w:lang w:val="en-US"/>
        </w:rPr>
        <w:t xml:space="preserve"> outcome.</w:t>
      </w:r>
    </w:p>
    <w:p w14:paraId="37884B2D" w14:textId="77777777" w:rsidR="007961FD" w:rsidRPr="00383A0F" w:rsidRDefault="007961FD" w:rsidP="00383A0F">
      <w:pPr>
        <w:adjustRightInd w:val="0"/>
        <w:snapToGrid w:val="0"/>
        <w:spacing w:line="360" w:lineRule="auto"/>
        <w:jc w:val="both"/>
        <w:rPr>
          <w:rFonts w:ascii="Book Antiqua" w:hAnsi="Book Antiqua" w:cs="Arial"/>
          <w:color w:val="000000" w:themeColor="text1"/>
          <w:lang w:val="en-US"/>
        </w:rPr>
      </w:pPr>
    </w:p>
    <w:p w14:paraId="5D74F45F" w14:textId="40604705" w:rsidR="000662B7" w:rsidRPr="00383A0F" w:rsidRDefault="000662B7"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color w:val="000000" w:themeColor="text1"/>
          <w:lang w:val="en-US"/>
        </w:rPr>
        <w:t>SEPSIS</w:t>
      </w:r>
    </w:p>
    <w:p w14:paraId="04261836" w14:textId="2F44B636" w:rsidR="00571C83" w:rsidRPr="00383A0F" w:rsidRDefault="00571C83" w:rsidP="00383A0F">
      <w:pPr>
        <w:adjustRightInd w:val="0"/>
        <w:snapToGrid w:val="0"/>
        <w:spacing w:line="360" w:lineRule="auto"/>
        <w:jc w:val="both"/>
        <w:rPr>
          <w:rFonts w:ascii="Book Antiqua" w:hAnsi="Book Antiqua" w:cs="Arial"/>
          <w:b/>
          <w:i/>
          <w:color w:val="000000" w:themeColor="text1"/>
          <w:lang w:val="en-US"/>
        </w:rPr>
      </w:pPr>
      <w:r w:rsidRPr="00383A0F">
        <w:rPr>
          <w:rFonts w:ascii="Book Antiqua" w:hAnsi="Book Antiqua" w:cs="Arial"/>
          <w:color w:val="000000" w:themeColor="text1"/>
          <w:lang w:val="en-US"/>
        </w:rPr>
        <w:t>Uncontrolled sepsis is put forward as a contraindication of LT in a large number of studies focusing on critically ill patients</w:t>
      </w:r>
      <w:r w:rsidR="004902B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{"citationID":"lyuffz1G","properties":{"formattedCitation":"\\super [7,10,12,13,15]\\nosupersub{}","plainCitation":"[7,10,12,13,15]","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label":"page"},{"id":245,"uris":["http://zotero.org/users/local/BE2xVPev/items/TUZ2EBU2"],"uri":["http://zotero.org/users/local/BE2xVPev/items/TUZ2EBU2"],"itemData":{"id":245,"type":"article-journal","title":"Liver transplantation in patients with end-stage liver disease requiring intensive care unit admission and intubation","container-title":"Liver Transplantation: Official Publication of the American Association for the Study of Liver Diseases and the International Liver Transplantation Society","page":"761-767","volume":"21","issue":"6","source":"PubMed","abstract":"Data regarding transplantation outcomes in ventilated intensive care unit (ICU)-dependent patients with end-stage liver disease (ESLD) are conflicting. This single-center cohort study investigated the outcomes of patients with ESLD who were intubated with mechanical support before liver transplantation (LT). The ICU plus intubation group consisted of 42 patients with decompensated cirrhosis and mechanical ventilation before transplantation. LT was considered for intubated ICU patients if the fraction of inspired oxygen was ≤40% with a positive end-expiratory pressure</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10, low pressor requirements, and the absence of an active infection. Intubated ICU patients were compared to 80 patients requiring ICU admission before transplantation without intubation and to 126 matched non-ICU-bound patients. Patients requiring ICU care with intubation and ICU care alone had more severe postoperative complications than non-ICU-bound patients. Intubation before transplantation was associated with more postoperative pneumonias (15% in intubated ICU transplant candidates, 5% in ICU-bound but not intubated patients, and 3% in control group patients;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0.02). Parameters of reperfusion injury and renal function on postoperative day (POD) 2 and POD 7 were similar in all groups. Bilirubin levels were higher in the ICU plus intubation group at POD 2 and POD 7 after transplantation but were normalized in all groups within 3 months. The ICU plus intubation group versus the ICU-only group and the non-ICU group had decreased 1-, 3-, and 5-year graft survival (81% versus 84% versus 92%, 76% versus 78% versus 87%, and 71% versus 77% versus 84%, respectively;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0.19), but statistical significance was not reached. A Glasgow coma scale score of &lt;7 versus &gt;7 before transplantation was associated with high postoperative mortality in ICU-bound patients requiring intubation (38% versus 23%;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0.01). In conclusion, ICU admission and mechanical ventilation should not be considered contraindications for LT. With careful patient selection, acceptable long-term outcomes can be achieved despite increased postoperative complications.","DOI":"10.1002/lt.24115","ISSN":"1527-6473","note":"PMID: 25865305","journalAbbreviation":"Liver Transpl.","language":"eng","author":[{"family":"Knaak","given":"Jan"},{"family":"McVey","given":"Mark"},{"family":"Bazerbachi","given":"Fateh"},{"family":"Goldaracena","given":"Nicolás"},{"family":"Spetzler","given":"Vinzent"},{"family":"Selzner","given":"Nazia"},{"family":"Cattral","given":"Mark"},{"family":"Greig","given":"Paul"},{"family":"Lilly","given":"Les"},{"family":"McGilvray","given":"Ian"},{"family":"Levy","given":"Gary"},{"family":"Ghanekar","given":"Anand"},{"family":"Renner","given":"Eberhard"},{"family":"Grant","given":"David"},{"family":"Hawryluck","given":"Laura"},{"family":"Selzner","given":"Markus"}],"issued":{"date-parts":[["2015",6]]}},"label":"page"},{"id":388,"uris":["http://zotero.org/users/local/BE2xVPev/items/SWIJADLC"],"uri":["http://zotero.org/users/local/BE2xVPev/items/SWIJADLC"],"itemData":{"id":388,"type":"article-journal","title":"Potentially inappropriate liver transplantation in the era of the \"sickest first\" policy - A search for the upper limits","container-title":"Journal of Hepatology","source":"PubMed","abstract":"Liver transplantation has emerged as a highly efficient treatment for a variety of acute and chronic liver diseases. However, organ shortage is becoming an increasing problem globally, limiting the applicability of liver transplantation. In addition, potential recipients are becoming sicker, thereby increasing the risk of losing the graft during transplantation or in the initial postoperative period after liver transplantation (three months). This trend is challenging the model for end-stage liver disease allocation system, where the sickest candidates are prioritised and no delisting criteria are given. The weighting of the deontological demand for \"equity\", trying to save every patient, regardless of the overall utility; and \"efficiency\", rooted in utilitarianism, trying to save as many patients as possible and increase the overall quality of life of patients facing the same problem, has to be reconsidered. In this article we are aiming to overcome the widespread concept of futility in liver transplantation, providing a definition of potentially inappropriate liver transplantation and giving guidance on situations where it is best not to proceed with liver transplantation, to decrease the mortality rate in the first three months after transplantation. We propose \"absolute\" and \"relative\" conditions, where early post-transplant mortality is highly probable, which are not usually captured in risk scores predicting post-transplant survival. Withholding liver transplantation for listed patients in cases where liver transplant is not deemed clearly futile, but is potentially inappropriate, is a far-reaching decision. Until now, this decision had to be discussed extensively on an individual basis, applying explicit communication and conflict resolution processes, since the model for end-stage liver disease score and most international allocation systems do not include explicit delisting criteria to support a fair delisting process. More work is needed to better identify cases where transplantation is potentially inappropriate and to integrate and discuss these delisting criteria in allocation systems, following a societal debate on what we owe to all liver transplant candidates.","DOI":"10.1016/j.jhep.2017.11.008","ISSN":"1600-0641","note":"PMID: 29133246","journalAbbreviation":"J. Hepatol.","language":"eng","author":[{"family":"Linecker","given":"Michael"},{"family":"Krones","given":"Tanja"},{"family":"Berg","given":"Thomas"},{"family":"Niemann","given":"Claus U."},{"family":"Steadman","given":"Randolph H."},{"family":"Dutkowski","given":"Philipp"},{"family":"Clavien","given":"Pierre-Alain"},{"family":"Busuttil","given":"Ronald W."},{"family":"Truog","given":"Robert D."},{"family":"Petrowsky","given":"Henrik"}],"issued":{"date-parts":[["2017",11,11]]}},"label":"page"},{"id":45,"uris":["http://zotero.org/users/local/BE2xVPev/items/5REPG3AK"],"uri":["http://zotero.org/users/local/BE2xVPev/items/5REPG3AK"],"itemData":{"id":45,"type":"article-journal","title":"Liver transplantation in highest acuity recipients: identifying factors to avoid futility","container-title":"Annals of Surgery","page":"1186-1194","volume":"259","issue":"6","source":"PubMed","abstract":"OBJECTIVE: To identify medical predictors of futility in recipients with laboratory Model of End-Stage Liver Disease (MELD) scores of 40 or more at the time of orthotopic liver transplantation (OLT).\nBACKGROUND: Although the survival benefit for transplant patients with the highest MELD scores is indisputable, the medical and economic effort to bring these highest acuity recipients through OLT presents a major challenge for every transplant center.\nMETHODS: This study was undertaken to analyze outcomes in patients with MELD scores of 40 or more undergoing OLT during the period February 2002 to December 2010. The analysis was focused on futile outcome (3-month or in-hospital mortality) and long-term posttransplant outcome. Independent predictors of futility and failure-free survival were identified and a futility risk model was created.\nRESULTS: During the study period, 1522 adult cadaveric OLTs were performed, and 169 patients (13%) had a MELD score of 40 or more. The overall 1, 3, 5, and 8-year patient survivals were 72%, 64%, 60%, and 56%. Futile outcome occurred in 37 patients (22%). MELD score, pretransplant septic shock, cardiac risk, and comorbidities were independent predictors of futile outcome. Using all 4 factors, the futility risk model had a good discriminatory ability (c-statistic 0.75). Recipient age per year, life-threatening postoperative complications, hepatitis C, and metabolic syndrome were independent predictors for long-term survival in nonfutile patients (Harrels c-statistic 0.72).\nCONCLUSIONS: Short- and long-term outcomes of recipients with MELD scores of 40 or more are primarily determined by disease-specific factors. Cardiac risk, pretransplant septic shock, and comorbidities are the most important predictors and can be used for risk stratification in these highest acuity recipients.","DOI":"10.1097/SLA.0000000000000265","ISSN":"1528-1140","note":"PMID: 24263317","shortTitle":"Liver transplantation in highest acuity recipients","journalAbbreviation":"Ann. Surg.","language":"eng","author":[{"family":"Petrowsky","given":"Henrik"},{"family":"Rana","given":"Abbas"},{"family":"Kaldas","given":"Fady M."},{"family":"Sharma","given":"Anuj"},{"family":"Hong","given":"Johnny C."},{"family":"Agopian","given":"Vatche G."},{"family":"Durazo","given":"Francisco"},{"family":"Honda","given":"Henry"},{"family":"Gornbein","given":"Jeffrey"},{"family":"Wu","given":"Victor"},{"family":"Farmer","given":"Douglas G."},{"family":"Hiatt","given":"Jonathan R."},{"family":"Busuttil","given":"Ronald W."}],"issued":{"date-parts":[["2014",6]]}},"label":"page"},{"id":339,"uris":["http://zotero.org/users/local/BE2xVPev/items/PAFKCKKZ"],"uri":["http://zotero.org/users/local/BE2xVPev/items/PAFKCKKZ"],"itemData":{"id":339,"type":"article-journal","title":"Orthotopic liver transplantation in critically ill cirrhotic patients with multi-organ failure: a single-center experience","container-title":"Transplantation Proceedings","page":"3762-3768","volume":"43","issue":"10","source":"PubMed","abstract":"Due to the lack of donor organs for orthotopic liver transplantation (OLT) in Germany, a larger proportion of patients advance to multi-organ failure (MOF) before OLT. Twenty-three patients on the waiting list for OLT were admitted to our intensive care unit (ICU) from January 2007 until September 2009. They consisted of 16 men and 7 women of median (25th-75th percentile) age of 60 years (54-65). Acute Physiology and Chronic Health Evaluation (APACHE II) score upon ICU admission was 26 (19-34); Model of End-Stage Liver Disease (MELD) score was 29 (22-41); Sequential Organ Failure Assessment (SOFA) score was 12 (8-16). The 90-day mortality rate was 39%. A decrease in MELD score during the first 48 hours (-2 [-5-0] vs 2 [-1-4]; P=.019) was associated with survival. Thirteen patients underwent transplantation from the ICU. By the time of the OLT, the MELD scores had deteriorated to 38 (33-39) and SOFA scores to 19 (18-19). All patients were mechanically ventilated and received hemodynamic support with catecholamines. Ten of 13 patients (77%) received renal replacement therapy and/or single pass albumin dialysis. Eight of 13 patients (62%) had a SOFA score of 3 or 4 (organ failure) in each of the respective subscores for the cardiovascular, renal, and respiratory systems at the time of OLT. The 90-day mortality rate after OLT was 38% and the 1-year-mortality rate was 54%. Patients who did not survive 90 days post OLT showed lower MELD scores on admission (33 [18-35] vs 44 [32-46]; P=.045), an increased MELD during the first 48 hours (3 [1-4] vs -2 [-8-1]; P=.002), and a longer ICU stay before OLT (32 [18-37] vs 8 [2-15]; P=.006). In conclusion, OLT may be successful treatment for cirrhotic patients with MOF. Outcomes of MOF in cirrhotic patients may improve after OLT but are generally worse than acceptable. A shorter ICU waiting time seemed to be beneficial.","DOI":"10.1016/j.transproceed.2011.08.110","ISSN":"1873-2623","note":"PMID: 22172843","shortTitle":"Orthotopic liver transplantation in critically ill cirrhotic patients with multi-organ failure","journalAbbreviation":"Transplant. Proc.","language":"eng","author":[{"family":"Umgelter","given":"A."},{"family":"Lange","given":"K."},{"family":"Kornberg","given":"A."},{"family":"Büchler","given":"P."},{"family":"Friess","given":"H."},{"family":"Schmid","given":"R. M."}],"issued":{"date-parts":[["2011",12]]}},"label":"page"}],"schema":"https://github.com/citation-style-language/schema/raw/master/csl-citation.json"} </w:instrText>
      </w:r>
      <w:r w:rsidR="004902B7"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[7,10,12,13,15]</w:t>
      </w:r>
      <w:r w:rsidR="004902B7"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w:t>
      </w:r>
      <w:r w:rsidR="00023443" w:rsidRPr="00383A0F">
        <w:rPr>
          <w:rFonts w:ascii="Book Antiqua" w:hAnsi="Book Antiqua" w:cs="Arial"/>
          <w:color w:val="000000" w:themeColor="text1"/>
          <w:lang w:val="en-US"/>
        </w:rPr>
        <w:t>Apart from invasive fungal infections</w:t>
      </w:r>
      <w:r w:rsidR="0002344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{"citationID":"06xfD0W7","properties":{"formattedCitation":"\\super [52]\\nosupersub{}","plainCitation":"[52]","noteIndex":0},"citationItems":[{"id":400,"uris":["http://zotero.org/users/local/BE2xVPev/items/WHZ9ZTNL"],"uri":["http://zotero.org/users/local/BE2xVPev/items/WHZ9ZTNL"],"itemData":{"id":400,"type":"article-journal","title":"Management of infections pre- and post-liver transplantation: report of an AISF consensus conference","container-title":"Journal of Hepatology","page":"1075-1089","volume":"60","issue":"5","source":"PubMed","abstract":"The burden of infectious diseases both before and after liver transplantation is clearly attributable to the dysfunction of defensive mechanisms of the host, both as a result of cirrhosis, as well as the use of immunosuppressive agents. The present document represents the recommendations of an expert panel commended by the Italian Association for the Study of the Liver (AISF), on the prevention and management of infectious complications excluding hepatitis B, D, C, and HIV in the setting of liver transplantation. Due to a decreased response to vaccinations in cirrhosis as well as within the first six months after transplantation, the best timing for immunization is likely before transplant and early in the course of disease. Before transplantation, a vaccination panel including inactivated as well as live attenuated vaccines is recommended, while oral polio vaccine, Calmette-Guerin's bacillus, and Smallpox are contraindicated, whereas after transplantation, live attenuated vaccines are contraindicated. Before transplant, screening protocols should be divided into different levels according to the likelihood of infection, in order to reduce costs for the National Health Service. Recommended preoperative and postoperative prophylaxis varies according to the pathologic agent to which it is directed (bacterial vs. viral vs. fungal). Timing after transplantation greatly determines the most likely agent involved in post-transplant infections, and specific high-risk categories of patients have been identified that warrant closer surveillance. Clearly, specifically targeted treatment protocols are needed upon diagnosis of infections in both the pre- as well as the post-transplant scenarios, not without considering local microbiology and resistance patterns.","DOI":"10.1016/j.jhep.2013.12.021","ISSN":"1600-0641","note":"PMID: 24384327","shortTitle":"Management of infections pre- and post-liver transplantation","journalAbbreviation":"J. Hepatol.","language":"eng","author":[{"family":"Fagiuoli","given":"Stefano"},{"family":"Colli","given":"Agostino"},{"family":"Bruno","given":"Raffaele"},{"family":"Craxì","given":"Antonio"},{"family":"Gaeta","given":"Giovanni Battista"},{"family":"Grossi","given":"Paolo"},{"family":"Mondelli","given":"Mario U."},{"family":"Puoti","given":"Massimo"},{"family":"Sagnelli","given":"Evangelista"},{"family":"Stefani","given":"Stefania"},{"family":"Toniutto","given":"Pierluigi"},{"family":"Burra","given":"Patrizia"},{"literal":"2011 AISF Single Topic Group"}],"issued":{"date-parts":[["2014",5]]}}}],"schema":"https://github.com/citation-style-language/schema/raw/master/csl-citation.json"} </w:instrText>
      </w:r>
      <w:r w:rsidR="0002344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[52]</w:t>
      </w:r>
      <w:r w:rsidR="00023443" w:rsidRPr="00383A0F">
        <w:rPr>
          <w:rFonts w:ascii="Book Antiqua" w:hAnsi="Book Antiqua" w:cs="Arial"/>
          <w:color w:val="000000" w:themeColor="text1"/>
          <w:lang w:val="en-US"/>
        </w:rPr>
        <w:fldChar w:fldCharType="end"/>
      </w:r>
      <w:r w:rsidR="00023443" w:rsidRPr="00383A0F">
        <w:rPr>
          <w:rFonts w:ascii="Book Antiqua" w:hAnsi="Book Antiqua" w:cs="Arial"/>
          <w:color w:val="000000" w:themeColor="text1"/>
          <w:lang w:val="en-US"/>
        </w:rPr>
        <w:t>, t</w:t>
      </w:r>
      <w:r w:rsidRPr="00383A0F">
        <w:rPr>
          <w:rFonts w:ascii="Book Antiqua" w:hAnsi="Book Antiqua" w:cs="Arial"/>
          <w:color w:val="000000" w:themeColor="text1"/>
          <w:lang w:val="en-US"/>
        </w:rPr>
        <w:t xml:space="preserve">his seems problematic for several </w:t>
      </w:r>
      <w:r w:rsidR="005041A3" w:rsidRPr="00383A0F">
        <w:rPr>
          <w:rFonts w:ascii="Book Antiqua" w:hAnsi="Book Antiqua" w:cs="Arial"/>
          <w:color w:val="000000" w:themeColor="text1"/>
          <w:lang w:val="en-US"/>
        </w:rPr>
        <w:t xml:space="preserve">reasons, which </w:t>
      </w:r>
      <w:r w:rsidR="00E73323" w:rsidRPr="00383A0F">
        <w:rPr>
          <w:rFonts w:ascii="Book Antiqua" w:hAnsi="Book Antiqua" w:cs="Arial"/>
          <w:color w:val="000000" w:themeColor="text1"/>
          <w:lang w:val="en-US"/>
        </w:rPr>
        <w:t>are detailed below.</w:t>
      </w:r>
    </w:p>
    <w:p w14:paraId="10AC2F59" w14:textId="77777777" w:rsidR="00571C83" w:rsidRPr="00383A0F" w:rsidRDefault="00571C83" w:rsidP="00383A0F">
      <w:pPr>
        <w:adjustRightInd w:val="0"/>
        <w:snapToGrid w:val="0"/>
        <w:spacing w:line="360" w:lineRule="auto"/>
        <w:jc w:val="both"/>
        <w:rPr>
          <w:rFonts w:ascii="Book Antiqua" w:hAnsi="Book Antiqua" w:cs="Arial"/>
          <w:color w:val="000000" w:themeColor="text1"/>
          <w:lang w:val="en-US"/>
        </w:rPr>
      </w:pPr>
    </w:p>
    <w:p w14:paraId="4BACFEF0" w14:textId="44956C65" w:rsidR="000863D4" w:rsidRPr="00383A0F" w:rsidRDefault="000863D4"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 xml:space="preserve">Sepsis and septic shock are often difficult to identify in </w:t>
      </w:r>
      <w:r w:rsidR="00793DC9" w:rsidRPr="00383A0F">
        <w:rPr>
          <w:rFonts w:ascii="Book Antiqua" w:hAnsi="Book Antiqua" w:cs="Arial"/>
          <w:b/>
          <w:i/>
          <w:color w:val="000000" w:themeColor="text1"/>
          <w:lang w:val="en-US"/>
        </w:rPr>
        <w:t>A</w:t>
      </w:r>
      <w:r w:rsidR="00E73323" w:rsidRPr="00383A0F">
        <w:rPr>
          <w:rFonts w:ascii="Book Antiqua" w:hAnsi="Book Antiqua" w:cs="Arial"/>
          <w:b/>
          <w:i/>
          <w:color w:val="000000" w:themeColor="text1"/>
          <w:lang w:val="en-US"/>
        </w:rPr>
        <w:t>CLF</w:t>
      </w:r>
      <w:r w:rsidR="00793DC9" w:rsidRPr="00383A0F">
        <w:rPr>
          <w:rFonts w:ascii="Book Antiqua" w:hAnsi="Book Antiqua" w:cs="Arial"/>
          <w:b/>
          <w:i/>
          <w:color w:val="000000" w:themeColor="text1"/>
          <w:lang w:val="en-US"/>
        </w:rPr>
        <w:t xml:space="preserve"> </w:t>
      </w:r>
      <w:r w:rsidR="007133EB" w:rsidRPr="00383A0F">
        <w:rPr>
          <w:rFonts w:ascii="Book Antiqua" w:hAnsi="Book Antiqua" w:cs="Arial"/>
          <w:b/>
          <w:i/>
          <w:color w:val="000000" w:themeColor="text1"/>
          <w:lang w:val="en-US"/>
        </w:rPr>
        <w:t xml:space="preserve">critically ill </w:t>
      </w:r>
      <w:r w:rsidR="00793DC9" w:rsidRPr="00383A0F">
        <w:rPr>
          <w:rFonts w:ascii="Book Antiqua" w:hAnsi="Book Antiqua" w:cs="Arial"/>
          <w:b/>
          <w:i/>
          <w:color w:val="000000" w:themeColor="text1"/>
          <w:lang w:val="en-US"/>
        </w:rPr>
        <w:t>patients</w:t>
      </w:r>
    </w:p>
    <w:p w14:paraId="3B592C94" w14:textId="6EB23BFB" w:rsidR="0055558F" w:rsidRPr="00383A0F" w:rsidRDefault="0055558F"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ACLF is characterized by the presence of systemic inflammation</w:t>
      </w:r>
      <w:r w:rsidR="0003683B" w:rsidRPr="00383A0F">
        <w:rPr>
          <w:rFonts w:ascii="Book Antiqua" w:hAnsi="Book Antiqua" w:cs="Arial"/>
          <w:color w:val="000000" w:themeColor="text1"/>
          <w:lang w:val="en-US"/>
        </w:rPr>
        <w:t xml:space="preserve"> which is proportional to the severity of the syndrome</w:t>
      </w:r>
      <w:r w:rsidR="000C759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{"citationID":"aPSCCcPC","properties":{"formattedCitation":"\\super [53]\\nosupersub{}","plainCitation":"[53]","noteIndex":0},"citationItems":[{"id":321,"uris":["http://zotero.org/users/local/BE2xVPev/items/LB873AX4"],"uri":["http://zotero.org/users/local/BE2xVPev/items/LB873AX4"],"itemData":{"id":321,"type":"article-journal","title":"Acute-on-chronic liver failure: A new syndrome that will re-classify cirrhosis","container-title":"Journal of Hepatology","page":"S131-143","volume":"62","issue":"1 Suppl","source":"PubMed","abstract":"Acute-on-chronic liver failure (ACLF) is a recently recognized syndrome characterized by acute decompensation (AD) of cirrhosis and organ/system failure(s) (organ failure: liver, kidney, brain, coagulation, circulation and/or respiration) and extremely poor survival (28-day mortality rate 30-40%). ACLF occurs in relatively young patients. It is especially frequent in alcoholic- and untreated hepatitis B associated-cirrhosis, in addition it is related to bacterial infections and active alcoholism, although in 40% of cases no precipitating event can be identified. It may develop at any time during the course of the disease in the patient (from compensated to long-standing cirrhosis). The development of ACLF occurs in the setting of a systemic inflammation, the severity of which correlates with the number of organ failures and mortality. Systemic inflammation may cause ACLF through complex mechanisms including an exaggerated inflammatory response and systemic oxidative stress to pathogen- or danger/damage-associated molecular patterns (immunopathology) and/or alteration of tissue homeostasis to inflammation caused either by the pathogen itself or through a dysfunction of tissue tolerance. A scoring system composed of three scores (CLIF-C OFs, CLIF-C AD, and CLIF-C ACLFs) specifically designed for patients with AD, with and without ACLF, allows a step-wise algorithm for a rational indication of therapy. The management of ACLF should be carried out in enhanced or intensive care units. Current therapeutic measures comprise the treatment for associated complications, organ failures support and liver transplantation.","DOI":"10.1016/j.jhep.2014.11.045","ISSN":"1600-0641","note":"PMID: 25920082","shortTitle":"Acute-on-chronic liver failure","journalAbbreviation":"J. Hepatol.","language":"eng","author":[{"family":"Arroyo","given":"Vicente"},{"family":"Moreau","given":"Richard"},{"family":"Jalan","given":"Rajiv"},{"family":"Ginès","given":"Pere"},{"literal":"EASL-CLIF Consortium CANONIC Study"}],"issued":{"date-parts":[["2015",4]]}}}],"schema":"https://github.com/citation-style-language/schema/raw/master/csl-citation.json"} </w:instrText>
      </w:r>
      <w:r w:rsidR="000C759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[53]</w:t>
      </w:r>
      <w:r w:rsidR="000C7593"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Sepsis </w:t>
      </w:r>
      <w:r w:rsidR="0003683B" w:rsidRPr="00383A0F">
        <w:rPr>
          <w:rFonts w:ascii="Book Antiqua" w:hAnsi="Book Antiqua" w:cs="Arial"/>
          <w:color w:val="000000" w:themeColor="text1"/>
          <w:lang w:val="en-US"/>
        </w:rPr>
        <w:t xml:space="preserve">is one of the </w:t>
      </w:r>
      <w:r w:rsidR="005041A3" w:rsidRPr="00383A0F">
        <w:rPr>
          <w:rFonts w:ascii="Book Antiqua" w:hAnsi="Book Antiqua" w:cs="Arial"/>
          <w:color w:val="000000" w:themeColor="text1"/>
          <w:lang w:val="en-US"/>
        </w:rPr>
        <w:t>trigger</w:t>
      </w:r>
      <w:r w:rsidR="0003683B" w:rsidRPr="00383A0F">
        <w:rPr>
          <w:rFonts w:ascii="Book Antiqua" w:hAnsi="Book Antiqua" w:cs="Arial"/>
          <w:color w:val="000000" w:themeColor="text1"/>
          <w:lang w:val="en-US"/>
        </w:rPr>
        <w:t>s of</w:t>
      </w:r>
      <w:r w:rsidR="005041A3" w:rsidRPr="00383A0F">
        <w:rPr>
          <w:rFonts w:ascii="Book Antiqua" w:hAnsi="Book Antiqua" w:cs="Arial"/>
          <w:color w:val="000000" w:themeColor="text1"/>
          <w:lang w:val="en-US"/>
        </w:rPr>
        <w:t xml:space="preserve"> </w:t>
      </w:r>
      <w:r w:rsidRPr="00383A0F">
        <w:rPr>
          <w:rFonts w:ascii="Book Antiqua" w:hAnsi="Book Antiqua" w:cs="Arial"/>
          <w:color w:val="000000" w:themeColor="text1"/>
          <w:lang w:val="en-US"/>
        </w:rPr>
        <w:t>ACLF</w:t>
      </w:r>
      <w:r w:rsidR="000C759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{"citationID":"LTLVFjmg","properties":{"formattedCitation":"\\super [36,54]\\nosupersub{}","plainCitation":"[36,54]","noteIndex":0},"citationItems":[{"id":124,"uris":["http://zotero.org/users/local/BE2xVPev/items/V52VEM8W"],"uri":["http://zotero.org/users/local/BE2xVPev/items/V52VEM8W"],"itemData":{"id":124,"type":"article-journal","title":"Acute-on-chronic liver failure is a distinct syndrome that develops in patients with acute decompensation of cirrhosis","container-title":"Gastroenterology","page":"1426-1437, 1437.e1-9","volume":"144","issue":"7","source":"PubMed","abstract":"BACKGROUND &amp; AIMS: Patients with cirrhosis hospitalized for an acute decompensation (AD) and organ failure are at risk for imminent death and considered to have acute-on-chronic liver failure (ACLF). However, there are no established diagnostic criteria for ACLF, so little is known about its development and progression. We aimed to identify diagnostic criteria of ACLF and describe the development of this syndrome in European patients with AD.\nMETHODS: We collected data from 1343 hospitalized patients with cirrhosis and AD from February to September 2011 at 29 liver units in 8 European countries. We used the organ failure and mortality data to define ACLF grades, assess mortality, and identify differences between ACLF and AD. We established diagnostic criteria for ACLF based on analyses of patients with organ failure (defined by the chronic liver failure-sequential organ failure assessment [CLIF-SOFA] score) and high 28-day mortality rate (&gt;15%).\nRESULTS: Of the patients assessed, 303 had ACLF when the study began, 112 developed ACLF, and 928 did not have ACLF. The 28-day mortality rate among patients who had ACLF when the study began was 33.9%, among those who developed ACLF was 29.7%, and among those who did not have ACLF was 1.9%. Patients with ACLF were younger and more frequently alcoholic, had more associated bacterial infections, and had higher numbers of leukocytes and higher plasma levels of C-reactive protein than patients without ACLF (P &lt; .001). Higher CLIF-SOFA scores and leukocyte counts were independent predictors of mortality in patients with ACLF. In patients without a prior history of AD, ACLF was unexpectedly characterized by higher numbers of organ failures, leukocyte count, and mortality compared with ACLF in patients with a prior history of AD.\nCONCLUSIONS: We analyzed data from patients with cirrhosis and AD to establish diagnostic criteria for ACLF and showed that it is distinct from AD, based not only on the presence of organ failure(s) and high mortality rate but also on age, precipitating events, and systemic inflammation. ACLF mortality is associated with loss of organ function and high leukocyte counts. ACLF is especially severe in patients with no prior history of AD.","DOI":"10.1053/j.gastro.2013.02.042","ISSN":"1528-0012","note":"PMID: 23474284","journalAbbreviation":"Gastroenterology","language":"eng","author":[{"family":"Moreau","given":"Richard"},{"family":"Jalan","given":"Rajiv"},{"family":"Gines","given":"Pere"},{"family":"Pavesi","given":"Marco"},{"family":"Angeli","given":"Paolo"},{"family":"Cordoba","given":"Juan"},{"family":"Durand","given":"Francois"},{"family":"Gustot","given":"Thierry"},{"family":"Saliba","given":"Faouzi"},{"family":"Domenicali","given":"Marco"},{"family":"Gerbes","given":"Alexander"},{"family":"Wendon","given":"Julia"},{"family":"Alessandria","given":"Carlo"},{"family":"Laleman","given":"Wim"},{"family":"Zeuzem","given":"Stefan"},{"family":"Trebicka","given":"Jonel"},{"family":"Bernardi","given":"Mauro"},{"family":"Arroyo","given":"Vicente"},{"literal":"CANONIC Study Investigators of the EASL–CLIF Consortium"}],"issued":{"date-parts":[["2013",6]]}},"label":"page"},{"id":531,"uris":["http://zotero.org/users/local/BE2xVPev/items/UWIQIDLY"],"uri":["http://zotero.org/users/local/BE2xVPev/items/UWIQIDLY"],"itemData":{"id":531,"type":"article-journal","title":"Acute-on-chronic liver failure: consensus recommendations of the Asian Pacific Association for the Study of the Liver (APASL) 2014","container-title":"Hepatology International","page":"453-471","volume":"8","issue":"4","source":"PubMed","abstract":"The first consensus report of the working party of the Asian Pacific Association for the Study of the Liver (APASL) set up in 2004 on acute-on-chronic liver failure (ACLF) was published in 2009. Due to the rapid advancements in the knowledge and available information, a consortium of members from countries across Asia Pacific, \"APASL ACLF Research Consortium (AARC),\" was formed in 2012. A large cohort of retrospective and prospective data of ACLF patients was collated and followed up in this data base. The current ACLF definition was reassessed based on the new AARC data base. These initiatives were concluded on a 2-day meeting in February 2014 at New Delhi and led to the development of the final AARC consensus. Only those statements which were based on the evidence and were unanimously recommended were accepted. These statements were circulated again to all the experts and subsequently presented at the annual conference of the APASL at Brisbane, on March 14, 2014. The suggestions from the delegates were analyzed by the expert panel, and the modifications in the consensus were made. The final consensus and guidelines document was prepared. After detailed deliberations and data analysis, the original proposed definition was found to withstand the test of time and identify a homogenous group of patients presenting with liver failure. Based on the AARC data, liver failure grading, and its impact on the \"Golden therapeutic Window,\" extra-hepatic organ failure and development of sepsis were analyzed. New management options including the algorithms for the management of coagulation disorders, renal replacement therapy, sepsis, variceal bleed, antivirals, and criteria for liver transplantation for ACLF patients were proposed. The final consensus statements along with the relevant background information are presented here.","DOI":"10.1007/s12072-014-9580-2","ISSN":"1936-0541","note":"PMID: 26202751","shortTitle":"Acute-on-chronic liver failure","journalAbbreviation":"Hepatol Int","language":"eng","author":[{"family":"Sarin","given":"Shiv Kumar"},{"family":"Kedarisetty","given":"Chandan Kumar"},{"family":"Abbas","given":"Zaigham"},{"family":"Amarapurkar","given":"Deepak"},{"family":"Bihari","given":"Chhagan"},{"family":"Chan","given":"Albert C."},{"family":"Chawla","given":"Yogesh Kumar"},{"family":"Dokmeci","given":"A. Kadir"},{"family":"Garg","given":"Hitendra"},{"family":"Ghazinyan","given":"Hasmik"},{"family":"Hamid","given":"Saeed"},{"family":"Kim","given":"Dong Joon"},{"family":"Komolmit","given":"Piyawat"},{"family":"Lata","given":"Suman"},{"family":"Lee","given":"Guan Huei"},{"family":"Lesmana","given":"Laurentius A."},{"family":"Mahtab","given":"Mamun"},{"family":"Maiwall","given":"Rakhi"},{"family":"Moreau","given":"Richard"},{"family":"Ning","given":"Qin"},{"family":"Pamecha","given":"Viniyendra"},{"family":"Payawal","given":"Diana Alcantara"},{"family":"Rastogi","given":"Archana"},{"family":"Rahman","given":"Salimur"},{"family":"Rela","given":"Mohamed"},{"family":"Saraya","given":"Anoop"},{"family":"Samuel","given":"Didier"},{"family":"Saraswat","given":"Vivek"},{"family":"Shah","given":"Samir"},{"family":"Shiha","given":"Gamal"},{"family":"Sharma","given":"Brajesh Chander"},{"family":"Sharma","given":"Manoj Kumar"},{"family":"Sharma","given":"Kapil"},{"family":"Butt","given":"Amna Subhan"},{"family":"Tan","given":"Soek Siam"},{"family":"Vashishtha","given":"Chitranshu"},{"family":"Wani","given":"Zeeshan Ahmed"},{"family":"Yuen","given":"Man-Fung"},{"family":"Yokosuka","given":"Osamu"},{"literal":"APASL ACLF Working Party"}],"issued":{"date-parts":[["2014",10]]}},"label":"page"}],"schema":"https://github.com/citation-style-language/schema/raw/master/csl-citation.json"} </w:instrText>
      </w:r>
      <w:r w:rsidR="000C759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[36,54]</w:t>
      </w:r>
      <w:r w:rsidR="000C7593"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but only in an estimated 30% of cases</w:t>
      </w:r>
      <w:r w:rsidR="000C759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{"citationID":"AsrJQjTs","properties":{"formattedCitation":"\\super [53]\\nosupersub{}","plainCitation":"[53]","noteIndex":0},"citationItems":[{"id":321,"uris":["http://zotero.org/users/local/BE2xVPev/items/LB873AX4"],"uri":["http://zotero.org/users/local/BE2xVPev/items/LB873AX4"],"itemData":{"id":321,"type":"article-journal","title":"Acute-on-chronic liver failure: A new syndrome that will re-classify cirrhosis","container-title":"Journal of Hepatology","page":"S131-143","volume":"62","issue":"1 Suppl","source":"PubMed","abstract":"Acute-on-chronic liver failure (ACLF) is a recently recognized syndrome characterized by acute decompensation (AD) of cirrhosis and organ/system failure(s) (organ failure: liver, kidney, brain, coagulation, circulation and/or respiration) and extremely poor survival (28-day mortality rate 30-40%). ACLF occurs in relatively young patients. It is especially frequent in alcoholic- and untreated hepatitis B associated-cirrhosis, in addition it is related to bacterial infections and active alcoholism, although in 40% of cases no precipitating event can be identified. It may develop at any time during the course of the disease in the patient (from compensated to long-standing cirrhosis). The development of ACLF occurs in the setting of a systemic inflammation, the severity of which correlates with the number of organ failures and mortality. Systemic inflammation may cause ACLF through complex mechanisms including an exaggerated inflammatory response and systemic oxidative stress to pathogen- or danger/damage-associated molecular patterns (immunopathology) and/or alteration of tissue homeostasis to inflammation caused either by the pathogen itself or through a dysfunction of tissue tolerance. A scoring system composed of three scores (CLIF-C OFs, CLIF-C AD, and CLIF-C ACLFs) specifically designed for patients with AD, with and without ACLF, allows a step-wise algorithm for a rational indication of therapy. The management of ACLF should be carried out in enhanced or intensive care units. Current therapeutic measures comprise the treatment for associated complications, organ failures support and liver transplantation.","DOI":"10.1016/j.jhep.2014.11.045","ISSN":"1600-0641","note":"PMID: 25920082","shortTitle":"Acute-on-chronic liver failure","journalAbbreviation":"J. Hepatol.","language":"eng","author":[{"family":"Arroyo","given":"Vicente"},{"family":"Moreau","given":"Richard"},{"family":"Jalan","given":"Rajiv"},{"family":"Ginès","given":"Pere"},{"literal":"EASL-CLIF Consortium CANONIC Study"}],"issued":{"date-parts":[["2015",4]]}}}],"schema":"https://github.com/citation-style-language/schema/raw/master/csl-citation.json"} </w:instrText>
      </w:r>
      <w:r w:rsidR="000C759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[53]</w:t>
      </w:r>
      <w:r w:rsidR="000C7593"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w:t>
      </w:r>
      <w:r w:rsidR="004E749A" w:rsidRPr="00383A0F">
        <w:rPr>
          <w:rFonts w:ascii="Book Antiqua" w:hAnsi="Book Antiqua" w:cs="Arial"/>
          <w:color w:val="000000" w:themeColor="text1"/>
          <w:lang w:val="en-US"/>
        </w:rPr>
        <w:t>W</w:t>
      </w:r>
      <w:r w:rsidR="00793DC9" w:rsidRPr="00383A0F">
        <w:rPr>
          <w:rFonts w:ascii="Book Antiqua" w:hAnsi="Book Antiqua" w:cs="Arial"/>
          <w:color w:val="000000" w:themeColor="text1"/>
          <w:lang w:val="en-US"/>
        </w:rPr>
        <w:t>h</w:t>
      </w:r>
      <w:r w:rsidR="004E749A" w:rsidRPr="00383A0F">
        <w:rPr>
          <w:rFonts w:ascii="Book Antiqua" w:hAnsi="Book Antiqua" w:cs="Arial"/>
          <w:color w:val="000000" w:themeColor="text1"/>
          <w:lang w:val="en-US"/>
        </w:rPr>
        <w:t xml:space="preserve">ile the majority of ACLF </w:t>
      </w:r>
      <w:r w:rsidR="004E749A" w:rsidRPr="00383A0F">
        <w:rPr>
          <w:rFonts w:ascii="Book Antiqua" w:hAnsi="Book Antiqua" w:cs="Arial"/>
          <w:color w:val="000000" w:themeColor="text1"/>
          <w:lang w:val="en-US"/>
        </w:rPr>
        <w:lastRenderedPageBreak/>
        <w:t>triggers are not infectious</w:t>
      </w:r>
      <w:r w:rsidR="00A824BF" w:rsidRPr="00383A0F">
        <w:rPr>
          <w:rFonts w:ascii="Book Antiqua" w:hAnsi="Book Antiqua" w:cs="Arial"/>
          <w:color w:val="000000" w:themeColor="text1"/>
          <w:lang w:val="en-US"/>
        </w:rPr>
        <w:t>,</w:t>
      </w:r>
      <w:r w:rsidR="004E749A" w:rsidRPr="00383A0F">
        <w:rPr>
          <w:rFonts w:ascii="Book Antiqua" w:hAnsi="Book Antiqua" w:cs="Arial"/>
          <w:color w:val="000000" w:themeColor="text1"/>
          <w:lang w:val="en-US"/>
        </w:rPr>
        <w:t xml:space="preserve"> it is possible that there exists a continuum between </w:t>
      </w:r>
      <w:r w:rsidR="002742DC" w:rsidRPr="00383A0F">
        <w:rPr>
          <w:rFonts w:ascii="Book Antiqua" w:hAnsi="Book Antiqua" w:cs="Arial"/>
          <w:color w:val="000000" w:themeColor="text1"/>
          <w:lang w:val="en-US"/>
        </w:rPr>
        <w:t>gut bacterial translocation</w:t>
      </w:r>
      <w:r w:rsidR="004E749A" w:rsidRPr="00383A0F">
        <w:rPr>
          <w:rFonts w:ascii="Book Antiqua" w:hAnsi="Book Antiqua" w:cs="Arial"/>
          <w:color w:val="000000" w:themeColor="text1"/>
          <w:lang w:val="en-US"/>
        </w:rPr>
        <w:t xml:space="preserve"> and </w:t>
      </w:r>
      <w:r w:rsidR="002742DC" w:rsidRPr="00383A0F">
        <w:rPr>
          <w:rFonts w:ascii="Book Antiqua" w:hAnsi="Book Antiqua" w:cs="Arial"/>
          <w:color w:val="000000" w:themeColor="text1"/>
          <w:lang w:val="en-US"/>
        </w:rPr>
        <w:t>severe</w:t>
      </w:r>
      <w:r w:rsidR="004E749A" w:rsidRPr="00383A0F">
        <w:rPr>
          <w:rFonts w:ascii="Book Antiqua" w:hAnsi="Book Antiqua" w:cs="Arial"/>
          <w:color w:val="000000" w:themeColor="text1"/>
          <w:lang w:val="en-US"/>
        </w:rPr>
        <w:t xml:space="preserve"> infection</w:t>
      </w:r>
      <w:r w:rsidR="000C759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{"citationID":"exk7nAZT","properties":{"formattedCitation":"\\super [55]\\nosupersub{}","plainCitation":"[55]","noteIndex":0},"citationItems":[{"id":523,"uris":["http://zotero.org/users/local/BE2xVPev/items/YZC5UYQ3"],"uri":["http://zotero.org/users/local/BE2xVPev/items/YZC5UYQ3"],"itemData":{"id":523,"type":"article-journal","title":"Systemic inflammatory response syndrome in acute-on-chronic liver failure: Relevance of 'golden window': A prospective study","container-title":"Journal of Gastroenterology and Hepatology","page":"1989-1997","volume":"32","issue":"12","source":"PubMed","abstract":"BACKGROUND AND AIM: Systemic inflammatory response syndrome (SIRS) is an early marker of sepsis and ongoing inflammation and has been reported in large proportion of acute-on-chronic liver failure (ACLF) patients. Whether sepsis is the cause or the result of liver failure is unclear and is vital to know. To address this, the study investigated the course and outcome of ACLF patients without SIRS/sepsis.\nMETHODS: Consecutive ACLF patients were monitored for the development of SIRS/sepsis and associated complications and followed till 90 days, liver transplant or death.\nRESULTS: Of 561 patients, 201 (35.8%) had no SIRS and 360 (64.2%) had SIRS with or without infection. New onset SIRS and sepsis developed in 74.6% and 8% respectively in a median of 7 (range 4-15) days, at a rate of 11% per day. The cumulative incidence of new SIRS was 29%, 92.8%, and 100% by days 4, 7, and 15. Liver failure, that is, bilirubin &gt; 12 mg/dL (odds ratio [OR] = 2.5 [95% confidence interval {CI} = 1.05-6.19], P = 0.04) at days 0 and 4, and renal failure at day 4 (OR = 6.74 [95%CI = 1.50-13.29], P = 0.01), independently predicted new onset SIRS. Absence of SIRS in the first week was associated with reduced incidence of organ failure (20% vs 39.4%, P = 0.003), as was the 28-day (17.6% vs 36%, P = 0.02) and 90-day (27.5% vs 51%,P = 0.002) mortality. The 90-day mortality was 61.6% in the total cohort and that for those having no SIRS and SIRS at presentation were 42.8% and 65%, respectively (P &lt; 0.001).\nCONCLUSION: Liver failure predicts the development of SIRS. New onset SIRS in the first week is an important determinant of early sepsis, organ failure, and survival. Prompt interventions in this 'golden window' before development of sepsis may improve the outcome of ACLF.","DOI":"10.1111/jgh.13799","ISSN":"1440-1746","note":"PMID: 28374414","shortTitle":"Systemic inflammatory response syndrome in acute-on-chronic liver failure","journalAbbreviation":"J. Gastroenterol. Hepatol.","language":"eng","author":[{"family":"Choudhury","given":"Ashok"},{"family":"Kumar","given":"Manoj"},{"family":"Sharma","given":"Barjesh C."},{"family":"Maiwall","given":"Rakhi"},{"family":"Pamecha","given":"Viniyendra"},{"family":"Moreau","given":"Richard"},{"family":"Chawla","given":"Yogesh K."},{"family":"Duseja","given":"Ajay"},{"family":"Mahtab","given":"Mamun"},{"family":"Rahman","given":"Salimur"},{"family":"Hamid","given":"Saeed S."},{"family":"Butt","given":"Amna S."},{"family":"Jafri","given":"Wasim"},{"family":"Tan","given":"Seok Siam"},{"family":"Devarbhavi","given":"Harshad"},{"family":"Amarapurkar","given":"Deepak"},{"family":"Ning","given":"Qin"},{"family":"Eapen","given":"C. E."},{"family":"Goel","given":"Ashish"},{"family":"Kim","given":"Dong J."},{"family":"Ghazinyan","given":"Hasmik"},{"family":"Shiha","given":"Gamal"},{"family":"Lee","given":"Guan H."},{"family":"Abbas","given":"Zaigham"},{"family":"Payawal","given":"Diana A."},{"family":"Dokmeci","given":"A. Kadir"},{"family":"Yuen","given":"Man-Fung"},{"family":"Lesmana","given":"Laurentius A."},{"family":"Sood","given":"Ajit"},{"family":"Chan","given":"Albert"},{"family":"Lau","given":"George K."},{"family":"Jia","given":"Ji Dong"},{"family":"Duan","given":"Zhongping"},{"family":"Yu","given":"Chen"},{"family":"Yokosuka","given":"Osamu"},{"family":"Jain","given":"Priyanka"},{"family":"Bhadoria","given":"Ajeet S."},{"family":"Kumar","given":"Guresh"},{"family":"Sarin","given":"Shiv K."},{"literal":"APASL ACLF working party"}],"issued":{"date-parts":[["2017",12]]}}}],"schema":"https://github.com/citation-style-language/schema/raw/master/csl-citation.json"} </w:instrText>
      </w:r>
      <w:r w:rsidR="000C759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[55]</w:t>
      </w:r>
      <w:r w:rsidR="000C7593" w:rsidRPr="00383A0F">
        <w:rPr>
          <w:rFonts w:ascii="Book Antiqua" w:hAnsi="Book Antiqua" w:cs="Arial"/>
          <w:color w:val="000000" w:themeColor="text1"/>
          <w:lang w:val="en-US"/>
        </w:rPr>
        <w:fldChar w:fldCharType="end"/>
      </w:r>
      <w:r w:rsidR="004E749A" w:rsidRPr="00383A0F">
        <w:rPr>
          <w:rFonts w:ascii="Book Antiqua" w:hAnsi="Book Antiqua" w:cs="Arial"/>
          <w:color w:val="000000" w:themeColor="text1"/>
          <w:lang w:val="en-US"/>
        </w:rPr>
        <w:t>.</w:t>
      </w:r>
    </w:p>
    <w:p w14:paraId="3196BF9F" w14:textId="00247391" w:rsidR="00AB7318" w:rsidRPr="00383A0F" w:rsidRDefault="003E14C0"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CB476C" w:rsidRPr="00383A0F">
        <w:rPr>
          <w:rFonts w:ascii="Book Antiqua" w:hAnsi="Book Antiqua" w:cs="Arial"/>
          <w:color w:val="000000" w:themeColor="text1"/>
          <w:lang w:val="en-US"/>
        </w:rPr>
        <w:t>D</w:t>
      </w:r>
      <w:r w:rsidR="004E749A" w:rsidRPr="00383A0F">
        <w:rPr>
          <w:rFonts w:ascii="Book Antiqua" w:hAnsi="Book Antiqua" w:cs="Arial"/>
          <w:color w:val="000000" w:themeColor="text1"/>
          <w:lang w:val="en-US"/>
        </w:rPr>
        <w:t xml:space="preserve">etermining whether the inflammation associated with ACLF is related to </w:t>
      </w:r>
      <w:r w:rsidR="002742DC" w:rsidRPr="00383A0F">
        <w:rPr>
          <w:rFonts w:ascii="Book Antiqua" w:hAnsi="Book Antiqua" w:cs="Arial"/>
          <w:color w:val="000000" w:themeColor="text1"/>
          <w:lang w:val="en-US"/>
        </w:rPr>
        <w:t>sepsis</w:t>
      </w:r>
      <w:r w:rsidR="004E749A" w:rsidRPr="00383A0F">
        <w:rPr>
          <w:rFonts w:ascii="Book Antiqua" w:hAnsi="Book Antiqua" w:cs="Arial"/>
          <w:color w:val="000000" w:themeColor="text1"/>
          <w:lang w:val="en-US"/>
        </w:rPr>
        <w:t xml:space="preserve"> or not is not straightforward. Fever, for example, is often </w:t>
      </w:r>
      <w:r w:rsidR="008B24BA" w:rsidRPr="00383A0F">
        <w:rPr>
          <w:rFonts w:ascii="Book Antiqua" w:hAnsi="Book Antiqua" w:cs="Arial"/>
          <w:color w:val="000000" w:themeColor="text1"/>
          <w:lang w:val="en-US"/>
        </w:rPr>
        <w:t>masked</w:t>
      </w:r>
      <w:r w:rsidR="004E749A" w:rsidRPr="00383A0F">
        <w:rPr>
          <w:rFonts w:ascii="Book Antiqua" w:hAnsi="Book Antiqua" w:cs="Arial"/>
          <w:color w:val="000000" w:themeColor="text1"/>
          <w:lang w:val="en-US"/>
        </w:rPr>
        <w:t xml:space="preserve"> by </w:t>
      </w:r>
      <w:r w:rsidR="002742DC" w:rsidRPr="00383A0F">
        <w:rPr>
          <w:rFonts w:ascii="Book Antiqua" w:hAnsi="Book Antiqua" w:cs="Arial"/>
          <w:color w:val="000000" w:themeColor="text1"/>
          <w:lang w:val="en-US"/>
        </w:rPr>
        <w:t>renal replacement therapy due to extra corporal circulation</w:t>
      </w:r>
      <w:r w:rsidR="004E749A" w:rsidRPr="00383A0F">
        <w:rPr>
          <w:rFonts w:ascii="Book Antiqua" w:hAnsi="Book Antiqua" w:cs="Arial"/>
          <w:color w:val="000000" w:themeColor="text1"/>
          <w:lang w:val="en-US"/>
        </w:rPr>
        <w:t>. Biological markers such as CRP or high blood count are not specific of sepsis in ACLF</w:t>
      </w:r>
      <w:r w:rsidR="000C759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{"citationID":"QeJxGCaP","properties":{"formattedCitation":"\\super [53]\\nosupersub{}","plainCitation":"[53]","noteIndex":0},"citationItems":[{"id":321,"uris":["http://zotero.org/users/local/BE2xVPev/items/LB873AX4"],"uri":["http://zotero.org/users/local/BE2xVPev/items/LB873AX4"],"itemData":{"id":321,"type":"article-journal","title":"Acute-on-chronic liver failure: A new syndrome that will re-classify cirrhosis","container-title":"Journal of Hepatology","page":"S131-143","volume":"62","issue":"1 Suppl","source":"PubMed","abstract":"Acute-on-chronic liver failure (ACLF) is a recently recognized syndrome characterized by acute decompensation (AD) of cirrhosis and organ/system failure(s) (organ failure: liver, kidney, brain, coagulation, circulation and/or respiration) and extremely poor survival (28-day mortality rate 30-40%). ACLF occurs in relatively young patients. It is especially frequent in alcoholic- and untreated hepatitis B associated-cirrhosis, in addition it is related to bacterial infections and active alcoholism, although in 40% of cases no precipitating event can be identified. It may develop at any time during the course of the disease in the patient (from compensated to long-standing cirrhosis). The development of ACLF occurs in the setting of a systemic inflammation, the severity of which correlates with the number of organ failures and mortality. Systemic inflammation may cause ACLF through complex mechanisms including an exaggerated inflammatory response and systemic oxidative stress to pathogen- or danger/damage-associated molecular patterns (immunopathology) and/or alteration of tissue homeostasis to inflammation caused either by the pathogen itself or through a dysfunction of tissue tolerance. A scoring system composed of three scores (CLIF-C OFs, CLIF-C AD, and CLIF-C ACLFs) specifically designed for patients with AD, with and without ACLF, allows a step-wise algorithm for a rational indication of therapy. The management of ACLF should be carried out in enhanced or intensive care units. Current therapeutic measures comprise the treatment for associated complications, organ failures support and liver transplantation.","DOI":"10.1016/j.jhep.2014.11.045","ISSN":"1600-0641","note":"PMID: 25920082","shortTitle":"Acute-on-chronic liver failure","journalAbbreviation":"J. Hepatol.","language":"eng","author":[{"family":"Arroyo","given":"Vicente"},{"family":"Moreau","given":"Richard"},{"family":"Jalan","given":"Rajiv"},{"family":"Ginès","given":"Pere"},{"literal":"EASL-CLIF Consortium CANONIC Study"}],"issued":{"date-parts":[["2015",4]]}}}],"schema":"https://github.com/citation-style-language/schema/raw/master/csl-citation.json"} </w:instrText>
      </w:r>
      <w:r w:rsidR="000C759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[53]</w:t>
      </w:r>
      <w:r w:rsidR="000C7593" w:rsidRPr="00383A0F">
        <w:rPr>
          <w:rFonts w:ascii="Book Antiqua" w:hAnsi="Book Antiqua" w:cs="Arial"/>
          <w:color w:val="000000" w:themeColor="text1"/>
          <w:lang w:val="en-US"/>
        </w:rPr>
        <w:fldChar w:fldCharType="end"/>
      </w:r>
      <w:r w:rsidR="00CB476C" w:rsidRPr="00383A0F">
        <w:rPr>
          <w:rFonts w:ascii="Book Antiqua" w:hAnsi="Book Antiqua" w:cs="Arial"/>
          <w:color w:val="000000" w:themeColor="text1"/>
          <w:lang w:val="en-US"/>
        </w:rPr>
        <w:t xml:space="preserve"> and e</w:t>
      </w:r>
      <w:r w:rsidR="007744EE" w:rsidRPr="00383A0F">
        <w:rPr>
          <w:rFonts w:ascii="Book Antiqua" w:hAnsi="Book Antiqua" w:cs="Arial"/>
          <w:color w:val="000000" w:themeColor="text1"/>
          <w:lang w:val="en-US"/>
        </w:rPr>
        <w:t>ncephalopathy can be a sign of both liver failure and severe sepsis.</w:t>
      </w:r>
      <w:r w:rsidR="002742DC" w:rsidRPr="00383A0F">
        <w:rPr>
          <w:rFonts w:ascii="Book Antiqua" w:hAnsi="Book Antiqua" w:cs="Arial"/>
          <w:color w:val="000000" w:themeColor="text1"/>
          <w:lang w:val="en-US"/>
        </w:rPr>
        <w:t xml:space="preserve"> </w:t>
      </w:r>
    </w:p>
    <w:p w14:paraId="3FCAD461" w14:textId="64F25066" w:rsidR="00AB7318" w:rsidRPr="00383A0F" w:rsidRDefault="003E14C0" w:rsidP="00383A0F">
      <w:pPr>
        <w:adjustRightInd w:val="0"/>
        <w:snapToGrid w:val="0"/>
        <w:spacing w:line="360" w:lineRule="auto"/>
        <w:jc w:val="both"/>
        <w:rPr>
          <w:rFonts w:ascii="Book Antiqua" w:hAnsi="Book Antiqua" w:cs="Arial"/>
          <w:bCs/>
          <w:color w:val="000000" w:themeColor="text1"/>
          <w:lang w:val="en-US"/>
        </w:rPr>
      </w:pPr>
      <w:r>
        <w:rPr>
          <w:rFonts w:ascii="Book Antiqua" w:hAnsi="Book Antiqua" w:cs="Arial"/>
          <w:color w:val="000000" w:themeColor="text1"/>
          <w:lang w:val="en-US"/>
        </w:rPr>
        <w:t xml:space="preserve">  </w:t>
      </w:r>
      <w:r w:rsidR="00AB7318" w:rsidRPr="00383A0F">
        <w:rPr>
          <w:rFonts w:ascii="Book Antiqua" w:hAnsi="Book Antiqua" w:cs="Arial"/>
          <w:color w:val="000000" w:themeColor="text1"/>
          <w:lang w:val="en-US"/>
        </w:rPr>
        <w:t>The diagnosis of septic shock is even more problematic in the case of ACLF</w:t>
      </w:r>
      <w:r w:rsidR="008B24BA" w:rsidRPr="00383A0F">
        <w:rPr>
          <w:rFonts w:ascii="Book Antiqua" w:hAnsi="Book Antiqua" w:cs="Arial"/>
          <w:color w:val="000000" w:themeColor="text1"/>
          <w:lang w:val="en-US"/>
        </w:rPr>
        <w:t>,</w:t>
      </w:r>
      <w:r w:rsidR="00AB7318" w:rsidRPr="00383A0F">
        <w:rPr>
          <w:rFonts w:ascii="Book Antiqua" w:hAnsi="Book Antiqua" w:cs="Arial"/>
          <w:color w:val="000000" w:themeColor="text1"/>
          <w:lang w:val="en-US"/>
        </w:rPr>
        <w:t xml:space="preserve"> given the major systemic </w:t>
      </w:r>
      <w:proofErr w:type="spellStart"/>
      <w:r w:rsidR="00423320" w:rsidRPr="00383A0F">
        <w:rPr>
          <w:rFonts w:ascii="Book Antiqua" w:hAnsi="Book Antiqua" w:cs="Arial"/>
          <w:color w:val="000000" w:themeColor="text1"/>
          <w:lang w:val="en-US"/>
        </w:rPr>
        <w:t>vasoplegia</w:t>
      </w:r>
      <w:proofErr w:type="spellEnd"/>
      <w:r w:rsidR="00AB7318" w:rsidRPr="00383A0F">
        <w:rPr>
          <w:rFonts w:ascii="Book Antiqua" w:hAnsi="Book Antiqua" w:cs="Arial"/>
          <w:color w:val="000000" w:themeColor="text1"/>
          <w:lang w:val="en-US"/>
        </w:rPr>
        <w:t xml:space="preserve"> that patients with decompensated cirrhosis</w:t>
      </w:r>
      <w:r w:rsidR="000863D4" w:rsidRPr="00383A0F">
        <w:rPr>
          <w:rFonts w:ascii="Book Antiqua" w:hAnsi="Book Antiqua" w:cs="Arial"/>
          <w:color w:val="000000" w:themeColor="text1"/>
          <w:lang w:val="en-US"/>
        </w:rPr>
        <w:t xml:space="preserve"> </w:t>
      </w:r>
      <w:r w:rsidR="00AB7318" w:rsidRPr="00383A0F">
        <w:rPr>
          <w:rFonts w:ascii="Book Antiqua" w:hAnsi="Book Antiqua" w:cs="Arial"/>
          <w:color w:val="000000" w:themeColor="text1"/>
          <w:lang w:val="en-US"/>
        </w:rPr>
        <w:t>can have</w:t>
      </w:r>
      <w:r w:rsidR="00470D9B"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{"citationID":"1Wls1KJu","properties":{"formattedCitation":"\\super [56,57]\\nosupersub{}","plainCitation":"[56,57]","noteIndex":0},"citationItems":[{"id":333,"uris":["http://zotero.org/users/local/BE2xVPev/items/HTPDLVDJ"],"uri":["http://zotero.org/users/local/BE2xVPev/items/HTPDLVDJ"],"itemData":{"id":333,"type":"article-journal","title":"Hemodynamic studies in acute-on-chronic liver failure","container-title":"Digestive Diseases and Sciences","page":"869-878","volume":"54","issue":"4","source":"PubMed","abstract":"BACKGROUND: Patients with decompensated cirrhosis and acute liver failure have circulatory dysfunctions leading to high portal pressure and cardiac output (CO) and low systemic vascular resistance (SVR). Circulatory changes in acute-on-chronic liver failure (ACLF) patients have not been studied. We studied the portal, systemic, and pulmonary hemodynamics in patients with ACLF and compared them with compensated and decompensated cirrhotics.\nPATIENTS AND METHODS: Clinical features and hemodynamic profile were studied in patients with ACLF and compared with age- and sex-matched compensated and decompensated cirrhotics with portal hypertension.\nRESULTS: The study cohort comprised 144 patients categorized into one of three groups (ACLF, compensated cirrhosis, and decompensated cirrhosis), with 48 (33%) patients in each group. All values are given as the mean +/- standard deviation, except for frequencies (%). The mean arterial pressure (MAP) and SVR were lower in the ACLF than the compensated group and were similar to those of the decompensated group (MAP 90 +/- 16 vs. 99 +/- 15 vs. 96 +/- 16 mmHg; SVR 912 +/- 435 vs. 1350 +/- 449 vs. 891 +/- 333 dyn s/cm(5)). The mean CO of the ACLF patients was higher than that of the compensated group and similar to that of the decompensated group (CO 8.9 +/- 3.5 vs. 6.1 +/- 1.7 vs. 9.0 +/- 3.0 l/min). The pulmonary vascular resistance (PVR) and pulmonary capillary wedge pressures (PCWP) were similar in all the three groups (PVR 78 +/- 48 vs. 109 +/- 70 vs. 61 +/- 47 dyn s/cm(5); PCWP 8 +/- 4 vs. 8 +/- 4 vs. 10 +/- 5 mmHg). The mean hepatic venous pressure gradient (HVPG) in the ACLF group was 15.1 +/- 6.3 mmHg, which was significantly higher than that of the compensated group (11.7 +/- 6.3 mmHg), but lower than that of the decompensated cirrhosis group (20.2 +/- 6.0 mmHg). When patients of ACLF were categorized on the basis of their variceal size, the mean HVPG in ACLF patients with small varices was similar to that of compensated cirrhotics (13.7 +/- 5.7 vs. 11.7 +/- 6.3 mmHg; P = 0.146), while in the ACLF patients with large varices, the HVPG was comparable to that of the decompensated cirrhotics (18.7 +/- 6.6 vs. 20.2 +/- 6.0 mmHg; P = 0.442).\nCONCLUSIONS: The systemic hemodynamics in patients with ACLF is similar to that in decompensated cirrhotics. The portal pressure in these patients is higher than that in the compensated cirrhotics, and in the subgroup with large varices, it becomes similar to that of decompensated cirrhotics.","DOI":"10.1007/s10620-008-0421-9","ISSN":"1573-2568","note":"PMID: 18688717","journalAbbreviation":"Dig. Dis. Sci.","language":"eng","author":[{"family":"Kumar","given":"Ashish"},{"family":"Das","given":"Kunal"},{"family":"Sharma","given":"Praveen"},{"family":"Mehta","given":"Vimal"},{"family":"Sharma","given":"Barjesh Chander"},{"family":"Sarin","given":"Shiv Kumar"}],"issued":{"date-parts":[["2009",4]]}},"label":"page"},{"id":331,"uris":["http://zotero.org/users/local/BE2xVPev/items/C473YML4"],"uri":["http://zotero.org/users/local/BE2xVPev/items/C473YML4"],"itemData":{"id":331,"type":"article-journal","title":"Acute-on-chronic liver failure: the heart and systemic hemodynamics","container-title":"Current Opinion in Critical Care","page":"190-194","volume":"17","issue":"2","source":"PubMed","abstract":"PURPOSE OF REVIEW: Circulatory abnormalities in cirrhosis include hyperdynamic circulation and cirrhotic cardiomyopathy. The extent of circulatory abnormalities is further exaggerated in acute-on-chronic liver failure (ACLF). The mechanism remains unclear and management also needs to be evaluated.\nRECENT FINDINGS: The predominant mechanism of ACLF is thought to be a systemic inflammatory reaction. Cardiovascular-active factors such as tumor necrosis factor and nitric oxide are increased and cortisol is decreased; the former further dilates the vasculature and the latter decreases the sensitivity to vasoconstrictors. The exaggerated vasodilatation further decreases the cardiac afterload. However, no study has yet demonstrated the benefit of vasodilators/vasoconstrictors in the management of ACLF. Standard medical treatment in this setting is associated with high mortality. Patients treated with molecular adsorbent recirculating system (MARS) had improved serum levels of inflammatory mediators such as tumor necrosis factor alpha and interleukin-6, but this was not associated with improved survival. Liver transplantation eventually reverses the cardiovascular abnormalities.\nSUMMARY: Circulatory abnormalities are exaggerated in ACLF. The predominant mechanism is a systemic inflammatory reaction. Modalities such as MARS improve serum markers of inflammation, but not survival. Liver transplantation is the definitive treatment of the cardiovascular abnormalities of ACLF.","DOI":"10.1097/MCC.0b013e328344b397","ISSN":"1531-7072","note":"PMID: 21326096","shortTitle":"Acute-on-chronic liver failure","journalAbbreviation":"Curr Opin Crit Care","language":"eng","author":[{"family":"Liu","given":"Hongqun"},{"family":"Lee","given":"Samuel S."}],"issued":{"date-parts":[["2011",4]]}},"label":"page"}],"schema":"https://github.com/citation-style-language/schema/raw/master/csl-citation.json"} </w:instrText>
      </w:r>
      <w:r w:rsidR="00470D9B"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[56,57]</w:t>
      </w:r>
      <w:r w:rsidR="00470D9B" w:rsidRPr="00383A0F">
        <w:rPr>
          <w:rFonts w:ascii="Book Antiqua" w:hAnsi="Book Antiqua" w:cs="Arial"/>
          <w:color w:val="000000" w:themeColor="text1"/>
          <w:lang w:val="en-US"/>
        </w:rPr>
        <w:fldChar w:fldCharType="end"/>
      </w:r>
      <w:r w:rsidR="000863D4" w:rsidRPr="00383A0F">
        <w:rPr>
          <w:rFonts w:ascii="Book Antiqua" w:hAnsi="Book Antiqua" w:cs="Arial"/>
          <w:color w:val="000000" w:themeColor="text1"/>
          <w:lang w:val="en-US"/>
        </w:rPr>
        <w:t>.</w:t>
      </w:r>
      <w:r w:rsidR="00AB7318" w:rsidRPr="00383A0F">
        <w:rPr>
          <w:rFonts w:ascii="Book Antiqua" w:hAnsi="Book Antiqua" w:cs="Arial"/>
          <w:color w:val="000000" w:themeColor="text1"/>
          <w:lang w:val="en-US"/>
        </w:rPr>
        <w:t xml:space="preserve"> In the absence of unambiguous </w:t>
      </w:r>
      <w:r w:rsidR="00423320" w:rsidRPr="00383A0F">
        <w:rPr>
          <w:rFonts w:ascii="Book Antiqua" w:hAnsi="Book Antiqua" w:cs="Arial"/>
          <w:color w:val="000000" w:themeColor="text1"/>
          <w:lang w:val="en-US"/>
        </w:rPr>
        <w:t>signs of infection (bacteremia, clinical or radiological abscess)</w:t>
      </w:r>
      <w:r w:rsidR="008B24BA" w:rsidRPr="00383A0F">
        <w:rPr>
          <w:rFonts w:ascii="Book Antiqua" w:hAnsi="Book Antiqua" w:cs="Arial"/>
          <w:color w:val="000000" w:themeColor="text1"/>
          <w:lang w:val="en-US"/>
        </w:rPr>
        <w:t xml:space="preserve">, </w:t>
      </w:r>
      <w:r w:rsidR="00AB7318" w:rsidRPr="00383A0F">
        <w:rPr>
          <w:rFonts w:ascii="Book Antiqua" w:hAnsi="Book Antiqua" w:cs="Arial"/>
          <w:color w:val="000000" w:themeColor="text1"/>
          <w:lang w:val="en-US"/>
        </w:rPr>
        <w:t>it therefore seems particula</w:t>
      </w:r>
      <w:r w:rsidR="008B24BA" w:rsidRPr="00383A0F">
        <w:rPr>
          <w:rFonts w:ascii="Book Antiqua" w:hAnsi="Book Antiqua" w:cs="Arial"/>
          <w:color w:val="000000" w:themeColor="text1"/>
          <w:lang w:val="en-US"/>
        </w:rPr>
        <w:t>rly delicate to distinguish non-</w:t>
      </w:r>
      <w:r w:rsidR="00AB7318" w:rsidRPr="00383A0F">
        <w:rPr>
          <w:rFonts w:ascii="Book Antiqua" w:hAnsi="Book Antiqua" w:cs="Arial"/>
          <w:color w:val="000000" w:themeColor="text1"/>
          <w:lang w:val="en-US"/>
        </w:rPr>
        <w:t xml:space="preserve">infectious </w:t>
      </w:r>
      <w:r w:rsidR="009505CA" w:rsidRPr="00383A0F">
        <w:rPr>
          <w:rFonts w:ascii="Book Antiqua" w:hAnsi="Book Antiqua" w:cs="Arial"/>
          <w:bCs/>
          <w:color w:val="000000" w:themeColor="text1"/>
          <w:lang w:val="en-US"/>
        </w:rPr>
        <w:t>systemic inflammatory response syndrome (</w:t>
      </w:r>
      <w:r w:rsidR="00AB7318" w:rsidRPr="00383A0F">
        <w:rPr>
          <w:rFonts w:ascii="Book Antiqua" w:hAnsi="Book Antiqua" w:cs="Arial"/>
          <w:color w:val="000000" w:themeColor="text1"/>
          <w:lang w:val="en-US"/>
        </w:rPr>
        <w:t>SIRS</w:t>
      </w:r>
      <w:r w:rsidR="009505CA" w:rsidRPr="00383A0F">
        <w:rPr>
          <w:rFonts w:ascii="Book Antiqua" w:hAnsi="Book Antiqua" w:cs="Arial"/>
          <w:color w:val="000000" w:themeColor="text1"/>
          <w:lang w:val="en-US"/>
        </w:rPr>
        <w:t>)</w:t>
      </w:r>
      <w:r w:rsidR="00AB7318" w:rsidRPr="00383A0F">
        <w:rPr>
          <w:rFonts w:ascii="Book Antiqua" w:hAnsi="Book Antiqua" w:cs="Arial"/>
          <w:color w:val="000000" w:themeColor="text1"/>
          <w:lang w:val="en-US"/>
        </w:rPr>
        <w:t xml:space="preserve"> from septic shock. </w:t>
      </w:r>
    </w:p>
    <w:p w14:paraId="00B4E3ED" w14:textId="65DC4F31" w:rsidR="001825FA" w:rsidRPr="00383A0F" w:rsidRDefault="003E14C0"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AB7318" w:rsidRPr="00383A0F">
        <w:rPr>
          <w:rFonts w:ascii="Book Antiqua" w:hAnsi="Book Antiqua" w:cs="Arial"/>
          <w:color w:val="000000" w:themeColor="text1"/>
          <w:lang w:val="en-US"/>
        </w:rPr>
        <w:t xml:space="preserve">Our point is not to deny the </w:t>
      </w:r>
      <w:r w:rsidR="00793DC9" w:rsidRPr="00383A0F">
        <w:rPr>
          <w:rFonts w:ascii="Book Antiqua" w:hAnsi="Book Antiqua" w:cs="Arial"/>
          <w:color w:val="000000" w:themeColor="text1"/>
          <w:lang w:val="en-US"/>
        </w:rPr>
        <w:t xml:space="preserve">evident existence of sepsis or septic shock in patients with ACLF but to highlight the difficulty of diagnosing the presence of sepsis in patients with ACLF. </w:t>
      </w:r>
    </w:p>
    <w:p w14:paraId="0A326DDA" w14:textId="77777777" w:rsidR="000863D4" w:rsidRPr="00383A0F" w:rsidRDefault="000863D4" w:rsidP="00383A0F">
      <w:pPr>
        <w:adjustRightInd w:val="0"/>
        <w:snapToGrid w:val="0"/>
        <w:spacing w:line="360" w:lineRule="auto"/>
        <w:jc w:val="both"/>
        <w:rPr>
          <w:rFonts w:ascii="Book Antiqua" w:hAnsi="Book Antiqua" w:cs="Arial"/>
          <w:color w:val="000000" w:themeColor="text1"/>
          <w:lang w:val="en-US"/>
        </w:rPr>
      </w:pPr>
    </w:p>
    <w:p w14:paraId="1798E5D9" w14:textId="57492787" w:rsidR="00571C83" w:rsidRPr="00383A0F" w:rsidRDefault="00571C83"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 xml:space="preserve">There is not enough evidence to exclude </w:t>
      </w:r>
      <w:r w:rsidR="00023443" w:rsidRPr="00383A0F">
        <w:rPr>
          <w:rFonts w:ascii="Book Antiqua" w:hAnsi="Book Antiqua" w:cs="Arial"/>
          <w:b/>
          <w:i/>
          <w:color w:val="000000" w:themeColor="text1"/>
          <w:lang w:val="en-US"/>
        </w:rPr>
        <w:t>septic patients from LT systematically</w:t>
      </w:r>
    </w:p>
    <w:p w14:paraId="204592AC" w14:textId="1CB69E8A" w:rsidR="0087634A" w:rsidRPr="00383A0F" w:rsidRDefault="0087634A"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Two studies on critically ill patients have found a link between septic shock and poor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prognosis. </w:t>
      </w:r>
      <w:proofErr w:type="spellStart"/>
      <w:r w:rsidRPr="00383A0F">
        <w:rPr>
          <w:rFonts w:ascii="Book Antiqua" w:hAnsi="Book Antiqua" w:cs="Arial"/>
          <w:color w:val="000000" w:themeColor="text1"/>
          <w:lang w:val="en-US"/>
        </w:rPr>
        <w:t>Petrowsky’s</w:t>
      </w:r>
      <w:proofErr w:type="spellEnd"/>
      <w:r w:rsidRPr="00383A0F">
        <w:rPr>
          <w:rFonts w:ascii="Book Antiqua" w:hAnsi="Book Antiqua" w:cs="Arial"/>
          <w:color w:val="000000" w:themeColor="text1"/>
          <w:lang w:val="en-US"/>
        </w:rPr>
        <w:t xml:space="preserve"> study</w:t>
      </w:r>
      <w:r w:rsidR="003E14C0" w:rsidRPr="00383A0F">
        <w:rPr>
          <w:rFonts w:ascii="Book Antiqua" w:hAnsi="Book Antiqua" w:cs="Arial"/>
          <w:color w:val="000000" w:themeColor="text1"/>
          <w:lang w:val="en-US"/>
        </w:rPr>
        <w:fldChar w:fldCharType="begin"/>
      </w:r>
      <w:r w:rsidR="003E14C0" w:rsidRPr="00383A0F">
        <w:rPr>
          <w:rFonts w:ascii="Book Antiqua" w:hAnsi="Book Antiqua" w:cs="Arial"/>
          <w:color w:val="000000" w:themeColor="text1"/>
          <w:lang w:val="en-US"/>
        </w:rPr>
        <w:instrText xml:space="preserve"> ADDIN ZOTERO_ITEM CSL_CITATION {"citationID":"Z0imsYmA","properties":{"formattedCitation":"\\super [13]\\nosupersub{}","plainCitation":"[13]","noteIndex":0},"citationItems":[{"id":45,"uris":["http://zotero.org/users/local/BE2xVPev/items/5REPG3AK"],"uri":["http://zotero.org/users/local/BE2xVPev/items/5REPG3AK"],"itemData":{"id":45,"type":"article-journal","title":"Liver transplantation in highest acuity recipients: identifying factors to avoid futility","container-title":"Annals of Surgery","page":"1186-1194","volume":"259","issue":"6","source":"PubMed","abstract":"OBJECTIVE: To identify medical predictors of futility in recipients with laboratory Model of End-Stage Liver Disease (MELD) scores of 40 or more at the time of orthotopic liver transplantation (OLT).\nBACKGROUND: Although the survival benefit for transplant patients with the highest MELD scores is indisputable, the medical and economic effort to bring these highest acuity recipients through OLT presents a major challenge for every transplant center.\nMETHODS: This study was undertaken to analyze outcomes in patients with MELD scores of 40 or more undergoing OLT during the period February 2002 to December 2010. The analysis was focused on futile outcome (3-month or in-hospital mortality) and long-term posttransplant outcome. Independent predictors of futility and failure-free survival were identified and a futility risk model was created.\nRESULTS: During the study period, 1522 adult cadaveric OLTs were performed, and 169 patients (13%) had a MELD score of 40 or more. The overall 1, 3, 5, and 8-year patient survivals were 72%, 64%, 60%, and 56%. Futile outcome occurred in 37 patients (22%). MELD score, pretransplant septic shock, cardiac risk, and comorbidities were independent predictors of futile outcome. Using all 4 factors, the futility risk model had a good discriminatory ability (c-statistic 0.75). Recipient age per year, life-threatening postoperative complications, hepatitis C, and metabolic syndrome were independent predictors for long-term survival in nonfutile patients (Harrels c-statistic 0.72).\nCONCLUSIONS: Short- and long-term outcomes of recipients with MELD scores of 40 or more are primarily determined by disease-specific factors. Cardiac risk, pretransplant septic shock, and comorbidities are the most important predictors and can be used for risk stratification in these highest acuity recipients.","DOI":"10.1097/SLA.0000000000000265","ISSN":"1528-1140","note":"PMID: 24263317","shortTitle":"Liver transplantation in highest acuity recipients","journalAbbreviation":"Ann. Surg.","language":"eng","author":[{"family":"Petrowsky","given":"Henrik"},{"family":"Rana","given":"Abbas"},{"family":"Kaldas","given":"Fady M."},{"family":"Sharma","given":"Anuj"},{"family":"Hong","given":"Johnny C."},{"family":"Agopian","given":"Vatche G."},{"family":"Durazo","given":"Francisco"},{"family":"Honda","given":"Henry"},{"family":"Gornbein","given":"Jeffrey"},{"family":"Wu","given":"Victor"},{"family":"Farmer","given":"Douglas G."},{"family":"Hiatt","given":"Jonathan R."},{"family":"Busuttil","given":"Ronald W."}],"issued":{"date-parts":[["2014",6]]}}}],"schema":"https://github.com/citation-style-language/schema/raw/master/csl-citation.json"} </w:instrText>
      </w:r>
      <w:r w:rsidR="003E14C0" w:rsidRPr="00383A0F">
        <w:rPr>
          <w:rFonts w:ascii="Book Antiqua" w:hAnsi="Book Antiqua" w:cs="Arial"/>
          <w:color w:val="000000" w:themeColor="text1"/>
          <w:lang w:val="en-US"/>
        </w:rPr>
        <w:fldChar w:fldCharType="separate"/>
      </w:r>
      <w:r w:rsidR="003E14C0" w:rsidRPr="00383A0F">
        <w:rPr>
          <w:rFonts w:ascii="Book Antiqua" w:hAnsi="Book Antiqua"/>
          <w:color w:val="000000" w:themeColor="text1"/>
          <w:vertAlign w:val="superscript"/>
          <w:lang w:val="en-US"/>
        </w:rPr>
        <w:t>[13]</w:t>
      </w:r>
      <w:r w:rsidR="003E14C0"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on patients with MELD scores &gt; 40 finds that septic shock is significantly associated with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mortality</w:t>
      </w:r>
      <w:r w:rsidR="008B24BA" w:rsidRPr="00383A0F">
        <w:rPr>
          <w:rFonts w:ascii="Book Antiqua" w:hAnsi="Book Antiqua" w:cs="Arial"/>
          <w:color w:val="000000" w:themeColor="text1"/>
          <w:lang w:val="en-US"/>
        </w:rPr>
        <w:t>. B</w:t>
      </w:r>
      <w:r w:rsidRPr="00383A0F">
        <w:rPr>
          <w:rFonts w:ascii="Book Antiqua" w:hAnsi="Book Antiqua" w:cs="Arial"/>
          <w:color w:val="000000" w:themeColor="text1"/>
          <w:lang w:val="en-US"/>
        </w:rPr>
        <w:t>ut he does not detail the diagnosis criteria or the types of infections (germs/sites)</w:t>
      </w:r>
      <w:r w:rsidR="008B24BA" w:rsidRPr="00383A0F">
        <w:rPr>
          <w:rFonts w:ascii="Book Antiqua" w:hAnsi="Book Antiqua" w:cs="Arial"/>
          <w:color w:val="000000" w:themeColor="text1"/>
          <w:lang w:val="en-US"/>
        </w:rPr>
        <w:t>,</w:t>
      </w:r>
      <w:r w:rsidRPr="00383A0F">
        <w:rPr>
          <w:rFonts w:ascii="Book Antiqua" w:hAnsi="Book Antiqua" w:cs="Arial"/>
          <w:color w:val="000000" w:themeColor="text1"/>
          <w:lang w:val="en-US"/>
        </w:rPr>
        <w:t xml:space="preserve"> </w:t>
      </w:r>
      <w:r w:rsidR="008B24BA" w:rsidRPr="00383A0F">
        <w:rPr>
          <w:rFonts w:ascii="Book Antiqua" w:hAnsi="Book Antiqua" w:cs="Arial"/>
          <w:color w:val="000000" w:themeColor="text1"/>
          <w:lang w:val="en-US"/>
        </w:rPr>
        <w:t>pointing</w:t>
      </w:r>
      <w:r w:rsidRPr="00383A0F">
        <w:rPr>
          <w:rFonts w:ascii="Book Antiqua" w:hAnsi="Book Antiqua" w:cs="Arial"/>
          <w:color w:val="000000" w:themeColor="text1"/>
          <w:lang w:val="en-US"/>
        </w:rPr>
        <w:t xml:space="preserve"> out the subjective character of this diagnosis. In the cohort published in 2017, Levesque describes in detail the criteria used to establish the diagnosis of infection and shows that </w:t>
      </w:r>
      <w:r w:rsidR="00976964" w:rsidRPr="00383A0F">
        <w:rPr>
          <w:rFonts w:ascii="Book Antiqua" w:hAnsi="Book Antiqua" w:cs="Arial"/>
          <w:color w:val="000000" w:themeColor="text1"/>
          <w:lang w:val="en-US"/>
        </w:rPr>
        <w:t xml:space="preserve">it is an independent risk factor of </w:t>
      </w:r>
      <w:r w:rsidR="00A65C47" w:rsidRPr="00383A0F">
        <w:rPr>
          <w:rFonts w:ascii="Book Antiqua" w:hAnsi="Book Antiqua" w:cs="Arial"/>
          <w:color w:val="000000" w:themeColor="text1"/>
          <w:lang w:val="en-US"/>
        </w:rPr>
        <w:t>post-transplant</w:t>
      </w:r>
      <w:r w:rsidR="00976964" w:rsidRPr="00383A0F">
        <w:rPr>
          <w:rFonts w:ascii="Book Antiqua" w:hAnsi="Book Antiqua" w:cs="Arial"/>
          <w:color w:val="000000" w:themeColor="text1"/>
          <w:lang w:val="en-US"/>
        </w:rPr>
        <w:t xml:space="preserve"> mortality in a general cohort, which includes patients with and without ACLF</w:t>
      </w:r>
      <w:r w:rsidR="00D745EE"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{"citationID":"txem7Au9","properties":{"formattedCitation":"\\super [19]\\nosupersub{}","plainCitation":"[19]","noteIndex":0},"citationItems":[{"id":355,"uris":["http://zotero.org/users/local/BE2xVPev/items/ZEQZ3F28"],"uri":["http://zotero.org/users/local/BE2xVPev/items/ZEQZ3F28"],"itemData":{"id":355,"type":"article-journal","title":"Impact of acute-on-chronic liver failure on 90-day mortality following a first liver transplantation","container-title":"Liver International: Official Journal of the International Association for the Study of the Liver","page":"684-693","volume":"37","issue":"5","source":"PubMed","abstract":"BACKGROUND: Acute-on-chronic liver failure (ACLF) is associated with a significant short-term mortality rate (23%-74%), depending on the number of organ failures. Some patients present with ACLF at the time of liver transplantation (LT). The aim of this study was to assess whether ACLF was also a prognostic factor after LT and, if applicable, to construct a score that could predict 90-day mortality.\nMETHODS: Three hundred and fifty cirrhotic patients, who underwent LT between January 2008 and December 2013, were enrolled. We used ACLF grades according to EASL-CLIF consortium criteria to categorize the cirrhotic patients. A propensity score was applied with an Inverse Probability Treatment Weighting in a Cox model. A predictive score of early mortality after LT was generated.\nRESULTS: One hundred and forty patients (40%) met the criteria for ACLF. The overall mortality rate at 90 days post-transplant was 10.6% (37/350 patients). ACLF at the time of LT (HR: 5.78 [3.42-9.77], P&lt;.001) was an independent predictor of 90-day mortality. Infection occurring during the month before LT, high recipient age and male recipient, the reason for LT and a female donor were also independent risk factors for early mortality. Using these factors, we have proposed a model to predict 90-day mortality after LT.\nCONCLUSIONS: LT is feasible in cirrhotic patients with ACLF. However, we have shown that ACLF is a significant and independent predictor of 90-day mortality. We propose a score that can identify candidate cirrhotic patients in whom LT might be associated with futile LT.","DOI":"10.1111/liv.13355","ISSN":"1478-3231","note":"PMID: 28052486","journalAbbreviation":"Liver Int.","language":"eng","author":[{"family":"Levesque","given":"Eric"},{"family":"Winter","given":"Audrey"},{"family":"Noorah","given":"Zaid"},{"family":"Daurès","given":"Jean-Pierre"},{"family":"Landais","given":"Paul"},{"family":"Feray","given":"Cyrille"},{"family":"Azoulay","given":"Daniel"}],"issued":{"date-parts":[["2017",5]]}}}],"schema":"https://github.com/citation-style-language/schema/raw/master/csl-citation.json"} </w:instrText>
      </w:r>
      <w:r w:rsidR="00D745EE"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[19]</w:t>
      </w:r>
      <w:r w:rsidR="00D745EE" w:rsidRPr="00383A0F">
        <w:rPr>
          <w:rFonts w:ascii="Book Antiqua" w:hAnsi="Book Antiqua" w:cs="Arial"/>
          <w:color w:val="000000" w:themeColor="text1"/>
          <w:lang w:val="en-US"/>
        </w:rPr>
        <w:fldChar w:fldCharType="end"/>
      </w:r>
      <w:r w:rsidR="00976964" w:rsidRPr="00383A0F">
        <w:rPr>
          <w:rFonts w:ascii="Book Antiqua" w:hAnsi="Book Antiqua" w:cs="Arial"/>
          <w:color w:val="000000" w:themeColor="text1"/>
          <w:lang w:val="en-US"/>
        </w:rPr>
        <w:t xml:space="preserve">. </w:t>
      </w:r>
    </w:p>
    <w:p w14:paraId="5434305E" w14:textId="6864DF04" w:rsidR="0087634A" w:rsidRPr="00383A0F" w:rsidRDefault="003E14C0"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976964" w:rsidRPr="00383A0F">
        <w:rPr>
          <w:rFonts w:ascii="Book Antiqua" w:hAnsi="Book Antiqua" w:cs="Arial"/>
          <w:color w:val="000000" w:themeColor="text1"/>
          <w:lang w:val="en-US"/>
        </w:rPr>
        <w:t xml:space="preserve">Other studies have not found a link between </w:t>
      </w:r>
      <w:r w:rsidR="001742A8" w:rsidRPr="00383A0F">
        <w:rPr>
          <w:rFonts w:ascii="Book Antiqua" w:hAnsi="Book Antiqua" w:cs="Arial"/>
          <w:color w:val="000000" w:themeColor="text1"/>
          <w:lang w:val="en-US"/>
        </w:rPr>
        <w:t>pre-transplant</w:t>
      </w:r>
      <w:r w:rsidR="00976964" w:rsidRPr="00383A0F">
        <w:rPr>
          <w:rFonts w:ascii="Book Antiqua" w:hAnsi="Book Antiqua" w:cs="Arial"/>
          <w:color w:val="000000" w:themeColor="text1"/>
          <w:lang w:val="en-US"/>
        </w:rPr>
        <w:t xml:space="preserve"> bacterial infection and </w:t>
      </w:r>
      <w:r w:rsidR="00A65C47" w:rsidRPr="00383A0F">
        <w:rPr>
          <w:rFonts w:ascii="Book Antiqua" w:hAnsi="Book Antiqua" w:cs="Arial"/>
          <w:color w:val="000000" w:themeColor="text1"/>
          <w:lang w:val="en-US"/>
        </w:rPr>
        <w:t>post-transplant</w:t>
      </w:r>
      <w:r w:rsidR="00976964" w:rsidRPr="00383A0F">
        <w:rPr>
          <w:rFonts w:ascii="Book Antiqua" w:hAnsi="Book Antiqua" w:cs="Arial"/>
          <w:color w:val="000000" w:themeColor="text1"/>
          <w:lang w:val="en-US"/>
        </w:rPr>
        <w:t xml:space="preserve"> mortality in the general population of LT patients</w:t>
      </w:r>
      <w:r w:rsidR="00D745EE"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{"citationID":"zQOBpNKz","properties":{"formattedCitation":"\\super [58,59]\\nosupersub{}","plainCitation":"[58,59]","noteIndex":0},"citationItems":[{"id":327,"uris":["http://zotero.org/users/local/BE2xVPev/items/NPM6PJYU"],"uri":["http://zotero.org/users/local/BE2xVPev/items/NPM6PJYU"],"itemData":{"id":327,"type":"article-journal","title":"Influence of pretransplantation bacterial and fungal culture positivity on outcome after living donor liver transplantation","container-title":"Transplantation Proceedings","page":"250-252","volume":"41","issue":"1","source":"PubMed","abstract":"BACKGROUND: Bacterial and fungal infections are serious complications in patients with cirrhosis and are among the main causes of morbidity and mortality. The effects of pretransplantation infection on the outcome after orthotopic liver transplantation (OLT), however, have not been fully described.\nOBJECTIVE: To assess the influence of pretransplantation infection on OLT by analyzing the clinical profiles of liver recipients with preexisting bacterial or fungal infection.\nPATIENTS AND METHODS: We retrospectively reviewed the medical records of 223 adult patients who underwent living donor OLT between October 1, 2005, and September 30, 2006. In all patients, routine blood culture, was performed, and in patients with suspected bacterial or fungal infection; sputum, urine, and ascitic fluid cultures were performed.\nRESULTS: Of 223 patients, 37 (16.6%) had a positive culture in one or more samples. Culture-positive and culture-negative groups differed significantly in end-stage liver disease score but showed no differences in Child-Turcotte-Pugh score, existence of spontaneous bacterial peritonitis, hemodialysis, or duration of stay in the intensive care unit or hospital. Six of 37 patients with positive cultures (16.2%) and 4 (2.2%) of 186 patients with negative cultures (2.2%) died during the first 90 days after OLT (P = .007). The causes of death among culture-positive patients were brain edema (n = 2), brain hemorrhage (n = 1), hepatic dysfunction (n = 1), and sepsis (n = 2), whereas all 4 culture-negative patients died of infectious complications.\nCONCLUSION: Prompt OLT accompanied by adequate antibiotic or antifungal therapy may be acceptable in patients with preexisting bacterial or fungal infection unless there are overt manifestations of active infection.","DOI":"10.1016/j.transproceed.2008.10.033","ISSN":"0041-1345","note":"PMID: 19249527","journalAbbreviation":"Transplant. Proc.","language":"eng","author":[{"family":"Kim","given":"B.-S."},{"family":"Lee","given":"S.-G."},{"family":"Hwang","given":"S."},{"family":"Ahn","given":"C.-S."},{"family":"Kim","given":"K.-H."},{"family":"Moon","given":"D.-B."},{"family":"Ha","given":"T.-Y."},{"family":"Song","given":"G.-W."},{"family":"Jung","given":"D.-H."}],"issued":{"date-parts":[["2009",2]]}},"label":"page"},{"id":359,"uris":["http://zotero.org/users/local/BE2xVPev/items/9JT75WFC"],"uri":["http://zotero.org/users/local/BE2xVPev/items/9JT75WFC"],"itemData":{"id":359,"type":"article-journal","title":"Impact of pretransplant infections on clinical outcomes of liver transplant recipients","container-title":"Liver Transplantation: Official Publication of the American Association for the Study of Liver Diseases and the International Liver Transplantation Society","page":"222-228","volume":"16","issue":"2","source":"PubMed","abstract":"Whether pretransplant nonviral infections influence outcomes after transplantation in liver transplant recipients in the current era is not well defined. One hundred consecutive patients undergoing liver transplantation in 2005-2008 were studied. Demographics, posttransplant clinical events, and mortality were compared between recipients with and without infections within 12 months before transplantation. In all, 32% of the patients (32/100) developed 45 episodes of pretransplant infections, which included spontaneous bacterial peritonitis (35.6%), bloodstream infections (28.9%), cellulitis (13.3%), pneumonia (8.9%), urinary tract infections (6.7%), and other infections (6.7%). Compared with 68 recipients without pretransplant infections, those with infections had a higher Model for End-Stage Liver Disease score and a lower likelihood of transplantation from home and required longer and more frequent hospital care before and after transplantation (P &lt; 0.05). Mortality at 90 (9.4% versus 2.9%) and 180 days (15.6% versus 10.3%) post-transplant did not differ significantly between recipients with and without pretransplant infections (P = not significant). A higher Model for End-Stage Liver Disease score (P &lt; 0.05) and posttransplant infections (P &lt; 0.05 and P &lt; 0.001), but not pretransplant infections, were associated with posttransplant mortality at 90 and 180 days. In conclusion, pretransplant infections that have been adequately treated do not pose a significant risk for poor outcomes, including posttransplant mortality.","DOI":"10.1002/lt.21982","ISSN":"1527-6473","note":"PMID: 20104499","journalAbbreviation":"Liver Transpl.","language":"eng","author":[{"family":"Sun","given":"Hsin-Yun"},{"family":"Cacciarelli","given":"Thomas V."},{"family":"Singh","given":"Nina"}],"issued":{"date-parts":[["2010",2]]}},"label":"page"}],"schema":"https://github.com/citation-style-language/schema/raw/master/csl-citation.json"} </w:instrText>
      </w:r>
      <w:r w:rsidR="00D745EE"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[58,59]</w:t>
      </w:r>
      <w:r w:rsidR="00D745EE" w:rsidRPr="00383A0F">
        <w:rPr>
          <w:rFonts w:ascii="Book Antiqua" w:hAnsi="Book Antiqua" w:cs="Arial"/>
          <w:color w:val="000000" w:themeColor="text1"/>
          <w:lang w:val="en-US"/>
        </w:rPr>
        <w:fldChar w:fldCharType="end"/>
      </w:r>
      <w:r w:rsidR="00976964" w:rsidRPr="00383A0F">
        <w:rPr>
          <w:rFonts w:ascii="Book Antiqua" w:hAnsi="Book Antiqua" w:cs="Arial"/>
          <w:color w:val="000000" w:themeColor="text1"/>
          <w:lang w:val="en-US"/>
        </w:rPr>
        <w:t>. In cr</w:t>
      </w:r>
      <w:r w:rsidR="008B24BA" w:rsidRPr="00383A0F">
        <w:rPr>
          <w:rFonts w:ascii="Book Antiqua" w:hAnsi="Book Antiqua" w:cs="Arial"/>
          <w:color w:val="000000" w:themeColor="text1"/>
          <w:lang w:val="en-US"/>
        </w:rPr>
        <w:t>itically ill patients, one case-</w:t>
      </w:r>
      <w:r w:rsidR="00976964" w:rsidRPr="00383A0F">
        <w:rPr>
          <w:rFonts w:ascii="Book Antiqua" w:hAnsi="Book Antiqua" w:cs="Arial"/>
          <w:color w:val="000000" w:themeColor="text1"/>
          <w:lang w:val="en-US"/>
        </w:rPr>
        <w:t xml:space="preserve">control study did not find a significant link between </w:t>
      </w:r>
      <w:r w:rsidR="001742A8" w:rsidRPr="00383A0F">
        <w:rPr>
          <w:rFonts w:ascii="Book Antiqua" w:hAnsi="Book Antiqua" w:cs="Arial"/>
          <w:color w:val="000000" w:themeColor="text1"/>
          <w:lang w:val="en-US"/>
        </w:rPr>
        <w:t>pre-transplant</w:t>
      </w:r>
      <w:r w:rsidR="00976964" w:rsidRPr="00383A0F">
        <w:rPr>
          <w:rFonts w:ascii="Book Antiqua" w:hAnsi="Book Antiqua" w:cs="Arial"/>
          <w:color w:val="000000" w:themeColor="text1"/>
          <w:lang w:val="en-US"/>
        </w:rPr>
        <w:t xml:space="preserve"> infection and </w:t>
      </w:r>
      <w:r w:rsidR="00A65C47" w:rsidRPr="00383A0F">
        <w:rPr>
          <w:rFonts w:ascii="Book Antiqua" w:hAnsi="Book Antiqua" w:cs="Arial"/>
          <w:color w:val="000000" w:themeColor="text1"/>
          <w:lang w:val="en-US"/>
        </w:rPr>
        <w:t>post-transplant</w:t>
      </w:r>
      <w:r w:rsidR="00976964" w:rsidRPr="00383A0F">
        <w:rPr>
          <w:rFonts w:ascii="Book Antiqua" w:hAnsi="Book Antiqua" w:cs="Arial"/>
          <w:color w:val="000000" w:themeColor="text1"/>
          <w:lang w:val="en-US"/>
        </w:rPr>
        <w:t xml:space="preserve"> mortality</w:t>
      </w:r>
      <w:r w:rsidR="0017136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{"citationID":"PS071kOh","properties":{"formattedCitation":"\\super [60]\\nosupersub{}","plainCitation":"[60]","noteIndex":0},"citationItems":[{"id":329,"uris":["http://zotero.org/users/local/BE2xVPev/items/7CXFPLRB"],"uri":["http://zotero.org/users/local/BE2xVPev/items/7CXFPLRB"],"itemData":{"id":329,"type":"article-journal","title":"Impacts of pretransplant infections on clinical outcomes of patients with acute-on-chronic liver failure who received living-donor liver transplantation","container-title":"PloS One","page":"e72893","volume":"8","issue":"9","source":"PubMed","abstract":"BACKGROUND: Liver transplantation is the only therapeutic modality for patients with acute-on chronic liver failure (ACLF). These patients are at high risk for bacterial infections while awaiting transplantation. The aim of this study was to elucidate whether an adequately treated bacterial infection influences the outcomes after transplantation in this patient population.\nMETHODOLOGY/PRINCIPAL FINDINGS: 54 recipients (median age, 49.5 years [range, 22-60]) of adult-to-adult living donor liver transplant (LDLT) for ACLF were categorized as those with pretransplant infection (Group 1, n=34) or without pretransplant infection (Group 2, n=20) for retrospective analyses. With the exception of a higher male-female ratio (P=0.046) and longer length of pretransplant hospital stay (P=0.026) in Group 1, similar demographic, laboratory and clinical features were found in both groups. Patients in Group 1 (totally 42 pretransplant infection episodes) were adequately treated with effective antibiotic(s) before receiving LDLT. All included patients were followed up until one year after transplantation or death. Sixty-one posttransplant infection episodes were found in an overall of 44 ACLF patients (27 in Group 1 vs. 15 in Group 2; P=0.352). Frequently encountered posttransplant infections were intraabdominal infection, pneumonia, bloodstream infection and urinary tract infection. Two patients died in each group (P=0.622). No significant difference was found in the length of posttransplant ICU stay, and in one-year survival, graft rejection, and posttransplant infection rate between both groups. The longer overall hospital stay (mean day, 89.0 vs. 65.5, P=0.024) found in Group 1 resulted from a longer pretransplant hospital stay receiving treatment for pretransplant infection(s) and/or awaiting transplantation.\nCONCLUSIONS: These data suggested that an adequately treated pretransplant infection do not pose a significant risk for clinical outcomes including posttransplant fatality in recipients in adult-to-adult LDLT for ACLF.","DOI":"10.1371/journal.pone.0072893","ISSN":"1932-6203","note":"PMID: 24023787\nPMCID: PMC3759387","journalAbbreviation":"PLoS ONE","language":"eng","author":[{"family":"Lin","given":"Kuo-Hua"},{"family":"Liu","given":"Jien-Wei"},{"family":"Chen","given":"Chao-Long"},{"family":"Wang","given":"Shih-Hor"},{"family":"Lin","given":"Chih-Che"},{"family":"Liu","given":"Yueh-Wei"},{"family":"Yong","given":"Chee-Chien"},{"family":"Lin","given":"Ting-Lung"},{"family":"Li","given":"Wei-Feng"},{"family":"Hu","given":"Tsung-Hui"},{"family":"Wang","given":"Chih-Chi"}],"issued":{"date-parts":[["2013"]]}}}],"schema":"https://github.com/citation-style-language/schema/raw/master/csl-citation.json"} </w:instrText>
      </w:r>
      <w:r w:rsidR="0017136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[60]</w:t>
      </w:r>
      <w:r w:rsidR="00171368" w:rsidRPr="00383A0F">
        <w:rPr>
          <w:rFonts w:ascii="Book Antiqua" w:hAnsi="Book Antiqua" w:cs="Arial"/>
          <w:color w:val="000000" w:themeColor="text1"/>
          <w:lang w:val="en-US"/>
        </w:rPr>
        <w:fldChar w:fldCharType="end"/>
      </w:r>
      <w:r w:rsidR="00976964" w:rsidRPr="00383A0F">
        <w:rPr>
          <w:rFonts w:ascii="Book Antiqua" w:hAnsi="Book Antiqua" w:cs="Arial"/>
          <w:color w:val="000000" w:themeColor="text1"/>
          <w:lang w:val="en-US"/>
        </w:rPr>
        <w:t xml:space="preserve"> and our own work, which includes 13 ACLF patients with </w:t>
      </w:r>
      <w:proofErr w:type="spellStart"/>
      <w:r w:rsidR="00976964" w:rsidRPr="00383A0F">
        <w:rPr>
          <w:rFonts w:ascii="Book Antiqua" w:hAnsi="Book Antiqua" w:cs="Arial"/>
          <w:color w:val="000000" w:themeColor="text1"/>
          <w:lang w:val="en-US"/>
        </w:rPr>
        <w:t>bacteriamia</w:t>
      </w:r>
      <w:proofErr w:type="spellEnd"/>
      <w:r w:rsidR="00976964" w:rsidRPr="00383A0F">
        <w:rPr>
          <w:rFonts w:ascii="Book Antiqua" w:hAnsi="Book Antiqua" w:cs="Arial"/>
          <w:color w:val="000000" w:themeColor="text1"/>
          <w:lang w:val="en-US"/>
        </w:rPr>
        <w:t xml:space="preserve"> in the 15 d prior to transplant, did not find a significant</w:t>
      </w:r>
      <w:r w:rsidR="00EA2B26" w:rsidRPr="00383A0F">
        <w:rPr>
          <w:rFonts w:ascii="Book Antiqua" w:hAnsi="Book Antiqua" w:cs="Arial"/>
          <w:color w:val="000000" w:themeColor="text1"/>
          <w:lang w:val="en-US"/>
        </w:rPr>
        <w:t>ly worse one-year post-transplant outcome</w:t>
      </w:r>
      <w:r w:rsidR="0017136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{"citationID":"sxrc4HMm","properties":{"formattedCitation":"\\super [44]\\nosupersub{}","plainCitation":"[44]","noteIndex":0},"citationItems":[{"id":337,"uris":["http://zotero.org/users/local/BE2xVPev/items/LIQHZU2B"],"uri":["http://zotero.org/users/local/BE2xVPev/items/LIQHZU2B"],"itemData":{"id":337,"type":"article-journal","title":"Liver transplantation in critically ill patients: Preoperative predictive factors of post-transplant mortality to avoid futility","container-title":"Clinical Transplantation","volume":"31","issue":"12","source":"PubMed","abstract":"BACKGROUND: The allocation of liver transplants to patients with acute liver failure (ALF) and acute-on-chronic liver failure (ACLF) with multi-organ failure who are admitted in ICU remains controversial due to their high post-transplant mortality rate and the absence of identified mortality risk factors.\nMETHODS: We performed a single-center retrospective cohort study to determine the post-transplant mortality rate of patients with ALF and ACLF requiring ICU care prior to liver transplant (LT) and identified pretransplant factors of post-transplant mortality.\nRESULTS: Eighty-four patients (29 with ALF and 55 with ACLF) received a liver transplant while they were hospitalized at the ICU. Their mean model for end-stage liver disease (MELD) score was 41, and their mean sequential organ failure assessment (SOFA) was 15 the day before transplant. The overall 1-year survival rate was 66%. In multivariate analysis, pretransplant lactate level and acute respiratory distress syndrome (ARDS) were the only two independent factors associated with post-transplant mortality. The absence of ARDS and a pretransplant lactate level&lt; 5 mmol/L led to the identification of a subgroup of ICU patients with a good 1-year post-transplant survival (&gt;80%).\nCONCLUSIONS: Low lactatemia lactate level and the absence of ARDS could be useful criteria in selecting those patients in ICU who could be eligible for liver transplant.","DOI":"10.1111/ctr.13115","ISSN":"1399-0012","note":"PMID: 28895204","shortTitle":"Liver transplantation in critically ill patients","journalAbbreviation":"Clin Transplant","language":"eng","author":[{"family":"Michard","given":"Baptiste"},{"family":"Artzner","given":"Thierry"},{"family":"Lebas","given":"Benjamin"},{"family":"Besch","given":"Camille"},{"family":"Guillot","given":"Max"},{"family":"Faitot","given":"François"},{"family":"Lefebvre","given":"François"},{"family":"Bachellier","given":"Philippe"},{"family":"Castelain","given":"Vincent"},{"family":"Maestraggi","given":"Quentin"},{"family":"Schneider","given":"Francis"}],"issued":{"date-parts":[["2017",12]]}}}],"schema":"https://github.com/citation-style-language/schema/raw/master/csl-citation.json"} </w:instrText>
      </w:r>
      <w:r w:rsidR="0017136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[44]</w:t>
      </w:r>
      <w:r w:rsidR="00171368" w:rsidRPr="00383A0F">
        <w:rPr>
          <w:rFonts w:ascii="Book Antiqua" w:hAnsi="Book Antiqua" w:cs="Arial"/>
          <w:color w:val="000000" w:themeColor="text1"/>
          <w:lang w:val="en-US"/>
        </w:rPr>
        <w:fldChar w:fldCharType="end"/>
      </w:r>
      <w:r w:rsidR="00976964" w:rsidRPr="00383A0F">
        <w:rPr>
          <w:rFonts w:ascii="Book Antiqua" w:hAnsi="Book Antiqua" w:cs="Arial"/>
          <w:color w:val="000000" w:themeColor="text1"/>
          <w:lang w:val="en-US"/>
        </w:rPr>
        <w:t xml:space="preserve">. In both cases, this </w:t>
      </w:r>
      <w:r w:rsidR="00976964" w:rsidRPr="00383A0F">
        <w:rPr>
          <w:rFonts w:ascii="Book Antiqua" w:hAnsi="Book Antiqua" w:cs="Arial"/>
          <w:color w:val="000000" w:themeColor="text1"/>
          <w:lang w:val="en-US"/>
        </w:rPr>
        <w:lastRenderedPageBreak/>
        <w:t xml:space="preserve">could be due to </w:t>
      </w:r>
      <w:r w:rsidR="00390AA3" w:rsidRPr="00383A0F">
        <w:rPr>
          <w:rFonts w:ascii="Book Antiqua" w:hAnsi="Book Antiqua" w:cs="Arial"/>
          <w:color w:val="000000" w:themeColor="text1"/>
          <w:lang w:val="en-US"/>
        </w:rPr>
        <w:t>insufficient statistical power. Fina</w:t>
      </w:r>
      <w:r w:rsidR="007744EE" w:rsidRPr="00383A0F">
        <w:rPr>
          <w:rFonts w:ascii="Book Antiqua" w:hAnsi="Book Antiqua" w:cs="Arial"/>
          <w:color w:val="000000" w:themeColor="text1"/>
          <w:lang w:val="en-US"/>
        </w:rPr>
        <w:t>lly, a much larger, multicenter</w:t>
      </w:r>
      <w:r w:rsidR="00390AA3" w:rsidRPr="00383A0F">
        <w:rPr>
          <w:rFonts w:ascii="Book Antiqua" w:hAnsi="Book Antiqua" w:cs="Arial"/>
          <w:color w:val="000000" w:themeColor="text1"/>
          <w:lang w:val="en-US"/>
        </w:rPr>
        <w:t xml:space="preserve"> study of critically ill patients in</w:t>
      </w:r>
      <w:r w:rsidR="009B529C" w:rsidRPr="00383A0F">
        <w:rPr>
          <w:rFonts w:ascii="Book Antiqua" w:hAnsi="Book Antiqua" w:cs="Arial"/>
          <w:color w:val="000000" w:themeColor="text1"/>
          <w:lang w:val="en-US"/>
        </w:rPr>
        <w:t xml:space="preserve"> the</w:t>
      </w:r>
      <w:r w:rsidR="00390AA3" w:rsidRPr="00383A0F">
        <w:rPr>
          <w:rFonts w:ascii="Book Antiqua" w:hAnsi="Book Antiqua" w:cs="Arial"/>
          <w:color w:val="000000" w:themeColor="text1"/>
          <w:lang w:val="en-US"/>
        </w:rPr>
        <w:t xml:space="preserve"> ICU has found no link between the SOFA score</w:t>
      </w:r>
      <w:r w:rsidR="002110B1" w:rsidRPr="00383A0F">
        <w:rPr>
          <w:rFonts w:ascii="Book Antiqua" w:hAnsi="Book Antiqua" w:cs="Arial"/>
          <w:color w:val="000000" w:themeColor="text1"/>
          <w:lang w:val="en-US"/>
        </w:rPr>
        <w:t xml:space="preserve"> and </w:t>
      </w:r>
      <w:r w:rsidR="00A65C47" w:rsidRPr="00383A0F">
        <w:rPr>
          <w:rFonts w:ascii="Book Antiqua" w:hAnsi="Book Antiqua" w:cs="Arial"/>
          <w:color w:val="000000" w:themeColor="text1"/>
          <w:lang w:val="en-US"/>
        </w:rPr>
        <w:t>post-transplant</w:t>
      </w:r>
      <w:r w:rsidR="002110B1" w:rsidRPr="00383A0F">
        <w:rPr>
          <w:rFonts w:ascii="Book Antiqua" w:hAnsi="Book Antiqua" w:cs="Arial"/>
          <w:color w:val="000000" w:themeColor="text1"/>
          <w:lang w:val="en-US"/>
        </w:rPr>
        <w:t xml:space="preserve"> mortality in spite of this score’s robust mortality predictive power for patients with sepsis in</w:t>
      </w:r>
      <w:r w:rsidR="009B529C" w:rsidRPr="00383A0F">
        <w:rPr>
          <w:rFonts w:ascii="Book Antiqua" w:hAnsi="Book Antiqua" w:cs="Arial"/>
          <w:color w:val="000000" w:themeColor="text1"/>
          <w:lang w:val="en-US"/>
        </w:rPr>
        <w:t xml:space="preserve"> the</w:t>
      </w:r>
      <w:r w:rsidR="002110B1" w:rsidRPr="00383A0F">
        <w:rPr>
          <w:rFonts w:ascii="Book Antiqua" w:hAnsi="Book Antiqua" w:cs="Arial"/>
          <w:color w:val="000000" w:themeColor="text1"/>
          <w:lang w:val="en-US"/>
        </w:rPr>
        <w:t xml:space="preserve"> ICU</w:t>
      </w:r>
      <w:r w:rsidR="0017136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{"citationID":"1k1mFiNS","properties":{"formattedCitation":"\\super [16]\\nosupersub{}","plainCitation":"[16]","noteIndex":0},"citationItems":[{"id":57,"uris":["http://zotero.org/users/local/BE2xVPev/items/498ECZQS"],"uri":["http://zotero.org/users/local/BE2xVPev/items/498ECZQS"],"itemData":{"id":57,"type":"article-journal","title":"Liver transplantation in the critically ill: a multicenter Canadian retrospective cohort study","container-title":"Critical Care (London, England)","page":"R28","volume":"17","issue":"1","source":"PubMed","abstract":"INTRODUCTION: Critically ill cirrhosis patients awaiting liver transplantation (LT) often receive prioritization for organ allocation. Identification of patients most likely to benefit is essential. The purpose of this study was to examine whether the Sequential Organ Failure Assessment (SOFA) score can predict 90-day mortality in critically ill recipients of LT and whether it can predict receipt of LT among critically ill cirrhosis listed awaiting LT.\nMETHODS: We performed a multicenter retrospective cohort study consisting of two datasets: (a) all critically-ill cirrhosis patients requiring intensive care unit (ICU) admission before LT at five transplant centers in Canada from 2000 through 2009 (one site, 1990 through 2009), and (b) critically ill cirrhosis patients receiving LT from ICU (n = 115) and those listed but not receiving LT before death (n = 106) from two centers where complete data were available.\nRESULTS: In the first dataset, 198 critically ill cirrhosis patients receiving LT (mean (SD) age 53 (10) years, 66% male, median (IQR) model for end-stage liver disease (MELD) 34 (26-39)) were included. Mean (SD) SOFA scores at ICU admission, at 48 hours, and at LT were 12.5 (4), 13.0 (5), and 14.0 (4). Survival at 90 days was 84% (n = 166). In multivariable analysis, only older age was independently associated with reduced 90-day survival (odds ratio (OR), 1.07; 95% CI, 1.01 to 1.14; P = 0.013). SOFA score did not predict 90-day mortality at any time. In the second dataset, 47.9% (n = 106) of cirrhosis patients listed for LT died in the ICU waiting for LT. In multivariable analysis, higher SOFA at 48 hours after admission was independently associated with lower probability of receiving LT (OR, 0.89; 95% CI, 0.82 to 0.97; P = 0.006). When including serum lactate and SOFA at 48 hours in the final model, elevated lactate (at 48 hours) was also significantly associated with lower likelihood of receiving LT (0.32; 0.17 to 0.61; P = 0.001).\nCONCLUSIONS: SOFA appears poor at predicting 90-day survival in critically ill cirrhosis patients after LT, but higher SOFA score and elevated lactate 48 hours after ICU admission are associated with a lower probability receiving LT. Older critically ill cirrhosis patients (older than 60) receiving LT have worse 90-day survival and should be considered for LT with caution.","DOI":"10.1186/cc12508","ISSN":"1466-609X","note":"PMID: 23394270\nPMCID: PMC4056692","shortTitle":"Liver transplantation in the critically ill","journalAbbreviation":"Crit Care","language":"eng","author":[{"family":"Karvellas","given":"Constantine J."},{"family":"Lescot","given":"Thomas"},{"family":"Goldberg","given":"Peter"},{"family":"Sharpe","given":"Michael D."},{"family":"Ronco","given":"Juan J."},{"family":"Renner","given":"Eberhard L."},{"family":"Vahidy","given":"Hina"},{"family":"Poonja","given":"Zafrina"},{"family":"Chaudhury","given":"Prosanto"},{"family":"Kneteman","given":"Norman M."},{"family":"Selzner","given":"Markus"},{"family":"Cook","given":"Earl F."},{"family":"Bagshaw","given":"Sean M."},{"literal":"Canadian Liver Failure Study Group"}],"issued":{"date-parts":[["2013"]]}}}],"schema":"https://github.com/citation-style-language/schema/raw/master/csl-citation.json"} </w:instrText>
      </w:r>
      <w:r w:rsidR="0017136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[16]</w:t>
      </w:r>
      <w:r w:rsidR="00171368" w:rsidRPr="00383A0F">
        <w:rPr>
          <w:rFonts w:ascii="Book Antiqua" w:hAnsi="Book Antiqua" w:cs="Arial"/>
          <w:color w:val="000000" w:themeColor="text1"/>
          <w:lang w:val="en-US"/>
        </w:rPr>
        <w:fldChar w:fldCharType="end"/>
      </w:r>
      <w:r w:rsidR="002110B1" w:rsidRPr="00383A0F">
        <w:rPr>
          <w:rFonts w:ascii="Book Antiqua" w:hAnsi="Book Antiqua" w:cs="Arial"/>
          <w:color w:val="000000" w:themeColor="text1"/>
          <w:lang w:val="en-US"/>
        </w:rPr>
        <w:t xml:space="preserve">. </w:t>
      </w:r>
    </w:p>
    <w:p w14:paraId="16D44A73" w14:textId="40EE1562" w:rsidR="00E14AB1" w:rsidRPr="00383A0F" w:rsidRDefault="003E14C0" w:rsidP="00383A0F">
      <w:pPr>
        <w:adjustRightInd w:val="0"/>
        <w:snapToGrid w:val="0"/>
        <w:spacing w:line="360" w:lineRule="auto"/>
        <w:jc w:val="both"/>
        <w:rPr>
          <w:rFonts w:ascii="Book Antiqua" w:hAnsi="Book Antiqua" w:cs="Arial"/>
          <w:b/>
          <w:i/>
          <w:color w:val="000000" w:themeColor="text1"/>
          <w:lang w:val="en-US"/>
        </w:rPr>
      </w:pPr>
      <w:r>
        <w:rPr>
          <w:rFonts w:ascii="Book Antiqua" w:hAnsi="Book Antiqua" w:cs="Arial"/>
          <w:color w:val="000000" w:themeColor="text1"/>
          <w:lang w:val="en-US"/>
        </w:rPr>
        <w:t xml:space="preserve">  </w:t>
      </w:r>
      <w:r w:rsidR="002110B1" w:rsidRPr="00383A0F">
        <w:rPr>
          <w:rFonts w:ascii="Book Antiqua" w:hAnsi="Book Antiqua" w:cs="Arial"/>
          <w:color w:val="000000" w:themeColor="text1"/>
          <w:lang w:val="en-US"/>
        </w:rPr>
        <w:t>We can hope that future studies will describe in more detail the criteria used to establish a diagnosis of infection and that they will attempt to provide a finer analysis of the lin</w:t>
      </w:r>
      <w:r w:rsidR="00FF4A1A" w:rsidRPr="00383A0F">
        <w:rPr>
          <w:rFonts w:ascii="Book Antiqua" w:hAnsi="Book Antiqua" w:cs="Arial"/>
          <w:color w:val="000000" w:themeColor="text1"/>
          <w:lang w:val="en-US"/>
        </w:rPr>
        <w:t xml:space="preserve">k between infection and outcome. In particular, it would be interesting to distinguish the differential effects of various pathogens and infectious sites on </w:t>
      </w:r>
      <w:r w:rsidR="00A65C47" w:rsidRPr="00383A0F">
        <w:rPr>
          <w:rFonts w:ascii="Book Antiqua" w:hAnsi="Book Antiqua" w:cs="Arial"/>
          <w:color w:val="000000" w:themeColor="text1"/>
          <w:lang w:val="en-US"/>
        </w:rPr>
        <w:t>post-transplant</w:t>
      </w:r>
      <w:r w:rsidR="00FF4A1A" w:rsidRPr="00383A0F">
        <w:rPr>
          <w:rFonts w:ascii="Book Antiqua" w:hAnsi="Book Antiqua" w:cs="Arial"/>
          <w:color w:val="000000" w:themeColor="text1"/>
          <w:lang w:val="en-US"/>
        </w:rPr>
        <w:t xml:space="preserve"> outcome. </w:t>
      </w:r>
      <w:r w:rsidR="00CB476C" w:rsidRPr="00383A0F">
        <w:rPr>
          <w:rFonts w:ascii="Book Antiqua" w:hAnsi="Book Antiqua" w:cs="Arial"/>
          <w:color w:val="000000" w:themeColor="text1"/>
          <w:lang w:val="en-US"/>
        </w:rPr>
        <w:t>For example, it is generally accepted that uncontrolled sepsis due to diffuse biliary disease is not an absolute contraindication for LT, and that hepatectomy can in fact help resolve sepsis</w:t>
      </w:r>
      <w:r w:rsidR="00CB476C"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{"citationID":"wLxPKKak","properties":{"formattedCitation":"\\super [7]\\nosupersub{}","plainCitation":"[7]","noteIndex":0},"citationItems":[{"id":388,"uris":["http://zotero.org/users/local/BE2xVPev/items/SWIJADLC"],"uri":["http://zotero.org/users/local/BE2xVPev/items/SWIJADLC"],"itemData":{"id":388,"type":"article-journal","title":"Potentially inappropriate liver transplantation in the era of the \"sickest first\" policy - A search for the upper limits","container-title":"Journal of Hepatology","source":"PubMed","abstract":"Liver transplantation has emerged as a highly efficient treatment for a variety of acute and chronic liver diseases. However, organ shortage is becoming an increasing problem globally, limiting the applicability of liver transplantation. In addition, potential recipients are becoming sicker, thereby increasing the risk of losing the graft during transplantation or in the initial postoperative period after liver transplantation (three months). This trend is challenging the model for end-stage liver disease allocation system, where the sickest candidates are prioritised and no delisting criteria are given. The weighting of the deontological demand for \"equity\", trying to save every patient, regardless of the overall utility; and \"efficiency\", rooted in utilitarianism, trying to save as many patients as possible and increase the overall quality of life of patients facing the same problem, has to be reconsidered. In this article we are aiming to overcome the widespread concept of futility in liver transplantation, providing a definition of potentially inappropriate liver transplantation and giving guidance on situations where it is best not to proceed with liver transplantation, to decrease the mortality rate in the first three months after transplantation. We propose \"absolute\" and \"relative\" conditions, where early post-transplant mortality is highly probable, which are not usually captured in risk scores predicting post-transplant survival. Withholding liver transplantation for listed patients in cases where liver transplant is not deemed clearly futile, but is potentially inappropriate, is a far-reaching decision. Until now, this decision had to be discussed extensively on an individual basis, applying explicit communication and conflict resolution processes, since the model for end-stage liver disease score and most international allocation systems do not include explicit delisting criteria to support a fair delisting process. More work is needed to better identify cases where transplantation is potentially inappropriate and to integrate and discuss these delisting criteria in allocation systems, following a societal debate on what we owe to all liver transplant candidates.","DOI":"10.1016/j.jhep.2017.11.008","ISSN":"1600-0641","note":"PMID: 29133246","journalAbbreviation":"J. Hepatol.","language":"eng","author":[{"family":"Linecker","given":"Michael"},{"family":"Krones","given":"Tanja"},{"family":"Berg","given":"Thomas"},{"family":"Niemann","given":"Claus U."},{"family":"Steadman","given":"Randolph H."},{"family":"Dutkowski","given":"Philipp"},{"family":"Clavien","given":"Pierre-Alain"},{"family":"Busuttil","given":"Ronald W."},{"family":"Truog","given":"Robert D."},{"family":"Petrowsky","given":"Henrik"}],"issued":{"date-parts":[["2017",11,11]]}}}],"schema":"https://github.com/citation-style-language/schema/raw/master/csl-citation.json"} </w:instrText>
      </w:r>
      <w:r w:rsidR="00CB476C"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[7]</w:t>
      </w:r>
      <w:r w:rsidR="00CB476C" w:rsidRPr="00383A0F">
        <w:rPr>
          <w:rFonts w:ascii="Book Antiqua" w:hAnsi="Book Antiqua" w:cs="Arial"/>
          <w:color w:val="000000" w:themeColor="text1"/>
          <w:lang w:val="en-US"/>
        </w:rPr>
        <w:fldChar w:fldCharType="end"/>
      </w:r>
      <w:r w:rsidR="00CB476C" w:rsidRPr="00383A0F">
        <w:rPr>
          <w:rFonts w:ascii="Book Antiqua" w:hAnsi="Book Antiqua" w:cs="Arial"/>
          <w:color w:val="000000" w:themeColor="text1"/>
          <w:lang w:val="en-US"/>
        </w:rPr>
        <w:t>.</w:t>
      </w:r>
    </w:p>
    <w:p w14:paraId="3D9F1C9B" w14:textId="77777777" w:rsidR="00EE5A4B" w:rsidRPr="00383A0F" w:rsidRDefault="00EE5A4B" w:rsidP="00383A0F">
      <w:pPr>
        <w:adjustRightInd w:val="0"/>
        <w:snapToGrid w:val="0"/>
        <w:spacing w:line="360" w:lineRule="auto"/>
        <w:jc w:val="both"/>
        <w:rPr>
          <w:rFonts w:ascii="Book Antiqua" w:hAnsi="Book Antiqua" w:cs="Arial"/>
          <w:b/>
          <w:i/>
          <w:color w:val="000000" w:themeColor="text1"/>
          <w:lang w:val="en-US"/>
        </w:rPr>
      </w:pPr>
    </w:p>
    <w:p w14:paraId="1C19440C" w14:textId="2C7E57B6" w:rsidR="00EE5A4B" w:rsidRPr="00383A0F" w:rsidRDefault="000662B7" w:rsidP="000F1A83">
      <w:pPr>
        <w:pStyle w:val="a3"/>
        <w:adjustRightInd w:val="0"/>
        <w:snapToGrid w:val="0"/>
        <w:spacing w:line="360" w:lineRule="auto"/>
        <w:ind w:left="0"/>
        <w:contextualSpacing w:val="0"/>
        <w:jc w:val="both"/>
        <w:outlineLvl w:val="0"/>
        <w:rPr>
          <w:rFonts w:ascii="Book Antiqua" w:hAnsi="Book Antiqua" w:cs="Arial"/>
          <w:b/>
          <w:color w:val="000000" w:themeColor="text1"/>
          <w:lang w:val="en-US"/>
        </w:rPr>
      </w:pPr>
      <w:r w:rsidRPr="00383A0F">
        <w:rPr>
          <w:rFonts w:ascii="Book Antiqua" w:hAnsi="Book Antiqua" w:cs="Arial"/>
          <w:b/>
          <w:color w:val="000000" w:themeColor="text1"/>
          <w:lang w:val="en-US"/>
        </w:rPr>
        <w:t>GENERAL MEDICAL CONDITION AND RISK FACTORS OF PATIENTS</w:t>
      </w:r>
    </w:p>
    <w:p w14:paraId="08BA3AF1" w14:textId="08B714DE" w:rsidR="00C97112" w:rsidRPr="00383A0F" w:rsidRDefault="00C97112"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While a significant number of articles have been published concerning the effect </w:t>
      </w:r>
      <w:r w:rsidR="007744EE" w:rsidRPr="00383A0F">
        <w:rPr>
          <w:rFonts w:ascii="Book Antiqua" w:hAnsi="Book Antiqua" w:cs="Arial"/>
          <w:color w:val="000000" w:themeColor="text1"/>
          <w:lang w:val="en-US"/>
        </w:rPr>
        <w:t xml:space="preserve">of </w:t>
      </w:r>
      <w:r w:rsidR="001533E4" w:rsidRPr="00383A0F">
        <w:rPr>
          <w:rFonts w:ascii="Book Antiqua" w:hAnsi="Book Antiqua" w:cs="Arial"/>
          <w:color w:val="000000" w:themeColor="text1"/>
          <w:lang w:val="en-US"/>
        </w:rPr>
        <w:t>patients</w:t>
      </w:r>
      <w:r w:rsidR="007744EE" w:rsidRPr="00383A0F">
        <w:rPr>
          <w:rFonts w:ascii="Book Antiqua" w:hAnsi="Book Antiqua" w:cs="Arial"/>
          <w:color w:val="000000" w:themeColor="text1"/>
          <w:lang w:val="en-US"/>
        </w:rPr>
        <w:t>’</w:t>
      </w:r>
      <w:r w:rsidR="001533E4" w:rsidRPr="00383A0F">
        <w:rPr>
          <w:rFonts w:ascii="Book Antiqua" w:hAnsi="Book Antiqua" w:cs="Arial"/>
          <w:color w:val="000000" w:themeColor="text1"/>
          <w:lang w:val="en-US"/>
        </w:rPr>
        <w:t xml:space="preserve"> overal</w:t>
      </w:r>
      <w:r w:rsidR="0020767B" w:rsidRPr="00383A0F">
        <w:rPr>
          <w:rFonts w:ascii="Book Antiqua" w:hAnsi="Book Antiqua" w:cs="Arial"/>
          <w:color w:val="000000" w:themeColor="text1"/>
          <w:lang w:val="en-US"/>
        </w:rPr>
        <w:t xml:space="preserve">l </w:t>
      </w:r>
      <w:r w:rsidR="00C27416" w:rsidRPr="00383A0F">
        <w:rPr>
          <w:rFonts w:ascii="Book Antiqua" w:hAnsi="Book Antiqua" w:cs="Arial"/>
          <w:color w:val="000000" w:themeColor="text1"/>
          <w:lang w:val="en-US"/>
        </w:rPr>
        <w:t xml:space="preserve">general medical condition </w:t>
      </w:r>
      <w:r w:rsidR="0020767B" w:rsidRPr="00383A0F">
        <w:rPr>
          <w:rFonts w:ascii="Book Antiqua" w:hAnsi="Book Antiqua" w:cs="Arial"/>
          <w:color w:val="000000" w:themeColor="text1"/>
          <w:lang w:val="en-US"/>
        </w:rPr>
        <w:t xml:space="preserve">and various </w:t>
      </w:r>
      <w:r w:rsidR="001533E4" w:rsidRPr="00383A0F">
        <w:rPr>
          <w:rFonts w:ascii="Book Antiqua" w:hAnsi="Book Antiqua" w:cs="Arial"/>
          <w:color w:val="000000" w:themeColor="text1"/>
          <w:lang w:val="en-US"/>
        </w:rPr>
        <w:t>risk factors</w:t>
      </w:r>
      <w:r w:rsidRPr="00383A0F">
        <w:rPr>
          <w:rFonts w:ascii="Book Antiqua" w:hAnsi="Book Antiqua" w:cs="Arial"/>
          <w:color w:val="000000" w:themeColor="text1"/>
          <w:lang w:val="en-US"/>
        </w:rPr>
        <w:t xml:space="preserve"> on their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outcome, the literature devoted to this question in the context of critically ill patients is relatively scarce. Apart from obvious contraindications (high cardiac risk, extrah</w:t>
      </w:r>
      <w:r w:rsidR="00F21711" w:rsidRPr="00383A0F">
        <w:rPr>
          <w:rFonts w:ascii="Book Antiqua" w:hAnsi="Book Antiqua" w:cs="Arial"/>
          <w:color w:val="000000" w:themeColor="text1"/>
          <w:lang w:val="en-US"/>
        </w:rPr>
        <w:t>epatic tumors and age</w:t>
      </w:r>
      <w:r w:rsidR="008B24BA" w:rsidRPr="00383A0F">
        <w:rPr>
          <w:rFonts w:ascii="Book Antiqua" w:hAnsi="Book Antiqua" w:cs="Arial"/>
          <w:color w:val="000000" w:themeColor="text1"/>
          <w:lang w:val="en-US"/>
        </w:rPr>
        <w:t xml:space="preserve"> </w:t>
      </w:r>
      <w:r w:rsidR="00F21711" w:rsidRPr="00383A0F">
        <w:rPr>
          <w:rFonts w:ascii="Book Antiqua" w:hAnsi="Book Antiqua" w:cs="Arial"/>
          <w:color w:val="000000" w:themeColor="text1"/>
          <w:lang w:val="en-US"/>
        </w:rPr>
        <w:t>&gt;</w:t>
      </w:r>
      <w:r w:rsidR="003E14C0">
        <w:rPr>
          <w:rFonts w:ascii="Book Antiqua" w:hAnsi="Book Antiqua" w:cs="Arial"/>
          <w:color w:val="000000" w:themeColor="text1"/>
          <w:lang w:val="en-US"/>
        </w:rPr>
        <w:t xml:space="preserve"> </w:t>
      </w:r>
      <w:r w:rsidR="00F21711" w:rsidRPr="00383A0F">
        <w:rPr>
          <w:rFonts w:ascii="Book Antiqua" w:hAnsi="Book Antiqua" w:cs="Arial"/>
          <w:color w:val="000000" w:themeColor="text1"/>
          <w:lang w:val="en-US"/>
        </w:rPr>
        <w:t>70), there</w:t>
      </w:r>
      <w:r w:rsidRPr="00383A0F">
        <w:rPr>
          <w:rFonts w:ascii="Book Antiqua" w:hAnsi="Book Antiqua" w:cs="Arial"/>
          <w:color w:val="000000" w:themeColor="text1"/>
          <w:lang w:val="en-US"/>
        </w:rPr>
        <w:t xml:space="preserve"> is no consensus and very little evidence concerning the way the </w:t>
      </w:r>
      <w:r w:rsidR="00C27416" w:rsidRPr="00383A0F">
        <w:rPr>
          <w:rFonts w:ascii="Book Antiqua" w:hAnsi="Book Antiqua" w:cs="Arial"/>
          <w:color w:val="000000" w:themeColor="text1"/>
          <w:lang w:val="en-US"/>
        </w:rPr>
        <w:t>general medical condition</w:t>
      </w:r>
      <w:r w:rsidR="0020767B" w:rsidRPr="00383A0F">
        <w:rPr>
          <w:rFonts w:ascii="Book Antiqua" w:hAnsi="Book Antiqua" w:cs="Arial"/>
          <w:color w:val="000000" w:themeColor="text1"/>
          <w:lang w:val="en-US"/>
        </w:rPr>
        <w:t xml:space="preserve"> and risk factors</w:t>
      </w:r>
      <w:r w:rsidRPr="00383A0F">
        <w:rPr>
          <w:rFonts w:ascii="Book Antiqua" w:hAnsi="Book Antiqua" w:cs="Arial"/>
          <w:color w:val="000000" w:themeColor="text1"/>
          <w:lang w:val="en-US"/>
        </w:rPr>
        <w:t xml:space="preserve"> of patients should guide clinicians when deciding whether to transplant them or not.</w:t>
      </w:r>
      <w:r w:rsidR="00F21711" w:rsidRPr="00383A0F">
        <w:rPr>
          <w:rFonts w:ascii="Book Antiqua" w:hAnsi="Book Antiqua" w:cs="Arial"/>
          <w:color w:val="000000" w:themeColor="text1"/>
          <w:lang w:val="en-US"/>
        </w:rPr>
        <w:t xml:space="preserve"> One of the limits to collecting eviden</w:t>
      </w:r>
      <w:r w:rsidR="0020767B" w:rsidRPr="00383A0F">
        <w:rPr>
          <w:rFonts w:ascii="Book Antiqua" w:hAnsi="Book Antiqua" w:cs="Arial"/>
          <w:color w:val="000000" w:themeColor="text1"/>
          <w:lang w:val="en-US"/>
        </w:rPr>
        <w:t>ce on this topic seems to lie in</w:t>
      </w:r>
      <w:r w:rsidR="00F21711" w:rsidRPr="00383A0F">
        <w:rPr>
          <w:rFonts w:ascii="Book Antiqua" w:hAnsi="Book Antiqua" w:cs="Arial"/>
          <w:color w:val="000000" w:themeColor="text1"/>
          <w:lang w:val="en-US"/>
        </w:rPr>
        <w:t xml:space="preserve"> the fact that transplant teams select critically ill patients who may be eligible to transplant according t</w:t>
      </w:r>
      <w:r w:rsidR="0020767B" w:rsidRPr="00383A0F">
        <w:rPr>
          <w:rFonts w:ascii="Book Antiqua" w:hAnsi="Book Antiqua" w:cs="Arial"/>
          <w:color w:val="000000" w:themeColor="text1"/>
          <w:lang w:val="en-US"/>
        </w:rPr>
        <w:t>o varying criteria. These inter-</w:t>
      </w:r>
      <w:r w:rsidR="00F21711" w:rsidRPr="00383A0F">
        <w:rPr>
          <w:rFonts w:ascii="Book Antiqua" w:hAnsi="Book Antiqua" w:cs="Arial"/>
          <w:color w:val="000000" w:themeColor="text1"/>
          <w:lang w:val="en-US"/>
        </w:rPr>
        <w:t xml:space="preserve">center differences </w:t>
      </w:r>
      <w:r w:rsidR="002F6CDC" w:rsidRPr="00383A0F">
        <w:rPr>
          <w:rFonts w:ascii="Book Antiqua" w:hAnsi="Book Antiqua" w:cs="Arial"/>
          <w:color w:val="000000" w:themeColor="text1"/>
          <w:lang w:val="en-US"/>
        </w:rPr>
        <w:t>certainly contribute to explaining the scarcity of the literature on this question</w:t>
      </w:r>
      <w:r w:rsidR="0020767B" w:rsidRPr="00383A0F">
        <w:rPr>
          <w:rFonts w:ascii="Book Antiqua" w:hAnsi="Book Antiqua" w:cs="Arial"/>
          <w:color w:val="000000" w:themeColor="text1"/>
          <w:lang w:val="en-US"/>
        </w:rPr>
        <w:t>,</w:t>
      </w:r>
      <w:r w:rsidR="002F6CDC" w:rsidRPr="00383A0F">
        <w:rPr>
          <w:rFonts w:ascii="Book Antiqua" w:hAnsi="Book Antiqua" w:cs="Arial"/>
          <w:color w:val="000000" w:themeColor="text1"/>
          <w:lang w:val="en-US"/>
        </w:rPr>
        <w:t xml:space="preserve"> which nevertheless seems central.</w:t>
      </w:r>
    </w:p>
    <w:p w14:paraId="1D93A376" w14:textId="77777777" w:rsidR="009310CD" w:rsidRPr="00383A0F" w:rsidRDefault="009310CD" w:rsidP="00383A0F">
      <w:pPr>
        <w:adjustRightInd w:val="0"/>
        <w:snapToGrid w:val="0"/>
        <w:spacing w:line="360" w:lineRule="auto"/>
        <w:jc w:val="both"/>
        <w:rPr>
          <w:rFonts w:ascii="Book Antiqua" w:hAnsi="Book Antiqua" w:cs="Arial"/>
          <w:color w:val="000000" w:themeColor="text1"/>
          <w:lang w:val="en-US"/>
        </w:rPr>
      </w:pPr>
    </w:p>
    <w:p w14:paraId="0475EBBF" w14:textId="3C930B0E" w:rsidR="00697E26" w:rsidRPr="00383A0F" w:rsidRDefault="0020767B" w:rsidP="000F1A83">
      <w:pPr>
        <w:pStyle w:val="a3"/>
        <w:adjustRightInd w:val="0"/>
        <w:snapToGrid w:val="0"/>
        <w:spacing w:line="360" w:lineRule="auto"/>
        <w:ind w:left="0"/>
        <w:contextualSpacing w:val="0"/>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Age and</w:t>
      </w:r>
      <w:r w:rsidR="002F6CDC" w:rsidRPr="00383A0F">
        <w:rPr>
          <w:rFonts w:ascii="Book Antiqua" w:hAnsi="Book Antiqua" w:cs="Arial"/>
          <w:b/>
          <w:i/>
          <w:color w:val="000000" w:themeColor="text1"/>
          <w:lang w:val="en-US"/>
        </w:rPr>
        <w:t xml:space="preserve"> comorbidities</w:t>
      </w:r>
      <w:r w:rsidR="00697E26" w:rsidRPr="00383A0F">
        <w:rPr>
          <w:rFonts w:ascii="Book Antiqua" w:hAnsi="Book Antiqua" w:cs="Arial"/>
          <w:b/>
          <w:i/>
          <w:color w:val="000000" w:themeColor="text1"/>
          <w:lang w:val="en-US"/>
        </w:rPr>
        <w:t xml:space="preserve"> </w:t>
      </w:r>
    </w:p>
    <w:p w14:paraId="32917423" w14:textId="144766D6" w:rsidR="00157287" w:rsidRPr="00383A0F" w:rsidRDefault="0091417D"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The median age of patients </w:t>
      </w:r>
      <w:r w:rsidR="00750A1C" w:rsidRPr="00383A0F">
        <w:rPr>
          <w:rFonts w:ascii="Book Antiqua" w:hAnsi="Book Antiqua" w:cs="Arial"/>
          <w:color w:val="000000" w:themeColor="text1"/>
          <w:lang w:val="en-US"/>
        </w:rPr>
        <w:t>undergoing LT</w:t>
      </w:r>
      <w:r w:rsidRPr="00383A0F">
        <w:rPr>
          <w:rFonts w:ascii="Book Antiqua" w:hAnsi="Book Antiqua" w:cs="Arial"/>
          <w:color w:val="000000" w:themeColor="text1"/>
          <w:lang w:val="en-US"/>
        </w:rPr>
        <w:t xml:space="preserve"> has risen in the past decades, along with the comorbidities that come with older age. Recipient age has been proved to be associated with poorer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prognosis both in the general populati</w:t>
      </w:r>
      <w:r w:rsidR="0020767B" w:rsidRPr="00383A0F">
        <w:rPr>
          <w:rFonts w:ascii="Book Antiqua" w:hAnsi="Book Antiqua" w:cs="Arial"/>
          <w:color w:val="000000" w:themeColor="text1"/>
          <w:lang w:val="en-US"/>
        </w:rPr>
        <w:t>on of recipients</w:t>
      </w:r>
      <w:r w:rsidR="004B6BF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{"citationID":"UyJoauAE","properties":{"formattedCitation":"\\super [61]\\nosupersub{}","plainCitation":"[61]","noteIndex":0},"citationItems":[{"id":420,"uris":["http://zotero.org/users/local/BE2xVPev/items/5FQ49NDD"],"uri":["http://zotero.org/users/local/BE2xVPev/items/5FQ49NDD"],"itemData":{"id":420,"type":"article-journal","title":"Outcomes among older adult liver transplantation recipients in the model of end stage liver disease (MELD) era","container-title":"Annals of Transplantation","page":"478-487","volume":"19","source":"PubMed","abstract":"BACKGROUND: Since 2002, the Model of End Stage Liver Disease (MELD) score has been the basis of the liver transplant (LT) allocation system. Among older adult LT recipients, short-term outcomes in the MELD era were comparable to the pre-MELD era, but long-term outcomes remain unclear.\nMATERIAL AND METHODS: This is a retrospective cohort study using the UNOS data on patients age ≥ 50 years who underwent primary LT from February 27, 2002 until October 31, 2011.\nRESULTS: A total of 35,686 recipients met inclusion criteria. The cohort was divided into 5-year interval age groups. Five-year over-all survival rates for ages 50-54, 55-59, 60-64, 65-69, and 70+ were 72.2%, 71.6%, 69.5%, 65.0%, and 57.5%, respectively. Five-year graft survival rates after adjusting for death as competing risk for ages 50-54, 55-59,60-64, 65-69 and 70+ were 85.8%, 87.3%, 89.6%, 89.1% and 88.9%, respectively. By Cox proportional hazard modeling, age ≥ 60, increasing MELD, donor age ≥ 60, hepatitis C, hepatocellular carcinoma (HCC), dialysis and impaired pre-transplant functional status (FS) were associated with increased 5-year mortality. Using Fine and Gray sub-proportional hazard modeling adjusted for death as competing risk, 5-year graft failure was associated with donor age ≥ 60, increasing MELD, hepatitis C, HCC, and impaired pre-transplant FS.\nCONCLUSIONS: Among older LT recipients in the MELD era, long-term graft survival after adjusting for death as competing risk was improved with increasing age, while over-all survival was worse. Donor age, hepatitis C, and pre-transplant FS represent potentially modifiable risk factors that could influence long-term graft and patient survival.","DOI":"10.12659/AOT.890934","ISSN":"2329-0358","note":"PMID: 25256592\nPMCID: PMC4201657","journalAbbreviation":"Ann. Transplant.","language":"eng","author":[{"family":"Malinis","given":"Maricar F."},{"family":"Chen","given":"Shu"},{"family":"Allore","given":"Heather G."},{"family":"Quagliarello","given":"Vincent J."}],"issued":{"date-parts":[["2014",9,26]]}}}],"schema":"https://github.com/citation-style-language/schema/raw/master/csl-citation.json"} </w:instrText>
      </w:r>
      <w:r w:rsidR="004B6BF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[61]</w:t>
      </w:r>
      <w:r w:rsidR="004B6BF2" w:rsidRPr="00383A0F">
        <w:rPr>
          <w:rFonts w:ascii="Book Antiqua" w:hAnsi="Book Antiqua" w:cs="Arial"/>
          <w:color w:val="000000" w:themeColor="text1"/>
          <w:lang w:val="en-US"/>
        </w:rPr>
        <w:fldChar w:fldCharType="end"/>
      </w:r>
      <w:r w:rsidR="0020767B" w:rsidRPr="00383A0F">
        <w:rPr>
          <w:rFonts w:ascii="Book Antiqua" w:hAnsi="Book Antiqua" w:cs="Arial"/>
          <w:color w:val="000000" w:themeColor="text1"/>
          <w:lang w:val="en-US"/>
        </w:rPr>
        <w:t>,</w:t>
      </w:r>
      <w:r w:rsidRPr="00383A0F">
        <w:rPr>
          <w:rFonts w:ascii="Book Antiqua" w:hAnsi="Book Antiqua" w:cs="Arial"/>
          <w:color w:val="000000" w:themeColor="text1"/>
          <w:lang w:val="en-US"/>
        </w:rPr>
        <w:t xml:space="preserve"> and in the </w:t>
      </w:r>
      <w:r w:rsidR="00C92DCC" w:rsidRPr="00383A0F">
        <w:rPr>
          <w:rFonts w:ascii="Book Antiqua" w:hAnsi="Book Antiqua" w:cs="Arial"/>
          <w:color w:val="000000" w:themeColor="text1"/>
          <w:lang w:val="en-US"/>
        </w:rPr>
        <w:t>sub</w:t>
      </w:r>
      <w:r w:rsidR="0020767B" w:rsidRPr="00383A0F">
        <w:rPr>
          <w:rFonts w:ascii="Book Antiqua" w:hAnsi="Book Antiqua" w:cs="Arial"/>
          <w:color w:val="000000" w:themeColor="text1"/>
          <w:lang w:val="en-US"/>
        </w:rPr>
        <w:t>-</w:t>
      </w:r>
      <w:r w:rsidRPr="00383A0F">
        <w:rPr>
          <w:rFonts w:ascii="Book Antiqua" w:hAnsi="Book Antiqua" w:cs="Arial"/>
          <w:color w:val="000000" w:themeColor="text1"/>
          <w:lang w:val="en-US"/>
        </w:rPr>
        <w:t>population of critically ill recipients</w:t>
      </w:r>
      <w:r w:rsidR="004B6BF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{"citationID":"I6j6x36t","properties":{"formattedCitation":"\\super [16]\\nosupersub{}","plainCitation":"[16]","noteIndex":0},"citationItems":[{"id":57,"uris":["http://zotero.org/users/local/BE2xVPev/items/498ECZQS"],"uri":["http://zotero.org/users/local/BE2xVPev/items/498ECZQS"],"itemData":{"id":57,"type":"article-journal","title":"Liver transplantation in the critically ill: a multicenter Canadian retrospective cohort study","container-title":"Critical Care (London, England)","page":"R28","volume":"17","issue":"1","source":"PubMed","abstract":"INTRODUCTION: Critically ill cirrhosis patients awaiting liver transplantation (LT) often receive prioritization for organ allocation. Identification of patients most likely to benefit is essential. The purpose of this study was to examine whether the Sequential Organ Failure Assessment (SOFA) score can predict 90-day mortality in critically ill recipients of LT and whether it can predict receipt of LT among critically ill cirrhosis listed awaiting LT.\nMETHODS: We performed a multicenter retrospective cohort study consisting of two datasets: (a) all critically-ill cirrhosis patients requiring intensive care unit (ICU) admission before LT at five transplant centers in Canada from 2000 through 2009 (one site, 1990 through 2009), and (b) critically ill cirrhosis patients receiving LT from ICU (n = 115) and those listed but not receiving LT before death (n = 106) from two centers where complete data were available.\nRESULTS: In the first dataset, 198 critically ill cirrhosis patients receiving LT (mean (SD) age 53 (10) years, 66% male, median (IQR) model for end-stage liver disease (MELD) 34 (26-39)) were included. Mean (SD) SOFA scores at ICU admission, at 48 hours, and at LT were 12.5 (4), 13.0 (5), and 14.0 (4). Survival at 90 days was 84% (n = 166). In multivariable analysis, only older age was independently associated with reduced 90-day survival (odds ratio (OR), 1.07; 95% CI, 1.01 to 1.14; P = 0.013). SOFA score did not predict 90-day mortality at any time. In the second dataset, 47.9% (n = 106) of cirrhosis patients listed for LT died in the ICU waiting for LT. In multivariable analysis, higher SOFA at 48 hours after admission was independently associated with lower probability of receiving LT (OR, 0.89; 95% CI, 0.82 to 0.97; P = 0.006). When including serum lactate and SOFA at 48 hours in the final model, elevated lactate (at 48 hours) was also significantly associated with lower likelihood of receiving LT (0.32; 0.17 to 0.61; P = 0.001).\nCONCLUSIONS: SOFA appears poor at predicting 90-day survival in critically ill cirrhosis patients after LT, but higher SOFA score and elevated lactate 48 hours after ICU admission are associated with a lower probability receiving LT. Older critically ill cirrhosis patients (older than 60) receiving LT have worse 90-day survival and should be considered for LT with caution.","DOI":"10.1186/cc12508","ISSN":"1466-609X","note":"PMID: 23394270\nPMCID: PMC4056692","shortTitle":"Liver transplantation in the critically ill","journalAbbreviation":"Crit Care","language":"eng","author":[{"family":"Karvellas","given":"Constantine J."},{"family":"Lescot","given":"Thomas"},{"family":"Goldberg","given":"Peter"},{"family":"Sharpe","given":"Michael D."},{"family":"Ronco","given":"Juan J."},{"family":"Renner","given":"Eberhard L."},{"family":"Vahidy","given":"Hina"},{"family":"Poonja","given":"Zafrina"},{"family":"Chaudhury","given":"Prosanto"},{"family":"Kneteman","given":"Norman M."},{"family":"Selzner","given":"Markus"},{"family":"Cook","given":"Earl F."},{"family":"Bagshaw","given":"Sean M."},{"literal":"Canadian Liver Failure Study Group"}],"issued":{"date-parts":[["2013"]]}}}],"schema":"https://github.com/citation-style-language/schema/raw/master/csl-citation.json"} </w:instrText>
      </w:r>
      <w:r w:rsidR="004B6BF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[16]</w:t>
      </w:r>
      <w:r w:rsidR="004B6BF2" w:rsidRPr="00383A0F">
        <w:rPr>
          <w:rFonts w:ascii="Book Antiqua" w:hAnsi="Book Antiqua" w:cs="Arial"/>
          <w:color w:val="000000" w:themeColor="text1"/>
          <w:lang w:val="en-US"/>
        </w:rPr>
        <w:fldChar w:fldCharType="end"/>
      </w:r>
      <w:r w:rsidR="00C02B74" w:rsidRPr="00383A0F">
        <w:rPr>
          <w:rFonts w:ascii="Book Antiqua" w:hAnsi="Book Antiqua" w:cs="Arial"/>
          <w:color w:val="000000" w:themeColor="text1"/>
          <w:lang w:val="en-US"/>
        </w:rPr>
        <w:t>. It has recently been proved to be associated with higher post-transplant mortality</w:t>
      </w:r>
      <w:r w:rsidR="00704E8B"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{"citationID":"iBRRaQIi","properties":{"formattedCitation":"\\super [43]\\nosupersub{}","plainCitation":"[43]","noteIndex":0},"citationItems":[{"id":626,"uris":["http://zotero.org/users/local/BE2xVPev/items/J6AD8CWZ"],"uri":["http://zotero.org/users/local/BE2xVPev/items/J6AD8CWZ"],"itemData":{"id":626,"type":"article-journal","title":"Liver transplantation in patients with multiple organ failures: Feasibility and outcomes","container-title":"Journal of Hepatology","source":"PubMed","abstract":"BACKGROUND &amp; AIMS: Multiple organ failures (OFs) are common in patients with cirrhosis, but the independent effect of the number or type of OFs on liver transplantation (LT) outcomes is not well defined.\nMETHOD: United Network for Organ Sharing data were analyzed from 2002 to 2016 for all adults listed for LT who received an LT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after listing. We estimated post-LT survival stratified by number and type of pre-transplant OFs before and after adjusting for confounding variables.\nRESULTS: During the study period, 4,714 (4.1%) patients died and 19,375 (16.6%) patients were transplanted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of listing. One or more OF were more common in those who were transplanted (57.4%) compared to those without LT (9.5%). The probability of staying alive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on the waiting list without LT decreased with increasing number of OFs; while 90% were alive without OF, only 20% were alive with two OFs, and 2-8% with three or more OFs. The interval between listing and transplantation decreased with an increase in OFs, and the median time to transplant after listing was only 4-5</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with three or more OFs. Although the risk of post-LT mortality increased with increasing number of OFs, the 90-day patient survival was 90% and one-year survival was 81% in the presence of 5-6 OFs. The number of OFs was an independent predictor of survival, but the maximum difference in one-year graft or patient survival between those without OF and those with 5-6 OFs was only 9%. Additionally, the type of OF had minimal impact on outcomes.\nCONCLUSIONS: Liver transplantation is feasible with excellent outcomes, even in the presence of five or six OFs.\nLAY SUMMARY: Multiple organ failures, ranging from 1-6, are common in hospitalized patients with cirrhosis. The survival without liver transplant is dismal in the presence of three or more organ failures. Small retrospective studies have shown that liver transplant is feasible with good outcomes even in the presence of multiple organ failures. In this study, using a large national dataset, we show that survival chances for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days in those with three or more organ failures are less than 8%. However, if a liver transplant is performed quickly, the survival chances are very high with one-year survival ranging from 84% with three organ failures to 81% with 5-6 organ failures.","DOI":"10.1016/j.jhep.2018.07.007","ISSN":"1600-0641","note":"PMID: 30071241","shortTitle":"Liver transplantation in patients with multiple organ failures","journalAbbreviation":"J. Hepatol.","language":"eng","author":[{"family":"Thuluvath","given":"Paul J."},{"family":"Thuluvath","given":"Avesh J."},{"family":"Hanish","given":"Steven"},{"family":"Savva","given":"Yulia"}],"issued":{"date-parts":[["2018",7,31]]}}}],"schema":"https://github.com/citation-style-language/schema/raw/master/csl-citation.json"} </w:instrText>
      </w:r>
      <w:r w:rsidR="00704E8B"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[43]</w:t>
      </w:r>
      <w:r w:rsidR="00704E8B" w:rsidRPr="00383A0F">
        <w:rPr>
          <w:rFonts w:ascii="Book Antiqua" w:hAnsi="Book Antiqua" w:cs="Arial"/>
          <w:color w:val="000000" w:themeColor="text1"/>
          <w:lang w:val="en-US"/>
        </w:rPr>
        <w:fldChar w:fldCharType="end"/>
      </w:r>
      <w:r w:rsidR="00704E8B" w:rsidRPr="00383A0F">
        <w:rPr>
          <w:rFonts w:ascii="Book Antiqua" w:hAnsi="Book Antiqua" w:cs="Arial"/>
          <w:color w:val="000000" w:themeColor="text1"/>
          <w:lang w:val="en-US"/>
        </w:rPr>
        <w:t xml:space="preserve">. </w:t>
      </w:r>
      <w:r w:rsidRPr="00383A0F">
        <w:rPr>
          <w:rFonts w:ascii="Book Antiqua" w:hAnsi="Book Antiqua" w:cs="Arial"/>
          <w:color w:val="000000" w:themeColor="text1"/>
          <w:lang w:val="en-US"/>
        </w:rPr>
        <w:t xml:space="preserve"> </w:t>
      </w:r>
    </w:p>
    <w:p w14:paraId="22C2A40D" w14:textId="45456DE3" w:rsidR="00BA4343" w:rsidRPr="00383A0F" w:rsidRDefault="003E14C0"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lastRenderedPageBreak/>
        <w:t xml:space="preserve">  </w:t>
      </w:r>
      <w:r w:rsidR="00BA4343" w:rsidRPr="00383A0F">
        <w:rPr>
          <w:rFonts w:ascii="Book Antiqua" w:hAnsi="Book Antiqua" w:cs="Arial"/>
          <w:color w:val="000000" w:themeColor="text1"/>
          <w:lang w:val="en-US"/>
        </w:rPr>
        <w:t xml:space="preserve">The composite </w:t>
      </w:r>
      <w:proofErr w:type="spellStart"/>
      <w:r w:rsidR="00BA4343" w:rsidRPr="00383A0F">
        <w:rPr>
          <w:rFonts w:ascii="Book Antiqua" w:hAnsi="Book Antiqua" w:cs="Arial"/>
          <w:color w:val="000000" w:themeColor="text1"/>
          <w:lang w:val="en-US"/>
        </w:rPr>
        <w:t>Charlson</w:t>
      </w:r>
      <w:proofErr w:type="spellEnd"/>
      <w:r w:rsidR="00BA4343" w:rsidRPr="00383A0F">
        <w:rPr>
          <w:rFonts w:ascii="Book Antiqua" w:hAnsi="Book Antiqua" w:cs="Arial"/>
          <w:color w:val="000000" w:themeColor="text1"/>
          <w:lang w:val="en-US"/>
        </w:rPr>
        <w:t xml:space="preserve"> comorbidity index has been shown (with some modifications) to be a useful prognostic tool in a general cohort of 624 patients</w:t>
      </w:r>
      <w:r w:rsidR="004B6BF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{"citationID":"2sAs44WE","properties":{"formattedCitation":"\\super [62]\\nosupersub{}","plainCitation":"[62]","noteIndex":0},"citationItems":[{"id":438,"uris":["http://zotero.org/users/local/BE2xVPev/items/S4Q6JE9W"],"uri":["http://zotero.org/users/local/BE2xVPev/items/S4Q6JE9W"],"itemData":{"id":438,"type":"article-journal","title":"Modified Charlson comorbidity index for predicting survival after liver transplantation","container-title":"Liver Transplantation: Official Publication of the American Association for the Study of Liver Diseases and the International Liver Transplantation Society","page":"1515-1520","volume":"13","issue":"11","source":"PubMed","abstract":"The benefit of liver transplantation (LT) is determined not only by the severity of illness, but also by the likelihood of posttransplantation survival. Current models are unable to accurately predict which patients will have the best posttransplant survival. We hypothesized that the Charlson Comorbidity Index (CCI), which includes nine comorbidities, could be used to predict survival after LT. We performed a retrospective study of 624 patients undergoing LT, with a median follow-up time of 4.3 yr. Data on pretransplant comorbidities were collected, along with potential confounders such as age, gender, etiology, and severity of liver disease. Proportional hazards analysis was performed to determine the independent effect of each variable on posttransplantation survival, and to recalibrate the CCI for use in the liver transplant population. A total of 40% of patients had 1 or more comorbidities prior to transplantation. In the multivariate analysis, CCI was an independent predictor of posttransplantation survival (hazard ratio [HR] 1.21 per unit, P &lt; 0.001). When the individual components of the CCI were analyzed, coronary disease (HR 2.33), diabetes (HR 1.38), chronic obstructive pulmonary disease (COPD) (HR 2.67), connective tissue disease (HR 2.32), and renal insufficiency (HR 1.61) were all independent predictors of posttransplant survival. The CCI was recalibrated using a simplified weighting system to create the CCI-orthotopic LT (OLT), which improved the likelihood ratio chi-squared value from 15 to 24 for predicting posttransplantation survival. In conclusion, survival after LT is diminished in patients with pretransplantation coronary disease, diabetes, COPD, connective tissue disease, and renal insufficiency. We demonstrate the usefulness of a modified comorbidity index, the CCI-OLT, for predicting posttransplantation survival.","DOI":"10.1002/lt.21172","ISSN":"1527-6465","note":"PMID: 17969207","journalAbbreviation":"Liver Transpl.","language":"eng","author":[{"family":"Volk","given":"Michael L."},{"family":"Hernandez","given":"Jose C."},{"family":"Lok","given":"Anna S."},{"family":"Marrero","given":"Jorge A."}],"issued":{"date-parts":[["2007",11]]}}}],"schema":"https://github.com/citation-style-language/schema/raw/master/csl-citation.json"} </w:instrText>
      </w:r>
      <w:r w:rsidR="004B6BF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[62]</w:t>
      </w:r>
      <w:r w:rsidR="004B6BF2" w:rsidRPr="00383A0F">
        <w:rPr>
          <w:rFonts w:ascii="Book Antiqua" w:hAnsi="Book Antiqua" w:cs="Arial"/>
          <w:color w:val="000000" w:themeColor="text1"/>
          <w:lang w:val="en-US"/>
        </w:rPr>
        <w:fldChar w:fldCharType="end"/>
      </w:r>
      <w:r w:rsidR="00BA4343" w:rsidRPr="00383A0F">
        <w:rPr>
          <w:rFonts w:ascii="Book Antiqua" w:hAnsi="Book Antiqua" w:cs="Arial"/>
          <w:color w:val="000000" w:themeColor="text1"/>
          <w:lang w:val="en-US"/>
        </w:rPr>
        <w:t xml:space="preserve"> and only once in a cohort of critically ill patients</w:t>
      </w:r>
      <w:r w:rsidR="004B6BF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{"citationID":"py7CJCrI","properties":{"formattedCitation":"\\super [13]\\nosupersub{}","plainCitation":"[13]","noteIndex":0},"citationItems":[{"id":45,"uris":["http://zotero.org/users/local/BE2xVPev/items/5REPG3AK"],"uri":["http://zotero.org/users/local/BE2xVPev/items/5REPG3AK"],"itemData":{"id":45,"type":"article-journal","title":"Liver transplantation in highest acuity recipients: identifying factors to avoid futility","container-title":"Annals of Surgery","page":"1186-1194","volume":"259","issue":"6","source":"PubMed","abstract":"OBJECTIVE: To identify medical predictors of futility in recipients with laboratory Model of End-Stage Liver Disease (MELD) scores of 40 or more at the time of orthotopic liver transplantation (OLT).\nBACKGROUND: Although the survival benefit for transplant patients with the highest MELD scores is indisputable, the medical and economic effort to bring these highest acuity recipients through OLT presents a major challenge for every transplant center.\nMETHODS: This study was undertaken to analyze outcomes in patients with MELD scores of 40 or more undergoing OLT during the period February 2002 to December 2010. The analysis was focused on futile outcome (3-month or in-hospital mortality) and long-term posttransplant outcome. Independent predictors of futility and failure-free survival were identified and a futility risk model was created.\nRESULTS: During the study period, 1522 adult cadaveric OLTs were performed, and 169 patients (13%) had a MELD score of 40 or more. The overall 1, 3, 5, and 8-year patient survivals were 72%, 64%, 60%, and 56%. Futile outcome occurred in 37 patients (22%). MELD score, pretransplant septic shock, cardiac risk, and comorbidities were independent predictors of futile outcome. Using all 4 factors, the futility risk model had a good discriminatory ability (c-statistic 0.75). Recipient age per year, life-threatening postoperative complications, hepatitis C, and metabolic syndrome were independent predictors for long-term survival in nonfutile patients (Harrels c-statistic 0.72).\nCONCLUSIONS: Short- and long-term outcomes of recipients with MELD scores of 40 or more are primarily determined by disease-specific factors. Cardiac risk, pretransplant septic shock, and comorbidities are the most important predictors and can be used for risk stratification in these highest acuity recipients.","DOI":"10.1097/SLA.0000000000000265","ISSN":"1528-1140","note":"PMID: 24263317","shortTitle":"Liver transplantation in highest acuity recipients","journalAbbreviation":"Ann. Surg.","language":"eng","author":[{"family":"Petrowsky","given":"Henrik"},{"family":"Rana","given":"Abbas"},{"family":"Kaldas","given":"Fady M."},{"family":"Sharma","given":"Anuj"},{"family":"Hong","given":"Johnny C."},{"family":"Agopian","given":"Vatche G."},{"family":"Durazo","given":"Francisco"},{"family":"Honda","given":"Henry"},{"family":"Gornbein","given":"Jeffrey"},{"family":"Wu","given":"Victor"},{"family":"Farmer","given":"Douglas G."},{"family":"Hiatt","given":"Jonathan R."},{"family":"Busuttil","given":"Ronald W."}],"issued":{"date-parts":[["2014",6]]}}}],"schema":"https://github.com/citation-style-language/schema/raw/master/csl-citation.json"} </w:instrText>
      </w:r>
      <w:r w:rsidR="004B6BF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[13]</w:t>
      </w:r>
      <w:r w:rsidR="004B6BF2" w:rsidRPr="00383A0F">
        <w:rPr>
          <w:rFonts w:ascii="Book Antiqua" w:hAnsi="Book Antiqua" w:cs="Arial"/>
          <w:color w:val="000000" w:themeColor="text1"/>
          <w:lang w:val="en-US"/>
        </w:rPr>
        <w:fldChar w:fldCharType="end"/>
      </w:r>
      <w:r w:rsidR="00BA4343" w:rsidRPr="00383A0F">
        <w:rPr>
          <w:rFonts w:ascii="Book Antiqua" w:hAnsi="Book Antiqua" w:cs="Arial"/>
          <w:color w:val="000000" w:themeColor="text1"/>
          <w:lang w:val="en-US"/>
        </w:rPr>
        <w:t>.</w:t>
      </w:r>
    </w:p>
    <w:p w14:paraId="2D846891" w14:textId="42E39DFF" w:rsidR="0018076E" w:rsidRPr="00383A0F" w:rsidRDefault="003E14C0"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C92DCC" w:rsidRPr="00383A0F">
        <w:rPr>
          <w:rFonts w:ascii="Book Antiqua" w:hAnsi="Book Antiqua" w:cs="Arial"/>
          <w:color w:val="000000" w:themeColor="text1"/>
          <w:lang w:val="en-US"/>
        </w:rPr>
        <w:t xml:space="preserve">A study based on the </w:t>
      </w:r>
      <w:r>
        <w:rPr>
          <w:rFonts w:ascii="Book Antiqua" w:hAnsi="Book Antiqua" w:cs="Arial"/>
          <w:color w:val="000000" w:themeColor="text1"/>
          <w:lang w:val="en-US"/>
        </w:rPr>
        <w:t>UNOS registry has shown that a b</w:t>
      </w:r>
      <w:r w:rsidR="00C92DCC" w:rsidRPr="00383A0F">
        <w:rPr>
          <w:rFonts w:ascii="Book Antiqua" w:hAnsi="Book Antiqua" w:cs="Arial"/>
          <w:color w:val="000000" w:themeColor="text1"/>
          <w:lang w:val="en-US"/>
        </w:rPr>
        <w:t>ody mass index (BMI) &gt; 50 kg.m</w:t>
      </w:r>
      <w:r w:rsidR="00C92DCC" w:rsidRPr="00383A0F">
        <w:rPr>
          <w:rFonts w:ascii="Book Antiqua" w:hAnsi="Book Antiqua" w:cs="Arial"/>
          <w:color w:val="000000" w:themeColor="text1"/>
          <w:vertAlign w:val="superscript"/>
          <w:lang w:val="en-US"/>
        </w:rPr>
        <w:t>-2</w:t>
      </w:r>
      <w:r w:rsidR="00C92DCC" w:rsidRPr="00383A0F">
        <w:rPr>
          <w:rFonts w:ascii="Book Antiqua" w:hAnsi="Book Antiqua" w:cs="Arial"/>
          <w:color w:val="000000" w:themeColor="text1"/>
          <w:lang w:val="en-US"/>
        </w:rPr>
        <w:t xml:space="preserve"> is significantly associated with higher </w:t>
      </w:r>
      <w:r w:rsidR="00A65C47" w:rsidRPr="00383A0F">
        <w:rPr>
          <w:rFonts w:ascii="Book Antiqua" w:hAnsi="Book Antiqua" w:cs="Arial"/>
          <w:color w:val="000000" w:themeColor="text1"/>
          <w:lang w:val="en-US"/>
        </w:rPr>
        <w:t>post-transplant</w:t>
      </w:r>
      <w:r w:rsidR="00C92DCC" w:rsidRPr="00383A0F">
        <w:rPr>
          <w:rFonts w:ascii="Book Antiqua" w:hAnsi="Book Antiqua" w:cs="Arial"/>
          <w:color w:val="000000" w:themeColor="text1"/>
          <w:lang w:val="en-US"/>
        </w:rPr>
        <w:t xml:space="preserve"> mortality</w:t>
      </w:r>
      <w:r w:rsidR="00654D94"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{"citationID":"OT8cM6Op","properties":{"formattedCitation":"\\super [63]\\nosupersub{}","plainCitation":"[63]","noteIndex":0},"citationItems":[{"id":430,"uris":["http://zotero.org/users/local/BE2xVPev/items/C6FIB9WZ"],"uri":["http://zotero.org/users/local/BE2xVPev/items/C6FIB9WZ"],"itemData":{"id":430,"type":"article-journal","title":"Tipping the Scales: Liver Transplant Outcomes of the Super Obese","container-title":"Journal of Gastrointestinal Surgery: Official Journal of the Society for Surgery of the Alimentary Tract","page":"1628-1635","volume":"20","issue":"9","source":"PubMed","abstract":"OBJECTIVE: We aim to study outcomes in liver transplant recipients with body mass index (BMI) ≥50 using the United Network for Organ Sharing (UNOS) database.\nMETHODS: We reviewed patients undergoing liver transplantation recorded in the UNOS database from 1988 to 2013. Of 104,250 liver transplant procedures, 123 were performed on super obese patients.\nRESULTS: Sixty-four percent of the super obese patients are female (64 %) and had a mean age 47 years (20-71). The mean BMI was 53.5 (50-72.86) and 16 % had diabetes. The mean Model for End-Stage Disease (MELD) score at transplant was 29.1 (6-53). It was found that BMI ≥50 increased 1.6-fold the risk of death within 30 days after liver transplantation. Graft failure was increased by 52 % and overall mortality was by 62 %. A 1:1 propensity score-matched analysis demonstrated that patients with BMI &lt;50 have significantly better graft and overall patient survival than the super obese.\nCONCLUSIONS: Overall, our data shows that BMI ≥50 is an independent predictor of perioperative mortality and graft and overall patient survival. Further studies are necessary to better understand predictors of outcomes in super obese patients.","DOI":"10.1007/s11605-016-3185-0","ISSN":"1873-4626","note":"PMID: 27311983","shortTitle":"Tipping the Scales","journalAbbreviation":"J. Gastrointest. Surg.","language":"eng","author":[{"family":"Alvarez","given":"Jose"},{"family":"Mei","given":"Xioanon"},{"family":"Daily","given":"Michael"},{"family":"Shah","given":"Malay"},{"family":"Grigorian","given":"Alla"},{"family":"Berger","given":"Jonathan"},{"family":"Marti","given":"Francesc"},{"family":"Gedaly","given":"Roberto"}],"issued":{"date-parts":[["2016"]]}}}],"schema":"https://github.com/citation-style-language/schema/raw/master/csl-citation.json"} </w:instrText>
      </w:r>
      <w:r w:rsidR="00654D94"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[63]</w:t>
      </w:r>
      <w:r w:rsidR="00654D94" w:rsidRPr="00383A0F">
        <w:rPr>
          <w:rFonts w:ascii="Book Antiqua" w:hAnsi="Book Antiqua" w:cs="Arial"/>
          <w:color w:val="000000" w:themeColor="text1"/>
          <w:lang w:val="en-US"/>
        </w:rPr>
        <w:fldChar w:fldCharType="end"/>
      </w:r>
      <w:r w:rsidR="000902F7" w:rsidRPr="00383A0F">
        <w:rPr>
          <w:rFonts w:ascii="Book Antiqua" w:hAnsi="Book Antiqua" w:cs="Arial"/>
          <w:color w:val="000000" w:themeColor="text1"/>
          <w:lang w:val="en-US"/>
        </w:rPr>
        <w:t>.</w:t>
      </w:r>
      <w:r w:rsidR="001A6BA2" w:rsidRPr="00383A0F">
        <w:rPr>
          <w:rFonts w:ascii="Book Antiqua" w:hAnsi="Book Antiqua" w:cs="Arial"/>
          <w:color w:val="000000" w:themeColor="text1"/>
          <w:lang w:val="en-US"/>
        </w:rPr>
        <w:t xml:space="preserve"> </w:t>
      </w:r>
      <w:r w:rsidR="00C92DCC" w:rsidRPr="00383A0F">
        <w:rPr>
          <w:rFonts w:ascii="Book Antiqua" w:hAnsi="Book Antiqua" w:cs="Arial"/>
          <w:color w:val="000000" w:themeColor="text1"/>
          <w:lang w:val="en-US"/>
        </w:rPr>
        <w:t>At the other end of the BMI spectrum, cachexia is also associated with poorer outcomes</w:t>
      </w:r>
      <w:r w:rsidR="00654D94"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{"citationID":"rW0Kygzu","properties":{"formattedCitation":"\\super [64]\\nosupersub{}","plainCitation":"[64]","noteIndex":0},"citationItems":[{"id":445,"uris":["http://zotero.org/users/local/BE2xVPev/items/G3SBCTMU"],"uri":["http://zotero.org/users/local/BE2xVPev/items/G3SBCTMU"],"itemData":{"id":445,"type":"article-journal","title":"Sarcopenia and mortality after liver transplantation","container-title":"Journal of the American College of Surgeons","page":"271-278","volume":"211","issue":"2","source":"PubMed","abstract":"BACKGROUND: Surgeons frequently struggle to determine patient suitability for liver transplantation. Objective and comprehensive measures of overall burden of disease, such as sarcopenia, could inform clinicians and help avoid futile transplantations.\nSTUDY DESIGN: The cross-sectional area of the psoas muscle was measured on CT scans of 163 liver transplant recipients. After controlling for donor and recipient characteristics using Cox regression models, we described the relationship between psoas area and post-transplantation mortality.\nRESULTS: Psoas area correlated poorly with Model for End-Stage Liver Disease score and serum albumin. Cox regression revealed a strong association between psoas area and post-transplantation mortality (hazard ratio = 3.7/1,000 mm(2) decrease in psoas area; p &lt; 0.0001). When stratified into quartiles based on psoas area (holding donor and recipient characteristics constant), 1-year survival ranged from 49.7% for the quartile with the smallest psoas area to 87.0% for the quartile with the largest. Survival at 3 years among these groups was 26.4% and 77.2%, respectively. The impact of psoas area on survival exceeded that of all other covariates in these models.\nCONCLUSIONS: Central sarcopenia strongly correlates with mortality after liver transplantation. Such objective measures of patient frailty, such as sarcopenia, can inform clinical decision making and, potentially, allocation policy. Additional work is needed develop valid and clinically relevant measures of sarcopenia and frailty in liver transplantation.","DOI":"10.1016/j.jamcollsurg.2010.03.039","ISSN":"1879-1190","note":"PMID: 20670867\nPMCID: PMC2914324","journalAbbreviation":"J. Am. Coll. Surg.","language":"eng","author":[{"family":"Englesbe","given":"Michael J."},{"family":"Patel","given":"Shaun P."},{"family":"He","given":"Kevin"},{"family":"Lynch","given":"Raymond J."},{"family":"Schaubel","given":"Douglas E."},{"family":"Harbaugh","given":"Calista"},{"family":"Holcombe","given":"Sven A."},{"family":"Wang","given":"Stewart C."},{"family":"Segev","given":"Dorry L."},{"family":"Sonnenday","given":"Christopher J."}],"issued":{"date-parts":[["2010",8]]}}}],"schema":"https://github.com/citation-style-language/schema/raw/master/csl-citation.json"} </w:instrText>
      </w:r>
      <w:r w:rsidR="00654D94"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[64]</w:t>
      </w:r>
      <w:r w:rsidR="00654D94" w:rsidRPr="00383A0F">
        <w:rPr>
          <w:rFonts w:ascii="Book Antiqua" w:hAnsi="Book Antiqua" w:cs="Arial"/>
          <w:color w:val="000000" w:themeColor="text1"/>
          <w:lang w:val="en-US"/>
        </w:rPr>
        <w:fldChar w:fldCharType="end"/>
      </w:r>
      <w:r w:rsidR="0018076E" w:rsidRPr="00383A0F">
        <w:rPr>
          <w:rFonts w:ascii="Book Antiqua" w:hAnsi="Book Antiqua" w:cs="Arial"/>
          <w:color w:val="000000" w:themeColor="text1"/>
          <w:lang w:val="en-US"/>
        </w:rPr>
        <w:t xml:space="preserve"> and so is frailty, as defined by Lai </w:t>
      </w:r>
      <w:r w:rsidRPr="003E14C0">
        <w:rPr>
          <w:rFonts w:ascii="Book Antiqua" w:hAnsi="Book Antiqua" w:cs="Arial"/>
          <w:i/>
          <w:color w:val="000000" w:themeColor="text1"/>
          <w:lang w:val="en-US"/>
        </w:rPr>
        <w:t>et al</w:t>
      </w:r>
      <w:r w:rsidRPr="00383A0F">
        <w:rPr>
          <w:rFonts w:ascii="Book Antiqua" w:hAnsi="Book Antiqua" w:cs="Arial"/>
          <w:color w:val="000000" w:themeColor="text1"/>
          <w:lang w:val="en-US"/>
        </w:rPr>
        <w:fldChar w:fldCharType="begin"/>
      </w:r>
      <w:r w:rsidRPr="00383A0F">
        <w:rPr>
          <w:rFonts w:ascii="Book Antiqua" w:hAnsi="Book Antiqua" w:cs="Arial"/>
          <w:color w:val="000000" w:themeColor="text1"/>
          <w:lang w:val="en-US"/>
        </w:rPr>
        <w:instrText xml:space="preserve"> ADDIN ZOTERO_ITEM CSL_CITATION {"citationID":"JHPlWhQ9","properties":{"formattedCitation":"\\super [65]\\nosupersub{}","plainCitation":"[65]","noteIndex":0},"citationItems":[{"id":467,"uris":["http://zotero.org/users/local/BE2xVPev/items/L68HDS7I"],"uri":["http://zotero.org/users/local/BE2xVPev/items/L68HDS7I"],"itemData":{"id":467,"type":"article-journal","title":"Development of a novel frailty index to predict mortality in patients with end-stage liver disease","container-title":"Hepatology (Baltimore, Md.)","page":"564-574","volume":"66","issue":"2","source":"PubMed","abstract":"Cirrhosis is characterized by muscle wasting, malnutrition, and functional decline that confer excess mortality not well quantified by the Model for End-Stage Liver Disease (MELD) Sodium (MELDNa) score. We aimed to develop a frailty index to capture these extrahepatic complications of cirrhosis and enhance mortality prediction in patients with cirrhosis. Consecutive outpatients listed for liver transplantation at a single transplant center without MELD exceptions were assessed with candidate frailty measures. Best subset selection analyses with Cox regression identified subsets of frailty measures that predicted waitlist mortality (=death or delisting because of sickness). We selected the frailty index by balancing statistical accuracy with clinical utility. The net reclassification index (NRI) evaluated the %patients correctly reclassified by adding the frailty index to MELDNa. Included were 536 patients with cirrhosis with median MELDNa of 18. One hundred seven (20%) died/were delisted. The final frailty index consisted of: grip strength, chair stands, and balance. The ability of MELDNa and the frailty index to correctly rank patients according to their 3-month waitlist mortality risk (i.e., concordance-statistic) was 0.80 and 0.76, respectively, but 0.82 for MELDNa+frailty index together. Compared with MELDNa alone, MELDNa+frailty index correctly reclassified 16% of deaths/delistings (P = 0.005) and 3% of nondeaths/delistings (P = 0.17) with a total NRI of 19% (P &lt; 0.001). Compared to those with robust frailty index scores (&lt;20th percentile), cirrhotics with poor frailty index scores (&gt;80th percentile) were more impaired by gait speed, difficulty with Instrumental Activities of Daily Living, exhaustion, and low physical activity (P &lt; 0.001 for each).\nCONCLUSION: Our frailty index for patients with cirrhosis, comprised of three performance-based metrics, has construct validity for the concept of frailty and improves risk prediction of waitlist mortality over MELDNa alone. (Hepatology 2017;66:564-574).","DOI":"10.1002/hep.29219","ISSN":"1527-3350","note":"PMID: 28422306\nPMCID: PMC5519430","journalAbbreviation":"Hepatology","language":"eng","author":[{"family":"Lai","given":"Jennifer C."},{"family":"Covinsky","given":"Kenneth E."},{"family":"Dodge","given":"Jennifer L."},{"family":"Boscardin","given":"W. John"},{"family":"Segev","given":"Dorry L."},{"family":"Roberts","given":"John P."},{"family":"Feng","given":"Sandy"}],"issued":{"date-parts":[["2017"]]}}}],"schema":"https://github.com/citation-style-language/schema/raw/master/csl-citation.json"} </w:instrText>
      </w:r>
      <w:r w:rsidRPr="00383A0F">
        <w:rPr>
          <w:rFonts w:ascii="Book Antiqua" w:hAnsi="Book Antiqua" w:cs="Arial"/>
          <w:color w:val="000000" w:themeColor="text1"/>
          <w:lang w:val="en-US"/>
        </w:rPr>
        <w:fldChar w:fldCharType="separate"/>
      </w:r>
      <w:r w:rsidRPr="00383A0F">
        <w:rPr>
          <w:rFonts w:ascii="Book Antiqua" w:hAnsi="Book Antiqua"/>
          <w:color w:val="000000" w:themeColor="text1"/>
          <w:vertAlign w:val="superscript"/>
          <w:lang w:val="en-US"/>
        </w:rPr>
        <w:t>[65]</w:t>
      </w:r>
      <w:r w:rsidRPr="00383A0F">
        <w:rPr>
          <w:rFonts w:ascii="Book Antiqua" w:hAnsi="Book Antiqua" w:cs="Arial"/>
          <w:color w:val="000000" w:themeColor="text1"/>
          <w:lang w:val="en-US"/>
        </w:rPr>
        <w:fldChar w:fldCharType="end"/>
      </w:r>
      <w:r>
        <w:rPr>
          <w:rFonts w:ascii="Book Antiqua" w:hAnsi="Book Antiqua" w:cs="Arial"/>
          <w:color w:val="000000" w:themeColor="text1"/>
          <w:lang w:val="en-US"/>
        </w:rPr>
        <w:t xml:space="preserve"> </w:t>
      </w:r>
      <w:r w:rsidR="0018076E" w:rsidRPr="00383A0F">
        <w:rPr>
          <w:rFonts w:ascii="Book Antiqua" w:hAnsi="Book Antiqua" w:cs="Arial"/>
          <w:color w:val="000000" w:themeColor="text1"/>
          <w:lang w:val="en-US"/>
        </w:rPr>
        <w:t>in her composite index published in 2017. These finding</w:t>
      </w:r>
      <w:r w:rsidR="0020767B" w:rsidRPr="00383A0F">
        <w:rPr>
          <w:rFonts w:ascii="Book Antiqua" w:hAnsi="Book Antiqua" w:cs="Arial"/>
          <w:color w:val="000000" w:themeColor="text1"/>
          <w:lang w:val="en-US"/>
        </w:rPr>
        <w:t>s</w:t>
      </w:r>
      <w:r w:rsidR="0018076E" w:rsidRPr="00383A0F">
        <w:rPr>
          <w:rFonts w:ascii="Book Antiqua" w:hAnsi="Book Antiqua" w:cs="Arial"/>
          <w:color w:val="000000" w:themeColor="text1"/>
          <w:lang w:val="en-US"/>
        </w:rPr>
        <w:t xml:space="preserve"> probably hold</w:t>
      </w:r>
      <w:r w:rsidR="00C92DCC" w:rsidRPr="00383A0F">
        <w:rPr>
          <w:rFonts w:ascii="Book Antiqua" w:hAnsi="Book Antiqua" w:cs="Arial"/>
          <w:color w:val="000000" w:themeColor="text1"/>
          <w:lang w:val="en-US"/>
        </w:rPr>
        <w:t xml:space="preserve"> true for critically ill patients</w:t>
      </w:r>
      <w:r w:rsidR="0018076E" w:rsidRPr="00383A0F">
        <w:rPr>
          <w:rFonts w:ascii="Book Antiqua" w:hAnsi="Book Antiqua" w:cs="Arial"/>
          <w:color w:val="000000" w:themeColor="text1"/>
          <w:lang w:val="en-US"/>
        </w:rPr>
        <w:t>, for whom the evaluation of frailty is</w:t>
      </w:r>
      <w:r w:rsidR="00750A1C" w:rsidRPr="00383A0F">
        <w:rPr>
          <w:rFonts w:ascii="Book Antiqua" w:hAnsi="Book Antiqua" w:cs="Arial"/>
          <w:color w:val="000000" w:themeColor="text1"/>
          <w:lang w:val="en-US"/>
        </w:rPr>
        <w:t xml:space="preserve"> unfortunately</w:t>
      </w:r>
      <w:r w:rsidR="0018076E" w:rsidRPr="00383A0F">
        <w:rPr>
          <w:rFonts w:ascii="Book Antiqua" w:hAnsi="Book Antiqua" w:cs="Arial"/>
          <w:color w:val="000000" w:themeColor="text1"/>
          <w:lang w:val="en-US"/>
        </w:rPr>
        <w:t xml:space="preserve"> m</w:t>
      </w:r>
      <w:r w:rsidR="00750A1C" w:rsidRPr="00383A0F">
        <w:rPr>
          <w:rFonts w:ascii="Book Antiqua" w:hAnsi="Book Antiqua" w:cs="Arial"/>
          <w:color w:val="000000" w:themeColor="text1"/>
          <w:lang w:val="en-US"/>
        </w:rPr>
        <w:t>ore difficult to undertake (especially the grip test).</w:t>
      </w:r>
    </w:p>
    <w:p w14:paraId="48F67C33" w14:textId="4B1EE2A7" w:rsidR="001A48C8" w:rsidRPr="00383A0F" w:rsidRDefault="003E14C0"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1742A8" w:rsidRPr="00383A0F">
        <w:rPr>
          <w:rFonts w:ascii="Book Antiqua" w:hAnsi="Book Antiqua" w:cs="Arial"/>
          <w:color w:val="000000" w:themeColor="text1"/>
          <w:lang w:val="en-US"/>
        </w:rPr>
        <w:t>Pre-transplant</w:t>
      </w:r>
      <w:r w:rsidR="00C92DCC" w:rsidRPr="00383A0F">
        <w:rPr>
          <w:rFonts w:ascii="Book Antiqua" w:hAnsi="Book Antiqua" w:cs="Arial"/>
          <w:color w:val="000000" w:themeColor="text1"/>
          <w:lang w:val="en-US"/>
        </w:rPr>
        <w:t xml:space="preserve"> cardiovascular risk </w:t>
      </w:r>
      <w:r w:rsidR="00AF2AE0" w:rsidRPr="00383A0F">
        <w:rPr>
          <w:rFonts w:ascii="Book Antiqua" w:hAnsi="Book Antiqua" w:cs="Arial"/>
          <w:color w:val="000000" w:themeColor="text1"/>
          <w:lang w:val="en-US"/>
        </w:rPr>
        <w:t xml:space="preserve">is a </w:t>
      </w:r>
      <w:r w:rsidR="00A65C47" w:rsidRPr="00383A0F">
        <w:rPr>
          <w:rFonts w:ascii="Book Antiqua" w:hAnsi="Book Antiqua" w:cs="Arial"/>
          <w:color w:val="000000" w:themeColor="text1"/>
          <w:lang w:val="en-US"/>
        </w:rPr>
        <w:t>post-transplant</w:t>
      </w:r>
      <w:r w:rsidR="00AF2AE0" w:rsidRPr="00383A0F">
        <w:rPr>
          <w:rFonts w:ascii="Book Antiqua" w:hAnsi="Book Antiqua" w:cs="Arial"/>
          <w:color w:val="000000" w:themeColor="text1"/>
          <w:lang w:val="en-US"/>
        </w:rPr>
        <w:t xml:space="preserve"> mortality</w:t>
      </w:r>
      <w:r w:rsidR="00B22F9F" w:rsidRPr="00383A0F">
        <w:rPr>
          <w:rFonts w:ascii="Book Antiqua" w:hAnsi="Book Antiqua" w:cs="Arial"/>
          <w:color w:val="000000" w:themeColor="text1"/>
          <w:lang w:val="en-US"/>
        </w:rPr>
        <w:t xml:space="preserve"> risk factor</w:t>
      </w:r>
      <w:r w:rsidR="00AF2AE0" w:rsidRPr="00383A0F">
        <w:rPr>
          <w:rFonts w:ascii="Book Antiqua" w:hAnsi="Book Antiqua" w:cs="Arial"/>
          <w:color w:val="000000" w:themeColor="text1"/>
          <w:lang w:val="en-US"/>
        </w:rPr>
        <w:t xml:space="preserve"> in the general population</w:t>
      </w:r>
      <w:r w:rsidR="00CF72C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{"citationID":"Udqtajt7","properties":{"formattedCitation":"\\super [66]\\nosupersub{}","plainCitation":"[66]","noteIndex":0},"citationItems":[{"id":434,"uris":["http://zotero.org/users/local/BE2xVPev/items/ZZD5EFSZ"],"uri":["http://zotero.org/users/local/BE2xVPev/items/ZZD5EFSZ"],"itemData":{"id":434,"type":"article-journal","title":"High early cardiovascular mortality after liver transplantation","container-title":"Liver Transplantation: Official Publication of the American Association for the Study of Liver Diseases and the International Liver Transplantation Society","page":"1306-1316","volume":"20","issue":"11","source":"PubMed","abstract":"Cardiovascular disease (CVD) contributes to excessive long-term mortality after liver transplantation (LT); however, little is known about early postoperative CVD mortality in the current era. In addition, there is no model for predicting early postoperative CVD mortality across centers. We analyzed adult recipients of primary LT in the Organ Procurement and Transplantation Network (OPTN) database between February 2002 and December 2012 to assess the prevalence and predictors of early (30-day) CVD mortality, which was defined as death from arrhythmia, heart failure, myocardial infarction, cardiac arrest, thromboembolism, and/or stroke. We performed logistic regression with stepwise selection to develop a predictive model of early CVD mortality. Sex and center volume were forced into the final model, which was validated with bootstrapping techniques. Among 54,697 LT recipients, there were 1576 deaths (2.9%) within 30 days. CVD death was the leading cause of 30-day mortality (40.2%), and it was followed by infection (27.9%) and graft failure (12.2%). In a multivariate analysis, 9 significant covariates (6 recipient covariates, 2 donor covariates, and 1 operative covariate) were identified: age, preoperative hospitalization, intensive care unit status, ventilator status, calculated Model for End-Stage Liver Disease score, portal vein thrombosis, national organ sharing, donor body mass index, and cold ischemia time. The model showed moderate discrimination (C statistic = 0.66, 95% confidence interval = 0.63-0.68). In conclusion, we provide the first multicenter prognostic model for the prediction of early post-LT CVD death, the most common cause of early post-LT mortality in the current transplant era. However, evaluations of additional CVD-related variables not collected by the OPTN are needed in order to improve the model's accuracy and potential clinical utility.","DOI":"10.1002/lt.23950","ISSN":"1527-6473","note":"PMID: 25044256\nPMCID: PMC4213202","journalAbbreviation":"Liver Transpl.","language":"eng","author":[{"family":"VanWagner","given":"Lisa B."},{"family":"Lapin","given":"Brittany"},{"family":"Levitsky","given":"Josh"},{"family":"Wilkins","given":"John T."},{"family":"Abecassis","given":"Michael M."},{"family":"Skaro","given":"Anton I."},{"family":"Lloyd-Jones","given":"Donald M."}],"issued":{"date-parts":[["2014",11]]}}}],"schema":"https://github.com/citation-style-language/schema/raw/master/csl-citation.json"} </w:instrText>
      </w:r>
      <w:r w:rsidR="00CF72C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[66]</w:t>
      </w:r>
      <w:r w:rsidR="00CF72C8" w:rsidRPr="00383A0F">
        <w:rPr>
          <w:rFonts w:ascii="Book Antiqua" w:hAnsi="Book Antiqua" w:cs="Arial"/>
          <w:color w:val="000000" w:themeColor="text1"/>
          <w:lang w:val="en-US"/>
        </w:rPr>
        <w:fldChar w:fldCharType="end"/>
      </w:r>
      <w:r w:rsidR="00750A1C" w:rsidRPr="00383A0F">
        <w:rPr>
          <w:rFonts w:ascii="Book Antiqua" w:hAnsi="Book Antiqua" w:cs="Arial"/>
          <w:color w:val="000000" w:themeColor="text1"/>
          <w:lang w:val="en-US"/>
        </w:rPr>
        <w:t xml:space="preserve"> and in one cohort of </w:t>
      </w:r>
      <w:r w:rsidR="00AF2AE0" w:rsidRPr="00383A0F">
        <w:rPr>
          <w:rFonts w:ascii="Book Antiqua" w:hAnsi="Book Antiqua" w:cs="Arial"/>
          <w:color w:val="000000" w:themeColor="text1"/>
          <w:lang w:val="en-US"/>
        </w:rPr>
        <w:t>critically ill patients with MELD scores &gt; 40</w:t>
      </w:r>
      <w:r w:rsidR="00CF72C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{"citationID":"lMpx6INp","properties":{"formattedCitation":"\\super [13]\\nosupersub{}","plainCitation":"[13]","noteIndex":0},"citationItems":[{"id":45,"uris":["http://zotero.org/users/local/BE2xVPev/items/5REPG3AK"],"uri":["http://zotero.org/users/local/BE2xVPev/items/5REPG3AK"],"itemData":{"id":45,"type":"article-journal","title":"Liver transplantation in highest acuity recipients: identifying factors to avoid futility","container-title":"Annals of Surgery","page":"1186-1194","volume":"259","issue":"6","source":"PubMed","abstract":"OBJECTIVE: To identify medical predictors of futility in recipients with laboratory Model of End-Stage Liver Disease (MELD) scores of 40 or more at the time of orthotopic liver transplantation (OLT).\nBACKGROUND: Although the survival benefit for transplant patients with the highest MELD scores is indisputable, the medical and economic effort to bring these highest acuity recipients through OLT presents a major challenge for every transplant center.\nMETHODS: This study was undertaken to analyze outcomes in patients with MELD scores of 40 or more undergoing OLT during the period February 2002 to December 2010. The analysis was focused on futile outcome (3-month or in-hospital mortality) and long-term posttransplant outcome. Independent predictors of futility and failure-free survival were identified and a futility risk model was created.\nRESULTS: During the study period, 1522 adult cadaveric OLTs were performed, and 169 patients (13%) had a MELD score of 40 or more. The overall 1, 3, 5, and 8-year patient survivals were 72%, 64%, 60%, and 56%. Futile outcome occurred in 37 patients (22%). MELD score, pretransplant septic shock, cardiac risk, and comorbidities were independent predictors of futile outcome. Using all 4 factors, the futility risk model had a good discriminatory ability (c-statistic 0.75). Recipient age per year, life-threatening postoperative complications, hepatitis C, and metabolic syndrome were independent predictors for long-term survival in nonfutile patients (Harrels c-statistic 0.72).\nCONCLUSIONS: Short- and long-term outcomes of recipients with MELD scores of 40 or more are primarily determined by disease-specific factors. Cardiac risk, pretransplant septic shock, and comorbidities are the most important predictors and can be used for risk stratification in these highest acuity recipients.","DOI":"10.1097/SLA.0000000000000265","ISSN":"1528-1140","note":"PMID: 24263317","shortTitle":"Liver transplantation in highest acuity recipients","journalAbbreviation":"Ann. Surg.","language":"eng","author":[{"family":"Petrowsky","given":"Henrik"},{"family":"Rana","given":"Abbas"},{"family":"Kaldas","given":"Fady M."},{"family":"Sharma","given":"Anuj"},{"family":"Hong","given":"Johnny C."},{"family":"Agopian","given":"Vatche G."},{"family":"Durazo","given":"Francisco"},{"family":"Honda","given":"Henry"},{"family":"Gornbein","given":"Jeffrey"},{"family":"Wu","given":"Victor"},{"family":"Farmer","given":"Douglas G."},{"family":"Hiatt","given":"Jonathan R."},{"family":"Busuttil","given":"Ronald W."}],"issued":{"date-parts":[["2014",6]]}}}],"schema":"https://github.com/citation-style-language/schema/raw/master/csl-citation.json"} </w:instrText>
      </w:r>
      <w:r w:rsidR="00CF72C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[13]</w:t>
      </w:r>
      <w:r w:rsidR="00CF72C8" w:rsidRPr="00383A0F">
        <w:rPr>
          <w:rFonts w:ascii="Book Antiqua" w:hAnsi="Book Antiqua" w:cs="Arial"/>
          <w:color w:val="000000" w:themeColor="text1"/>
          <w:lang w:val="en-US"/>
        </w:rPr>
        <w:fldChar w:fldCharType="end"/>
      </w:r>
      <w:r w:rsidR="00AF2AE0" w:rsidRPr="00383A0F">
        <w:rPr>
          <w:rFonts w:ascii="Book Antiqua" w:hAnsi="Book Antiqua" w:cs="Arial"/>
          <w:color w:val="000000" w:themeColor="text1"/>
          <w:lang w:val="en-US"/>
        </w:rPr>
        <w:t>. This finding has nevertheless not been validated in other stud</w:t>
      </w:r>
      <w:r w:rsidR="00B22F9F" w:rsidRPr="00383A0F">
        <w:rPr>
          <w:rFonts w:ascii="Book Antiqua" w:hAnsi="Book Antiqua" w:cs="Arial"/>
          <w:color w:val="000000" w:themeColor="text1"/>
          <w:lang w:val="en-US"/>
        </w:rPr>
        <w:t>ies of critically ill patients</w:t>
      </w:r>
      <w:r w:rsidR="00AF2AE0" w:rsidRPr="00383A0F">
        <w:rPr>
          <w:rFonts w:ascii="Book Antiqua" w:hAnsi="Book Antiqua" w:cs="Arial"/>
          <w:color w:val="000000" w:themeColor="text1"/>
          <w:lang w:val="en-US"/>
        </w:rPr>
        <w:t>. Other cardiovascular markers</w:t>
      </w:r>
      <w:r w:rsidR="00826332" w:rsidRPr="00383A0F">
        <w:rPr>
          <w:rFonts w:ascii="Book Antiqua" w:hAnsi="Book Antiqua" w:cs="Arial"/>
          <w:color w:val="000000" w:themeColor="text1"/>
          <w:lang w:val="en-US"/>
        </w:rPr>
        <w:t xml:space="preserve">, such as </w:t>
      </w:r>
      <w:r w:rsidR="001742A8" w:rsidRPr="00383A0F">
        <w:rPr>
          <w:rFonts w:ascii="Book Antiqua" w:hAnsi="Book Antiqua" w:cs="Arial"/>
          <w:color w:val="000000" w:themeColor="text1"/>
          <w:lang w:val="en-US"/>
        </w:rPr>
        <w:t>pre-transplant</w:t>
      </w:r>
      <w:r w:rsidR="00B87E2A" w:rsidRPr="00383A0F">
        <w:rPr>
          <w:rFonts w:ascii="Book Antiqua" w:hAnsi="Book Antiqua" w:cs="Arial"/>
          <w:color w:val="000000" w:themeColor="text1"/>
          <w:lang w:val="en-US"/>
        </w:rPr>
        <w:t xml:space="preserve"> </w:t>
      </w:r>
      <w:r w:rsidR="00826332" w:rsidRPr="00383A0F">
        <w:rPr>
          <w:rFonts w:ascii="Book Antiqua" w:hAnsi="Book Antiqua" w:cs="Arial"/>
          <w:color w:val="000000" w:themeColor="text1"/>
          <w:lang w:val="en-US"/>
        </w:rPr>
        <w:t>cardiac troponin</w:t>
      </w:r>
      <w:r w:rsidR="00B87E2A" w:rsidRPr="00383A0F">
        <w:rPr>
          <w:rFonts w:ascii="Book Antiqua" w:hAnsi="Book Antiqua" w:cs="Arial"/>
          <w:color w:val="000000" w:themeColor="text1"/>
          <w:lang w:val="en-US"/>
        </w:rPr>
        <w:t xml:space="preserve"> levels</w:t>
      </w:r>
      <w:r w:rsidR="00750A1C" w:rsidRPr="00383A0F">
        <w:rPr>
          <w:rFonts w:ascii="Book Antiqua" w:hAnsi="Book Antiqua" w:cs="Arial"/>
          <w:color w:val="000000" w:themeColor="text1"/>
          <w:lang w:val="en-US"/>
        </w:rPr>
        <w:t>, which has</w:t>
      </w:r>
      <w:r w:rsidR="00B87E2A" w:rsidRPr="00383A0F">
        <w:rPr>
          <w:rFonts w:ascii="Book Antiqua" w:hAnsi="Book Antiqua" w:cs="Arial"/>
          <w:color w:val="000000" w:themeColor="text1"/>
          <w:lang w:val="en-US"/>
        </w:rPr>
        <w:t xml:space="preserve"> </w:t>
      </w:r>
      <w:r w:rsidR="0020767B" w:rsidRPr="00383A0F">
        <w:rPr>
          <w:rFonts w:ascii="Book Antiqua" w:hAnsi="Book Antiqua" w:cs="Arial"/>
          <w:color w:val="000000" w:themeColor="text1"/>
          <w:lang w:val="en-US"/>
        </w:rPr>
        <w:t>been shown</w:t>
      </w:r>
      <w:r w:rsidR="00AA02D5" w:rsidRPr="00383A0F">
        <w:rPr>
          <w:rFonts w:ascii="Book Antiqua" w:hAnsi="Book Antiqua" w:cs="Arial"/>
          <w:color w:val="000000" w:themeColor="text1"/>
          <w:lang w:val="en-US"/>
        </w:rPr>
        <w:t xml:space="preserve"> </w:t>
      </w:r>
      <w:r w:rsidR="00B87E2A" w:rsidRPr="00383A0F">
        <w:rPr>
          <w:rFonts w:ascii="Book Antiqua" w:hAnsi="Book Antiqua" w:cs="Arial"/>
          <w:color w:val="000000" w:themeColor="text1"/>
          <w:lang w:val="en-US"/>
        </w:rPr>
        <w:t xml:space="preserve">to be correlated to </w:t>
      </w:r>
      <w:r w:rsidR="00A65C47" w:rsidRPr="00383A0F">
        <w:rPr>
          <w:rFonts w:ascii="Book Antiqua" w:hAnsi="Book Antiqua" w:cs="Arial"/>
          <w:color w:val="000000" w:themeColor="text1"/>
          <w:lang w:val="en-US"/>
        </w:rPr>
        <w:t>post-transplant</w:t>
      </w:r>
      <w:r w:rsidR="00B87E2A" w:rsidRPr="00383A0F">
        <w:rPr>
          <w:rFonts w:ascii="Book Antiqua" w:hAnsi="Book Antiqua" w:cs="Arial"/>
          <w:color w:val="000000" w:themeColor="text1"/>
          <w:lang w:val="en-US"/>
        </w:rPr>
        <w:t xml:space="preserve"> outcome</w:t>
      </w:r>
      <w:r w:rsidR="00CF72C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{"citationID":"J8UezWbd","properties":{"formattedCitation":"\\super [67]\\nosupersub{}","plainCitation":"[67]","noteIndex":0},"citationItems":[{"id":436,"uris":["http://zotero.org/users/local/BE2xVPev/items/NER5K4W9"],"uri":["http://zotero.org/users/local/BE2xVPev/items/NER5K4W9"],"itemData":{"id":436,"type":"article-journal","title":"Pretransplant serum troponin levels are highly predictive of patient and graft survival following liver transplantation","container-title":"Liver Transplantation: Official Publication of the American Association for the Study of Liver Diseases and the International Liver Transplantation Society","page":"990-998","volume":"16","issue":"8","source":"PubMed","abstract":"Optimizing the utility of liver transplantation requires the identification of factors that confer increased risk of posttransplant mortality. Elevated serum troponin (TN) levels are strongly predictive of posttransplant mortality after kidney transplantation. We sought to determine whether pretransplant TN levels were predictive of mortality and graft loss after liver transplantation in 236 liver transplant recipients from 1998 to 2001 with 8.2 years of follow-up. Elevated TN levels [hazard ratio (HR) = 2.19, P = 0.004] and a pretransplant history of cardiovascular disease (CVD; HR = 1.90, P = 0.031) were predictive of patient mortality. Elevated TN levels (HR = 2.44, P &lt; 0.001), a history of CVD (HR = 1.83, P = 0.031), and a combination of elevated TN levels and CVD (HR = 2.75, P = 0.027) were associated with increased graft loss. Multivariate analysis confirmed TN and CVD as independent predictors of mortality and graft loss. CVD (HR = 2.39, P = 0.032) and a combination of elevated TN levels and a history of CVD (HR = 6.67, P &lt; 0.001) were predictive of graft loss within 1 year. Age, smoking, diabetes, hypertension, obesity, creatinine levels, and Model for End-Stage Liver Disease scores were not predictive of posttransplant mortality or graft loss. In summary, elevated pretransplant serum TN levels are strongly predictive of mortality and graft loss after liver transplantation and may be helpful in risk stratification of potential liver transplant recipients.","DOI":"10.1002/lt.22102","ISSN":"1527-6473","note":"PMID: 20677290","journalAbbreviation":"Liver Transpl.","language":"eng","author":[{"family":"Watt","given":"Kymberly D. S."},{"family":"Coss","given":"Elizabeth"},{"family":"Pedersen","given":"Rachel A."},{"family":"Dierkhising","given":"Ross"},{"family":"Heimbach","given":"Julie K."},{"family":"Charlton","given":"Michael R."}],"issued":{"date-parts":[["2010",8]]}}}],"schema":"https://github.com/citation-style-language/schema/raw/master/csl-citation.json"} </w:instrText>
      </w:r>
      <w:r w:rsidR="00CF72C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[67]</w:t>
      </w:r>
      <w:r w:rsidR="00CF72C8" w:rsidRPr="00383A0F">
        <w:rPr>
          <w:rFonts w:ascii="Book Antiqua" w:hAnsi="Book Antiqua" w:cs="Arial"/>
          <w:color w:val="000000" w:themeColor="text1"/>
          <w:lang w:val="en-US"/>
        </w:rPr>
        <w:fldChar w:fldCharType="end"/>
      </w:r>
      <w:r w:rsidR="00826332" w:rsidRPr="00383A0F">
        <w:rPr>
          <w:rFonts w:ascii="Book Antiqua" w:hAnsi="Book Antiqua" w:cs="Arial"/>
          <w:color w:val="000000" w:themeColor="text1"/>
          <w:lang w:val="en-US"/>
        </w:rPr>
        <w:t>,</w:t>
      </w:r>
      <w:r w:rsidR="00AF2AE0" w:rsidRPr="00383A0F">
        <w:rPr>
          <w:rFonts w:ascii="Book Antiqua" w:hAnsi="Book Antiqua" w:cs="Arial"/>
          <w:color w:val="000000" w:themeColor="text1"/>
          <w:lang w:val="en-US"/>
        </w:rPr>
        <w:t xml:space="preserve"> could potentially be useful in evaluating the cardiovascular risk of critically ill patients</w:t>
      </w:r>
      <w:r w:rsidR="00B22F9F" w:rsidRPr="00383A0F">
        <w:rPr>
          <w:rFonts w:ascii="Book Antiqua" w:hAnsi="Book Antiqua" w:cs="Arial"/>
          <w:color w:val="000000" w:themeColor="text1"/>
          <w:lang w:val="en-US"/>
        </w:rPr>
        <w:t>.</w:t>
      </w:r>
      <w:r w:rsidR="00AF2AE0" w:rsidRPr="00383A0F">
        <w:rPr>
          <w:rFonts w:ascii="Book Antiqua" w:hAnsi="Book Antiqua" w:cs="Arial"/>
          <w:color w:val="000000" w:themeColor="text1"/>
          <w:lang w:val="en-US"/>
        </w:rPr>
        <w:t xml:space="preserve"> </w:t>
      </w:r>
    </w:p>
    <w:p w14:paraId="4060B755" w14:textId="77777777" w:rsidR="006416F4" w:rsidRPr="00383A0F" w:rsidRDefault="006416F4" w:rsidP="00383A0F">
      <w:pPr>
        <w:pStyle w:val="a3"/>
        <w:adjustRightInd w:val="0"/>
        <w:snapToGrid w:val="0"/>
        <w:spacing w:line="360" w:lineRule="auto"/>
        <w:ind w:left="0"/>
        <w:contextualSpacing w:val="0"/>
        <w:jc w:val="both"/>
        <w:rPr>
          <w:rFonts w:ascii="Book Antiqua" w:hAnsi="Book Antiqua" w:cs="Arial"/>
          <w:color w:val="000000" w:themeColor="text1"/>
          <w:lang w:val="en-US"/>
        </w:rPr>
      </w:pPr>
    </w:p>
    <w:p w14:paraId="4AC1D34D" w14:textId="1F3ED0A9" w:rsidR="004F30AF" w:rsidRPr="00383A0F" w:rsidRDefault="001742A8" w:rsidP="000F1A83">
      <w:pPr>
        <w:pStyle w:val="a3"/>
        <w:adjustRightInd w:val="0"/>
        <w:snapToGrid w:val="0"/>
        <w:spacing w:line="360" w:lineRule="auto"/>
        <w:ind w:left="0"/>
        <w:contextualSpacing w:val="0"/>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Pre-transplant</w:t>
      </w:r>
      <w:r w:rsidR="00BA4343" w:rsidRPr="00383A0F">
        <w:rPr>
          <w:rFonts w:ascii="Book Antiqua" w:hAnsi="Book Antiqua" w:cs="Arial"/>
          <w:b/>
          <w:i/>
          <w:color w:val="000000" w:themeColor="text1"/>
          <w:lang w:val="en-US"/>
        </w:rPr>
        <w:t xml:space="preserve"> evaluation, alcohol abstinence and psychiatric evaluation</w:t>
      </w:r>
      <w:r w:rsidR="009140DA" w:rsidRPr="00383A0F">
        <w:rPr>
          <w:rFonts w:ascii="Book Antiqua" w:hAnsi="Book Antiqua" w:cs="Arial"/>
          <w:b/>
          <w:i/>
          <w:color w:val="000000" w:themeColor="text1"/>
          <w:lang w:val="en-US"/>
        </w:rPr>
        <w:t xml:space="preserve"> </w:t>
      </w:r>
    </w:p>
    <w:p w14:paraId="083F92E1" w14:textId="7ECBACEB" w:rsidR="00E864DA" w:rsidRPr="00383A0F" w:rsidRDefault="00BA4343"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One of the striking characteristics of ACLF is that, in half of the cases, the diagnosis of ACLF is either inaugural or </w:t>
      </w:r>
      <w:r w:rsidR="009830B9" w:rsidRPr="00383A0F">
        <w:rPr>
          <w:rFonts w:ascii="Book Antiqua" w:hAnsi="Book Antiqua" w:cs="Arial"/>
          <w:color w:val="000000" w:themeColor="text1"/>
          <w:lang w:val="en-US"/>
        </w:rPr>
        <w:t xml:space="preserve">made </w:t>
      </w:r>
      <w:r w:rsidRPr="00383A0F">
        <w:rPr>
          <w:rFonts w:ascii="Book Antiqua" w:hAnsi="Book Antiqua" w:cs="Arial"/>
          <w:color w:val="000000" w:themeColor="text1"/>
          <w:lang w:val="en-US"/>
        </w:rPr>
        <w:t>within three months of the patients’ underlying liver disease</w:t>
      </w:r>
      <w:r w:rsidR="00C5245A"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{"citationID":"inHXw2Vl","properties":{"formattedCitation":"\\super [53]\\nosupersub{}","plainCitation":"[53]","noteIndex":0},"citationItems":[{"id":321,"uris":["http://zotero.org/users/local/BE2xVPev/items/LB873AX4"],"uri":["http://zotero.org/users/local/BE2xVPev/items/LB873AX4"],"itemData":{"id":321,"type":"article-journal","title":"Acute-on-chronic liver failure: A new syndrome that will re-classify cirrhosis","container-title":"Journal of Hepatology","page":"S131-143","volume":"62","issue":"1 Suppl","source":"PubMed","abstract":"Acute-on-chronic liver failure (ACLF) is a recently recognized syndrome characterized by acute decompensation (AD) of cirrhosis and organ/system failure(s) (organ failure: liver, kidney, brain, coagulation, circulation and/or respiration) and extremely poor survival (28-day mortality rate 30-40%). ACLF occurs in relatively young patients. It is especially frequent in alcoholic- and untreated hepatitis B associated-cirrhosis, in addition it is related to bacterial infections and active alcoholism, although in 40% of cases no precipitating event can be identified. It may develop at any time during the course of the disease in the patient (from compensated to long-standing cirrhosis). The development of ACLF occurs in the setting of a systemic inflammation, the severity of which correlates with the number of organ failures and mortality. Systemic inflammation may cause ACLF through complex mechanisms including an exaggerated inflammatory response and systemic oxidative stress to pathogen- or danger/damage-associated molecular patterns (immunopathology) and/or alteration of tissue homeostasis to inflammation caused either by the pathogen itself or through a dysfunction of tissue tolerance. A scoring system composed of three scores (CLIF-C OFs, CLIF-C AD, and CLIF-C ACLFs) specifically designed for patients with AD, with and without ACLF, allows a step-wise algorithm for a rational indication of therapy. The management of ACLF should be carried out in enhanced or intensive care units. Current therapeutic measures comprise the treatment for associated complications, organ failures support and liver transplantation.","DOI":"10.1016/j.jhep.2014.11.045","ISSN":"1600-0641","note":"PMID: 25920082","shortTitle":"Acute-on-chronic liver failure","journalAbbreviation":"J. Hepatol.","language":"eng","author":[{"family":"Arroyo","given":"Vicente"},{"family":"Moreau","given":"Richard"},{"family":"Jalan","given":"Rajiv"},{"family":"Ginès","given":"Pere"},{"literal":"EASL-CLIF Consortium CANONIC Study"}],"issued":{"date-parts":[["2015",4]]}}}],"schema":"https://github.com/citation-style-language/schema/raw/master/csl-citation.json"} </w:instrText>
      </w:r>
      <w:r w:rsidR="00C5245A"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[53]</w:t>
      </w:r>
      <w:r w:rsidR="00C5245A"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This naturally implies that, in a large number of cases, </w:t>
      </w:r>
      <w:r w:rsidR="001742A8" w:rsidRPr="00383A0F">
        <w:rPr>
          <w:rFonts w:ascii="Book Antiqua" w:hAnsi="Book Antiqua" w:cs="Arial"/>
          <w:color w:val="000000" w:themeColor="text1"/>
          <w:lang w:val="en-US"/>
        </w:rPr>
        <w:t>pre-transplant</w:t>
      </w:r>
      <w:r w:rsidRPr="00383A0F">
        <w:rPr>
          <w:rFonts w:ascii="Book Antiqua" w:hAnsi="Book Antiqua" w:cs="Arial"/>
          <w:color w:val="000000" w:themeColor="text1"/>
          <w:lang w:val="en-US"/>
        </w:rPr>
        <w:t xml:space="preserve"> evaluation has not been completed when patients are hospitalized with ACLF. </w:t>
      </w:r>
      <w:r w:rsidR="003049D0" w:rsidRPr="00383A0F">
        <w:rPr>
          <w:rFonts w:ascii="Book Antiqua" w:hAnsi="Book Antiqua" w:cs="Arial"/>
          <w:color w:val="000000" w:themeColor="text1"/>
          <w:lang w:val="en-US"/>
        </w:rPr>
        <w:t xml:space="preserve">In addition, patients with ACLF who have not presented a previous acute decompensation </w:t>
      </w:r>
      <w:r w:rsidR="0020767B" w:rsidRPr="00383A0F">
        <w:rPr>
          <w:rFonts w:ascii="Book Antiqua" w:hAnsi="Book Antiqua" w:cs="Arial"/>
          <w:color w:val="000000" w:themeColor="text1"/>
          <w:lang w:val="en-US"/>
        </w:rPr>
        <w:t>tend to be</w:t>
      </w:r>
      <w:r w:rsidR="003049D0" w:rsidRPr="00383A0F">
        <w:rPr>
          <w:rFonts w:ascii="Book Antiqua" w:hAnsi="Book Antiqua" w:cs="Arial"/>
          <w:color w:val="000000" w:themeColor="text1"/>
          <w:lang w:val="en-US"/>
        </w:rPr>
        <w:t xml:space="preserve"> </w:t>
      </w:r>
      <w:r w:rsidR="0020767B" w:rsidRPr="00383A0F">
        <w:rPr>
          <w:rFonts w:ascii="Book Antiqua" w:hAnsi="Book Antiqua" w:cs="Arial"/>
          <w:color w:val="000000" w:themeColor="text1"/>
          <w:lang w:val="en-US"/>
        </w:rPr>
        <w:t xml:space="preserve">younger and </w:t>
      </w:r>
      <w:r w:rsidR="001C256B" w:rsidRPr="00383A0F">
        <w:rPr>
          <w:rFonts w:ascii="Book Antiqua" w:hAnsi="Book Antiqua" w:cs="Arial"/>
          <w:color w:val="000000" w:themeColor="text1"/>
          <w:lang w:val="en-US"/>
        </w:rPr>
        <w:t xml:space="preserve">active alcohol drinkers, </w:t>
      </w:r>
      <w:r w:rsidR="0020767B" w:rsidRPr="00383A0F">
        <w:rPr>
          <w:rFonts w:ascii="Book Antiqua" w:hAnsi="Book Antiqua" w:cs="Arial"/>
          <w:color w:val="000000" w:themeColor="text1"/>
          <w:lang w:val="en-US"/>
        </w:rPr>
        <w:t>and have</w:t>
      </w:r>
      <w:r w:rsidR="001C256B" w:rsidRPr="00383A0F">
        <w:rPr>
          <w:rFonts w:ascii="Book Antiqua" w:hAnsi="Book Antiqua" w:cs="Arial"/>
          <w:color w:val="000000" w:themeColor="text1"/>
          <w:lang w:val="en-US"/>
        </w:rPr>
        <w:t xml:space="preserve"> more severe grade</w:t>
      </w:r>
      <w:r w:rsidR="009830B9" w:rsidRPr="00383A0F">
        <w:rPr>
          <w:rFonts w:ascii="Book Antiqua" w:hAnsi="Book Antiqua" w:cs="Arial"/>
          <w:color w:val="000000" w:themeColor="text1"/>
          <w:lang w:val="en-US"/>
        </w:rPr>
        <w:t>s</w:t>
      </w:r>
      <w:r w:rsidR="001C256B" w:rsidRPr="00383A0F">
        <w:rPr>
          <w:rFonts w:ascii="Book Antiqua" w:hAnsi="Book Antiqua" w:cs="Arial"/>
          <w:color w:val="000000" w:themeColor="text1"/>
          <w:lang w:val="en-US"/>
        </w:rPr>
        <w:t xml:space="preserve"> of ACLF</w:t>
      </w:r>
      <w:r w:rsidR="00C5245A"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{"citationID":"RUC8cgC0","properties":{"formattedCitation":"\\super [36,53]\\nosupersub{}","plainCitation":"[36,53]","noteIndex":0},"citationItems":[{"id":321,"uris":["http://zotero.org/users/local/BE2xVPev/items/LB873AX4"],"uri":["http://zotero.org/users/local/BE2xVPev/items/LB873AX4"],"itemData":{"id":321,"type":"article-journal","title":"Acute-on-chronic liver failure: A new syndrome that will re-classify cirrhosis","container-title":"Journal of Hepatology","page":"S131-143","volume":"62","issue":"1 Suppl","source":"PubMed","abstract":"Acute-on-chronic liver failure (ACLF) is a recently recognized syndrome characterized by acute decompensation (AD) of cirrhosis and organ/system failure(s) (organ failure: liver, kidney, brain, coagulation, circulation and/or respiration) and extremely poor survival (28-day mortality rate 30-40%). ACLF occurs in relatively young patients. It is especially frequent in alcoholic- and untreated hepatitis B associated-cirrhosis, in addition it is related to bacterial infections and active alcoholism, although in 40% of cases no precipitating event can be identified. It may develop at any time during the course of the disease in the patient (from compensated to long-standing cirrhosis). The development of ACLF occurs in the setting of a systemic inflammation, the severity of which correlates with the number of organ failures and mortality. Systemic inflammation may cause ACLF through complex mechanisms including an exaggerated inflammatory response and systemic oxidative stress to pathogen- or danger/damage-associated molecular patterns (immunopathology) and/or alteration of tissue homeostasis to inflammation caused either by the pathogen itself or through a dysfunction of tissue tolerance. A scoring system composed of three scores (CLIF-C OFs, CLIF-C AD, and CLIF-C ACLFs) specifically designed for patients with AD, with and without ACLF, allows a step-wise algorithm for a rational indication of therapy. The management of ACLF should be carried out in enhanced or intensive care units. Current therapeutic measures comprise the treatment for associated complications, organ failures support and liver transplantation.","DOI":"10.1016/j.jhep.2014.11.045","ISSN":"1600-0641","note":"PMID: 25920082","shortTitle":"Acute-on-chronic liver failure","journalAbbreviation":"J. Hepatol.","language":"eng","author":[{"family":"Arroyo","given":"Vicente"},{"family":"Moreau","given":"Richard"},{"family":"Jalan","given":"Rajiv"},{"family":"Ginès","given":"Pere"},{"literal":"EASL-CLIF Consortium CANONIC Study"}],"issued":{"date-parts":[["2015",4]]}},"label":"page"},{"id":124,"uris":["http://zotero.org/users/local/BE2xVPev/items/V52VEM8W"],"uri":["http://zotero.org/users/local/BE2xVPev/items/V52VEM8W"],"itemData":{"id":124,"type":"article-journal","title":"Acute-on-chronic liver failure is a distinct syndrome that develops in patients with acute decompensation of cirrhosis","container-title":"Gastroenterology","page":"1426-1437, 1437.e1-9","volume":"144","issue":"7","source":"PubMed","abstract":"BACKGROUND &amp; AIMS: Patients with cirrhosis hospitalized for an acute decompensation (AD) and organ failure are at risk for imminent death and considered to have acute-on-chronic liver failure (ACLF). However, there are no established diagnostic criteria for ACLF, so little is known about its development and progression. We aimed to identify diagnostic criteria of ACLF and describe the development of this syndrome in European patients with AD.\nMETHODS: We collected data from 1343 hospitalized patients with cirrhosis and AD from February to September 2011 at 29 liver units in 8 European countries. We used the organ failure and mortality data to define ACLF grades, assess mortality, and identify differences between ACLF and AD. We established diagnostic criteria for ACLF based on analyses of patients with organ failure (defined by the chronic liver failure-sequential organ failure assessment [CLIF-SOFA] score) and high 28-day mortality rate (&gt;15%).\nRESULTS: Of the patients assessed, 303 had ACLF when the study began, 112 developed ACLF, and 928 did not have ACLF. The 28-day mortality rate among patients who had ACLF when the study began was 33.9%, among those who developed ACLF was 29.7%, and among those who did not have ACLF was 1.9%. Patients with ACLF were younger and more frequently alcoholic, had more associated bacterial infections, and had higher numbers of leukocytes and higher plasma levels of C-reactive protein than patients without ACLF (P &lt; .001). Higher CLIF-SOFA scores and leukocyte counts were independent predictors of mortality in patients with ACLF. In patients without a prior history of AD, ACLF was unexpectedly characterized by higher numbers of organ failures, leukocyte count, and mortality compared with ACLF in patients with a prior history of AD.\nCONCLUSIONS: We analyzed data from patients with cirrhosis and AD to establish diagnostic criteria for ACLF and showed that it is distinct from AD, based not only on the presence of organ failure(s) and high mortality rate but also on age, precipitating events, and systemic inflammation. ACLF mortality is associated with loss of organ function and high leukocyte counts. ACLF is especially severe in patients with no prior history of AD.","DOI":"10.1053/j.gastro.2013.02.042","ISSN":"1528-0012","note":"PMID: 23474284","journalAbbreviation":"Gastroenterology","language":"eng","author":[{"family":"Moreau","given":"Richard"},{"family":"Jalan","given":"Rajiv"},{"family":"Gines","given":"Pere"},{"family":"Pavesi","given":"Marco"},{"family":"Angeli","given":"Paolo"},{"family":"Cordoba","given":"Juan"},{"family":"Durand","given":"Francois"},{"family":"Gustot","given":"Thierry"},{"family":"Saliba","given":"Faouzi"},{"family":"Domenicali","given":"Marco"},{"family":"Gerbes","given":"Alexander"},{"family":"Wendon","given":"Julia"},{"family":"Alessandria","given":"Carlo"},{"family":"Laleman","given":"Wim"},{"family":"Zeuzem","given":"Stefan"},{"family":"Trebicka","given":"Jonel"},{"family":"Bernardi","given":"Mauro"},{"family":"Arroyo","given":"Vicente"},{"literal":"CANONIC Study Investigators of the EASL–CLIF Consortium"}],"issued":{"date-parts":[["2013",6]]}},"label":"page"}],"schema":"https://github.com/citation-style-language/schema/raw/master/csl-citation.json"} </w:instrText>
      </w:r>
      <w:r w:rsidR="00C5245A"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[36,53]</w:t>
      </w:r>
      <w:r w:rsidR="00C5245A" w:rsidRPr="00383A0F">
        <w:rPr>
          <w:rFonts w:ascii="Book Antiqua" w:hAnsi="Book Antiqua" w:cs="Arial"/>
          <w:color w:val="000000" w:themeColor="text1"/>
          <w:lang w:val="en-US"/>
        </w:rPr>
        <w:fldChar w:fldCharType="end"/>
      </w:r>
      <w:r w:rsidR="00C5245A" w:rsidRPr="00383A0F">
        <w:rPr>
          <w:rFonts w:ascii="Book Antiqua" w:hAnsi="Book Antiqua" w:cs="Arial"/>
          <w:color w:val="000000" w:themeColor="text1"/>
          <w:lang w:val="en-US"/>
        </w:rPr>
        <w:t>.</w:t>
      </w:r>
      <w:r w:rsidR="00503E8B" w:rsidRPr="00383A0F">
        <w:rPr>
          <w:rFonts w:ascii="Book Antiqua" w:hAnsi="Book Antiqua" w:cs="Arial"/>
          <w:color w:val="000000" w:themeColor="text1"/>
          <w:lang w:val="en-US"/>
        </w:rPr>
        <w:t xml:space="preserve"> </w:t>
      </w:r>
    </w:p>
    <w:p w14:paraId="02F92B2E" w14:textId="03656573" w:rsidR="00C4432A" w:rsidRPr="00383A0F" w:rsidRDefault="003E14C0"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F30AF0" w:rsidRPr="00383A0F">
        <w:rPr>
          <w:rFonts w:ascii="Book Antiqua" w:hAnsi="Book Antiqua" w:cs="Arial"/>
          <w:color w:val="000000" w:themeColor="text1"/>
          <w:lang w:val="en-US"/>
        </w:rPr>
        <w:t>Some studies report the</w:t>
      </w:r>
      <w:r w:rsidR="003049D0" w:rsidRPr="00383A0F">
        <w:rPr>
          <w:rFonts w:ascii="Book Antiqua" w:hAnsi="Book Antiqua" w:cs="Arial"/>
          <w:color w:val="000000" w:themeColor="text1"/>
          <w:lang w:val="en-US"/>
        </w:rPr>
        <w:t xml:space="preserve"> </w:t>
      </w:r>
      <w:r w:rsidR="001566F6" w:rsidRPr="00383A0F">
        <w:rPr>
          <w:rFonts w:ascii="Book Antiqua" w:hAnsi="Book Antiqua" w:cs="Arial"/>
          <w:color w:val="000000" w:themeColor="text1"/>
          <w:lang w:val="en-US"/>
        </w:rPr>
        <w:t>positive effect</w:t>
      </w:r>
      <w:r w:rsidR="00F30AF0" w:rsidRPr="00383A0F">
        <w:rPr>
          <w:rFonts w:ascii="Book Antiqua" w:hAnsi="Book Antiqua" w:cs="Arial"/>
          <w:color w:val="000000" w:themeColor="text1"/>
          <w:lang w:val="en-US"/>
        </w:rPr>
        <w:t xml:space="preserve">s of </w:t>
      </w:r>
      <w:r w:rsidR="001566F6" w:rsidRPr="00383A0F">
        <w:rPr>
          <w:rFonts w:ascii="Book Antiqua" w:hAnsi="Book Antiqua" w:cs="Arial"/>
          <w:color w:val="000000" w:themeColor="text1"/>
          <w:lang w:val="en-US"/>
        </w:rPr>
        <w:t xml:space="preserve">close </w:t>
      </w:r>
      <w:r w:rsidR="001742A8" w:rsidRPr="00383A0F">
        <w:rPr>
          <w:rFonts w:ascii="Book Antiqua" w:hAnsi="Book Antiqua" w:cs="Arial"/>
          <w:color w:val="000000" w:themeColor="text1"/>
          <w:lang w:val="en-US"/>
        </w:rPr>
        <w:t>pre-transplant</w:t>
      </w:r>
      <w:r w:rsidR="001566F6" w:rsidRPr="00383A0F">
        <w:rPr>
          <w:rFonts w:ascii="Book Antiqua" w:hAnsi="Book Antiqua" w:cs="Arial"/>
          <w:color w:val="000000" w:themeColor="text1"/>
          <w:lang w:val="en-US"/>
        </w:rPr>
        <w:t xml:space="preserve"> social and psychological </w:t>
      </w:r>
      <w:r w:rsidR="009830B9" w:rsidRPr="00383A0F">
        <w:rPr>
          <w:rFonts w:ascii="Book Antiqua" w:hAnsi="Book Antiqua" w:cs="Arial"/>
          <w:color w:val="000000" w:themeColor="text1"/>
          <w:lang w:val="en-US"/>
        </w:rPr>
        <w:t xml:space="preserve">evaluation and care </w:t>
      </w:r>
      <w:r w:rsidR="001566F6" w:rsidRPr="00383A0F">
        <w:rPr>
          <w:rFonts w:ascii="Book Antiqua" w:hAnsi="Book Antiqua" w:cs="Arial"/>
          <w:color w:val="000000" w:themeColor="text1"/>
          <w:lang w:val="en-US"/>
        </w:rPr>
        <w:t xml:space="preserve">on </w:t>
      </w:r>
      <w:r w:rsidR="00A65C47" w:rsidRPr="00383A0F">
        <w:rPr>
          <w:rFonts w:ascii="Book Antiqua" w:hAnsi="Book Antiqua" w:cs="Arial"/>
          <w:color w:val="000000" w:themeColor="text1"/>
          <w:lang w:val="en-US"/>
        </w:rPr>
        <w:t>post-transplant</w:t>
      </w:r>
      <w:r w:rsidR="001566F6" w:rsidRPr="00383A0F">
        <w:rPr>
          <w:rFonts w:ascii="Book Antiqua" w:hAnsi="Book Antiqua" w:cs="Arial"/>
          <w:color w:val="000000" w:themeColor="text1"/>
          <w:lang w:val="en-US"/>
        </w:rPr>
        <w:t xml:space="preserve"> outcome</w:t>
      </w:r>
      <w:r w:rsidR="00A5493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{"citationID":"IWUvyUcL","properties":{"formattedCitation":"\\super [68,69]\\nosupersub{}","plainCitation":"[68,69]","noteIndex":0},"citationItems":[{"id":447,"uris":["http://zotero.org/users/local/BE2xVPev/items/MMA4A4NR"],"uri":["http://zotero.org/users/local/BE2xVPev/items/MMA4A4NR"],"itemData":{"id":447,"type":"article-journal","title":"Pre-liver transplant psychosocial evaluation predicts post-transplantation outcomes","container-title":"Psychology, Health &amp; Medicine","page":"1-9","source":"PubMed","abstract":"Psychosocial factors greatly impact the course of patients throughout the liver transplantation process. A retrospective chart review was performed of patients who underwent liver transplantation at Hadassah-Hebrew University Medical Center between 2002 and 2012. A composite psychosocial score was computed based on the patient's pre-transplant evaluation. Patients were divided into two groups based on compliance, support and insight: Optimal psychosocial score and Non-optimal psychosocial score. Post-liver transplantation survival and complication rates were evaluated. Out of 100 patients who underwent liver transplantation at the Hadassah-Hebrew University Medical Center between 2002 and 2012, 93% had a complete pre-liver transplant psychosocial evaluation in the medical record performed by professional psychologists and social workers. Post-liver transplantation survival was significantly higher in the Optimal group (85%) as compared to the Non-optimal group (56%, p = .002). Post-liver transplantation rate of renal failure was significantly lower in the Optimal group. No significant differences were observed between the groups in other post-transplant complications. A patient's psychosocial status may impact outcomes following transplantation as inferior psychosocial grades were associated with lower overall survival and increased rates of complications. Pre-liver transplant psychosocial evaluations are an important tool to help predict survival following transplantation.","DOI":"10.1080/13548506.2017.1417610","ISSN":"1465-3966","note":"PMID: 29278010","journalAbbreviation":"Psychol Health Med","language":"eng","author":[{"family":"Benson","given":"Ariel A."},{"family":"Rowe","given":"Mina"},{"family":"Eid","given":"Ahmad"},{"family":"Bluth","given":"Keren"},{"family":"Merhav","given":"Hadar"},{"family":"Khalaileh","given":"Abed"},{"family":"Safadi","given":"Rifaat"}],"issued":{"date-parts":[["2017",12,26]]}},"label":"page"},{"id":503,"uris":["http://zotero.org/users/local/BE2xVPev/items/6E3DF6N3"],"uri":["http://zotero.org/users/local/BE2xVPev/items/6E3DF6N3"],"itemData":{"id":503,"type":"article-journal","title":"Patient-reported immunosuppression nonadherence 6 to 24 months after liver transplant: association with pretransplant psychosocial factors and perceptions of health status change","container-title":"Progress in Transplantation (Aliso Viejo, Calif.)","page":"319-328","volume":"23","issue":"4","source":"PubMed","abstract":"CONTEXT: Knowing the prevalence and risk factors of immunosuppression nonadherence after liver transplant may help guide intervention development.\nOBJECTIVE: To examine whether sociodemographic and psychosocial variables before liver transplant are predictive of nonadherence after liver transplant.\nDESIGN: Structured telephone interviews were used to collect self-report immunosuppression adherence and health status information. Medical record reviews were then completed to retrospectively examine the relationship between immunosuppression adherence and pretransplant variables, including sociodemographic and medical characteristics and the presence or absence of 6 hypothesized psychosocial risk factors.\nSETTING AND PARTICIPANTS: A nonprobability sample of 236 adults 6 to 24 months after liver transplant at 2 centers completed structured telephone interviews.\nMAIN OUTCOME MEASURE: Immunosuppressant medication nonadherence, categorized as missed-dose and altered-dose \"adherent\" or \"nonadherent\" during the past 6 months; immunosuppression medication holidays.\nRESULTS: Eighty-two patients (35%) were missed-dose nonadherent and 34 patients (14%) were altered-dose nonadherent. Seventy-one patients (30%) reported 1 or more 24-hour immunosuppression holidays in the past 6 months. Missed-dose nonadherence was predicted by male sex (odds ratio, 2.46; P= .01), longer time since liver transplant (odds ratio, 1.08; P= .01), pretransplant mood disorder (odds ratio, 2.52; P=.004), and pretransplant social support instability (odds ratio, 2.25; P=.03). Altered-dose nonadherence was predicted by pretransplant mood disorder (odds ratio, 2.15; P= .04) and pretransplant social support instability (odds ratio, 1.89; P= .03).\nCONCLUSION: Rates of immunosuppressant nonadherence and drug holidays in the first 2 years after liver transplant are unacceptably high. Pretransplant mood disorder and social support instability increase the risk of nonadherence, and interventions should target these modifiable risk factors.","DOI":"10.7182/pit2013501","ISSN":"1526-9248","note":"PMID: 24311395\nPMCID: PMC4127806","shortTitle":"Patient-reported immunosuppression nonadherence 6 to 24 months after liver transplant","journalAbbreviation":"Prog Transplant","language":"eng","author":[{"family":"Rodrigue","given":"James R."},{"family":"Nelson","given":"David R."},{"family":"Hanto","given":"Douglas W."},{"family":"Reed","given":"Alan I."},{"family":"Curry","given":"Michael P."}],"issued":{"date-parts":[["2013",12]]}},"label":"page"}],"schema":"https://github.com/citation-style-language/schema/raw/master/csl-citation.json"} </w:instrText>
      </w:r>
      <w:r w:rsidR="00A5493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[68,69]</w:t>
      </w:r>
      <w:r w:rsidR="00A54932" w:rsidRPr="00383A0F">
        <w:rPr>
          <w:rFonts w:ascii="Book Antiqua" w:hAnsi="Book Antiqua" w:cs="Arial"/>
          <w:color w:val="000000" w:themeColor="text1"/>
          <w:lang w:val="en-US"/>
        </w:rPr>
        <w:fldChar w:fldCharType="end"/>
      </w:r>
      <w:r w:rsidR="00F30AF0" w:rsidRPr="00383A0F">
        <w:rPr>
          <w:rFonts w:ascii="Book Antiqua" w:hAnsi="Book Antiqua" w:cs="Arial"/>
          <w:color w:val="000000" w:themeColor="text1"/>
          <w:lang w:val="en-US"/>
        </w:rPr>
        <w:t>,</w:t>
      </w:r>
      <w:r w:rsidR="001566F6" w:rsidRPr="00383A0F">
        <w:rPr>
          <w:rFonts w:ascii="Book Antiqua" w:hAnsi="Book Antiqua" w:cs="Arial"/>
          <w:color w:val="000000" w:themeColor="text1"/>
          <w:lang w:val="en-US"/>
        </w:rPr>
        <w:t xml:space="preserve"> and it seems reasonable to assume that prolonged alcohol abstinence is a prerequisite for LT. Nevertheless, the question of allocating livers to a set of carefully selected patients who are still actively drinking is open. Indeed, 3 studies have proved the </w:t>
      </w:r>
      <w:r w:rsidR="00C4432A" w:rsidRPr="00383A0F">
        <w:rPr>
          <w:rFonts w:ascii="Book Antiqua" w:hAnsi="Book Antiqua" w:cs="Arial"/>
          <w:color w:val="000000" w:themeColor="text1"/>
          <w:lang w:val="en-US"/>
        </w:rPr>
        <w:t>relevance of LT for patients whose alcoholic hepatitis does not respond to medical therapy</w:t>
      </w:r>
      <w:r w:rsidR="00A5493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{"citationID":"YSE5yrTR","properties":{"formattedCitation":"\\super [70\\uc0\\u8211{}72]\\nosupersub{}","plainCitation":"[70–72]","noteIndex":0},"citationItems":[{"id":465,"uris":["http://zotero.org/users/local/BE2xVPev/items/72HVL2UB"],"uri":["http://zotero.org/users/local/BE2xVPev/items/72HVL2UB"],"itemData":{"id":465,"type":"article-journal","title":"Ohio solid organ transplantation consortium criteria for liver transplantation in patients with alcoholic liver disease","container-title":"World Journal of Hepatology","page":"1149-1154","volume":"8","issue":"27","source":"PubMed","abstract":"AIM: To evaluate risk of recidivism on a case-by-case basis.\nMETHODS: From our center's liver transplant program, we selected patients with alcoholic liver disease who were listed for transplant based on Ohio Solid Organ Transplantation Consortium (OSOTC) exception criteria. They were considered to have either a low or medium risk of recidivism, and had at least one or three or more months of abstinence, respectively. They were matched based on gender, age, and Model for End-Stage Liver Disease (MELD) score to controls with alcohol-induced cirrhosis from Organ Procurement and Transplant Network data.\nRESULTS: Thirty six patients with alcoholic liver disease were approved for listing based on OSOTC exception criteria and were matched to 72 controls. Nineteen patients (53%) with a median [Inter-quartile range (IQR)] MELD score of 24 (13) received transplant and were followed for a median of 3.4 years. They were matched to 38 controls with a median (IQR) MELD score of 25 (9). At one and five years, cumulative survival rates (± standard error) were 90% ± 7% and 92% ± 5% and 73% ± 12% and 77% ± 8% in patients and controls, respectively (Log-rank test,P= 0.837). Four (21%) patients resumed drinking by last follow-up visit.\nCONCLUSION: Compared to traditional criteria for assessment of risk of recidivism, a careful selection process with more flexibility to evaluate eligibility on a case-by-case basis can lead to similar survival rates after transplantation.","DOI":"10.4254/wjh.v8.i27.1149","ISSN":"1948-5182","note":"PMID: 27721920\nPMCID: PMC5037328","journalAbbreviation":"World J Hepatol","language":"eng","author":[{"family":"Hajifathalian","given":"Kaveh"},{"family":"Humberson","given":"Annette"},{"family":"Hanouneh","given":"Mohamad A."},{"family":"Barnes","given":"David S."},{"family":"Arora","given":"Zubin"},{"family":"Zein","given":"Nizar N."},{"family":"Eghtesad","given":"Bijan"},{"family":"Kelly","given":"Dympna"},{"family":"Hanouneh","given":"Ibrahim A."}],"issued":{"date-parts":[["2016",9,28]]}},"label":"page"},{"id":463,"uris":["http://zotero.org/users/local/BE2xVPev/items/HASTGSXI"],"uri":["http://zotero.org/users/local/BE2xVPev/items/HASTGSXI"],"itemData":{"id":463,"type":"article-journal","title":"Three-year Results of a Pilot Program in Early Liver Transplantation for Severe Alcoholic Hepatitis","container-title":"Annals of Surgery","page":"20-29","volume":"265","issue":"1","source":"PubMed","abstract":"OBJECTIVE: To examine our pilot to transplant selected patients with acute alcoholic hepatitis, initiated in October 2012.\nBACKGROUND: Six months of alcohol abstinence is typically required before liver transplant. A Franco-Belgian protocol showed that early transplant in severe alcoholic hepatitis could improve survival with low incidence of alcohol relapse. Application of this controversial indication is growing despite unclear generalizability.\nMETHODS: Data was collected on all patients with alcohol-related liver disease since initiation of the pilot through June 2015. Patients were stratified into two groups: severe alcoholic hepatitis as first liver decompensation (Group 1), alcoholic cirrhosis with ≥6 months abstinence (Group 2). Alcohol relapse was defined as any evidence of alcohol consumption after transplant, which was assessed for harmful patterns of binge or frequent drinking.\nRESULTS: Forty-three patients underwent liver transplant, including 17 patients in Group 1. Six-month survival was 100% versus 89% for Groups 1 and 2, respectively (P = 0.27). Alcohol relapse was similar in Group 1 versus Group 2: 23.5% versus 29.2% (P &gt; 0.99). Harmful drinking was higher in Group 1 versus Group 2, despite lack of statistical significance: 23.5% versus 11.5% (P = 0.42).\nCONCLUSIONS: In this pilot with carefully selected patients, early liver transplant provided excellent short-term survival, and similar rates of alcohol relapse compared with patients with 6 months of abstinence. Harmful patterns of relapse remain challenging in this population, highlighting the need for validated models to predict alcohol relapse, and need for extreme caution in selecting patients for this exceptional indication. Larger prospective studies and longer follow up are necessary.","DOI":"10.1097/SLA.0000000000001831","ISSN":"1528-1140","note":"PMID: 27280501","journalAbbreviation":"Ann. Surg.","language":"eng","author":[{"family":"Lee","given":"Brian P."},{"family":"Chen","given":"Po-Hung"},{"family":"Haugen","given":"Christine"},{"family":"Hernaez","given":"Ruben"},{"family":"Gurakar","given":"Ahmet"},{"family":"Philosophe","given":"Benjamin"},{"family":"Dagher","given":"Nabil"},{"family":"Moore","given":"Samantha A."},{"family":"Li","given":"Zhiping"},{"family":"Cameron","given":"Andrew M."}],"issued":{"date-parts":[["2017"]]}},"label":"page"},{"id":459,"uris":["http://zotero.org/users/local/BE2xVPev/items/9ZG7WDWU"],"uri":["http://zotero.org/users/local/BE2xVPev/items/9ZG7WDWU"],"itemData":{"id":459,"type":"article-journal","title":"Early liver transplantation for severe alcoholic hepatitis","container-title":"The New England Journal of Medicine","page":"1790-1800","volume":"365","issue":"19","source":"PubMed","abstract":"BACKGROUND: A 6-month abstinence from alcohol is usually required before patients with severe alcoholic hepatitis are considered for liver transplantation. Patients whose hepatitis is not responding to medical therapy have a 6-month survival rate of approximately 30%. Since most alcoholic hepatitis deaths occur within 2 months, early liver transplantation is attractive but controversial.\nMETHODS: We selected patients from seven centers for early liver transplantation. The patients had no prior episodes of alcoholic hepatitis and had scores of 0.45 or higher according to the Lille model (which calculates scores ranging from 0 to 1, with a score ≥ 0.45 indicating nonresponse to medical therapy and an increased risk of death in the absence of transplantation) or rapid worsening of liver function despite medical therapy. Selected patients also had supportive family members, no severe coexisting conditions, and a commitment to alcohol abstinence. Survival was compared between patients who underwent early liver transplantation and matched patients who did not.\nRESULTS: In all, 26 patients with severe alcoholic hepatitis at high risk of death (median Lille score, 0.88) were selected and placed on the list for a liver transplant within a median of 13 days after nonresponse to medical therapy. Fewer than 2% of patients admitted for an episode of severe alcoholic hepatitis were selected. The centers used 2.9% of available grafts for this indication. The cumulative 6-month survival rate (±SE) was higher among patients who received early transplantation than among those who did not (77 ± 8% vs. 23 ± 8%, P&lt;0.001). This benefit of early transplantation was maintained through 2 years of follow-up (hazard ratio, 6.08; P = 0.004). Three patients resumed drinking alcohol: one at 720 days, one at 740 days, and one at 1140 days after transplantation.\nCONCLUSIONS: Early liver transplantation can improve survival in patients with a first episode of severe alcoholic hepatitis not responding to medical therapy. (Funded by Société Nationale Française de Gastroentérologie.).","DOI":"10.1056/NEJMoa1105703","ISSN":"1533-4406","note":"PMID: 22070476","journalAbbreviation":"N. Engl. J. Med.","language":"eng","author":[{"family":"Mathurin","given":"Philippe"},{"family":"Moreno","given":"Christophe"},{"family":"Samuel","given":"Didier"},{"family":"Dumortier","given":"Jérôme"},{"family":"Salleron","given":"Julia"},{"family":"Durand","given":"François"},{"family":"Castel","given":"Hélène"},{"family":"Duhamel","given":"Alain"},{"family":"Pageaux","given":"Georges-Philippe"},{"family":"Leroy","given":"Vincent"},{"family":"Dharancy","given":"Sébastien"},{"family":"Louvet","given":"Alexandre"},{"family":"Boleslawski","given":"Emmanuel"},{"family":"Lucidi","given":"Valerio"},{"family":"Gustot","given":"Thierry"},{"family":"Francoz","given":"Claire"},{"family":"Letoublon","given":"Christian"},{"family":"Castaing","given":"Denis"},{"family":"Belghiti","given":"Jacques"},{"family":"Donckier","given":"Vincent"},{"family":"Pruvot","given":"François-René"},{"family":"Duclos-Vallée","given":"Jean-Charles"}],"issued":{"date-parts":[["2011",11,10]]}},"label":"page"}],"schema":"https://github.com/citation-style-language/schema/raw/master/csl-citation.json"} </w:instrText>
      </w:r>
      <w:r w:rsidR="00A5493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[70–72]</w:t>
      </w:r>
      <w:r w:rsidR="00A54932" w:rsidRPr="00383A0F">
        <w:rPr>
          <w:rFonts w:ascii="Book Antiqua" w:hAnsi="Book Antiqua" w:cs="Arial"/>
          <w:color w:val="000000" w:themeColor="text1"/>
          <w:lang w:val="en-US"/>
        </w:rPr>
        <w:fldChar w:fldCharType="end"/>
      </w:r>
      <w:r w:rsidR="00C4432A" w:rsidRPr="00383A0F">
        <w:rPr>
          <w:rFonts w:ascii="Book Antiqua" w:hAnsi="Book Antiqua" w:cs="Arial"/>
          <w:color w:val="000000" w:themeColor="text1"/>
          <w:lang w:val="en-US"/>
        </w:rPr>
        <w:t xml:space="preserve">. </w:t>
      </w:r>
      <w:r w:rsidR="00023443" w:rsidRPr="00383A0F">
        <w:rPr>
          <w:rFonts w:ascii="Book Antiqua" w:hAnsi="Book Antiqua" w:cs="Arial"/>
          <w:color w:val="000000" w:themeColor="text1"/>
          <w:lang w:val="en-US"/>
        </w:rPr>
        <w:t>T</w:t>
      </w:r>
      <w:r w:rsidR="00C4432A" w:rsidRPr="00383A0F">
        <w:rPr>
          <w:rFonts w:ascii="Book Antiqua" w:hAnsi="Book Antiqua" w:cs="Arial"/>
          <w:color w:val="000000" w:themeColor="text1"/>
          <w:lang w:val="en-US"/>
        </w:rPr>
        <w:t>hese stu</w:t>
      </w:r>
      <w:r w:rsidR="005F756A" w:rsidRPr="00383A0F">
        <w:rPr>
          <w:rFonts w:ascii="Book Antiqua" w:hAnsi="Book Antiqua" w:cs="Arial"/>
          <w:color w:val="000000" w:themeColor="text1"/>
          <w:lang w:val="en-US"/>
        </w:rPr>
        <w:t>dies</w:t>
      </w:r>
      <w:r w:rsidR="00C4432A" w:rsidRPr="00383A0F">
        <w:rPr>
          <w:rFonts w:ascii="Book Antiqua" w:hAnsi="Book Antiqua" w:cs="Arial"/>
          <w:color w:val="000000" w:themeColor="text1"/>
          <w:lang w:val="en-US"/>
        </w:rPr>
        <w:t xml:space="preserve"> nonetheless underline the difficulty of finding reliable criteria that can predict future abstinence</w:t>
      </w:r>
      <w:r w:rsidR="00A5493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{"citationID":"GxXbSQe6","properties":{"formattedCitation":"\\super [73]\\nosupersub{}","plainCitation":"[73]","noteIndex":0},"citationItems":[{"id":457,"uris":["http://zotero.org/users/local/BE2xVPev/items/CJZJ9L2Z"],"uri":["http://zotero.org/users/local/BE2xVPev/items/CJZJ9L2Z"],"itemData":{"id":457,"type":"article-journal","title":"Liver transplantation for patients with alcoholic hepatitis","container-title":"Liver International: Official Journal of the International Association for the Study of the Liver","page":"337-339","volume":"37","issue":"3","source":"PubMed","abstract":"Alcoholic liver disease, considered as a self-inflected disease, is an example of how moral judgment may affect ethical exercise of medicine which requires equity and fair utilization of a scarce resource in a context of organ shortage. Some consider that selection process should prioritize access to liver transplantation (LT) for patients who develop liver failure \"through no fault of their own\" even if limiting care because of a patient's perceived responsibility has been considered unethical. The absence of improvement after alcohol withdrawal, the high short-term mortality risk and the poor predictability of the 6-month rule in post-LT relapse in alcohol consumption in AH patients not responding to medical therapy led to recommend an evaluation of LT. In the French-Belgian pilot study, 26 patients with severe AH not responding to medical therapy underwent early LT (eLT). Stringent selection criteria were applied. Six-month and 2-year survivals of eLT patients were better than that of non-transplanted matched controls: 77% vs 23% and 71% vs 23% respectively. Alcohol relapse occurred in 12% of patients after eLT. Three studies confirmed these results. The impact organ donation should be limited as showed by a recent survey and the efforts that should be made in public information campaigns based on scientific data and medical ethics. In conclusion, the ongoing accumulation of scientific evidence and requirement of ethical exercise of medicine lead to continue evaluating eLT as a therapeutic option in patients with severe AH not responding to medical therapy.","DOI":"10.1111/liv.13248","ISSN":"1478-3231","note":"PMID: 28240838","journalAbbreviation":"Liver Int.","language":"eng","author":[{"family":"Artru","given":"Florent"},{"family":"Louvet","given":"Alexandre"},{"family":"Mathurin","given":"Philippe"}],"issued":{"date-parts":[["2017"]]}}}],"schema":"https://github.com/citation-style-language/schema/raw/master/csl-citation.json"} </w:instrText>
      </w:r>
      <w:r w:rsidR="00A5493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[73]</w:t>
      </w:r>
      <w:r w:rsidR="00A54932" w:rsidRPr="00383A0F">
        <w:rPr>
          <w:rFonts w:ascii="Book Antiqua" w:hAnsi="Book Antiqua" w:cs="Arial"/>
          <w:color w:val="000000" w:themeColor="text1"/>
          <w:lang w:val="en-US"/>
        </w:rPr>
        <w:fldChar w:fldCharType="end"/>
      </w:r>
      <w:r w:rsidR="005F756A" w:rsidRPr="00383A0F">
        <w:rPr>
          <w:rFonts w:ascii="Book Antiqua" w:hAnsi="Book Antiqua" w:cs="Arial"/>
          <w:color w:val="000000" w:themeColor="text1"/>
          <w:lang w:val="en-US"/>
        </w:rPr>
        <w:t xml:space="preserve">. </w:t>
      </w:r>
    </w:p>
    <w:p w14:paraId="67BE280D" w14:textId="51E1BF97" w:rsidR="00A1519B" w:rsidRPr="00383A0F" w:rsidRDefault="003E14C0" w:rsidP="00383A0F">
      <w:pPr>
        <w:pStyle w:val="a3"/>
        <w:adjustRightInd w:val="0"/>
        <w:snapToGrid w:val="0"/>
        <w:spacing w:line="360" w:lineRule="auto"/>
        <w:ind w:left="0"/>
        <w:contextualSpacing w:val="0"/>
        <w:jc w:val="both"/>
        <w:rPr>
          <w:rFonts w:ascii="Book Antiqua" w:hAnsi="Book Antiqua"/>
          <w:color w:val="000000" w:themeColor="text1"/>
          <w:lang w:val="en-US"/>
        </w:rPr>
      </w:pPr>
      <w:r>
        <w:rPr>
          <w:rFonts w:ascii="Book Antiqua" w:hAnsi="Book Antiqua" w:cs="Arial"/>
          <w:color w:val="000000" w:themeColor="text1"/>
          <w:lang w:val="en-US"/>
        </w:rPr>
        <w:lastRenderedPageBreak/>
        <w:t xml:space="preserve">  </w:t>
      </w:r>
      <w:r w:rsidR="005F756A" w:rsidRPr="00383A0F">
        <w:rPr>
          <w:rFonts w:ascii="Book Antiqua" w:hAnsi="Book Antiqua" w:cs="Arial"/>
          <w:color w:val="000000" w:themeColor="text1"/>
          <w:lang w:val="en-US"/>
        </w:rPr>
        <w:t xml:space="preserve">There is no evidence published in the literature so far concerning the question of abstinence or the effect of </w:t>
      </w:r>
      <w:r w:rsidR="001742A8" w:rsidRPr="00383A0F">
        <w:rPr>
          <w:rFonts w:ascii="Book Antiqua" w:hAnsi="Book Antiqua" w:cs="Arial"/>
          <w:color w:val="000000" w:themeColor="text1"/>
          <w:lang w:val="en-US"/>
        </w:rPr>
        <w:t>pre-transplant</w:t>
      </w:r>
      <w:r w:rsidR="005F756A" w:rsidRPr="00383A0F">
        <w:rPr>
          <w:rFonts w:ascii="Book Antiqua" w:hAnsi="Book Antiqua" w:cs="Arial"/>
          <w:color w:val="000000" w:themeColor="text1"/>
          <w:lang w:val="en-US"/>
        </w:rPr>
        <w:t xml:space="preserve"> social and psychiatric evaluation on </w:t>
      </w:r>
      <w:r w:rsidR="00A65C47" w:rsidRPr="00383A0F">
        <w:rPr>
          <w:rFonts w:ascii="Book Antiqua" w:hAnsi="Book Antiqua" w:cs="Arial"/>
          <w:color w:val="000000" w:themeColor="text1"/>
          <w:lang w:val="en-US"/>
        </w:rPr>
        <w:t>post-transplant</w:t>
      </w:r>
      <w:r w:rsidR="005F756A" w:rsidRPr="00383A0F">
        <w:rPr>
          <w:rFonts w:ascii="Book Antiqua" w:hAnsi="Book Antiqua" w:cs="Arial"/>
          <w:color w:val="000000" w:themeColor="text1"/>
          <w:lang w:val="en-US"/>
        </w:rPr>
        <w:t xml:space="preserve"> outcome. In particular, it is not clear whether, in the case of critically ill patients, a prolonged and thorough evaluation (one that would have been conducted </w:t>
      </w:r>
      <w:r w:rsidR="005F756A" w:rsidRPr="003E14C0">
        <w:rPr>
          <w:rFonts w:ascii="Book Antiqua" w:hAnsi="Book Antiqua" w:cs="Arial"/>
          <w:color w:val="000000" w:themeColor="text1"/>
          <w:lang w:val="en-US"/>
        </w:rPr>
        <w:t>before</w:t>
      </w:r>
      <w:r w:rsidR="005F756A" w:rsidRPr="00383A0F">
        <w:rPr>
          <w:rFonts w:ascii="Book Antiqua" w:hAnsi="Book Antiqua" w:cs="Arial"/>
          <w:i/>
          <w:color w:val="000000" w:themeColor="text1"/>
          <w:lang w:val="en-US"/>
        </w:rPr>
        <w:t xml:space="preserve"> </w:t>
      </w:r>
      <w:r w:rsidR="005F756A" w:rsidRPr="00383A0F">
        <w:rPr>
          <w:rFonts w:ascii="Book Antiqua" w:hAnsi="Book Antiqua" w:cs="Arial"/>
          <w:color w:val="000000" w:themeColor="text1"/>
          <w:lang w:val="en-US"/>
        </w:rPr>
        <w:t>the chronic decompensation) is an absolute prerequisite for LT or if a minimal</w:t>
      </w:r>
      <w:r w:rsidR="006C7F44" w:rsidRPr="00383A0F">
        <w:rPr>
          <w:rFonts w:ascii="Book Antiqua" w:hAnsi="Book Antiqua" w:cs="Arial"/>
          <w:color w:val="000000" w:themeColor="text1"/>
          <w:lang w:val="en-US"/>
        </w:rPr>
        <w:t xml:space="preserve"> medical, social and psychiatric</w:t>
      </w:r>
      <w:r w:rsidR="005F756A" w:rsidRPr="00383A0F">
        <w:rPr>
          <w:rFonts w:ascii="Book Antiqua" w:hAnsi="Book Antiqua" w:cs="Arial"/>
          <w:color w:val="000000" w:themeColor="text1"/>
          <w:lang w:val="en-US"/>
        </w:rPr>
        <w:t xml:space="preserve"> screening </w:t>
      </w:r>
      <w:r w:rsidR="009830B9" w:rsidRPr="00383A0F">
        <w:rPr>
          <w:rFonts w:ascii="Book Antiqua" w:hAnsi="Book Antiqua" w:cs="Arial"/>
          <w:color w:val="000000" w:themeColor="text1"/>
          <w:lang w:val="en-US"/>
        </w:rPr>
        <w:t xml:space="preserve">conducted </w:t>
      </w:r>
      <w:r w:rsidR="005F756A" w:rsidRPr="00383A0F">
        <w:rPr>
          <w:rFonts w:ascii="Book Antiqua" w:hAnsi="Book Antiqua" w:cs="Arial"/>
          <w:color w:val="000000" w:themeColor="text1"/>
          <w:lang w:val="en-US"/>
        </w:rPr>
        <w:t xml:space="preserve">within the ICU for critically ill patients with no previous decompensation </w:t>
      </w:r>
      <w:r w:rsidR="009830B9" w:rsidRPr="00383A0F">
        <w:rPr>
          <w:rFonts w:ascii="Book Antiqua" w:hAnsi="Book Antiqua" w:cs="Arial"/>
          <w:color w:val="000000" w:themeColor="text1"/>
          <w:lang w:val="en-US"/>
        </w:rPr>
        <w:t xml:space="preserve">or regular </w:t>
      </w:r>
      <w:r w:rsidR="005F756A" w:rsidRPr="00383A0F">
        <w:rPr>
          <w:rFonts w:ascii="Book Antiqua" w:hAnsi="Book Antiqua" w:cs="Arial"/>
          <w:color w:val="000000" w:themeColor="text1"/>
          <w:lang w:val="en-US"/>
        </w:rPr>
        <w:t xml:space="preserve">medical </w:t>
      </w:r>
      <w:r w:rsidR="009830B9" w:rsidRPr="00383A0F">
        <w:rPr>
          <w:rFonts w:ascii="Book Antiqua" w:hAnsi="Book Antiqua" w:cs="Arial"/>
          <w:color w:val="000000" w:themeColor="text1"/>
          <w:lang w:val="en-US"/>
        </w:rPr>
        <w:t xml:space="preserve">check-ups </w:t>
      </w:r>
      <w:r w:rsidR="005F756A" w:rsidRPr="00383A0F">
        <w:rPr>
          <w:rFonts w:ascii="Book Antiqua" w:hAnsi="Book Antiqua" w:cs="Arial"/>
          <w:color w:val="000000" w:themeColor="text1"/>
          <w:lang w:val="en-US"/>
        </w:rPr>
        <w:t xml:space="preserve">could </w:t>
      </w:r>
      <w:r w:rsidR="006C7F44" w:rsidRPr="00383A0F">
        <w:rPr>
          <w:rFonts w:ascii="Book Antiqua" w:hAnsi="Book Antiqua" w:cs="Arial"/>
          <w:color w:val="000000" w:themeColor="text1"/>
          <w:lang w:val="en-US"/>
        </w:rPr>
        <w:t xml:space="preserve">potentially suffice to put patients on a transplant waiting list. The complexity of this medical and ethical puzzle defies simple answers and straightforward protocols. We can only recommend </w:t>
      </w:r>
      <w:r w:rsidR="001F779D" w:rsidRPr="00383A0F">
        <w:rPr>
          <w:rFonts w:ascii="Book Antiqua" w:hAnsi="Book Antiqua" w:cs="Arial"/>
          <w:color w:val="000000" w:themeColor="text1"/>
          <w:lang w:val="en-US"/>
        </w:rPr>
        <w:t>following</w:t>
      </w:r>
      <w:r w:rsidR="006C7F44" w:rsidRPr="00383A0F">
        <w:rPr>
          <w:rFonts w:ascii="Book Antiqua" w:hAnsi="Book Antiqua" w:cs="Arial"/>
          <w:color w:val="000000" w:themeColor="text1"/>
          <w:lang w:val="en-US"/>
        </w:rPr>
        <w:t xml:space="preserve"> Mathurin</w:t>
      </w:r>
      <w:r>
        <w:rPr>
          <w:rFonts w:ascii="Book Antiqua" w:hAnsi="Book Antiqua" w:cs="Arial"/>
          <w:color w:val="000000" w:themeColor="text1"/>
          <w:lang w:val="en-US"/>
        </w:rPr>
        <w:t xml:space="preserve"> </w:t>
      </w:r>
      <w:r w:rsidRPr="003E14C0">
        <w:rPr>
          <w:rFonts w:ascii="Book Antiqua" w:hAnsi="Book Antiqua" w:cs="Arial"/>
          <w:i/>
          <w:color w:val="000000" w:themeColor="text1"/>
          <w:lang w:val="en-US"/>
        </w:rPr>
        <w:t>et al</w:t>
      </w:r>
      <w:r w:rsidRPr="00383A0F">
        <w:rPr>
          <w:rFonts w:ascii="Book Antiqua" w:hAnsi="Book Antiqua" w:cs="Arial"/>
          <w:color w:val="000000" w:themeColor="text1"/>
          <w:lang w:val="en-US"/>
        </w:rPr>
        <w:fldChar w:fldCharType="begin"/>
      </w:r>
      <w:r w:rsidRPr="00383A0F">
        <w:rPr>
          <w:rFonts w:ascii="Book Antiqua" w:hAnsi="Book Antiqua" w:cs="Arial"/>
          <w:color w:val="000000" w:themeColor="text1"/>
          <w:lang w:val="en-US"/>
        </w:rPr>
        <w:instrText xml:space="preserve"> ADDIN ZOTERO_ITEM CSL_CITATION {"citationID":"XhGcSpdB","properties":{"formattedCitation":"\\super [74]\\nosupersub{}","plainCitation":"[74]","noteIndex":0},"citationItems":[{"id":493,"uris":["http://zotero.org/users/local/BE2xVPev/items/7X4XSXBY"],"uri":["http://zotero.org/users/local/BE2xVPev/items/7X4XSXBY"],"itemData":{"id":493,"type":"article-journal","title":"Are preoperative patterns of alcohol consumption predictive of relapse after liver transplantation for alcoholic liver disease?","container-title":"Transplant International: Official Journal of the European Society for Organ Transplantation","page":"1292-1297","volume":"18","issue":"11","source":"PubMed","abstract":"Predictive factors for alcoholic relapse after liver transplantation (LT) performed for alcoholic liver disease (ALD) have been assessed in numerous studies, often with contradictory results. The aim of the study was to assess pretransplantation alcohol consumption characteristics on alcoholic relapse after LT. Patients transplanted for ALD for at least 6 months were included. An anonymous questionnaire assessed socio-demographic characteristics, medical history, and alcohol consumption before and after LT. Relapse was defined as any alcohol use after LT. Severe relapse was defined by heavy drinking: more than 21 units/week for males and 14 units/week for females. A total of 61 patients were studied. The mean follow up after LT was 49 +/- 34 months. Alcoholic relapse occurred in 32 of 61 patients (52%) and severe relapse in eight of 61 patients (13%). Risk factors for severe relapse were: length of abstinence before LT (P = 0.0001), more than one alcohol withdrawal before LT (P = 0.001), alcohol dependence (P = 0.05), alcohol abuse in first relatives (P = 0.05), and younger age (P = 0.05). Information on previous alcohol consumption (dependence, number of withdrawals, family history) helps to predict severe relapse after LT in patients with ALD, allowing early awareness and specific postoperative care.","DOI":"10.1111/j.1432-2277.2005.00208.x","ISSN":"0934-0874","note":"PMID: 16221161","journalAbbreviation":"Transpl. Int.","language":"eng","author":[{"family":"Perney","given":"Pascal"},{"family":"Bismuth","given":"Michaël"},{"family":"Sigaud","given":"Hélène"},{"family":"Picot","given":"Marie Christine"},{"family":"Jacquet","given":"Eric"},{"family":"Puche","given":"Pierre"},{"family":"Jaber","given":"Samir"},{"family":"Rigole","given":"Hélène"},{"family":"Navarro","given":"Françis"},{"family":"Eledjam","given":"Jean-Jacques"},{"family":"Blanc","given":"François"},{"family":"Larrey","given":"Dominique"},{"family":"Pageaux","given":"Georges-Philippe"}],"issued":{"date-parts":[["2005",11]]}}}],"schema":"https://github.com/citation-style-language/schema/raw/master/csl-citation.json"} </w:instrText>
      </w:r>
      <w:r w:rsidRPr="00383A0F">
        <w:rPr>
          <w:rFonts w:ascii="Book Antiqua" w:hAnsi="Book Antiqua" w:cs="Arial"/>
          <w:color w:val="000000" w:themeColor="text1"/>
          <w:lang w:val="en-US"/>
        </w:rPr>
        <w:fldChar w:fldCharType="separate"/>
      </w:r>
      <w:r w:rsidRPr="00383A0F">
        <w:rPr>
          <w:rFonts w:ascii="Book Antiqua" w:hAnsi="Book Antiqua"/>
          <w:color w:val="000000" w:themeColor="text1"/>
          <w:vertAlign w:val="superscript"/>
          <w:lang w:val="en-US"/>
        </w:rPr>
        <w:t>[74]</w:t>
      </w:r>
      <w:r w:rsidRPr="00383A0F">
        <w:rPr>
          <w:rFonts w:ascii="Book Antiqua" w:hAnsi="Book Antiqua" w:cs="Arial"/>
          <w:color w:val="000000" w:themeColor="text1"/>
          <w:lang w:val="en-US"/>
        </w:rPr>
        <w:fldChar w:fldCharType="end"/>
      </w:r>
      <w:r w:rsidR="001F779D" w:rsidRPr="00383A0F">
        <w:rPr>
          <w:rFonts w:ascii="Book Antiqua" w:hAnsi="Book Antiqua" w:cs="Arial"/>
          <w:color w:val="000000" w:themeColor="text1"/>
          <w:lang w:val="en-US"/>
        </w:rPr>
        <w:t>’s approach</w:t>
      </w:r>
      <w:r w:rsidR="00111210" w:rsidRPr="00383A0F">
        <w:rPr>
          <w:rFonts w:ascii="Book Antiqua" w:hAnsi="Book Antiqua" w:cs="Arial"/>
          <w:color w:val="000000" w:themeColor="text1"/>
          <w:lang w:val="en-US"/>
        </w:rPr>
        <w:t>:</w:t>
      </w:r>
      <w:r w:rsidR="001F779D" w:rsidRPr="00383A0F">
        <w:rPr>
          <w:rFonts w:ascii="Book Antiqua" w:hAnsi="Book Antiqua" w:cs="Arial"/>
          <w:color w:val="000000" w:themeColor="text1"/>
          <w:lang w:val="en-US"/>
        </w:rPr>
        <w:t xml:space="preserve"> </w:t>
      </w:r>
      <w:r w:rsidR="00F30AF0" w:rsidRPr="00383A0F">
        <w:rPr>
          <w:rFonts w:ascii="Book Antiqua" w:hAnsi="Book Antiqua" w:cs="Arial"/>
          <w:color w:val="000000" w:themeColor="text1"/>
          <w:lang w:val="en-US"/>
        </w:rPr>
        <w:t>evaluat</w:t>
      </w:r>
      <w:r w:rsidR="009830B9" w:rsidRPr="00383A0F">
        <w:rPr>
          <w:rFonts w:ascii="Book Antiqua" w:hAnsi="Book Antiqua" w:cs="Arial"/>
          <w:color w:val="000000" w:themeColor="text1"/>
          <w:lang w:val="en-US"/>
        </w:rPr>
        <w:t>e</w:t>
      </w:r>
      <w:r w:rsidR="006C7F44" w:rsidRPr="00383A0F">
        <w:rPr>
          <w:rFonts w:ascii="Book Antiqua" w:hAnsi="Book Antiqua" w:cs="Arial"/>
          <w:color w:val="000000" w:themeColor="text1"/>
          <w:lang w:val="en-US"/>
        </w:rPr>
        <w:t xml:space="preserve"> c</w:t>
      </w:r>
      <w:r w:rsidR="00F30AF0" w:rsidRPr="00383A0F">
        <w:rPr>
          <w:rFonts w:ascii="Book Antiqua" w:hAnsi="Book Antiqua" w:cs="Arial"/>
          <w:color w:val="000000" w:themeColor="text1"/>
          <w:lang w:val="en-US"/>
        </w:rPr>
        <w:t>ritically ill patients in multi-</w:t>
      </w:r>
      <w:r w:rsidR="006C7F44" w:rsidRPr="00383A0F">
        <w:rPr>
          <w:rFonts w:ascii="Book Antiqua" w:hAnsi="Book Antiqua" w:cs="Arial"/>
          <w:color w:val="000000" w:themeColor="text1"/>
          <w:lang w:val="en-US"/>
        </w:rPr>
        <w:t xml:space="preserve">disciplinary meetings and through discussions with the patients’ </w:t>
      </w:r>
      <w:r w:rsidR="001F779D" w:rsidRPr="00383A0F">
        <w:rPr>
          <w:rFonts w:ascii="Book Antiqua" w:hAnsi="Book Antiqua" w:cs="Arial"/>
          <w:color w:val="000000" w:themeColor="text1"/>
          <w:lang w:val="en-US"/>
        </w:rPr>
        <w:t>relatives</w:t>
      </w:r>
      <w:r w:rsidR="00D10AEF" w:rsidRPr="00383A0F">
        <w:rPr>
          <w:rFonts w:ascii="Book Antiqua" w:hAnsi="Book Antiqua" w:cs="Arial"/>
          <w:color w:val="000000" w:themeColor="text1"/>
          <w:lang w:val="en-US"/>
        </w:rPr>
        <w:t xml:space="preserve"> and assess the history and degree of addiction, the duration of abstinence and the potential relapses in order to estimate</w:t>
      </w:r>
      <w:r w:rsidR="00111210" w:rsidRPr="00383A0F">
        <w:rPr>
          <w:rFonts w:ascii="Book Antiqua" w:hAnsi="Book Antiqua" w:cs="Arial"/>
          <w:color w:val="000000" w:themeColor="text1"/>
          <w:lang w:val="en-US"/>
        </w:rPr>
        <w:t xml:space="preserve"> subjectively</w:t>
      </w:r>
      <w:r w:rsidR="00D10AEF" w:rsidRPr="00383A0F">
        <w:rPr>
          <w:rFonts w:ascii="Book Antiqua" w:hAnsi="Book Antiqua" w:cs="Arial"/>
          <w:color w:val="000000" w:themeColor="text1"/>
          <w:lang w:val="en-US"/>
        </w:rPr>
        <w:t xml:space="preserve"> the risk of future relapse</w:t>
      </w:r>
      <w:r w:rsidR="00F7734D" w:rsidRPr="00383A0F">
        <w:rPr>
          <w:rFonts w:ascii="Book Antiqua" w:hAnsi="Book Antiqua" w:cs="Arial"/>
          <w:color w:val="000000" w:themeColor="text1"/>
          <w:lang w:val="en-US"/>
        </w:rPr>
        <w:t xml:space="preserve">. </w:t>
      </w:r>
    </w:p>
    <w:p w14:paraId="051377DB" w14:textId="77777777" w:rsidR="00A1519B" w:rsidRPr="00383A0F" w:rsidRDefault="00A1519B" w:rsidP="00383A0F">
      <w:pPr>
        <w:adjustRightInd w:val="0"/>
        <w:snapToGrid w:val="0"/>
        <w:spacing w:line="360" w:lineRule="auto"/>
        <w:jc w:val="both"/>
        <w:rPr>
          <w:rFonts w:ascii="Book Antiqua" w:hAnsi="Book Antiqua" w:cs="Arial"/>
          <w:b/>
          <w:color w:val="000000" w:themeColor="text1"/>
          <w:lang w:val="en-US"/>
        </w:rPr>
      </w:pPr>
    </w:p>
    <w:p w14:paraId="3E1CD410" w14:textId="121C6184" w:rsidR="008A1585" w:rsidRPr="00383A0F" w:rsidRDefault="0026656A" w:rsidP="000F1A83">
      <w:pPr>
        <w:adjustRightInd w:val="0"/>
        <w:snapToGrid w:val="0"/>
        <w:spacing w:line="360" w:lineRule="auto"/>
        <w:jc w:val="both"/>
        <w:outlineLvl w:val="0"/>
        <w:rPr>
          <w:rFonts w:ascii="Book Antiqua" w:hAnsi="Book Antiqua" w:cs="Arial"/>
          <w:b/>
          <w:color w:val="000000" w:themeColor="text1"/>
          <w:lang w:val="en-US"/>
        </w:rPr>
      </w:pPr>
      <w:r w:rsidRPr="00383A0F">
        <w:rPr>
          <w:rFonts w:ascii="Book Antiqua" w:hAnsi="Book Antiqua" w:cs="Arial"/>
          <w:b/>
          <w:color w:val="000000" w:themeColor="text1"/>
          <w:lang w:val="en-US"/>
        </w:rPr>
        <w:t xml:space="preserve">PRACTICAL PROPOSALES AND </w:t>
      </w:r>
      <w:r w:rsidR="00953928" w:rsidRPr="00383A0F">
        <w:rPr>
          <w:rFonts w:ascii="Book Antiqua" w:hAnsi="Book Antiqua" w:cs="Arial"/>
          <w:b/>
          <w:color w:val="000000" w:themeColor="text1"/>
          <w:lang w:val="en-US"/>
        </w:rPr>
        <w:t>FUTURE PERSPECTIVES</w:t>
      </w:r>
    </w:p>
    <w:p w14:paraId="3D201DE9" w14:textId="77777777" w:rsidR="00EB716A" w:rsidRPr="00383A0F" w:rsidRDefault="00104060" w:rsidP="000F1A83">
      <w:pPr>
        <w:pStyle w:val="a3"/>
        <w:adjustRightInd w:val="0"/>
        <w:snapToGrid w:val="0"/>
        <w:spacing w:line="360" w:lineRule="auto"/>
        <w:ind w:left="0"/>
        <w:contextualSpacing w:val="0"/>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Inherent limitations</w:t>
      </w:r>
    </w:p>
    <w:p w14:paraId="45E6A885" w14:textId="5BB7D2EA" w:rsidR="00EB716A" w:rsidRPr="00383A0F" w:rsidRDefault="00EB716A"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Transplant centers apply different criteria to </w:t>
      </w:r>
      <w:r w:rsidR="00C261B5" w:rsidRPr="00383A0F">
        <w:rPr>
          <w:rFonts w:ascii="Book Antiqua" w:hAnsi="Book Antiqua" w:cs="Arial"/>
          <w:color w:val="000000" w:themeColor="text1"/>
          <w:lang w:val="en-US"/>
        </w:rPr>
        <w:t>decide</w:t>
      </w:r>
      <w:r w:rsidRPr="00383A0F">
        <w:rPr>
          <w:rFonts w:ascii="Book Antiqua" w:hAnsi="Book Antiqua" w:cs="Arial"/>
          <w:color w:val="000000" w:themeColor="text1"/>
          <w:lang w:val="en-US"/>
        </w:rPr>
        <w:t xml:space="preserve"> whether or not to list critically ill patients for LT. This center-dependent preselection implies </w:t>
      </w:r>
      <w:r w:rsidR="00104060" w:rsidRPr="00383A0F">
        <w:rPr>
          <w:rFonts w:ascii="Book Antiqua" w:hAnsi="Book Antiqua" w:cs="Arial"/>
          <w:color w:val="000000" w:themeColor="text1"/>
          <w:lang w:val="en-US"/>
        </w:rPr>
        <w:t xml:space="preserve">that it is </w:t>
      </w:r>
      <w:r w:rsidRPr="00383A0F">
        <w:rPr>
          <w:rFonts w:ascii="Book Antiqua" w:hAnsi="Book Antiqua" w:cs="Arial"/>
          <w:color w:val="000000" w:themeColor="text1"/>
          <w:lang w:val="en-US"/>
        </w:rPr>
        <w:t>impossible</w:t>
      </w:r>
      <w:r w:rsidR="00104060" w:rsidRPr="00383A0F">
        <w:rPr>
          <w:rFonts w:ascii="Book Antiqua" w:hAnsi="Book Antiqua" w:cs="Arial"/>
          <w:color w:val="000000" w:themeColor="text1"/>
          <w:lang w:val="en-US"/>
        </w:rPr>
        <w:t xml:space="preserve"> to retrospectively extract </w:t>
      </w:r>
      <w:r w:rsidR="00E24E5F" w:rsidRPr="00383A0F">
        <w:rPr>
          <w:rFonts w:ascii="Book Antiqua" w:hAnsi="Book Antiqua" w:cs="Arial"/>
          <w:color w:val="000000" w:themeColor="text1"/>
          <w:lang w:val="en-US"/>
        </w:rPr>
        <w:t>post-transplant</w:t>
      </w:r>
      <w:r w:rsidR="00104060" w:rsidRPr="00383A0F">
        <w:rPr>
          <w:rFonts w:ascii="Book Antiqua" w:hAnsi="Book Antiqua" w:cs="Arial"/>
          <w:color w:val="000000" w:themeColor="text1"/>
          <w:lang w:val="en-US"/>
        </w:rPr>
        <w:t xml:space="preserve"> mortality risk factors with </w:t>
      </w:r>
      <w:r w:rsidRPr="00383A0F">
        <w:rPr>
          <w:rFonts w:ascii="Book Antiqua" w:hAnsi="Book Antiqua" w:cs="Arial"/>
          <w:color w:val="000000" w:themeColor="text1"/>
          <w:lang w:val="en-US"/>
        </w:rPr>
        <w:t xml:space="preserve">a </w:t>
      </w:r>
      <w:r w:rsidR="00104060" w:rsidRPr="00383A0F">
        <w:rPr>
          <w:rFonts w:ascii="Book Antiqua" w:hAnsi="Book Antiqua" w:cs="Arial"/>
          <w:color w:val="000000" w:themeColor="text1"/>
          <w:lang w:val="en-US"/>
        </w:rPr>
        <w:t>perfectly rigorous method</w:t>
      </w:r>
      <w:r w:rsidRPr="00383A0F">
        <w:rPr>
          <w:rFonts w:ascii="Book Antiqua" w:hAnsi="Book Antiqua" w:cs="Arial"/>
          <w:color w:val="000000" w:themeColor="text1"/>
          <w:lang w:val="en-US"/>
        </w:rPr>
        <w:t xml:space="preserve">ology. </w:t>
      </w:r>
    </w:p>
    <w:p w14:paraId="6E66053C" w14:textId="77777777" w:rsidR="008A1585" w:rsidRPr="00383A0F" w:rsidRDefault="008A1585" w:rsidP="00383A0F">
      <w:pPr>
        <w:pStyle w:val="a3"/>
        <w:adjustRightInd w:val="0"/>
        <w:snapToGrid w:val="0"/>
        <w:spacing w:line="360" w:lineRule="auto"/>
        <w:ind w:left="0"/>
        <w:contextualSpacing w:val="0"/>
        <w:jc w:val="both"/>
        <w:rPr>
          <w:rFonts w:ascii="Book Antiqua" w:hAnsi="Book Antiqua" w:cs="Arial"/>
          <w:color w:val="000000" w:themeColor="text1"/>
          <w:lang w:val="en-US"/>
        </w:rPr>
      </w:pPr>
    </w:p>
    <w:p w14:paraId="34B5C327" w14:textId="77777777" w:rsidR="00286339" w:rsidRPr="00383A0F" w:rsidRDefault="00676798" w:rsidP="000F1A83">
      <w:pPr>
        <w:pStyle w:val="a3"/>
        <w:adjustRightInd w:val="0"/>
        <w:snapToGrid w:val="0"/>
        <w:spacing w:line="360" w:lineRule="auto"/>
        <w:ind w:left="0"/>
        <w:contextualSpacing w:val="0"/>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Practical proposals and remaining uncertainties</w:t>
      </w:r>
    </w:p>
    <w:p w14:paraId="609F2D3C" w14:textId="7AF5AC4D" w:rsidR="00662560" w:rsidRPr="00383A0F" w:rsidRDefault="00676798"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We propose an algorithm </w:t>
      </w:r>
      <w:r w:rsidR="003E14C0">
        <w:rPr>
          <w:rFonts w:ascii="Book Antiqua" w:hAnsi="Book Antiqua" w:cs="Arial"/>
          <w:color w:val="000000" w:themeColor="text1"/>
          <w:lang w:val="en-US"/>
        </w:rPr>
        <w:t>(F</w:t>
      </w:r>
      <w:r w:rsidR="00182764" w:rsidRPr="00383A0F">
        <w:rPr>
          <w:rFonts w:ascii="Book Antiqua" w:hAnsi="Book Antiqua" w:cs="Arial"/>
          <w:color w:val="000000" w:themeColor="text1"/>
          <w:lang w:val="en-US"/>
        </w:rPr>
        <w:t xml:space="preserve">igure 1) </w:t>
      </w:r>
      <w:r w:rsidRPr="00383A0F">
        <w:rPr>
          <w:rFonts w:ascii="Book Antiqua" w:hAnsi="Book Antiqua" w:cs="Arial"/>
          <w:color w:val="000000" w:themeColor="text1"/>
          <w:lang w:val="en-US"/>
        </w:rPr>
        <w:t>that takes into account the evidence that has been described above in a two-step process</w:t>
      </w:r>
      <w:r w:rsidR="00EE2A08" w:rsidRPr="00383A0F">
        <w:rPr>
          <w:rFonts w:ascii="Book Antiqua" w:hAnsi="Book Antiqua" w:cs="Arial"/>
          <w:color w:val="000000" w:themeColor="text1"/>
          <w:lang w:val="en-US"/>
        </w:rPr>
        <w:t>, which distinguishes the question “to list or not to list” and “to transplant or not to transplant”</w:t>
      </w:r>
      <w:r w:rsidR="00B025B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{"citationID":"tI9JUYWX","properties":{"formattedCitation":"\\super [75]\\nosupersub{}","plainCitation":"[75]","noteIndex":0},"citationItems":[{"id":317,"uris":["http://zotero.org/users/local/BE2xVPev/items/QKF35E86"],"uri":["http://zotero.org/users/local/BE2xVPev/items/QKF35E86"],"itemData":{"id":317,"type":"article-journal","title":"When the Patient Is Sicker Than His Liver","container-title":"Annals of Surgery","page":"e93","volume":"262","issue":"6","source":"PubMed","DOI":"10.1097/SLA.0000000000000727","ISSN":"1528-1140","note":"PMID: 24937191","journalAbbreviation":"Ann. Surg.","language":"eng","author":[{"family":"Levesque","given":"Eric"},{"family":"Dhonneur","given":"Gilles"},{"family":"Feray","given":"Cyrille"},{"family":"Lim","given":"Chetana"},{"family":"Azoulay","given":"Daniel"}],"issued":{"date-parts":[["2015",12]]}}}],"schema":"https://github.com/citation-style-language/schema/raw/master/csl-citation.json"} </w:instrText>
      </w:r>
      <w:r w:rsidR="00B025B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[75]</w:t>
      </w:r>
      <w:r w:rsidR="00B025B2" w:rsidRPr="00383A0F">
        <w:rPr>
          <w:rFonts w:ascii="Book Antiqua" w:hAnsi="Book Antiqua" w:cs="Arial"/>
          <w:color w:val="000000" w:themeColor="text1"/>
          <w:lang w:val="en-US"/>
        </w:rPr>
        <w:fldChar w:fldCharType="end"/>
      </w:r>
      <w:r w:rsidR="00B025B2" w:rsidRPr="00383A0F">
        <w:rPr>
          <w:rFonts w:ascii="Book Antiqua" w:hAnsi="Book Antiqua" w:cs="Arial"/>
          <w:color w:val="000000" w:themeColor="text1"/>
          <w:lang w:val="en-US"/>
        </w:rPr>
        <w:t xml:space="preserve">. </w:t>
      </w:r>
      <w:r w:rsidR="004B276E" w:rsidRPr="00383A0F">
        <w:rPr>
          <w:rFonts w:ascii="Book Antiqua" w:hAnsi="Book Antiqua" w:cs="Arial"/>
          <w:color w:val="000000" w:themeColor="text1"/>
          <w:lang w:val="en-US"/>
        </w:rPr>
        <w:t>We have</w:t>
      </w:r>
      <w:r w:rsidR="00C67D2E" w:rsidRPr="00383A0F">
        <w:rPr>
          <w:rFonts w:ascii="Book Antiqua" w:hAnsi="Book Antiqua" w:cs="Arial"/>
          <w:color w:val="000000" w:themeColor="text1"/>
          <w:lang w:val="en-US"/>
        </w:rPr>
        <w:t xml:space="preserve"> combined the criteria that have been shown to predict post-transplant mortality for critically ill ACLF patients in our own work (lactate level &gt; 5</w:t>
      </w:r>
      <w:r w:rsidR="003E14C0">
        <w:rPr>
          <w:rFonts w:ascii="Book Antiqua" w:hAnsi="Book Antiqua" w:cs="Arial"/>
          <w:color w:val="000000" w:themeColor="text1"/>
          <w:lang w:val="en-US"/>
        </w:rPr>
        <w:t xml:space="preserve"> </w:t>
      </w:r>
      <w:r w:rsidR="00C67D2E" w:rsidRPr="00383A0F">
        <w:rPr>
          <w:rFonts w:ascii="Book Antiqua" w:hAnsi="Book Antiqua" w:cs="Arial"/>
          <w:color w:val="000000" w:themeColor="text1"/>
          <w:lang w:val="en-US"/>
        </w:rPr>
        <w:t>mmol/L and PaO</w:t>
      </w:r>
      <w:r w:rsidR="00C67D2E" w:rsidRPr="00383A0F">
        <w:rPr>
          <w:rFonts w:ascii="Book Antiqua" w:hAnsi="Book Antiqua" w:cs="Arial"/>
          <w:color w:val="000000" w:themeColor="text1"/>
          <w:vertAlign w:val="subscript"/>
          <w:lang w:val="en-US"/>
        </w:rPr>
        <w:t>2</w:t>
      </w:r>
      <w:r w:rsidR="00C67D2E" w:rsidRPr="00383A0F">
        <w:rPr>
          <w:rFonts w:ascii="Book Antiqua" w:hAnsi="Book Antiqua" w:cs="Arial"/>
          <w:color w:val="000000" w:themeColor="text1"/>
          <w:lang w:val="en-US"/>
        </w:rPr>
        <w:t>/FiO</w:t>
      </w:r>
      <w:r w:rsidR="00C67D2E" w:rsidRPr="00383A0F">
        <w:rPr>
          <w:rFonts w:ascii="Book Antiqua" w:hAnsi="Book Antiqua" w:cs="Arial"/>
          <w:color w:val="000000" w:themeColor="text1"/>
          <w:vertAlign w:val="subscript"/>
          <w:lang w:val="en-US"/>
        </w:rPr>
        <w:t xml:space="preserve">2 </w:t>
      </w:r>
      <w:r w:rsidR="00C67D2E" w:rsidRPr="00383A0F">
        <w:rPr>
          <w:rFonts w:ascii="Book Antiqua" w:hAnsi="Book Antiqua" w:cs="Arial"/>
          <w:color w:val="000000" w:themeColor="text1"/>
          <w:lang w:val="en-US"/>
        </w:rPr>
        <w:t>&lt; 200</w:t>
      </w:r>
      <w:r w:rsidR="003E14C0">
        <w:rPr>
          <w:rFonts w:ascii="Book Antiqua" w:hAnsi="Book Antiqua" w:cs="Arial"/>
          <w:color w:val="000000" w:themeColor="text1"/>
          <w:lang w:val="en-US"/>
        </w:rPr>
        <w:t xml:space="preserve"> </w:t>
      </w:r>
      <w:r w:rsidR="00C67D2E" w:rsidRPr="00383A0F">
        <w:rPr>
          <w:rFonts w:ascii="Book Antiqua" w:hAnsi="Book Antiqua" w:cs="Arial"/>
          <w:color w:val="000000" w:themeColor="text1"/>
          <w:lang w:val="en-US"/>
        </w:rPr>
        <w:t>mmHg)</w:t>
      </w:r>
      <w:r w:rsidR="0075796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{"citationID":"zCpxqeVj","properties":{"formattedCitation":"\\super [44]\\nosupersub{}","plainCitation":"[44]","noteIndex":0},"citationItems":[{"id":337,"uris":["http://zotero.org/users/local/BE2xVPev/items/LIQHZU2B"],"uri":["http://zotero.org/users/local/BE2xVPev/items/LIQHZU2B"],"itemData":{"id":337,"type":"article-journal","title":"Liver transplantation in critically ill patients: Preoperative predictive factors of post-transplant mortality to avoid futility","container-title":"Clinical Transplantation","volume":"31","issue":"12","source":"PubMed","abstract":"BACKGROUND: The allocation of liver transplants to patients with acute liver failure (ALF) and acute-on-chronic liver failure (ACLF) with multi-organ failure who are admitted in ICU remains controversial due to their high post-transplant mortality rate and the absence of identified mortality risk factors.\nMETHODS: We performed a single-center retrospective cohort study to determine the post-transplant mortality rate of patients with ALF and ACLF requiring ICU care prior to liver transplant (LT) and identified pretransplant factors of post-transplant mortality.\nRESULTS: Eighty-four patients (29 with ALF and 55 with ACLF) received a liver transplant while they were hospitalized at the ICU. Their mean model for end-stage liver disease (MELD) score was 41, and their mean sequential organ failure assessment (SOFA) was 15 the day before transplant. The overall 1-year survival rate was 66%. In multivariate analysis, pretransplant lactate level and acute respiratory distress syndrome (ARDS) were the only two independent factors associated with post-transplant mortality. The absence of ARDS and a pretransplant lactate level&lt; 5 mmol/L led to the identification of a subgroup of ICU patients with a good 1-year post-transplant survival (&gt;80%).\nCONCLUSIONS: Low lactatemia lactate level and the absence of ARDS could be useful criteria in selecting those patients in ICU who could be eligible for liver transplant.","DOI":"10.1111/ctr.13115","ISSN":"1399-0012","note":"PMID: 28895204","shortTitle":"Liver transplantation in critically ill patients","journalAbbreviation":"Clin Transplant","language":"eng","author":[{"family":"Michard","given":"Baptiste"},{"family":"Artzner","given":"Thierry"},{"family":"Lebas","given":"Benjamin"},{"family":"Besch","given":"Camille"},{"family":"Guillot","given":"Max"},{"family":"Faitot","given":"François"},{"family":"Lefebvre","given":"François"},{"family":"Bachellier","given":"Philippe"},{"family":"Castelain","given":"Vincent"},{"family":"Maestraggi","given":"Quentin"},{"family":"Schneider","given":"Francis"}],"issued":{"date-parts":[["2017",12]]}}}],"schema":"https://github.com/citation-style-language/schema/raw/master/csl-citation.json"} </w:instrText>
      </w:r>
      <w:r w:rsidR="0075796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[44]</w:t>
      </w:r>
      <w:r w:rsidR="00757962" w:rsidRPr="00383A0F">
        <w:rPr>
          <w:rFonts w:ascii="Book Antiqua" w:hAnsi="Book Antiqua" w:cs="Arial"/>
          <w:color w:val="000000" w:themeColor="text1"/>
          <w:lang w:val="en-US"/>
        </w:rPr>
        <w:fldChar w:fldCharType="end"/>
      </w:r>
      <w:r w:rsidR="00C67D2E" w:rsidRPr="00383A0F">
        <w:rPr>
          <w:rFonts w:ascii="Book Antiqua" w:hAnsi="Book Antiqua" w:cs="Arial"/>
          <w:color w:val="000000" w:themeColor="text1"/>
          <w:lang w:val="en-US"/>
        </w:rPr>
        <w:t xml:space="preserve"> and those used by </w:t>
      </w:r>
      <w:proofErr w:type="spellStart"/>
      <w:r w:rsidR="00286339" w:rsidRPr="00383A0F">
        <w:rPr>
          <w:rFonts w:ascii="Book Antiqua" w:hAnsi="Book Antiqua" w:cs="Arial"/>
          <w:color w:val="000000" w:themeColor="text1"/>
          <w:lang w:val="en-US"/>
        </w:rPr>
        <w:t>Artru</w:t>
      </w:r>
      <w:proofErr w:type="spellEnd"/>
      <w:r w:rsidR="00286339" w:rsidRPr="00383A0F">
        <w:rPr>
          <w:rFonts w:ascii="Book Antiqua" w:hAnsi="Book Antiqua" w:cs="Arial"/>
          <w:color w:val="000000" w:themeColor="text1"/>
          <w:lang w:val="en-US"/>
        </w:rPr>
        <w:t xml:space="preserve"> </w:t>
      </w:r>
      <w:r w:rsidR="003E14C0" w:rsidRPr="003E14C0">
        <w:rPr>
          <w:rFonts w:ascii="Book Antiqua" w:hAnsi="Book Antiqua" w:cs="Arial"/>
          <w:i/>
          <w:color w:val="000000" w:themeColor="text1"/>
          <w:lang w:val="en-US"/>
        </w:rPr>
        <w:t>et al</w:t>
      </w:r>
      <w:r w:rsidR="003E14C0" w:rsidRPr="00383A0F">
        <w:rPr>
          <w:rFonts w:ascii="Book Antiqua" w:hAnsi="Book Antiqua" w:cs="Arial"/>
          <w:color w:val="000000" w:themeColor="text1"/>
          <w:lang w:val="en-US"/>
        </w:rPr>
        <w:fldChar w:fldCharType="begin"/>
      </w:r>
      <w:r w:rsidR="003E14C0" w:rsidRPr="00383A0F">
        <w:rPr>
          <w:rFonts w:ascii="Book Antiqua" w:hAnsi="Book Antiqua" w:cs="Arial"/>
          <w:color w:val="000000" w:themeColor="text1"/>
          <w:lang w:val="en-US"/>
        </w:rPr>
        <w:instrText xml:space="preserve"> ADDIN ZOTERO_ITEM CSL_CITATION {"citationID":"6spSqQTb","properties":{"formattedCitation":"\\super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3E14C0" w:rsidRPr="00383A0F">
        <w:rPr>
          <w:rFonts w:ascii="Book Antiqua" w:hAnsi="Book Antiqua" w:cs="Arial"/>
          <w:color w:val="000000" w:themeColor="text1"/>
          <w:lang w:val="en-US"/>
        </w:rPr>
        <w:fldChar w:fldCharType="separate"/>
      </w:r>
      <w:r w:rsidR="003E14C0" w:rsidRPr="00383A0F">
        <w:rPr>
          <w:rFonts w:ascii="Book Antiqua" w:hAnsi="Book Antiqua"/>
          <w:color w:val="000000" w:themeColor="text1"/>
          <w:vertAlign w:val="superscript"/>
          <w:lang w:val="en-US"/>
        </w:rPr>
        <w:t>[10]</w:t>
      </w:r>
      <w:r w:rsidR="003E14C0" w:rsidRPr="00383A0F">
        <w:rPr>
          <w:rFonts w:ascii="Book Antiqua" w:hAnsi="Book Antiqua" w:cs="Arial"/>
          <w:color w:val="000000" w:themeColor="text1"/>
          <w:lang w:val="en-US"/>
        </w:rPr>
        <w:fldChar w:fldCharType="end"/>
      </w:r>
      <w:r w:rsidR="003E14C0">
        <w:rPr>
          <w:rFonts w:ascii="Book Antiqua" w:hAnsi="Book Antiqua" w:cs="Arial"/>
          <w:color w:val="000000" w:themeColor="text1"/>
          <w:lang w:val="en-US"/>
        </w:rPr>
        <w:t xml:space="preserve"> </w:t>
      </w:r>
      <w:r w:rsidR="00286339" w:rsidRPr="00383A0F">
        <w:rPr>
          <w:rFonts w:ascii="Book Antiqua" w:hAnsi="Book Antiqua" w:cs="Arial"/>
          <w:color w:val="000000" w:themeColor="text1"/>
          <w:lang w:val="en-US"/>
        </w:rPr>
        <w:t xml:space="preserve">to select the ACLF 3 patients that </w:t>
      </w:r>
      <w:r w:rsidR="00023443" w:rsidRPr="00383A0F">
        <w:rPr>
          <w:rFonts w:ascii="Book Antiqua" w:hAnsi="Book Antiqua" w:cs="Arial"/>
          <w:color w:val="000000" w:themeColor="text1"/>
          <w:lang w:val="en-US"/>
        </w:rPr>
        <w:t>were not</w:t>
      </w:r>
      <w:r w:rsidR="00286339" w:rsidRPr="00383A0F">
        <w:rPr>
          <w:rFonts w:ascii="Book Antiqua" w:hAnsi="Book Antiqua" w:cs="Arial"/>
          <w:color w:val="000000" w:themeColor="text1"/>
          <w:lang w:val="en-US"/>
        </w:rPr>
        <w:t xml:space="preserve"> eligible for LT in his </w:t>
      </w:r>
      <w:r w:rsidR="000536CE" w:rsidRPr="00383A0F">
        <w:rPr>
          <w:rFonts w:ascii="Book Antiqua" w:hAnsi="Book Antiqua" w:cs="Arial"/>
          <w:color w:val="000000" w:themeColor="text1"/>
          <w:lang w:val="en-US"/>
        </w:rPr>
        <w:t xml:space="preserve">recent </w:t>
      </w:r>
      <w:r w:rsidR="00286339" w:rsidRPr="00383A0F">
        <w:rPr>
          <w:rFonts w:ascii="Book Antiqua" w:hAnsi="Book Antiqua" w:cs="Arial"/>
          <w:color w:val="000000" w:themeColor="text1"/>
          <w:lang w:val="en-US"/>
        </w:rPr>
        <w:t xml:space="preserve">multicentric study: </w:t>
      </w:r>
      <w:r w:rsidR="0012413B" w:rsidRPr="00383A0F">
        <w:rPr>
          <w:rFonts w:ascii="Book Antiqua" w:hAnsi="Book Antiqua" w:cs="Arial"/>
          <w:color w:val="000000" w:themeColor="text1"/>
          <w:lang w:val="en-US"/>
        </w:rPr>
        <w:t xml:space="preserve">patients with </w:t>
      </w:r>
      <w:r w:rsidR="00286339" w:rsidRPr="00383A0F">
        <w:rPr>
          <w:rFonts w:ascii="Book Antiqua" w:hAnsi="Book Antiqua" w:cs="Arial"/>
          <w:color w:val="000000" w:themeColor="text1"/>
          <w:lang w:val="en-US"/>
        </w:rPr>
        <w:t xml:space="preserve">active </w:t>
      </w:r>
      <w:proofErr w:type="spellStart"/>
      <w:r w:rsidR="00286339" w:rsidRPr="00383A0F">
        <w:rPr>
          <w:rFonts w:ascii="Book Antiqua" w:hAnsi="Book Antiqua" w:cs="Arial"/>
          <w:color w:val="000000" w:themeColor="text1"/>
          <w:lang w:val="en-US"/>
        </w:rPr>
        <w:t>gastrointerstinal</w:t>
      </w:r>
      <w:proofErr w:type="spellEnd"/>
      <w:r w:rsidR="00286339" w:rsidRPr="00383A0F">
        <w:rPr>
          <w:rFonts w:ascii="Book Antiqua" w:hAnsi="Book Antiqua" w:cs="Arial"/>
          <w:color w:val="000000" w:themeColor="text1"/>
          <w:lang w:val="en-US"/>
        </w:rPr>
        <w:t xml:space="preserve"> bleeding, </w:t>
      </w:r>
      <w:r w:rsidR="00C67D2E" w:rsidRPr="00383A0F">
        <w:rPr>
          <w:rFonts w:ascii="Book Antiqua" w:hAnsi="Book Antiqua" w:cs="Arial"/>
          <w:color w:val="000000" w:themeColor="text1"/>
          <w:lang w:val="en-US"/>
        </w:rPr>
        <w:t>or</w:t>
      </w:r>
      <w:r w:rsidR="0012413B" w:rsidRPr="00383A0F">
        <w:rPr>
          <w:rFonts w:ascii="Book Antiqua" w:hAnsi="Book Antiqua" w:cs="Arial"/>
          <w:color w:val="000000" w:themeColor="text1"/>
          <w:lang w:val="en-US"/>
        </w:rPr>
        <w:t xml:space="preserve"> </w:t>
      </w:r>
      <w:r w:rsidR="000536CE" w:rsidRPr="00383A0F">
        <w:rPr>
          <w:rFonts w:ascii="Book Antiqua" w:hAnsi="Book Antiqua" w:cs="Arial"/>
          <w:color w:val="000000" w:themeColor="text1"/>
          <w:lang w:val="en-US"/>
        </w:rPr>
        <w:t xml:space="preserve">doses of norepinephrine </w:t>
      </w:r>
      <w:r w:rsidR="0012413B" w:rsidRPr="00383A0F">
        <w:rPr>
          <w:rFonts w:ascii="Book Antiqua" w:hAnsi="Book Antiqua" w:cs="Arial"/>
          <w:color w:val="000000" w:themeColor="text1"/>
          <w:lang w:val="en-US"/>
        </w:rPr>
        <w:t>&gt;</w:t>
      </w:r>
      <w:r w:rsidR="000536CE" w:rsidRPr="00383A0F">
        <w:rPr>
          <w:rFonts w:ascii="Book Antiqua" w:hAnsi="Book Antiqua" w:cs="Arial"/>
          <w:color w:val="000000" w:themeColor="text1"/>
          <w:lang w:val="en-US"/>
        </w:rPr>
        <w:t xml:space="preserve"> 3</w:t>
      </w:r>
      <w:r w:rsidR="003E14C0">
        <w:rPr>
          <w:rFonts w:ascii="Book Antiqua" w:hAnsi="Book Antiqua" w:cs="Arial"/>
          <w:color w:val="000000" w:themeColor="text1"/>
          <w:lang w:val="en-US"/>
        </w:rPr>
        <w:t xml:space="preserve"> </w:t>
      </w:r>
      <w:r w:rsidR="000536CE" w:rsidRPr="00383A0F">
        <w:rPr>
          <w:rFonts w:ascii="Book Antiqua" w:hAnsi="Book Antiqua" w:cs="Arial"/>
          <w:color w:val="000000" w:themeColor="text1"/>
          <w:lang w:val="en-US"/>
        </w:rPr>
        <w:t>mg/h</w:t>
      </w:r>
      <w:r w:rsidR="00C67D2E" w:rsidRPr="00383A0F">
        <w:rPr>
          <w:rFonts w:ascii="Book Antiqua" w:hAnsi="Book Antiqua" w:cs="Arial"/>
          <w:color w:val="000000" w:themeColor="text1"/>
          <w:lang w:val="en-US"/>
        </w:rPr>
        <w:t xml:space="preserve"> (patients with PaO</w:t>
      </w:r>
      <w:r w:rsidR="00C67D2E" w:rsidRPr="00383A0F">
        <w:rPr>
          <w:rFonts w:ascii="Book Antiqua" w:hAnsi="Book Antiqua" w:cs="Arial"/>
          <w:color w:val="000000" w:themeColor="text1"/>
          <w:vertAlign w:val="subscript"/>
          <w:lang w:val="en-US"/>
        </w:rPr>
        <w:t>2</w:t>
      </w:r>
      <w:r w:rsidR="00C67D2E" w:rsidRPr="00383A0F">
        <w:rPr>
          <w:rFonts w:ascii="Book Antiqua" w:hAnsi="Book Antiqua" w:cs="Arial"/>
          <w:color w:val="000000" w:themeColor="text1"/>
          <w:lang w:val="en-US"/>
        </w:rPr>
        <w:t>/FiO</w:t>
      </w:r>
      <w:r w:rsidR="00C67D2E" w:rsidRPr="00383A0F">
        <w:rPr>
          <w:rFonts w:ascii="Book Antiqua" w:hAnsi="Book Antiqua" w:cs="Arial"/>
          <w:color w:val="000000" w:themeColor="text1"/>
          <w:vertAlign w:val="subscript"/>
          <w:lang w:val="en-US"/>
        </w:rPr>
        <w:t xml:space="preserve">2 </w:t>
      </w:r>
      <w:r w:rsidR="00C67D2E" w:rsidRPr="00383A0F">
        <w:rPr>
          <w:rFonts w:ascii="Book Antiqua" w:hAnsi="Book Antiqua" w:cs="Arial"/>
          <w:color w:val="000000" w:themeColor="text1"/>
          <w:lang w:val="en-US"/>
        </w:rPr>
        <w:t>&lt; 150</w:t>
      </w:r>
      <w:r w:rsidR="003E14C0">
        <w:rPr>
          <w:rFonts w:ascii="Book Antiqua" w:hAnsi="Book Antiqua" w:cs="Arial"/>
          <w:color w:val="000000" w:themeColor="text1"/>
          <w:lang w:val="en-US"/>
        </w:rPr>
        <w:t xml:space="preserve"> </w:t>
      </w:r>
      <w:r w:rsidR="00C67D2E" w:rsidRPr="00383A0F">
        <w:rPr>
          <w:rFonts w:ascii="Book Antiqua" w:hAnsi="Book Antiqua" w:cs="Arial"/>
          <w:color w:val="000000" w:themeColor="text1"/>
          <w:lang w:val="en-US"/>
        </w:rPr>
        <w:t>mmHg</w:t>
      </w:r>
      <w:r w:rsidR="00023443" w:rsidRPr="00383A0F">
        <w:rPr>
          <w:rFonts w:ascii="Book Antiqua" w:hAnsi="Book Antiqua" w:cs="Arial"/>
          <w:color w:val="000000" w:themeColor="text1"/>
          <w:lang w:val="en-US"/>
        </w:rPr>
        <w:t xml:space="preserve"> were also excluded</w:t>
      </w:r>
      <w:r w:rsidR="00C67D2E" w:rsidRPr="00383A0F">
        <w:rPr>
          <w:rFonts w:ascii="Book Antiqua" w:hAnsi="Book Antiqua" w:cs="Arial"/>
          <w:color w:val="000000" w:themeColor="text1"/>
          <w:lang w:val="en-US"/>
        </w:rPr>
        <w:t>)</w:t>
      </w:r>
      <w:r w:rsidR="000536CE" w:rsidRPr="00383A0F">
        <w:rPr>
          <w:rFonts w:ascii="Book Antiqua" w:hAnsi="Book Antiqua" w:cs="Arial"/>
          <w:color w:val="000000" w:themeColor="text1"/>
          <w:lang w:val="en-US"/>
        </w:rPr>
        <w:t>.</w:t>
      </w:r>
      <w:r w:rsidR="00286339" w:rsidRPr="00383A0F">
        <w:rPr>
          <w:rFonts w:ascii="Book Antiqua" w:hAnsi="Book Antiqua" w:cs="Arial"/>
          <w:color w:val="000000" w:themeColor="text1"/>
          <w:lang w:val="en-US"/>
        </w:rPr>
        <w:t xml:space="preserve"> </w:t>
      </w:r>
      <w:r w:rsidR="000536CE" w:rsidRPr="00383A0F">
        <w:rPr>
          <w:rFonts w:ascii="Book Antiqua" w:hAnsi="Book Antiqua" w:cs="Arial"/>
          <w:color w:val="000000" w:themeColor="text1"/>
          <w:lang w:val="en-US"/>
        </w:rPr>
        <w:t xml:space="preserve">Given the excellent one-year survival </w:t>
      </w:r>
      <w:r w:rsidR="000536CE" w:rsidRPr="00383A0F">
        <w:rPr>
          <w:rFonts w:ascii="Book Antiqua" w:hAnsi="Book Antiqua" w:cs="Arial"/>
          <w:color w:val="000000" w:themeColor="text1"/>
          <w:lang w:val="en-US"/>
        </w:rPr>
        <w:lastRenderedPageBreak/>
        <w:t>of th</w:t>
      </w:r>
      <w:r w:rsidR="00C67D2E" w:rsidRPr="00383A0F">
        <w:rPr>
          <w:rFonts w:ascii="Book Antiqua" w:hAnsi="Book Antiqua" w:cs="Arial"/>
          <w:color w:val="000000" w:themeColor="text1"/>
          <w:lang w:val="en-US"/>
        </w:rPr>
        <w:t>ese</w:t>
      </w:r>
      <w:r w:rsidR="000536CE" w:rsidRPr="00383A0F">
        <w:rPr>
          <w:rFonts w:ascii="Book Antiqua" w:hAnsi="Book Antiqua" w:cs="Arial"/>
          <w:color w:val="000000" w:themeColor="text1"/>
          <w:lang w:val="en-US"/>
        </w:rPr>
        <w:t xml:space="preserve"> cohort</w:t>
      </w:r>
      <w:r w:rsidR="00C67D2E" w:rsidRPr="00383A0F">
        <w:rPr>
          <w:rFonts w:ascii="Book Antiqua" w:hAnsi="Book Antiqua" w:cs="Arial"/>
          <w:color w:val="000000" w:themeColor="text1"/>
          <w:lang w:val="en-US"/>
        </w:rPr>
        <w:t>s</w:t>
      </w:r>
      <w:r w:rsidR="000536CE" w:rsidRPr="00383A0F">
        <w:rPr>
          <w:rFonts w:ascii="Book Antiqua" w:hAnsi="Book Antiqua" w:cs="Arial"/>
          <w:color w:val="000000" w:themeColor="text1"/>
          <w:lang w:val="en-US"/>
        </w:rPr>
        <w:t xml:space="preserve"> (</w:t>
      </w:r>
      <w:r w:rsidR="00C67D2E" w:rsidRPr="00383A0F">
        <w:rPr>
          <w:rFonts w:ascii="Book Antiqua" w:hAnsi="Book Antiqua" w:cs="Arial"/>
          <w:color w:val="000000" w:themeColor="text1"/>
          <w:lang w:val="en-US"/>
        </w:rPr>
        <w:t xml:space="preserve">78% for ACLF patients without these criteria in our cohort and </w:t>
      </w:r>
      <w:r w:rsidR="000536CE" w:rsidRPr="00383A0F">
        <w:rPr>
          <w:rFonts w:ascii="Book Antiqua" w:hAnsi="Book Antiqua" w:cs="Arial"/>
          <w:color w:val="000000" w:themeColor="text1"/>
          <w:lang w:val="en-US"/>
        </w:rPr>
        <w:t>84%</w:t>
      </w:r>
      <w:r w:rsidR="00C67D2E" w:rsidRPr="00383A0F">
        <w:rPr>
          <w:rFonts w:ascii="Book Antiqua" w:hAnsi="Book Antiqua" w:cs="Arial"/>
          <w:color w:val="000000" w:themeColor="text1"/>
          <w:lang w:val="en-US"/>
        </w:rPr>
        <w:t xml:space="preserve"> in </w:t>
      </w:r>
      <w:proofErr w:type="spellStart"/>
      <w:r w:rsidR="00C67D2E" w:rsidRPr="00383A0F">
        <w:rPr>
          <w:rFonts w:ascii="Book Antiqua" w:hAnsi="Book Antiqua" w:cs="Arial"/>
          <w:color w:val="000000" w:themeColor="text1"/>
          <w:lang w:val="en-US"/>
        </w:rPr>
        <w:t>Artru’s</w:t>
      </w:r>
      <w:proofErr w:type="spellEnd"/>
      <w:r w:rsidR="00C67D2E" w:rsidRPr="00383A0F">
        <w:rPr>
          <w:rFonts w:ascii="Book Antiqua" w:hAnsi="Book Antiqua" w:cs="Arial"/>
          <w:color w:val="000000" w:themeColor="text1"/>
          <w:lang w:val="en-US"/>
        </w:rPr>
        <w:t xml:space="preserve"> cohort</w:t>
      </w:r>
      <w:r w:rsidR="000536CE" w:rsidRPr="00383A0F">
        <w:rPr>
          <w:rFonts w:ascii="Book Antiqua" w:hAnsi="Book Antiqua" w:cs="Arial"/>
          <w:color w:val="000000" w:themeColor="text1"/>
          <w:lang w:val="en-US"/>
        </w:rPr>
        <w:t>)</w:t>
      </w:r>
      <w:r w:rsidR="00182764" w:rsidRPr="00383A0F">
        <w:rPr>
          <w:rFonts w:ascii="Book Antiqua" w:hAnsi="Book Antiqua" w:cs="Arial"/>
          <w:color w:val="000000" w:themeColor="text1"/>
          <w:lang w:val="en-US"/>
        </w:rPr>
        <w:t xml:space="preserve">, we believe that these criteria should be </w:t>
      </w:r>
      <w:r w:rsidR="00561333" w:rsidRPr="00383A0F">
        <w:rPr>
          <w:rFonts w:ascii="Book Antiqua" w:hAnsi="Book Antiqua" w:cs="Arial"/>
          <w:color w:val="000000" w:themeColor="text1"/>
          <w:lang w:val="en-US"/>
        </w:rPr>
        <w:t xml:space="preserve">given </w:t>
      </w:r>
      <w:r w:rsidR="00182764" w:rsidRPr="00383A0F">
        <w:rPr>
          <w:rFonts w:ascii="Book Antiqua" w:hAnsi="Book Antiqua" w:cs="Arial"/>
          <w:color w:val="000000" w:themeColor="text1"/>
          <w:lang w:val="en-US"/>
        </w:rPr>
        <w:t xml:space="preserve">particular weight in the decision to transplant critically ill patients with cirrhosis. </w:t>
      </w:r>
    </w:p>
    <w:p w14:paraId="3A156E05" w14:textId="5071E55A" w:rsidR="002F47A1" w:rsidRPr="00383A0F" w:rsidRDefault="003E14C0"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662560" w:rsidRPr="00383A0F">
        <w:rPr>
          <w:rFonts w:ascii="Book Antiqua" w:hAnsi="Book Antiqua" w:cs="Arial"/>
          <w:color w:val="000000" w:themeColor="text1"/>
          <w:lang w:val="en-US"/>
        </w:rPr>
        <w:t>These four criteria obviously have limitations. They were derived from retrospective studies and have not been validated in other cohorts. In addition, they are potentially altered by many factors (PaO</w:t>
      </w:r>
      <w:r w:rsidR="00662560" w:rsidRPr="00383A0F">
        <w:rPr>
          <w:rFonts w:ascii="Book Antiqua" w:hAnsi="Book Antiqua" w:cs="Arial"/>
          <w:color w:val="000000" w:themeColor="text1"/>
          <w:vertAlign w:val="subscript"/>
          <w:lang w:val="en-US"/>
        </w:rPr>
        <w:t>2</w:t>
      </w:r>
      <w:r w:rsidR="00662560" w:rsidRPr="00383A0F">
        <w:rPr>
          <w:rFonts w:ascii="Book Antiqua" w:hAnsi="Book Antiqua" w:cs="Arial"/>
          <w:color w:val="000000" w:themeColor="text1"/>
          <w:lang w:val="en-US"/>
        </w:rPr>
        <w:t>/FiO</w:t>
      </w:r>
      <w:r w:rsidR="00662560" w:rsidRPr="00383A0F">
        <w:rPr>
          <w:rFonts w:ascii="Book Antiqua" w:hAnsi="Book Antiqua" w:cs="Arial"/>
          <w:color w:val="000000" w:themeColor="text1"/>
          <w:vertAlign w:val="subscript"/>
          <w:lang w:val="en-US"/>
        </w:rPr>
        <w:t>2</w:t>
      </w:r>
      <w:r w:rsidR="00A204B4" w:rsidRPr="00383A0F">
        <w:rPr>
          <w:rFonts w:ascii="Book Antiqua" w:hAnsi="Book Antiqua" w:cs="Arial"/>
          <w:color w:val="000000" w:themeColor="text1"/>
          <w:lang w:val="en-US"/>
        </w:rPr>
        <w:t xml:space="preserve"> </w:t>
      </w:r>
      <w:r w:rsidR="00662560" w:rsidRPr="00383A0F">
        <w:rPr>
          <w:rFonts w:ascii="Book Antiqua" w:hAnsi="Book Antiqua" w:cs="Arial"/>
          <w:color w:val="000000" w:themeColor="text1"/>
          <w:lang w:val="en-US"/>
        </w:rPr>
        <w:t xml:space="preserve">can vary rapidly and depends on levels of positive expiratory pressure; doses of norepinephrine depend on fluid therapy and blood pressure targets). These criteria are therefore put forward </w:t>
      </w:r>
      <w:r w:rsidR="00561333" w:rsidRPr="00383A0F">
        <w:rPr>
          <w:rFonts w:ascii="Book Antiqua" w:hAnsi="Book Antiqua" w:cs="Arial"/>
          <w:color w:val="000000" w:themeColor="text1"/>
          <w:lang w:val="en-US"/>
        </w:rPr>
        <w:t>in the absence</w:t>
      </w:r>
      <w:r w:rsidR="00662560" w:rsidRPr="00383A0F">
        <w:rPr>
          <w:rFonts w:ascii="Book Antiqua" w:hAnsi="Book Antiqua" w:cs="Arial"/>
          <w:color w:val="000000" w:themeColor="text1"/>
          <w:lang w:val="en-US"/>
        </w:rPr>
        <w:t xml:space="preserve"> of better evidence in the literature so far. In addition, the question of whether these criteria should be used to exclude patients from transplantation or to include them is not </w:t>
      </w:r>
      <w:r w:rsidR="00C67D2E" w:rsidRPr="00383A0F">
        <w:rPr>
          <w:rFonts w:ascii="Book Antiqua" w:hAnsi="Book Antiqua" w:cs="Arial"/>
          <w:color w:val="000000" w:themeColor="text1"/>
          <w:lang w:val="en-US"/>
        </w:rPr>
        <w:t xml:space="preserve">fully </w:t>
      </w:r>
      <w:r w:rsidR="00662560" w:rsidRPr="00383A0F">
        <w:rPr>
          <w:rFonts w:ascii="Book Antiqua" w:hAnsi="Book Antiqua" w:cs="Arial"/>
          <w:color w:val="000000" w:themeColor="text1"/>
          <w:lang w:val="en-US"/>
        </w:rPr>
        <w:t>answered</w:t>
      </w:r>
      <w:r w:rsidR="00C67D2E" w:rsidRPr="00383A0F">
        <w:rPr>
          <w:rFonts w:ascii="Book Antiqua" w:hAnsi="Book Antiqua" w:cs="Arial"/>
          <w:color w:val="000000" w:themeColor="text1"/>
          <w:lang w:val="en-US"/>
        </w:rPr>
        <w:t xml:space="preserve"> yet</w:t>
      </w:r>
      <w:r w:rsidR="00662560" w:rsidRPr="00383A0F">
        <w:rPr>
          <w:rFonts w:ascii="Book Antiqua" w:hAnsi="Book Antiqua" w:cs="Arial"/>
          <w:color w:val="000000" w:themeColor="text1"/>
          <w:lang w:val="en-US"/>
        </w:rPr>
        <w:t>. Finally, many uncertainties remain and the algorithm put forward leaves large gray areas, in particular concerning the role of renal failure, neurologic failure or sarcopenia that have all</w:t>
      </w:r>
      <w:r w:rsidR="00561333" w:rsidRPr="00383A0F">
        <w:rPr>
          <w:rFonts w:ascii="Book Antiqua" w:hAnsi="Book Antiqua" w:cs="Arial"/>
          <w:color w:val="000000" w:themeColor="text1"/>
          <w:lang w:val="en-US"/>
        </w:rPr>
        <w:t xml:space="preserve"> proved to have an impact on post-transplant outcome.</w:t>
      </w:r>
    </w:p>
    <w:p w14:paraId="5A9F8FE8" w14:textId="78F40D6B" w:rsidR="00990BE8" w:rsidRPr="00383A0F" w:rsidRDefault="003E14C0" w:rsidP="00383A0F">
      <w:pPr>
        <w:pStyle w:val="a3"/>
        <w:adjustRightInd w:val="0"/>
        <w:snapToGrid w:val="0"/>
        <w:spacing w:line="360" w:lineRule="auto"/>
        <w:ind w:left="0"/>
        <w:contextualSpacing w:val="0"/>
        <w:jc w:val="both"/>
        <w:rPr>
          <w:rFonts w:ascii="Book Antiqua" w:hAnsi="Book Antiqua" w:cs="Arial"/>
          <w:b/>
          <w:i/>
          <w:color w:val="000000" w:themeColor="text1"/>
          <w:lang w:val="en-US"/>
        </w:rPr>
      </w:pPr>
      <w:r>
        <w:rPr>
          <w:rFonts w:ascii="Book Antiqua" w:hAnsi="Book Antiqua" w:cs="Arial"/>
          <w:color w:val="000000" w:themeColor="text1"/>
          <w:lang w:val="en-US"/>
        </w:rPr>
        <w:t xml:space="preserve">  </w:t>
      </w:r>
      <w:r w:rsidR="00EE2A08" w:rsidRPr="00383A0F">
        <w:rPr>
          <w:rFonts w:ascii="Book Antiqua" w:hAnsi="Book Antiqua" w:cs="Arial"/>
          <w:color w:val="000000" w:themeColor="text1"/>
          <w:lang w:val="en-US"/>
        </w:rPr>
        <w:t xml:space="preserve">A </w:t>
      </w:r>
      <w:r w:rsidR="00A1577D" w:rsidRPr="00383A0F">
        <w:rPr>
          <w:rFonts w:ascii="Book Antiqua" w:hAnsi="Book Antiqua" w:cs="Arial"/>
          <w:color w:val="000000" w:themeColor="text1"/>
          <w:lang w:val="en-US"/>
        </w:rPr>
        <w:t>specific</w:t>
      </w:r>
      <w:r w:rsidR="00EE2A08" w:rsidRPr="00383A0F">
        <w:rPr>
          <w:rFonts w:ascii="Book Antiqua" w:hAnsi="Book Antiqua" w:cs="Arial"/>
          <w:color w:val="000000" w:themeColor="text1"/>
          <w:lang w:val="en-US"/>
        </w:rPr>
        <w:t xml:space="preserve"> group poses particular ethical and medical problems: patients who do not have initial contraindication to LT but whose clinical condition deteriorates at day 7 after admission and/or who are in critical hemodynamic or respiratory con</w:t>
      </w:r>
      <w:r w:rsidR="00E94739" w:rsidRPr="00383A0F">
        <w:rPr>
          <w:rFonts w:ascii="Book Antiqua" w:hAnsi="Book Antiqua" w:cs="Arial"/>
          <w:color w:val="000000" w:themeColor="text1"/>
          <w:lang w:val="en-US"/>
        </w:rPr>
        <w:t>dition</w:t>
      </w:r>
      <w:r w:rsidR="00C67D2E" w:rsidRPr="00383A0F">
        <w:rPr>
          <w:rFonts w:ascii="Book Antiqua" w:hAnsi="Book Antiqua" w:cs="Arial"/>
          <w:color w:val="000000" w:themeColor="text1"/>
          <w:lang w:val="en-US"/>
        </w:rPr>
        <w:t>. There is not enough evidence in the literature to definitely exclude these patients from LT</w:t>
      </w:r>
      <w:r w:rsidR="00EE2A08" w:rsidRPr="00383A0F">
        <w:rPr>
          <w:rFonts w:ascii="Book Antiqua" w:hAnsi="Book Antiqua" w:cs="Arial"/>
          <w:color w:val="000000" w:themeColor="text1"/>
          <w:lang w:val="en-US"/>
        </w:rPr>
        <w:t>.</w:t>
      </w:r>
      <w:r w:rsidR="00B025B2" w:rsidRPr="00383A0F">
        <w:rPr>
          <w:rFonts w:ascii="Book Antiqua" w:hAnsi="Book Antiqua" w:cs="Arial"/>
          <w:color w:val="000000" w:themeColor="text1"/>
          <w:lang w:val="en-US"/>
        </w:rPr>
        <w:t xml:space="preserve"> </w:t>
      </w:r>
      <w:r w:rsidR="00A1577D" w:rsidRPr="00383A0F">
        <w:rPr>
          <w:rFonts w:ascii="Book Antiqua" w:hAnsi="Book Antiqua" w:cs="Arial"/>
          <w:color w:val="000000" w:themeColor="text1"/>
          <w:lang w:val="en-US"/>
        </w:rPr>
        <w:t xml:space="preserve">Another group of patients raises important: patients with ACLF 2 or 3 whose clinical condition improves to ACLF 1 or 2 without LT. These patients </w:t>
      </w:r>
      <w:r w:rsidR="00237B81" w:rsidRPr="00383A0F">
        <w:rPr>
          <w:rFonts w:ascii="Book Antiqua" w:hAnsi="Book Antiqua" w:cs="Arial"/>
          <w:color w:val="000000" w:themeColor="text1"/>
          <w:lang w:val="en-US"/>
        </w:rPr>
        <w:t>could</w:t>
      </w:r>
      <w:r w:rsidR="00A1577D" w:rsidRPr="00383A0F">
        <w:rPr>
          <w:rFonts w:ascii="Book Antiqua" w:hAnsi="Book Antiqua" w:cs="Arial"/>
          <w:color w:val="000000" w:themeColor="text1"/>
          <w:lang w:val="en-US"/>
        </w:rPr>
        <w:t xml:space="preserve"> require some form of priori</w:t>
      </w:r>
      <w:r w:rsidR="00297E6D" w:rsidRPr="00383A0F">
        <w:rPr>
          <w:rFonts w:ascii="Book Antiqua" w:hAnsi="Book Antiqua" w:cs="Arial"/>
          <w:color w:val="000000" w:themeColor="text1"/>
          <w:lang w:val="en-US"/>
        </w:rPr>
        <w:t>ti</w:t>
      </w:r>
      <w:r w:rsidR="00A1577D" w:rsidRPr="00383A0F">
        <w:rPr>
          <w:rFonts w:ascii="Book Antiqua" w:hAnsi="Book Antiqua" w:cs="Arial"/>
          <w:color w:val="000000" w:themeColor="text1"/>
          <w:lang w:val="en-US"/>
        </w:rPr>
        <w:t xml:space="preserve">zation </w:t>
      </w:r>
      <w:r w:rsidR="00237B81" w:rsidRPr="00383A0F">
        <w:rPr>
          <w:rFonts w:ascii="Book Antiqua" w:hAnsi="Book Antiqua" w:cs="Arial"/>
          <w:color w:val="000000" w:themeColor="text1"/>
          <w:lang w:val="en-US"/>
        </w:rPr>
        <w:t xml:space="preserve">insofar as an episode of ACLF substantially </w:t>
      </w:r>
      <w:r w:rsidR="00B025B2" w:rsidRPr="00383A0F">
        <w:rPr>
          <w:rFonts w:ascii="Book Antiqua" w:hAnsi="Book Antiqua" w:cs="Arial"/>
          <w:color w:val="000000" w:themeColor="text1"/>
          <w:lang w:val="en-US"/>
        </w:rPr>
        <w:t>increases medium-term mortality</w:t>
      </w:r>
      <w:r w:rsidR="0087247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{"citationID":"SFwdtAHC","properties":{"formattedCitation":"\\super [38]\\nosupersub{}","plainCitation":"[38]","noteIndex":0},"citationItems":[{"id":485,"uris":["http://zotero.org/users/local/BE2xVPev/items/4X9BL3CQ"],"uri":["http://zotero.org/users/local/BE2xVPev/items/4X9BL3CQ"],"itemData":{"id":485,"type":"article-journal","title":"Acute-on-chronic liver failure","container-title":"Lancet (London, England)","page":"1576-1587","volume":"386","issue":"10003","source":"PubMed","abstract":"Acute-on-chronic liver failure combines an acute deterioration in liver function in an individual with pre-existing chronic liver disease and hepatic and extrahepatic organ failures, and is associated with substantial short-term mortality. Common precipitants include bacterial and viral infections, alcoholic hepatitis, and surgery, but in more than 40% of patients, no precipitating event is identified. Systemic inflammation and susceptibility to infection are characteristic pathophysiological features. A new diagnostic score, the Chronic Liver Failure Consortium (CLIF-C) organ failure score, has been developed for classification and prognostic assessment of patients with acute-on-chronic liver failure. Disease can be reversed in many patients, and thus clinical management focuses upon the identification and treatment of the precipitant while providing multiorgan-supportive care that addresses the complex pattern of physiological disturbance in critically ill patients with liver disease. Liver transplantation is a highly effective intervention in some specific cases, but recipient identification, organ availability, timing of transplantation, and high resource use are barriers to more widespread application. Recognition of acute-on-chronic liver failure as a clinically and pathophysiologically distinct syndrome with defined diagnostic and prognostic criteria will help to encourage the development of new management pathways and interventions to address the unacceptably high mortality.","DOI":"10.1016/S0140-6736(15)00309-8","ISSN":"1474-547X","note":"PMID: 26423181","journalAbbreviation":"Lancet","language":"eng","author":[{"family":"Bernal","given":"William"},{"family":"Jalan","given":"Rajiv"},{"family":"Quaglia","given":"Alberto"},{"family":"Simpson","given":"Kenneth"},{"family":"Wendon","given":"Julia"},{"family":"Burroughs","given":"Andrew"}],"issued":{"date-parts":[["2015",10,17]]}}}],"schema":"https://github.com/citation-style-language/schema/raw/master/csl-citation.json"} </w:instrText>
      </w:r>
      <w:r w:rsidR="00872477"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[38]</w:t>
      </w:r>
      <w:r w:rsidR="00872477" w:rsidRPr="00383A0F">
        <w:rPr>
          <w:rFonts w:ascii="Book Antiqua" w:hAnsi="Book Antiqua" w:cs="Arial"/>
          <w:color w:val="000000" w:themeColor="text1"/>
          <w:lang w:val="en-US"/>
        </w:rPr>
        <w:fldChar w:fldCharType="end"/>
      </w:r>
      <w:r w:rsidR="004A2F92" w:rsidRPr="00383A0F">
        <w:rPr>
          <w:rFonts w:ascii="Book Antiqua" w:hAnsi="Book Antiqua" w:cs="Arial"/>
          <w:color w:val="000000" w:themeColor="text1"/>
          <w:lang w:val="en-US"/>
        </w:rPr>
        <w:t>.</w:t>
      </w:r>
    </w:p>
    <w:p w14:paraId="1D5BAC0F" w14:textId="77777777" w:rsidR="00990BE8" w:rsidRPr="00383A0F" w:rsidRDefault="00990BE8" w:rsidP="00383A0F">
      <w:pPr>
        <w:adjustRightInd w:val="0"/>
        <w:snapToGrid w:val="0"/>
        <w:spacing w:line="360" w:lineRule="auto"/>
        <w:jc w:val="both"/>
        <w:rPr>
          <w:rFonts w:ascii="Book Antiqua" w:hAnsi="Book Antiqua" w:cs="Arial"/>
          <w:color w:val="000000" w:themeColor="text1"/>
          <w:lang w:val="en-US"/>
        </w:rPr>
      </w:pPr>
    </w:p>
    <w:p w14:paraId="728B5BE7" w14:textId="41703D77" w:rsidR="00990BE8" w:rsidRPr="00383A0F" w:rsidRDefault="00990BE8" w:rsidP="000F1A83">
      <w:pPr>
        <w:pStyle w:val="a3"/>
        <w:adjustRightInd w:val="0"/>
        <w:snapToGrid w:val="0"/>
        <w:spacing w:line="360" w:lineRule="auto"/>
        <w:ind w:left="0"/>
        <w:contextualSpacing w:val="0"/>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 xml:space="preserve">What type of </w:t>
      </w:r>
      <w:r w:rsidR="007E7A14" w:rsidRPr="00383A0F">
        <w:rPr>
          <w:rFonts w:ascii="Book Antiqua" w:hAnsi="Book Antiqua" w:cs="Arial"/>
          <w:b/>
          <w:i/>
          <w:color w:val="000000" w:themeColor="text1"/>
          <w:lang w:val="en-US"/>
        </w:rPr>
        <w:t xml:space="preserve">criteria </w:t>
      </w:r>
      <w:r w:rsidRPr="00383A0F">
        <w:rPr>
          <w:rFonts w:ascii="Book Antiqua" w:hAnsi="Book Antiqua" w:cs="Arial"/>
          <w:b/>
          <w:i/>
          <w:color w:val="000000" w:themeColor="text1"/>
          <w:lang w:val="en-US"/>
        </w:rPr>
        <w:t>are we looking for?</w:t>
      </w:r>
    </w:p>
    <w:p w14:paraId="4FCD94DC" w14:textId="45B3BCFA" w:rsidR="00E14AB1" w:rsidRPr="00383A0F" w:rsidRDefault="007C2C53"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There are three possible ways of conceiving </w:t>
      </w:r>
      <w:r w:rsidR="00F33F48" w:rsidRPr="00383A0F">
        <w:rPr>
          <w:rFonts w:ascii="Book Antiqua" w:hAnsi="Book Antiqua" w:cs="Arial"/>
          <w:color w:val="000000" w:themeColor="text1"/>
          <w:lang w:val="en-US"/>
        </w:rPr>
        <w:t>a score for critically ill ACLF patients. First, a specific score in order to prioritize patients with ACLF</w:t>
      </w:r>
      <w:r w:rsidR="009408DC"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{"citationID":"WJdymyng","properties":{"formattedCitation":"\\super [51]\\nosupersub{}","plainCitation":"[51]","noteIndex":0},"citationItems":[{"id":323,"uris":["http://zotero.org/users/local/BE2xVPev/items/R5BIF3S8"],"uri":["http://zotero.org/users/local/BE2xVPev/items/R5BIF3S8"],"itemData":{"id":323,"type":"article-journal","title":"New concepts in acute-on-chronic liver failure: Implications for liver transplantation","container-title":"Liver Transplantation: Official Publication of the American Association for the Study of Liver Diseases and the International Liver Transplantation Society","page":"234-243","volume":"23","issue":"2","source":"PubMed","abstract":"Acute-on-chronic liver failure (ACLF) is a recently defined syndrome that occurs frequently in patients with cirrhosis and is associated with a poor short-term prognosis. Currently, management of patients with ACLF is mainly supportive. Despite medical progress, this syndrome frequently leads to multiorgan failure, sepsis, and, ultimately, death. The results of attempts to use liver transplantation (LT) to manage this critical condition have been poorly reported but are promising. Currently, selection criteria of ACLF patients for LT, instructions for prioritization on the waiting list, and objective indicators for removal of ACLF patients from the waiting list in cases of clinical deterioration are poorly defined. Before potential changes can be implemented into decisional algorithms, their effects, either on the benefits to individual patients or on global transplant outcomes, should be carefully evaluated using objective longterm endpoints that take into account ethical considerations concerning LT. Liver Transplantation 23 234-243 2017 AASLD.","DOI":"10.1002/lt.24654","ISSN":"1527-6473","note":"PMID: 27750389","shortTitle":"New concepts in acute-on-chronic liver failure","journalAbbreviation":"Liver Transpl.","language":"eng","author":[{"family":"Putignano","given":"Antonella"},{"family":"Gustot","given":"Thierry"}],"issued":{"date-parts":[["2017",2]]}}}],"schema":"https://github.com/citation-style-language/schema/raw/master/csl-citation.json"} </w:instrText>
      </w:r>
      <w:r w:rsidR="009408DC"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[51]</w:t>
      </w:r>
      <w:r w:rsidR="009408DC" w:rsidRPr="00383A0F">
        <w:rPr>
          <w:rFonts w:ascii="Book Antiqua" w:hAnsi="Book Antiqua" w:cs="Arial"/>
          <w:color w:val="000000" w:themeColor="text1"/>
          <w:lang w:val="en-US"/>
        </w:rPr>
        <w:fldChar w:fldCharType="end"/>
      </w:r>
      <w:r w:rsidR="009408DC" w:rsidRPr="00383A0F">
        <w:rPr>
          <w:rFonts w:ascii="Book Antiqua" w:hAnsi="Book Antiqua" w:cs="Arial"/>
          <w:color w:val="000000" w:themeColor="text1"/>
          <w:lang w:val="en-US"/>
        </w:rPr>
        <w:t xml:space="preserve">. </w:t>
      </w:r>
      <w:r w:rsidR="00F33F48" w:rsidRPr="00383A0F">
        <w:rPr>
          <w:rFonts w:ascii="Book Antiqua" w:hAnsi="Book Antiqua" w:cs="Arial"/>
          <w:color w:val="000000" w:themeColor="text1"/>
          <w:lang w:val="en-US"/>
        </w:rPr>
        <w:t>Such a score would take into account extra hepatic organ failures but might lead to prioritizing patients with poorer, if not unacceptably low</w:t>
      </w:r>
      <w:r w:rsidR="00525EB6" w:rsidRPr="00383A0F">
        <w:rPr>
          <w:rFonts w:ascii="Book Antiqua" w:hAnsi="Book Antiqua" w:cs="Arial"/>
          <w:color w:val="000000" w:themeColor="text1"/>
          <w:lang w:val="en-US"/>
        </w:rPr>
        <w:t>,</w:t>
      </w:r>
      <w:r w:rsidR="00F33F48" w:rsidRPr="00383A0F">
        <w:rPr>
          <w:rFonts w:ascii="Book Antiqua" w:hAnsi="Book Antiqua" w:cs="Arial"/>
          <w:color w:val="000000" w:themeColor="text1"/>
          <w:lang w:val="en-US"/>
        </w:rPr>
        <w:t xml:space="preserve"> </w:t>
      </w:r>
      <w:r w:rsidR="00E24E5F" w:rsidRPr="00383A0F">
        <w:rPr>
          <w:rFonts w:ascii="Book Antiqua" w:hAnsi="Book Antiqua" w:cs="Arial"/>
          <w:color w:val="000000" w:themeColor="text1"/>
          <w:lang w:val="en-US"/>
        </w:rPr>
        <w:t>post-transplant</w:t>
      </w:r>
      <w:r w:rsidR="00F33F48" w:rsidRPr="00383A0F">
        <w:rPr>
          <w:rFonts w:ascii="Book Antiqua" w:hAnsi="Book Antiqua" w:cs="Arial"/>
          <w:color w:val="000000" w:themeColor="text1"/>
          <w:lang w:val="en-US"/>
        </w:rPr>
        <w:t xml:space="preserve"> survival. Second, a general score that could be applied to </w:t>
      </w:r>
      <w:r w:rsidR="00E41EC3" w:rsidRPr="00383A0F">
        <w:rPr>
          <w:rFonts w:ascii="Book Antiqua" w:hAnsi="Book Antiqua" w:cs="Arial"/>
          <w:color w:val="000000" w:themeColor="text1"/>
          <w:lang w:val="en-US"/>
        </w:rPr>
        <w:t xml:space="preserve">all patients, including ACLF patients. </w:t>
      </w:r>
      <w:r w:rsidR="0096169E" w:rsidRPr="00383A0F">
        <w:rPr>
          <w:rFonts w:ascii="Book Antiqua" w:hAnsi="Book Antiqua" w:cs="Arial"/>
          <w:color w:val="000000" w:themeColor="text1"/>
          <w:lang w:val="en-US"/>
        </w:rPr>
        <w:t xml:space="preserve">This </w:t>
      </w:r>
      <w:r w:rsidR="00E41EC3" w:rsidRPr="00383A0F">
        <w:rPr>
          <w:rFonts w:ascii="Book Antiqua" w:hAnsi="Book Antiqua" w:cs="Arial"/>
          <w:color w:val="000000" w:themeColor="text1"/>
          <w:lang w:val="en-US"/>
        </w:rPr>
        <w:t xml:space="preserve">would probably be quite complex </w:t>
      </w:r>
      <w:r w:rsidR="0096169E" w:rsidRPr="00383A0F">
        <w:rPr>
          <w:rFonts w:ascii="Book Antiqua" w:hAnsi="Book Antiqua" w:cs="Arial"/>
          <w:color w:val="000000" w:themeColor="text1"/>
          <w:lang w:val="en-US"/>
        </w:rPr>
        <w:t xml:space="preserve">to implement in a single score </w:t>
      </w:r>
      <w:r w:rsidR="00E41EC3" w:rsidRPr="00383A0F">
        <w:rPr>
          <w:rFonts w:ascii="Book Antiqua" w:hAnsi="Book Antiqua" w:cs="Arial"/>
          <w:color w:val="000000" w:themeColor="text1"/>
          <w:lang w:val="en-US"/>
        </w:rPr>
        <w:t xml:space="preserve">and might lack discrimination for the small number of patients with severe ACLF. Third, a </w:t>
      </w:r>
      <w:r w:rsidR="007E7A14" w:rsidRPr="00383A0F">
        <w:rPr>
          <w:rFonts w:ascii="Book Antiqua" w:hAnsi="Book Antiqua" w:cs="Arial"/>
          <w:color w:val="000000" w:themeColor="text1"/>
          <w:lang w:val="en-US"/>
        </w:rPr>
        <w:t xml:space="preserve">set of criteria </w:t>
      </w:r>
      <w:r w:rsidR="00E41EC3" w:rsidRPr="00383A0F">
        <w:rPr>
          <w:rFonts w:ascii="Book Antiqua" w:hAnsi="Book Antiqua" w:cs="Arial"/>
          <w:color w:val="000000" w:themeColor="text1"/>
          <w:lang w:val="en-US"/>
        </w:rPr>
        <w:t xml:space="preserve">that could be used to set an upper limit beyond which LT could reasonably </w:t>
      </w:r>
      <w:r w:rsidR="00E41EC3" w:rsidRPr="00383A0F">
        <w:rPr>
          <w:rFonts w:ascii="Book Antiqua" w:hAnsi="Book Antiqua" w:cs="Arial"/>
          <w:color w:val="000000" w:themeColor="text1"/>
          <w:lang w:val="en-US"/>
        </w:rPr>
        <w:lastRenderedPageBreak/>
        <w:t>be contraindicated. This solution, probably the most simple and pragmatic one, would be modeled on the score used for LT in hepatocellular carcinoma.</w:t>
      </w:r>
      <w:r w:rsidR="00C33890" w:rsidRPr="00383A0F">
        <w:rPr>
          <w:rFonts w:ascii="Book Antiqua" w:hAnsi="Book Antiqua" w:cs="Arial"/>
          <w:color w:val="000000" w:themeColor="text1"/>
          <w:lang w:val="en-US"/>
        </w:rPr>
        <w:t xml:space="preserve"> It would not replace the MELD but would complement it.</w:t>
      </w:r>
    </w:p>
    <w:p w14:paraId="24765503" w14:textId="77777777" w:rsidR="00E14AB1" w:rsidRPr="00383A0F" w:rsidRDefault="00E14AB1" w:rsidP="00383A0F">
      <w:pPr>
        <w:pStyle w:val="a3"/>
        <w:adjustRightInd w:val="0"/>
        <w:snapToGrid w:val="0"/>
        <w:spacing w:line="360" w:lineRule="auto"/>
        <w:ind w:left="0"/>
        <w:contextualSpacing w:val="0"/>
        <w:jc w:val="both"/>
        <w:rPr>
          <w:rFonts w:ascii="Book Antiqua" w:hAnsi="Book Antiqua" w:cs="Arial"/>
          <w:color w:val="000000" w:themeColor="text1"/>
          <w:lang w:val="en-US"/>
        </w:rPr>
      </w:pPr>
    </w:p>
    <w:p w14:paraId="7D78FDA9" w14:textId="2634FC7D" w:rsidR="00C02DF2" w:rsidRPr="00383A0F" w:rsidRDefault="0083090A" w:rsidP="000F1A83">
      <w:pPr>
        <w:pStyle w:val="a3"/>
        <w:adjustRightInd w:val="0"/>
        <w:snapToGrid w:val="0"/>
        <w:spacing w:line="360" w:lineRule="auto"/>
        <w:ind w:left="0"/>
        <w:contextualSpacing w:val="0"/>
        <w:jc w:val="both"/>
        <w:outlineLvl w:val="0"/>
        <w:rPr>
          <w:rFonts w:ascii="Book Antiqua" w:hAnsi="Book Antiqua" w:cs="Arial"/>
          <w:color w:val="000000" w:themeColor="text1"/>
          <w:highlight w:val="yellow"/>
          <w:lang w:val="en-US"/>
        </w:rPr>
      </w:pPr>
      <w:r>
        <w:rPr>
          <w:rFonts w:ascii="Book Antiqua" w:hAnsi="Book Antiqua" w:cs="Arial"/>
          <w:b/>
          <w:i/>
          <w:color w:val="000000" w:themeColor="text1"/>
          <w:lang w:val="en-US"/>
        </w:rPr>
        <w:t>LT</w:t>
      </w:r>
      <w:r w:rsidR="00C02DF2" w:rsidRPr="00383A0F">
        <w:rPr>
          <w:rFonts w:ascii="Book Antiqua" w:hAnsi="Book Antiqua" w:cs="Arial"/>
          <w:b/>
          <w:i/>
          <w:color w:val="000000" w:themeColor="text1"/>
          <w:lang w:val="en-US"/>
        </w:rPr>
        <w:t xml:space="preserve"> in critically ill ACLF patients: </w:t>
      </w:r>
      <w:r w:rsidR="00953928" w:rsidRPr="00383A0F">
        <w:rPr>
          <w:rFonts w:ascii="Book Antiqua" w:hAnsi="Book Antiqua" w:cs="Arial"/>
          <w:b/>
          <w:i/>
          <w:color w:val="000000" w:themeColor="text1"/>
          <w:lang w:val="en-US"/>
        </w:rPr>
        <w:t>looking beyond the score</w:t>
      </w:r>
    </w:p>
    <w:p w14:paraId="617B814B" w14:textId="1B65AD72" w:rsidR="0074093D" w:rsidRPr="00383A0F" w:rsidRDefault="00C02DF2"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A number of research perspectives concerning the management of severe ACLF patients will potentially transform the </w:t>
      </w:r>
      <w:r w:rsidR="001334C4" w:rsidRPr="00383A0F">
        <w:rPr>
          <w:rFonts w:ascii="Book Antiqua" w:hAnsi="Book Antiqua" w:cs="Arial"/>
          <w:color w:val="000000" w:themeColor="text1"/>
          <w:lang w:val="en-US"/>
        </w:rPr>
        <w:t>issue of orga</w:t>
      </w:r>
      <w:r w:rsidR="00957950" w:rsidRPr="00383A0F">
        <w:rPr>
          <w:rFonts w:ascii="Book Antiqua" w:hAnsi="Book Antiqua" w:cs="Arial"/>
          <w:color w:val="000000" w:themeColor="text1"/>
          <w:lang w:val="en-US"/>
        </w:rPr>
        <w:t>n allocation for these patients</w:t>
      </w:r>
      <w:r w:rsidR="00533DF0" w:rsidRPr="00383A0F">
        <w:rPr>
          <w:rFonts w:ascii="Book Antiqua" w:hAnsi="Book Antiqua" w:cs="Arial"/>
          <w:color w:val="000000" w:themeColor="text1"/>
          <w:lang w:val="en-US"/>
        </w:rPr>
        <w:t xml:space="preserve"> in the future</w:t>
      </w:r>
      <w:r w:rsidR="00957950" w:rsidRPr="00383A0F">
        <w:rPr>
          <w:rFonts w:ascii="Book Antiqua" w:hAnsi="Book Antiqua" w:cs="Arial"/>
          <w:color w:val="000000" w:themeColor="text1"/>
          <w:lang w:val="en-US"/>
        </w:rPr>
        <w:t xml:space="preserve">. First, </w:t>
      </w:r>
      <w:r w:rsidR="00533DF0" w:rsidRPr="00383A0F">
        <w:rPr>
          <w:rFonts w:ascii="Book Antiqua" w:hAnsi="Book Antiqua" w:cs="Arial"/>
          <w:color w:val="000000" w:themeColor="text1"/>
          <w:lang w:val="en-US"/>
        </w:rPr>
        <w:t xml:space="preserve">the continuum </w:t>
      </w:r>
      <w:r w:rsidR="0096169E" w:rsidRPr="00383A0F">
        <w:rPr>
          <w:rFonts w:ascii="Book Antiqua" w:hAnsi="Book Antiqua" w:cs="Arial"/>
          <w:color w:val="000000" w:themeColor="text1"/>
          <w:lang w:val="en-US"/>
        </w:rPr>
        <w:t>between liver failure and multi-</w:t>
      </w:r>
      <w:r w:rsidR="00533DF0" w:rsidRPr="00383A0F">
        <w:rPr>
          <w:rFonts w:ascii="Book Antiqua" w:hAnsi="Book Antiqua" w:cs="Arial"/>
          <w:color w:val="000000" w:themeColor="text1"/>
          <w:lang w:val="en-US"/>
        </w:rPr>
        <w:t xml:space="preserve">organ failure implies that treating liver failure precociously could, in principle, prevent severe ACLF. Some studies have detailed promising results using </w:t>
      </w:r>
      <w:r w:rsidR="005D004B" w:rsidRPr="00383A0F">
        <w:rPr>
          <w:rFonts w:ascii="Book Antiqua" w:hAnsi="Book Antiqua" w:cs="Arial"/>
          <w:color w:val="000000" w:themeColor="text1"/>
          <w:lang w:val="en-US"/>
        </w:rPr>
        <w:t xml:space="preserve">granulocyte colony-stimulating factors </w:t>
      </w:r>
      <w:r w:rsidR="00EF3D63" w:rsidRPr="00383A0F">
        <w:rPr>
          <w:rFonts w:ascii="Book Antiqua" w:hAnsi="Book Antiqua" w:cs="Arial"/>
          <w:color w:val="000000" w:themeColor="text1"/>
          <w:lang w:val="en-US"/>
        </w:rPr>
        <w:t>in decompensated liver failure in order to avoid transplantation</w:t>
      </w:r>
      <w:r w:rsidR="00C02B74" w:rsidRPr="00383A0F">
        <w:rPr>
          <w:rFonts w:ascii="Book Antiqua" w:hAnsi="Book Antiqua" w:cs="Arial"/>
          <w:color w:val="000000" w:themeColor="text1"/>
          <w:lang w:val="en-US"/>
        </w:rPr>
        <w:t xml:space="preserve"> but they remain at exploratory phases</w:t>
      </w:r>
      <w:r w:rsidR="009408DC"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{"citationID":"2cCJnHvf","properties":{"formattedCitation":"\\super [76]\\nosupersub{}","plainCitation":"[76]","noteIndex":0},"citationItems":[{"id":521,"uris":["http://zotero.org/users/local/BE2xVPev/items/4IN7X6P2"],"uri":["http://zotero.org/users/local/BE2xVPev/items/4IN7X6P2"],"itemData":{"id":521,"type":"article-journal","title":"Granulocyte colony-stimulating factor mobilizes CD34(+) cells and improves survival of patients with acute-on-chronic liver failure","container-title":"Gastroenterology","page":"505-512.e1","volume":"142","issue":"3","source":"PubMed","abstract":"BACKGROUND &amp; AIMS: Acute-on-chronic liver failure (ACLF) develops in patients with chronic liver disease and has high mortality. Mobilization of bone marrow-derived stem cells with granulocyte colony-stimulating factor (G-CSF) could promote hepatic regeneration.\nMETHODS: Consecutive patients with ACLF were randomly assigned to groups given 5 </w:instrText>
      </w:r>
      <w:r w:rsidR="004B7DB2" w:rsidRPr="00383A0F">
        <w:rPr>
          <w:rFonts w:ascii="Book Antiqua" w:hAnsi="Book Antiqua" w:cs="Times New Roman"/>
          <w:color w:val="000000" w:themeColor="text1"/>
          <w:lang w:val="en-US"/>
        </w:rPr>
        <w:instrText>μ</w:instrText>
      </w:r>
      <w:r w:rsidR="004B7DB2" w:rsidRPr="00383A0F">
        <w:rPr>
          <w:rFonts w:ascii="Book Antiqua" w:hAnsi="Book Antiqua" w:cs="Arial"/>
          <w:color w:val="000000" w:themeColor="text1"/>
          <w:lang w:val="en-US"/>
        </w:rPr>
        <w:instrText xml:space="preserve">g/kg G-CSF subcutaneously (12 doses; group A, n = 23) or placebo (group B, n = 24) plus standard medical therapy. We assessed survival until day 60; Child-Turcotte-Pugh (CTP), Model for End-Stage Liver Disease (MELD), and Sequential Organ Failure Assessment (SOFA) scores; and the development of other related complications.\nRESULTS: After 1 week of treatment, group A had higher median leukocyte and neutrophil counts than group B (P &lt; .001). Sixteen patients in group A (69.6%) and 7 in group B (29%) survived; the actuarial probability of survival at day 60 was 66% versus 26%, respectively (P = .001). Treatment with G-CSF also reduced CTP scores in group A by a median of 33.3% compared with an increase of 7.1% in group B (P = .001), along with MELD (median reduction of 15.3% compared with an increase of 11.7% in group B; P = .008) and SOFA scores (median reduction of 50% compared with an increase of 50% in group B; P = .001). The percentages of patients who developed hepatorenal syndrome, hepatic encephalopathy, or sepsis were lower in group A than in group B (19% vs 71% [P = .0002], 19% vs 66% [P = .001], and 14% vs 41% [P = .04], respectively). After 1 month of treatment, G-CSF increased the number of CD34(+) cells in the liver (by 45% compared with 27.5% in group B; P = .01).\nCONCLUSIONS: G-CSF therapy more than doubles the percentage of patients with ACLF who survive for 2 months; it also significantly reduces CTP, MELD, and SOFA scores and prevents the development of sepsis, hepatorenal syndrome, and hepatic encephalopathy.","DOI":"10.1053/j.gastro.2011.11.027","ISSN":"1528-0012","note":"PMID: 22119930","journalAbbreviation":"Gastroenterology","language":"eng","author":[{"family":"Garg","given":"Vishal"},{"family":"Garg","given":"Hitendra"},{"family":"Khan","given":"Arshi"},{"family":"Trehanpati","given":"Nirupama"},{"family":"Kumar","given":"Ashish"},{"family":"Sharma","given":"Barjesh Chander"},{"family":"Sakhuja","given":"Puja"},{"family":"Sarin","given":"Shiv Kumar"}],"issued":{"date-parts":[["2012",3]]}}}],"schema":"https://github.com/citation-style-language/schema/raw/master/csl-citation.json"} </w:instrText>
      </w:r>
      <w:r w:rsidR="009408DC"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[76]</w:t>
      </w:r>
      <w:r w:rsidR="009408DC" w:rsidRPr="00383A0F">
        <w:rPr>
          <w:rFonts w:ascii="Book Antiqua" w:hAnsi="Book Antiqua" w:cs="Arial"/>
          <w:color w:val="000000" w:themeColor="text1"/>
          <w:lang w:val="en-US"/>
        </w:rPr>
        <w:fldChar w:fldCharType="end"/>
      </w:r>
      <w:r w:rsidR="00EF3D63" w:rsidRPr="00383A0F">
        <w:rPr>
          <w:rFonts w:ascii="Book Antiqua" w:hAnsi="Book Antiqua" w:cs="Arial"/>
          <w:color w:val="000000" w:themeColor="text1"/>
          <w:lang w:val="en-US"/>
        </w:rPr>
        <w:t>.</w:t>
      </w:r>
    </w:p>
    <w:p w14:paraId="1DEC2627" w14:textId="3A8C8745" w:rsidR="0074093D" w:rsidRPr="00383A0F" w:rsidRDefault="003E14C0" w:rsidP="00383A0F">
      <w:pPr>
        <w:pStyle w:val="a3"/>
        <w:adjustRightInd w:val="0"/>
        <w:snapToGrid w:val="0"/>
        <w:spacing w:line="360" w:lineRule="auto"/>
        <w:ind w:left="0"/>
        <w:contextualSpacing w:val="0"/>
        <w:jc w:val="both"/>
        <w:rPr>
          <w:rFonts w:ascii="Book Antiqua" w:hAnsi="Book Antiqua" w:cs="Arial"/>
          <w:color w:val="000000" w:themeColor="text1"/>
          <w:highlight w:val="yellow"/>
          <w:lang w:val="en-US"/>
        </w:rPr>
      </w:pPr>
      <w:r>
        <w:rPr>
          <w:rFonts w:ascii="Book Antiqua" w:hAnsi="Book Antiqua" w:cs="Arial"/>
          <w:color w:val="000000" w:themeColor="text1"/>
          <w:lang w:val="en-US"/>
        </w:rPr>
        <w:t xml:space="preserve">  </w:t>
      </w:r>
      <w:r w:rsidR="001334C4" w:rsidRPr="00383A0F">
        <w:rPr>
          <w:rFonts w:ascii="Book Antiqua" w:hAnsi="Book Antiqua" w:cs="Arial"/>
          <w:color w:val="000000" w:themeColor="text1"/>
          <w:lang w:val="en-US"/>
        </w:rPr>
        <w:t>The potential use of extracorporeal liver support devices has not been fully examined in the specific context of ACLF patients. Non-biological</w:t>
      </w:r>
      <w:r w:rsidR="00E05CE3"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{"citationID":"B6ld7anU","properties":{"formattedCitation":"\\super [77\\uc0\\u8211{}79]\\nosupersub{}","plainCitation":"[77–79]","noteIndex":0},"citationItems":[{"id":475,"uris":["http://zotero.org/users/local/BE2xVPev/items/SAMC4E9L"],"uri":["http://zotero.org/users/local/BE2xVPev/items/SAMC4E9L"],"itemData":{"id":475,"type":"article-journal","title":"Characteristics associated with liver graft failure: the concept of a donor risk index","container-title":"American Journal of Transplantation: Official Journal of the American Society of Transplantation and the American Society of Transplant Surgeons","page":"783-790","volume":"6","issue":"4","source":"PubMed","abstract":"Transplant physicians and candidates have become increasingly aware that donor characteristics significantly impact liver transplantation outcomes. Although the qualitative effect of individual donor variables are understood, the quantitative risk associated with combinations of characteristics are unclear. Using national data from 1998 to 2002, we developed a quantitative donor risk index. Cox regression models identified seven donor characteristics that independently predicted significantly increased risk of graft failure. Donor age over 40 years (and particularly over 60 years), donation after cardiac death (DCD), and split/partial grafts were strongly associated with graft failure, while African-American race, less height, cerebrovascular accident and 'other' causes of brain death were more modestly but still significantly associated with graft failure. Grafts with an increased donor risk index have been preferentially transplanted into older candidates (&gt;50 years of age) with moderate disease severity (nonstatus 1 with lower model for end-stage liver disease (MELD) scores) and without hepatitis C. Quantitative assessment of the risk of donor liver graft failure using a donor risk index is useful to inform the process of organ acceptance.","DOI":"10.1111/j.1600-6143.2006.01242.x","ISSN":"1600-6135","note":"PMID: 16539636","shortTitle":"Characteristics associated with liver graft failure","journalAbbreviation":"Am. J. Transplant.","language":"eng","author":[{"family":"Feng","given":"S."},{"family":"Goodrich","given":"N. P."},{"family":"Bragg-Gresham","given":"J. L."},{"family":"Dykstra","given":"D. M."},{"family":"Punch","given":"J. D."},{"family":"DebRoy","given":"M. A."},{"family":"Greenstein","given":"S. M."},{"family":"Merion","given":"R. M."}],"issued":{"date-parts":[["2006",4]]}},"label":"page"},{"id":497,"uris":["http://zotero.org/users/local/BE2xVPev/items/8NS2H6DF"],"uri":["http://zotero.org/users/local/BE2xVPev/items/8NS2H6DF"],"itemData":{"id":497,"type":"article-journal","title":"Effects of fractionated plasma separation and adsorption on survival in patients with acute-on-chronic liver failure","container-title":"Gastroenterology","page":"782-789.e3","volume":"142","issue":"4","source":"PubMed","abstract":"BACKGROUND &amp; AIMS: Fractionated plasma separation and adsorption (FPSA) is an extracorporeal procedure that supports liver function by removing endogenous toxins that cause complications from acute-on-chronic liver failure (AOCLF). We performed a randomized trial to investigate survival of patients with AOCLF treated with FPSA.\nMETHODS: Patients with AOCLF were randomly assigned to groups given a combination of FPSA and standard medical therapy (SMT) (FPSA group, n = 77) or only SMT (SMT group, n = 68). The Prometheus liver support system was used to provide 8 to 11 rounds of FPSA (minimum of 4 hours each) for 3 weeks. Primary end points were survival probabilities at days 28 and 90, irrespective of liver transplantation.\nRESULTS: Baseline clinical parameters and number of transplant patients were similar between study arms. Serum bilirubin level decreased significantly in the FPSA group but not in the SMT group. In an intention-to-treat analysis, the probabilities of survival on day 28 were 66% in the FPSA group and 63% in the SMT group (P = .70); on day 90, they were 47% and 38%, respectively (P = .35). Baseline factors independently associated with poor prognosis were high SOFA score, bleeding, female sex, spontaneous bacterial peritonitis, intermediate increases in serum creatinine concentration, and combination of alcoholic and viral etiology of liver disease. There were no differences between the 2 groups in the incidence of side effects.\nCONCLUSIONS: Among all patients with AOCLF, extracorporeal liver support with FPSA does not increase the probability of survival. Further studies are needed to assess whether therapy might be beneficial in specific subsets of patients.","DOI":"10.1053/j.gastro.2011.12.056","ISSN":"1528-0012","note":"PMID: 22248661","journalAbbreviation":"Gastroenterology","language":"eng","author":[{"family":"Kribben","given":"Andreas"},{"family":"Gerken","given":"Guido"},{"family":"Haag","given":"Sebastian"},{"family":"Herget-Rosenthal","given":"Stefan"},{"family":"Treichel","given":"Ulrich"},{"family":"Betz","given":"Christoph"},{"family":"Sarrazin","given":"Christoph"},{"family":"Hoste","given":"Eric"},{"family":"Van Vlierberghe","given":"Hans"},{"family":"Escorsell","given":"Angels"},{"family":"Hafer","given":"Carsten"},{"family":"Schreiner","given":"Oliver"},{"family":"Galle","given":"Peter R."},{"family":"Mancini","given":"Elena"},{"family":"Caraceni","given":"Paolo"},{"family":"Karvellas","given":"Constantine J."},{"family":"Salmhofer","given":"Hermann"},{"family":"Knotek","given":"Mladen"},{"family":"Ginès","given":"Pere"},{"family":"Kozik-Jaromin","given":"Justyna"},{"family":"Rifai","given":"Kinan"},{"literal":"HELIOS Study Group"}],"issued":{"date-parts":[["2012",4]]}},"label":"page"},{"id":600,"uris":["http://zotero.org/users/local/BE2xVPev/items/K3CDKYPE"],"uri":["http://zotero.org/users/local/BE2xVPev/items/K3CDKYPE"],"itemData":{"id":600,"type":"article-journal","title":"Albumin dialysis with a noncell artificial liver support device in patients with acute liver failure: a randomized, controlled trial","container-title":"Annals of Internal Medicine","page":"522-531","volume":"159","issue":"8","source":"PubMed","abstract":"BACKGROUND: Albumin dialysis with the Molecular Adsorbent Recirculating System (MARS) (Gambro, Lund, Sweden), a noncell artificial liver support device, may be beneficial in acute liver failure (ALF).\nOBJECTIVE: To determine whether MARS improves survival in ALF.\nDESIGN: Randomized, controlled trial. (ClinicalTrials.gov: NCT00224705).\nSETTING: 16 French liver transplantation centers.\nPATIENTS: 102 patients with ALF.\nINTERVENTION: Conventional treatment (n = 49) or MARS with conventional treatment (n = 53), stratified according to whether paracetamol caused ALF.\nMEASUREMENTS: 6-month survival and secondary end points, including adverse events.\nRESULTS: 102 patients (mean age, 40.4 years [SD, 13]) were in the modified intention-to-treat (mITT) population. The per-protocol analysis (49 conventional, 39 MARS) included patients with at least 1 session of MARS of 5 hours or more. Six-month survival was 75.5% (95% CI, 60.8% to 86.2%) with conventional treatment and 84.9% (CI, 71.9% to 92.8%) with MARS (P = 0.28) in the mITT population and 75.5% (CI, 60.8% to 86.2%) with conventional treatment and 82.9% (CI, 65.9% to 91.9%) with MARS (P = 0.50) in the per-protocol population. In patients with paracetamol-related ALF, the 6-month survival rate was 68.4% (CI, 43.5% to 86.4%) with conventional treatment and 85.0% (CI, 61.1% to 96.0%) with MARS (P = 0.46) in the mITT population. Sixty-six of 102 patients had transplantation (41.0% among paracetamol-induced ALF; 79.4% among non-paracetamol-induced ALF) (P &lt; 0.001). Adverse events did not significantly differ between groups.\nLIMITATION: The short delay from randomization to liver transplantation (median, 16.2 hours) precludes definitive efficacy or safety evaluations.\nCONCLUSION: This randomized trial of MARS in patients with ALF was unable to provide definitive efficacy or safety conclusions because many patients had transplantation before administration of the intervention. Acute liver failure not caused by paracetamol was associated with greater 6-month patient survival.\nPRIMARY FUNDING SOURCE: Assistance Publique-Hôpitaux de Paris.","DOI":"10.7326/0003-4819-159-8-201310150-00005","ISSN":"1539-3704","note":"PMID: 24126646","shortTitle":"Albumin dialysis with a noncell artificial liver support device in patients with acute liver failure","journalAbbreviation":"Ann. Intern. Med.","language":"eng","author":[{"family":"Saliba","given":"Faouzi"},{"family":"Camus","given":"Christophe"},{"family":"Durand","given":"François"},{"family":"Mathurin","given":"Philippe"},{"family":"Letierce","given":"Alexia"},{"family":"Delafosse","given":"Bertrand"},{"family":"Barange","given":"Karl"},{"family":"Perrigault","given":"Pierre François"},{"family":"Belnard","given":"Magali"},{"family":"Ichaï","given":"Philippe"},{"family":"Samuel","given":"Didier"}],"issued":{"date-parts":[["2013",10,15]]}},"label":"page"}],"schema":"https://github.com/citation-style-language/schema/raw/master/csl-citation.json"} </w:instrText>
      </w:r>
      <w:r w:rsidR="00E05CE3"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[77–79</w:t>
      </w:r>
      <w:r>
        <w:rPr>
          <w:rFonts w:ascii="Book Antiqua" w:hAnsi="Book Antiqua"/>
          <w:color w:val="000000" w:themeColor="text1"/>
          <w:vertAlign w:val="superscript"/>
          <w:lang w:val="en-US"/>
        </w:rPr>
        <w:t>,</w:t>
      </w:r>
      <w:r w:rsidR="00E05CE3" w:rsidRPr="00383A0F">
        <w:rPr>
          <w:rFonts w:ascii="Book Antiqua" w:hAnsi="Book Antiqua" w:cs="Arial"/>
          <w:color w:val="000000" w:themeColor="text1"/>
          <w:lang w:val="en-US"/>
        </w:rPr>
        <w:fldChar w:fldCharType="end"/>
      </w:r>
      <w:r w:rsidR="00001468"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{"citationID":"udcoGNZU","properties":{"formattedCitation":"\\super [77,78]\\nosupersub{}","plainCitation":"","noteIndex":0},"citationItems":[{"id":475,"uris":["http://zotero.org/users/local/BE2xVPev/items/SAMC4E9L"],"uri":["http://zotero.org/users/local/BE2xVPev/items/SAMC4E9L"],"itemData":{"id":475,"type":"article-journal","title":"Characteristics associated with liver graft failure: the concept of a donor risk index","container-title":"American Journal of Transplantation: Official Journal of the American Society of Transplantation and the American Society of Transplant Surgeons","page":"783-790","volume":"6","issue":"4","source":"PubMed","abstract":"Transplant physicians and candidates have become increasingly aware that donor characteristics significantly impact liver transplantation outcomes. Although the qualitative effect of individual donor variables are understood, the quantitative risk associated with combinations of characteristics are unclear. Using national data from 1998 to 2002, we developed a quantitative donor risk index. Cox regression models identified seven donor characteristics that independently predicted significantly increased risk of graft failure. Donor age over 40 years (and particularly over 60 years), donation after cardiac death (DCD), and split/partial grafts were strongly associated with graft failure, while African-American race, less height, cerebrovascular accident and 'other' causes of brain death were more modestly but still significantly associated with graft failure. Grafts with an increased donor risk index have been preferentially transplanted into older candidates (&gt;50 years of age) with moderate disease severity (nonstatus 1 with lower model for end-stage liver disease (MELD) scores) and without hepatitis C. Quantitative assessment of the risk of donor liver graft failure using a donor risk index is useful to inform the process of organ acceptance.","DOI":"10.1111/j.1600-6143.2006.01242.x","ISSN":"1600-6135","note":"PMID: 16539636","shortTitle":"Characteristics associated with liver graft failure","journalAbbreviation":"Am. J. Transplant.","language":"eng","author":[{"family":"Feng","given":"S."},{"family":"Goodrich","given":"N. P."},{"family":"Bragg-Gresham","given":"J. L."},{"family":"Dykstra","given":"D. M."},{"family":"Punch","given":"J. D."},{"family":"DebRoy","given":"M. A."},{"family":"Greenstein","given":"S. M."},{"family":"Merion","given":"R. M."}],"issued":{"date-parts":[["2006",4]]}},"label":"page"},{"id":497,"uris":["http://zotero.org/users/local/BE2xVPev/items/8NS2H6DF"],"uri":["http://zotero.org/users/local/BE2xVPev/items/8NS2H6DF"],"itemData":{"id":497,"type":"article-journal","title":"Effects of fractionated plasma separation and adsorption on survival in patients with acute-on-chronic liver failure","container-title":"Gastroenterology","page":"782-789.e3","volume":"142","issue":"4","source":"PubMed","abstract":"BACKGROUND &amp; AIMS: Fractionated plasma separation and adsorption (FPSA) is an extracorporeal procedure that supports liver function by removing endogenous toxins that cause complications from acute-on-chronic liver failure (AOCLF). We performed a randomized trial to investigate survival of patients with AOCLF treated with FPSA.\nMETHODS: Patients with AOCLF were randomly assigned to groups given a combination of FPSA and standard medical therapy (SMT) (FPSA group, n = 77) or only SMT (SMT group, n = 68). The Prometheus liver support system was used to provide 8 to 11 rounds of FPSA (minimum of 4 hours each) for 3 weeks. Primary end points were survival probabilities at days 28 and 90, irrespective of liver transplantation.\nRESULTS: Baseline clinical parameters and number of transplant patients were similar between study arms. Serum bilirubin level decreased significantly in the FPSA group but not in the SMT group. In an intention-to-treat analysis, the probabilities of survival on day 28 were 66% in the FPSA group and 63% in the SMT group (P = .70); on day 90, they were 47% and 38%, respectively (P = .35). Baseline factors independently associated with poor prognosis were high SOFA score, bleeding, female sex, spontaneous bacterial peritonitis, intermediate increases in serum creatinine concentration, and combination of alcoholic and viral etiology of liver disease. There were no differences between the 2 groups in the incidence of side effects.\nCONCLUSIONS: Among all patients with AOCLF, extracorporeal liver support with FPSA does not increase the probability of survival. Further studies are needed to assess whether therapy might be beneficial in specific subsets of patients.","DOI":"10.1053/j.gastro.2011.12.056","ISSN":"1528-0012","note":"PMID: 22248661","journalAbbreviation":"Gastroenterology","language":"eng","author":[{"family":"Kribben","given":"Andreas"},{"family":"Gerken","given":"Guido"},{"family":"Haag","given":"Sebastian"},{"family":"Herget-Rosenthal","given":"Stefan"},{"family":"Treichel","given":"Ulrich"},{"family":"Betz","given":"Christoph"},{"family":"Sarrazin","given":"Christoph"},{"family":"Hoste","given":"Eric"},{"family":"Van Vlierberghe","given":"Hans"},{"family":"Escorsell","given":"Angels"},{"family":"Hafer","given":"Carsten"},{"family":"Schreiner","given":"Oliver"},{"family":"Galle","given":"Peter R."},{"family":"Mancini","given":"Elena"},{"family":"Caraceni","given":"Paolo"},{"family":"Karvellas","given":"Constantine J."},{"family":"Salmhofer","given":"Hermann"},{"family":"Knotek","given":"Mladen"},{"family":"Ginès","given":"Pere"},{"family":"Kozik-Jaromin","given":"Justyna"},{"family":"Rifai","given":"Kinan"},{"literal":"HELIOS Study Group"}],"issued":{"date-parts":[["2012",4]]}},"label":"page"}],"schema":"https://github.com/citation-style-language/schema/raw/master/csl-citation.json"} </w:instrText>
      </w:r>
      <w:r w:rsidR="00001468" w:rsidRPr="00383A0F">
        <w:rPr>
          <w:rFonts w:ascii="Book Antiqua" w:hAnsi="Book Antiqua" w:cs="Arial"/>
          <w:color w:val="000000" w:themeColor="text1"/>
          <w:lang w:val="en-US"/>
        </w:rPr>
        <w:fldChar w:fldCharType="end"/>
      </w:r>
      <w:r w:rsidR="00A7287E" w:rsidRPr="00383A0F">
        <w:rPr>
          <w:rFonts w:ascii="Book Antiqua" w:hAnsi="Book Antiqua" w:cs="Arial"/>
          <w:color w:val="000000" w:themeColor="text1"/>
          <w:vertAlign w:val="superscript"/>
          <w:lang w:val="en-US"/>
        </w:rPr>
        <w:t>85,86</w:t>
      </w:r>
      <w:r>
        <w:rPr>
          <w:rFonts w:ascii="Book Antiqua" w:hAnsi="Book Antiqua" w:cs="Arial"/>
          <w:color w:val="000000" w:themeColor="text1"/>
          <w:vertAlign w:val="superscript"/>
          <w:lang w:val="en-US"/>
        </w:rPr>
        <w:t>]</w:t>
      </w:r>
      <w:r w:rsidR="004D6359" w:rsidRPr="00383A0F">
        <w:rPr>
          <w:rFonts w:ascii="Book Antiqua" w:hAnsi="Book Antiqua" w:cs="Arial"/>
          <w:color w:val="000000" w:themeColor="text1"/>
          <w:lang w:val="en-US"/>
        </w:rPr>
        <w:t xml:space="preserve"> and biological</w:t>
      </w:r>
      <w:r w:rsidR="00001468"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{"citationID":"8kMCKD3q","properties":{"formattedCitation":"\\super [80]\\nosupersub{}","plainCitation":"[80]","noteIndex":0},"citationItems":[{"id":586,"uris":["http://zotero.org/users/local/BE2xVPev/items/5SDJ9XR6"],"uri":["http://zotero.org/users/local/BE2xVPev/items/5SDJ9XR6"],"itemData":{"id":586,"type":"article-journal","title":"Liver support strategies: cutting-edge technologies","container-title":"Nature Reviews. Gastroenterology &amp; Hepatology","page":"166-176","volume":"11","issue":"3","source":"PubMed","abstract":"The treatment of end-stage liver disease and acute liver failure remains a clinically relevant issue. Although orthotopic liver transplantation is a well-established procedure, whole-organ transplantation is invasive and increasingly limited by the unavailability of suitable donor organs. Artificial and bioartificial liver support systems have been developed to provide an alternative to whole organ transplantation, but despite three decades of scientific efforts, the results are still not convincing with respect to clinical outcome. In this Review, conceptual limitations of clinically available liver support therapy systems are discussed. Furthermore, alternative concepts, such as hepatocyte transplantation, and cutting-edge developments in the field of liver support strategies, including the repopulation of decellularized organs and the biofabrication of entirely new organs by printing techniques or induced organogenesis are analysed with respect to clinical relevance. Whereas hepatocyte transplantation shows promising clinical results, at least for the temporary treatment of inborn metabolic diseases, so far data regarding implantation of engineered hepatic tissue have only emerged from preclinical experiments. However, the evolving techniques presented here raise hope for bioengineered liver support therapies in the future.","DOI":"10.1038/nrgastro.2013.204","ISSN":"1759-5053","note":"PMID: 24166083","shortTitle":"Liver support strategies","journalAbbreviation":"Nat Rev Gastroenterol Hepatol","language":"eng","author":[{"family":"Struecker","given":"Benjamin"},{"family":"Raschzok","given":"Nathanael"},{"family":"Sauer","given":"Igor M."}],"issued":{"date-parts":[["2014",3]]}}}],"schema":"https://github.com/citation-style-language/schema/raw/master/csl-citation.json"} </w:instrText>
      </w:r>
      <w:r w:rsidR="0000146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[80]</w:t>
      </w:r>
      <w:r w:rsidR="00001468" w:rsidRPr="00383A0F">
        <w:rPr>
          <w:rFonts w:ascii="Book Antiqua" w:hAnsi="Book Antiqua" w:cs="Arial"/>
          <w:color w:val="000000" w:themeColor="text1"/>
          <w:lang w:val="en-US"/>
        </w:rPr>
        <w:fldChar w:fldCharType="end"/>
      </w:r>
      <w:r w:rsidR="004D6359" w:rsidRPr="00383A0F">
        <w:rPr>
          <w:rFonts w:ascii="Book Antiqua" w:hAnsi="Book Antiqua" w:cs="Arial"/>
          <w:color w:val="000000" w:themeColor="text1"/>
          <w:lang w:val="en-US"/>
        </w:rPr>
        <w:t xml:space="preserve"> liver support systems do not improve overall survival, but they could potentially play a role as a bridge to transplant therapy for patients with severe ACLF. </w:t>
      </w:r>
    </w:p>
    <w:p w14:paraId="44458CF0" w14:textId="021B6009" w:rsidR="00F30AF0" w:rsidRPr="00383A0F" w:rsidRDefault="003E14C0"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CB3E2F" w:rsidRPr="00383A0F">
        <w:rPr>
          <w:rFonts w:ascii="Book Antiqua" w:hAnsi="Book Antiqua" w:cs="Arial"/>
          <w:color w:val="000000" w:themeColor="text1"/>
          <w:lang w:val="en-US"/>
        </w:rPr>
        <w:t xml:space="preserve">Donor/receiver matching </w:t>
      </w:r>
      <w:r w:rsidR="001F7F36" w:rsidRPr="00383A0F">
        <w:rPr>
          <w:rFonts w:ascii="Book Antiqua" w:hAnsi="Book Antiqua" w:cs="Arial"/>
          <w:color w:val="000000" w:themeColor="text1"/>
          <w:lang w:val="en-US"/>
        </w:rPr>
        <w:t>is a particularly complex technical and ethical puzzle in critically ill patients</w:t>
      </w:r>
      <w:r w:rsidR="00115D42"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115D4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[81]</w:t>
      </w:r>
      <w:r w:rsidR="00115D42" w:rsidRPr="00383A0F">
        <w:rPr>
          <w:rFonts w:ascii="Book Antiqua" w:hAnsi="Book Antiqua" w:cs="Arial"/>
          <w:color w:val="000000" w:themeColor="text1"/>
          <w:lang w:val="en-US"/>
        </w:rPr>
        <w:fldChar w:fldCharType="end"/>
      </w:r>
      <w:r w:rsidR="00115D42" w:rsidRPr="00383A0F">
        <w:rPr>
          <w:rFonts w:ascii="Book Antiqua" w:hAnsi="Book Antiqua" w:cs="Arial"/>
          <w:color w:val="000000" w:themeColor="text1"/>
          <w:lang w:val="en-US"/>
        </w:rPr>
        <w:t xml:space="preserve">. </w:t>
      </w:r>
      <w:r w:rsidR="001F7F36" w:rsidRPr="00383A0F">
        <w:rPr>
          <w:rFonts w:ascii="Book Antiqua" w:hAnsi="Book Antiqua" w:cs="Arial"/>
          <w:color w:val="000000" w:themeColor="text1"/>
          <w:lang w:val="en-US"/>
        </w:rPr>
        <w:t xml:space="preserve">For example, transplanting critically ill patients with poor-quality organs has been reported to lead to </w:t>
      </w:r>
      <w:r w:rsidR="003616E3" w:rsidRPr="00383A0F">
        <w:rPr>
          <w:rFonts w:ascii="Book Antiqua" w:hAnsi="Book Antiqua" w:cs="Arial"/>
          <w:color w:val="000000" w:themeColor="text1"/>
          <w:lang w:val="en-US"/>
        </w:rPr>
        <w:t xml:space="preserve">significantly </w:t>
      </w:r>
      <w:r w:rsidR="001F7F36" w:rsidRPr="00383A0F">
        <w:rPr>
          <w:rFonts w:ascii="Book Antiqua" w:hAnsi="Book Antiqua" w:cs="Arial"/>
          <w:color w:val="000000" w:themeColor="text1"/>
          <w:lang w:val="en-US"/>
        </w:rPr>
        <w:t>poor outcome</w:t>
      </w:r>
      <w:r w:rsidR="003616E3" w:rsidRPr="00383A0F">
        <w:rPr>
          <w:rFonts w:ascii="Book Antiqua" w:hAnsi="Book Antiqua" w:cs="Arial"/>
          <w:color w:val="000000" w:themeColor="text1"/>
          <w:lang w:val="en-US"/>
        </w:rPr>
        <w:t>s</w:t>
      </w:r>
      <w:r w:rsidR="001F7F36"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{"citationID":"dglp1pqt","properties":{"formattedCitation":"\\super [26]\\nosupersub{}","plainCitation":"[26]","noteIndex":0},"citationItems":[{"id":533,"uris":["http://zotero.org/users/local/BE2xVPev/items/GU6Y7XGR"],"uri":["http://zotero.org/users/local/BE2xVPev/items/GU6Y7XGR"],"itemData":{"id":533,"type":"article-journal","title":"Risk Assessment in High- and Low-MELD Liver Transplantation","container-title":"American Journal of Transplantation: Official Journal of the American Society of Transplantation and the American Society of Transplant Surgeons","page":"1050-1063","volume":"17","issue":"4","source":"PubMed","abstract":"Allocation of liver grafts triggers emotional debates, as those patients, not receiving an organ, are prone to death. We analyzed a high-Model of End-stage Liver Disease (MELD) cohort (laboratory MELD score ≥30, n = 100, median laboratory MELD score of 35; interquartile range 31-37) of liver transplant recipients at our center during the past 10 years and compared results with a low-MELD group, matched by propensity scoring for donor age, recipient age, and cold ischemia time. End points of our study were cumulative posttransplantation morbidity, cost, and survival. Six different prediction models, including donor age x recipient MELD (D-MELD), Difference between listing MELD and MELD at transplant (Delta MELD), donor-risk index (DRI), Survival Outcomes Following Liver Transplant (SOFT), balance-of-risk (BAR), and University of California Los Angeles-Futility Risk Score (UCLA-FRS), were applied in both cohorts to identify risk for poor outcome and high cost. All score models were compared with a clinical-oriented decision, based on the combination of hemofiltration plus ventilation. Median intensive care unit and hospital stays were 8 and 26 days, respectively, after liver transplantation of high-MELD patients, with a significantly increased morbidity compared with low-MELD patients (median comprehensive complication index 56 vs. 36 points [maximum points 100] and double cost [median US$179 631 vs. US$80 229]). Five-year survival, however, was only 8% less than that of low-MELD patients (70% vs. 78%). Most prediction scores showed disappointing low positive predictive values for posttransplantation mortality, such as mortality above thresholds, despite good specificity. The clinical observation of hemofiltration plus ventilation in high-MELD patients was even superior in this respect compared with D-MELD, DRI, Delta MELD, and UCLA-FRS but inferior to SOFT and BAR models. Of all models tested, only the BAR score was linearly associated with complications. In conclusion, the BAR score was most useful for risk classification in liver transplantation, based on expected posttransplantation mortality and morbidity. Difficult decisions to accept liver grafts in high-risk recipients may thus be guided by additional BAR score calculation, to increase the safe use of scarce organs.","DOI":"10.1111/ajt.14065","ISSN":"1600-6143","note":"PMID: 27676319","journalAbbreviation":"Am. J. Transplant.","language":"eng","author":[{"family":"Schlegel","given":"A."},{"family":"Linecker","given":"M."},{"family":"Kron","given":"P."},{"family":"Györi","given":"G."},{"family":"De Oliveira","given":"M. L."},{"family":"Müllhaupt","given":"B."},{"family":"Clavien","given":"P.-A."},{"family":"Dutkowski","given":"P."}],"issued":{"date-parts":[["2017"]]}}}],"schema":"https://github.com/citation-style-language/schema/raw/master/csl-citation.json"} </w:instrText>
      </w:r>
      <w:r w:rsidR="001F7F36"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[26]</w:t>
      </w:r>
      <w:r w:rsidR="001F7F36" w:rsidRPr="00383A0F">
        <w:rPr>
          <w:rFonts w:ascii="Book Antiqua" w:hAnsi="Book Antiqua" w:cs="Arial"/>
          <w:color w:val="000000" w:themeColor="text1"/>
          <w:lang w:val="en-US"/>
        </w:rPr>
        <w:fldChar w:fldCharType="end"/>
      </w:r>
      <w:r w:rsidR="001F7F36" w:rsidRPr="00383A0F">
        <w:rPr>
          <w:rFonts w:ascii="Book Antiqua" w:hAnsi="Book Antiqua" w:cs="Arial"/>
          <w:color w:val="000000" w:themeColor="text1"/>
          <w:lang w:val="en-US"/>
        </w:rPr>
        <w:t xml:space="preserve">. This could encourage transplanting critically ill patients with high-quality organs. On the other hand, if the post-transplant outcome of critically ill cirrhotic patients is known to be lower than that of other groups of patients, </w:t>
      </w:r>
      <w:r w:rsidR="00561333" w:rsidRPr="00383A0F">
        <w:rPr>
          <w:rFonts w:ascii="Book Antiqua" w:hAnsi="Book Antiqua" w:cs="Arial"/>
          <w:color w:val="000000" w:themeColor="text1"/>
          <w:lang w:val="en-US"/>
        </w:rPr>
        <w:t xml:space="preserve">such a strategy </w:t>
      </w:r>
      <w:r w:rsidR="001F7F36" w:rsidRPr="00383A0F">
        <w:rPr>
          <w:rFonts w:ascii="Book Antiqua" w:hAnsi="Book Antiqua" w:cs="Arial"/>
          <w:color w:val="000000" w:themeColor="text1"/>
          <w:lang w:val="en-US"/>
        </w:rPr>
        <w:t xml:space="preserve">would </w:t>
      </w:r>
      <w:r w:rsidR="003616E3" w:rsidRPr="00383A0F">
        <w:rPr>
          <w:rFonts w:ascii="Book Antiqua" w:hAnsi="Book Antiqua" w:cs="Arial"/>
          <w:color w:val="000000" w:themeColor="text1"/>
          <w:lang w:val="en-US"/>
        </w:rPr>
        <w:t>give rise</w:t>
      </w:r>
      <w:r w:rsidR="001F7F36" w:rsidRPr="00383A0F">
        <w:rPr>
          <w:rFonts w:ascii="Book Antiqua" w:hAnsi="Book Antiqua" w:cs="Arial"/>
          <w:color w:val="000000" w:themeColor="text1"/>
          <w:lang w:val="en-US"/>
        </w:rPr>
        <w:t xml:space="preserve"> to lower organ utility and potentially unfair access to high-quality organs. Some authors have suggested using artificial intelligence to optimize the allocation of organs to recipients</w:t>
      </w:r>
      <w:r w:rsidR="001F7F36"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{"citationID":"B9tznVkR","properties":{"formattedCitation":"\\super [82]\\nosupersub{}","plainCitation":"[82]","noteIndex":0},"citationItems":[{"id":616,"uris":["http://zotero.org/users/local/BE2xVPev/items/GMTPCAAM"],"uri":["http://zotero.org/users/local/BE2xVPev/items/GMTPCAAM"],"itemData":{"id":616,"type":"article-journal","title":"Use of artificial intelligence as an innovative donor-recipient matching model for liver transplantation: results from a multicenter Spanish study","container-title":"Journal of Hepatology","page":"1020-1028","volume":"61","issue":"5","source":"PubMed","abstract":"BACKGROUND &amp; AIMS: There is an increasing discrepancy between the number of potential liver graft recipients and the number of organs available. Organ allocation should follow the concept of benefit of survival, avoiding human-innate subjectivity. The aim of this study is to use artificial-neural-networks (ANNs) for donor-recipient (D-R) matching in liver transplantation (LT) and to compare its accuracy with validated scores (MELD, D-MELD, DRI, P-SOFT, SOFT, and BAR) of graft survival.\nMETHODS: 64 donor and recipient variables from a set of 1003 LTs from a multicenter study including 11 Spanish centres were included. For each D-R pair, common statistics (simple and multiple regression models) and ANN formulae for two non-complementary probability-models of 3-month graft-survival and -loss were calculated: a positive-survival (NN-CCR) and a negative-loss (NN-MS) model. The NN models were obtained by using the Neural Net Evolutionary Programming (NNEP) algorithm. Additionally, receiver-operating-curves (ROC) were performed to validate ANNs against other scores.\nRESULTS: Optimal results for NN-CCR and NN-MS models were obtained, with the best performance in predicting the probability of graft-survival (90.79%) and -loss (71.42%) for each D-R pair, significantly improving results from multiple regressions. ROC curves for 3-months graft-survival and -loss predictions were significantly more accurate for ANN than for other scores in both NN-CCR (AUROC-ANN=0.80 vs. -MELD=0.50; -D-MELD=0.54; -P-SOFT=0.54; -SOFT=0.55; -BAR=0.67 and -DRI=0.42) and NN-MS (AUROC-ANN=0.82 vs. -MELD=0.41; -D-MELD=0.47; -P-SOFT=0.43; -SOFT=0.57, -BAR=0.61 and -DRI=0.48).\nCONCLUSIONS: ANNs may be considered a powerful decision-making technology for this dataset, optimizing the principles of justice, efficiency and equity. This may be a useful tool for predicting the 3-month outcome and a potential research area for future D-R matching models.","DOI":"10.1016/j.jhep.2014.05.039","ISSN":"1600-0641","note":"PMID: 24905493","shortTitle":"Use of artificial intelligence as an innovative donor-recipient matching model for liver transplantation","journalAbbreviation":"J. Hepatol.","language":"eng","author":[{"family":"Briceño","given":"Javier"},{"family":"Cruz-Ramírez","given":"Manuel"},{"family":"Prieto","given":"Martín"},{"family":"Navasa","given":"Miguel"},{"family":"Ortiz de Urbina","given":"Jorge"},{"family":"Orti","given":"Rafael"},{"family":"Gómez-Bravo","given":"Miguel-Ángel"},{"family":"Otero","given":"Alejandra"},{"family":"Varo","given":"Evaristo"},{"family":"Tomé","given":"Santiago"},{"family":"Clemente","given":"Gerardo"},{"family":"Bañares","given":"Rafael"},{"family":"Bárcena","given":"Rafael"},{"family":"Cuervas-Mons","given":"Valentín"},{"family":"Solórzano","given":"Guillermo"},{"family":"Vinaixa","given":"Carmen"},{"family":"Rubín","given":"Angel"},{"family":"Colmenero","given":"Jordi"},{"family":"Valdivieso","given":"Andrés"},{"family":"Ciria","given":"Rubén"},{"family":"Hervás-Martínez","given":"César"},{"family":"Mata","given":"Manuel","non-dropping-particle":"de la"}],"issued":{"date-parts":[["2014",11]]}}}],"schema":"https://github.com/citation-style-language/schema/raw/master/csl-citation.json"} </w:instrText>
      </w:r>
      <w:r w:rsidR="001F7F36"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[82]</w:t>
      </w:r>
      <w:r w:rsidR="001F7F36" w:rsidRPr="00383A0F">
        <w:rPr>
          <w:rFonts w:ascii="Book Antiqua" w:hAnsi="Book Antiqua" w:cs="Arial"/>
          <w:color w:val="000000" w:themeColor="text1"/>
          <w:lang w:val="en-US"/>
        </w:rPr>
        <w:fldChar w:fldCharType="end"/>
      </w:r>
      <w:r w:rsidR="003616E3" w:rsidRPr="00383A0F">
        <w:rPr>
          <w:rFonts w:ascii="Book Antiqua" w:hAnsi="Book Antiqua" w:cs="Arial"/>
          <w:color w:val="000000" w:themeColor="text1"/>
          <w:lang w:val="en-US"/>
        </w:rPr>
        <w:t xml:space="preserve">. In the meantime, technical points concerning the </w:t>
      </w:r>
      <w:r w:rsidR="002104B0" w:rsidRPr="00383A0F">
        <w:rPr>
          <w:rFonts w:ascii="Book Antiqua" w:hAnsi="Book Antiqua" w:cs="Arial"/>
          <w:color w:val="000000" w:themeColor="text1"/>
          <w:lang w:val="en-US"/>
        </w:rPr>
        <w:t xml:space="preserve">allocation of organs from </w:t>
      </w:r>
      <w:r w:rsidR="00BB5142" w:rsidRPr="00383A0F">
        <w:rPr>
          <w:rFonts w:ascii="Book Antiqua" w:hAnsi="Book Antiqua" w:cs="Arial"/>
          <w:color w:val="000000" w:themeColor="text1"/>
          <w:lang w:val="en-US"/>
        </w:rPr>
        <w:t xml:space="preserve">non-heart-beating donors and expanded criteria donors </w:t>
      </w:r>
      <w:r w:rsidR="003616E3" w:rsidRPr="00383A0F">
        <w:rPr>
          <w:rFonts w:ascii="Book Antiqua" w:hAnsi="Book Antiqua" w:cs="Arial"/>
          <w:color w:val="000000" w:themeColor="text1"/>
          <w:lang w:val="en-US"/>
        </w:rPr>
        <w:t>as well as the use of organ preservation devices</w:t>
      </w:r>
      <w:r w:rsidR="00001468"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{"citationID":"JALr2gJ5","properties":{"formattedCitation":"\\super [83,84]\\nosupersub{}","plainCitation":"[83,84]","noteIndex":0},"citationItems":[{"id":513,"uris":["http://zotero.org/users/local/BE2xVPev/items/CW9NNPLS"],"uri":["http://zotero.org/users/local/BE2xVPev/items/CW9NNPLS"],"itemData":{"id":513,"type":"article-journal","title":"\"Resuscitation\" of marginal liver allografts for transplantation with machine perfusion technology","container-title":"Journal of Hepatology","page":"418-431","volume":"61","issue":"2","source":"PubMed","abstract":"As the rate of medically suitable donors remains relatively static worldwide, clinicians have looked to novel methods to meet the ever-growing demand of the liver transplant waiting lists worldwide. Accordingly, the transplant community has explored many strategies to offset this deficit. Advances in technology that target the ex vivo \"preservation\" period may help increase the donor pool by augmenting the utilization and improving the outcomes of marginal livers. Novel ex vivo techniques such as hypothermic, normothermic, and subnormothermic machine perfusion may be useful to \"resuscitate\" marginal organs by reducing ischemia/reperfusion injury. Moreover, other preservation techniques such as oxygen persufflation are explored as they may also have a role in improving function of \"marginal\" liver allografts. Currently, marginal livers are frequently discarded or can relegate the patient to early allograft dysfunction and primary non-function. Bench to bedside advances are rapidly emerging and hold promise for expanding liver transplantation access and improving outcomes.","DOI":"10.1016/j.jhep.2014.04.019","ISSN":"1600-0641","note":"PMID: 24768755","journalAbbreviation":"J. Hepatol.","language":"eng","author":[{"family":"Graham","given":"Jay A."},{"family":"Guarrera","given":"James V."}],"issued":{"date-parts":[["2014",8]]}},"label":"page"},{"id":509,"uris":["http://zotero.org/users/local/BE2xVPev/items/WC4LT2YK"],"uri":["http://zotero.org/users/local/BE2xVPev/items/WC4LT2YK"],"itemData":{"id":509,"type":"article-journal","title":"Hypothermic Machine Preservation of the Liver: State of the Art","container-title":"Current Transplantation Reports","page":"93-102","volume":"5","issue":"1","source":"PubMed","abstract":"Purpose of Review: In this review, we highlight which livers may benefit from additional treatment before implantation and describe the concept of hypothermic machine liver perfusion. Furthermore, we explain why cold oxygenated perfusion concepts could potentially lead to a breakthrough in this challenging field of transplantation. Accordingly, we summarize recent clinical applications of different hypothermic perfusion approaches.\nRecent Findings: The impact of end-ischemic, hypothermic liver perfusion in liver transplantation is currently assessed by two multicenter, randomized controlled trials. Recently, new applications of hypothermic perfusion showed promising results and recipients were protected from severe intrahepatic biliary complications, despite the use of very extended criteria grafts including donation after circulatory death livers.\nSummary: Hypothermic machine liver perfusion is beneficial for high-risk livers and protects recipients from most feared complications. Importantly, such easy approach is currently implemented in several European centers and new markers obtained from perfusate may improve the prediction of liver function in the future.","DOI":"10.1007/s40472-018-0183-z","ISSN":"2196-3029","note":"PMID: 29564206\nPMCID: PMC5843682","shortTitle":"Hypothermic Machine Preservation of the Liver","journalAbbreviation":"Curr Transplant Rep","language":"eng","author":[{"family":"Schlegel","given":"Andrea"},{"family":"Muller","given":"Xavier"},{"family":"Dutkowski","given":"Philipp"}],"issued":{"date-parts":[["2018"]]}},"label":"page"}],"schema":"https://github.com/citation-style-language/schema/raw/master/csl-citation.json"} </w:instrText>
      </w:r>
      <w:r w:rsidR="0000146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[83,84]</w:t>
      </w:r>
      <w:r w:rsidR="00001468" w:rsidRPr="00383A0F">
        <w:rPr>
          <w:rFonts w:ascii="Book Antiqua" w:hAnsi="Book Antiqua" w:cs="Arial"/>
          <w:color w:val="000000" w:themeColor="text1"/>
          <w:lang w:val="en-US"/>
        </w:rPr>
        <w:fldChar w:fldCharType="end"/>
      </w:r>
      <w:r w:rsidR="003616E3" w:rsidRPr="00383A0F">
        <w:rPr>
          <w:rFonts w:ascii="Book Antiqua" w:hAnsi="Book Antiqua" w:cs="Arial"/>
          <w:color w:val="000000" w:themeColor="text1"/>
          <w:lang w:val="en-US"/>
        </w:rPr>
        <w:t xml:space="preserve"> in the specific context of ACLF have not been examined yet. </w:t>
      </w:r>
    </w:p>
    <w:p w14:paraId="4CEC03B1" w14:textId="247DEE0D" w:rsidR="00E14AB1" w:rsidRPr="00383A0F" w:rsidRDefault="003E14C0"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EF3D63" w:rsidRPr="00383A0F">
        <w:rPr>
          <w:rFonts w:ascii="Book Antiqua" w:hAnsi="Book Antiqua" w:cs="Arial"/>
          <w:color w:val="000000" w:themeColor="text1"/>
          <w:lang w:val="en-US"/>
        </w:rPr>
        <w:t xml:space="preserve">Finally, </w:t>
      </w:r>
      <w:r w:rsidR="00366060" w:rsidRPr="00383A0F">
        <w:rPr>
          <w:rFonts w:ascii="Book Antiqua" w:hAnsi="Book Antiqua" w:cs="Arial"/>
          <w:color w:val="000000" w:themeColor="text1"/>
          <w:lang w:val="en-US"/>
        </w:rPr>
        <w:t>several markers of oxidative and cellular injury are emerging in ACLF patients, along with factors that reflect organ-specific injury</w:t>
      </w:r>
      <w:r w:rsidR="00561333" w:rsidRPr="00383A0F">
        <w:rPr>
          <w:rFonts w:ascii="Book Antiqua" w:hAnsi="Book Antiqua" w:cs="Arial"/>
          <w:color w:val="000000" w:themeColor="text1"/>
          <w:lang w:val="en-US"/>
        </w:rPr>
        <w:t>. M</w:t>
      </w:r>
      <w:r w:rsidR="004C7128" w:rsidRPr="00383A0F">
        <w:rPr>
          <w:rFonts w:ascii="Book Antiqua" w:hAnsi="Book Antiqua" w:cs="Arial"/>
          <w:color w:val="000000" w:themeColor="text1"/>
          <w:lang w:val="en-US"/>
        </w:rPr>
        <w:t>ost of these still require validation in heterogeneous populati</w:t>
      </w:r>
      <w:r w:rsidR="0039259B" w:rsidRPr="00383A0F">
        <w:rPr>
          <w:rFonts w:ascii="Book Antiqua" w:hAnsi="Book Antiqua" w:cs="Arial"/>
          <w:color w:val="000000" w:themeColor="text1"/>
          <w:lang w:val="en-US"/>
        </w:rPr>
        <w:t>ons of ACLF</w:t>
      </w:r>
      <w:r w:rsidR="00E04B7C"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{"citationID":"u5ER8h5i","properties":{"formattedCitation":"\\super [85]\\nosupersub{}","plainCitation":"[85]","noteIndex":0},"citationItems":[{"id":517,"uris":["http://zotero.org/users/local/BE2xVPev/items/2DSFUIT8"],"uri":["http://zotero.org/users/local/BE2xVPev/items/2DSFUIT8"],"itemData":{"id":517,"type":"article-journal","title":"Treatment with non-selective beta blockers is associated with reduced severity of systemic inflammation and improved survival of patients with acute-on-chronic liver failure","container-title":"Journal of Hepatology","page":"574-582","volume":"64","issue":"3","source":"PubMed","abstract":"BACKGROUND &amp; AIMS: Non-selective beta blockers (NSBBs) have been shown to have deleterious outcomes in patients with refractory ascites, alcoholic hepatitis and spontaneous bacterial peritonitis leading many physicians to stop the drug in these cases. Acute-on-chronic liver failure (ACLF) is characterized by systemic inflammation and high mortality. As NSBBs may have beneficial effects on gut motility and permeability and, systemic inflammation, the aims of this prospective, observational study were to determine whether ongoing use of NSBBs reduced 28-day mortality in ACLF patients.\nMETHODS: The study was performed in 349 patients with ACLF included in the CANONIC study, which is a prospective observational investigation in hospitalized cirrhotic patients with acute deterioration. The data about the use of NSBBs, its type and dosage was specifically recorded. Patient characteristics at enrollment significantly associated with treatment and mortality were taken into account as potential confounders to adjust for treatment effect. A logistic regression model was fitted.\nRESULTS: 164 (47%) ACLF patients received NSBBs whereas 185 patients did not. Although the CLIF-C ACLF scores were similar at presentation, more patients in the NSBB treated group had lower grades of ACLF (p=0.047) at presentation and significantly more patients improved. Forty patients (24.4%) died in NSBB treated group compared with 63 patients (34.1%) (p=0.048) [estimated risk-reduction 0.596 (95%CI: 0.361-0.985; p=0.0436)]. This improvement in survival was associated with a significantly lower white cell count (NSBB: 8.5 (5.8); no NSBB: 10.8 (6.6); p=0.002). No long-term improvement in survival was observed.\nCONCLUSIONS: This study shows for the first time that ongoing treatment with NSBBs in cirrhosis is safe and reduces the mortality if they develop ACLF. Careful thought should be given before stopping NSBBs in cirrhotic patients.","DOI":"10.1016/j.jhep.2015.10.018","ISSN":"1600-0641","note":"PMID: 26519600","journalAbbreviation":"J. Hepatol.","language":"eng","author":[{"family":"Mookerjee","given":"Rajeshwar P."},{"family":"Pavesi","given":"Marco"},{"family":"Thomsen","given":"Karen Louise"},{"family":"Mehta","given":"Gautam"},{"family":"Macnaughtan","given":"Jane"},{"family":"Bendtsen","given":"Flemming"},{"family":"Coenraad","given":"Minneke"},{"family":"Sperl","given":"Jan"},{"family":"Gines","given":"Pere"},{"family":"Moreau","given":"Richard"},{"family":"Arroyo","given":"Vicente"},{"family":"Jalan","given":"Rajiv"},{"literal":"CANONIC Study Investigators of the EASL-CLIF Consortium"}],"issued":{"date-parts":[["2016",3]]}}}],"schema":"https://github.com/citation-style-language/schema/raw/master/csl-citation.json"} </w:instrText>
      </w:r>
      <w:r w:rsidR="00E04B7C"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[85]</w:t>
      </w:r>
      <w:r w:rsidR="00E04B7C" w:rsidRPr="00383A0F">
        <w:rPr>
          <w:rFonts w:ascii="Book Antiqua" w:hAnsi="Book Antiqua" w:cs="Arial"/>
          <w:color w:val="000000" w:themeColor="text1"/>
          <w:lang w:val="en-US"/>
        </w:rPr>
        <w:fldChar w:fldCharType="end"/>
      </w:r>
      <w:r w:rsidR="0039259B" w:rsidRPr="00383A0F">
        <w:rPr>
          <w:rFonts w:ascii="Book Antiqua" w:hAnsi="Book Antiqua" w:cs="Arial"/>
          <w:color w:val="000000" w:themeColor="text1"/>
          <w:lang w:val="en-US"/>
        </w:rPr>
        <w:t xml:space="preserve">. </w:t>
      </w:r>
      <w:r w:rsidR="00104060" w:rsidRPr="00383A0F">
        <w:rPr>
          <w:rFonts w:ascii="Book Antiqua" w:hAnsi="Book Antiqua" w:cs="Arial"/>
          <w:color w:val="000000" w:themeColor="text1"/>
          <w:lang w:val="en-US"/>
        </w:rPr>
        <w:t xml:space="preserve">Markers at the time of </w:t>
      </w:r>
      <w:r w:rsidR="00104060" w:rsidRPr="00383A0F">
        <w:rPr>
          <w:rFonts w:ascii="Book Antiqua" w:hAnsi="Book Antiqua" w:cs="Arial"/>
          <w:color w:val="000000" w:themeColor="text1"/>
          <w:lang w:val="en-US"/>
        </w:rPr>
        <w:lastRenderedPageBreak/>
        <w:t xml:space="preserve">LT, such as donor metabolomic profiles, have been shown to </w:t>
      </w:r>
      <w:r w:rsidR="005F79A7" w:rsidRPr="00383A0F">
        <w:rPr>
          <w:rFonts w:ascii="Book Antiqua" w:hAnsi="Book Antiqua" w:cs="Arial"/>
          <w:color w:val="000000" w:themeColor="text1"/>
          <w:lang w:val="en-US"/>
        </w:rPr>
        <w:t>accur</w:t>
      </w:r>
      <w:r w:rsidR="00104060" w:rsidRPr="00383A0F">
        <w:rPr>
          <w:rFonts w:ascii="Book Antiqua" w:hAnsi="Book Antiqua" w:cs="Arial"/>
          <w:color w:val="000000" w:themeColor="text1"/>
          <w:lang w:val="en-US"/>
        </w:rPr>
        <w:t xml:space="preserve">ately predict graft dysfunction and could be used to refine </w:t>
      </w:r>
      <w:r w:rsidR="0054171B" w:rsidRPr="00383A0F">
        <w:rPr>
          <w:rFonts w:ascii="Book Antiqua" w:hAnsi="Book Antiqua" w:cs="Arial"/>
          <w:color w:val="000000" w:themeColor="text1"/>
          <w:lang w:val="en-US"/>
        </w:rPr>
        <w:t>donor</w:t>
      </w:r>
      <w:r w:rsidR="00561333" w:rsidRPr="00383A0F">
        <w:rPr>
          <w:rFonts w:ascii="Book Antiqua" w:hAnsi="Book Antiqua" w:cs="Arial"/>
          <w:color w:val="000000" w:themeColor="text1"/>
          <w:lang w:val="en-US"/>
        </w:rPr>
        <w:t>-</w:t>
      </w:r>
      <w:r w:rsidR="0054171B" w:rsidRPr="00383A0F">
        <w:rPr>
          <w:rFonts w:ascii="Book Antiqua" w:hAnsi="Book Antiqua" w:cs="Arial"/>
          <w:color w:val="000000" w:themeColor="text1"/>
          <w:lang w:val="en-US"/>
        </w:rPr>
        <w:t>recipients matching according to identified prognostic factors such as sarcopenia</w:t>
      </w:r>
      <w:r w:rsidR="00E04B7C"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{"citationID":"llQOXrnW","properties":{"formattedCitation":"\\super [86]\\nosupersub{}","plainCitation":"[86]","noteIndex":0},"citationItems":[{"id":519,"uris":["http://zotero.org/users/local/BE2xVPev/items/GN78GMAN"],"uri":["http://zotero.org/users/local/BE2xVPev/items/GN78GMAN"],"itemData":{"id":519,"type":"article-journal","title":"Impact of real-time metabolomics in liver transplantation: Graft evaluation and donor-recipient matching","container-title":"Journal of Hepatology","source":"PubMed","abstract":"BACKGROUND &amp; AIMS: There is an emerging need to assess the metabolic state of liver allografts especially in the novel setting of machine perfusion preservation and donor in cardiac death (DCD) grafts. High-resolution magic-angle-spinning nuclear magnetic resonance (HR-MAS-NMR) could be a useful tool in this setting as it can extemporaneously provide untargeted metabolic profiling. The purpose of this study was to evaluate the potential value of HR-MAS-NMR metabolomic analysis of back-table biopsies for the prediction of early allograft dysfunction (EAD) and donor-recipient matching.\nMETHOD: The metabolic profiles of back-table biopsies obtained by HR-MAS-NMR, were compared according to the presence of EAD using partial least squares discriminant analysis. Network analysis was used to identify metabolites which changed significantly. The profiles were compared to native livers to identify metabolites for donor-recipient matching.\nRESULTS: The metabolic profiles were significantly different in grafts that caused EAD compared to those that did not. The constructed model can be used to predict the graft outcome with excellent accuracy. The metabolites showing the most significant differences were lactate level &gt;8.3</w:instrText>
      </w:r>
      <w:r w:rsidR="00DD05A0" w:rsidRPr="00383A0F">
        <w:rPr>
          <w:rFonts w:ascii="Calibri" w:eastAsia="Calibri" w:hAnsi="Calibri" w:cs="Calibri"/>
          <w:color w:val="000000" w:themeColor="text1"/>
          <w:lang w:val="en-US"/>
        </w:rPr>
        <w:instrText> </w:instrText>
      </w:r>
      <w:r w:rsidR="00DD05A0" w:rsidRPr="00383A0F">
        <w:rPr>
          <w:rFonts w:ascii="Book Antiqua" w:hAnsi="Book Antiqua" w:cs="Arial"/>
          <w:color w:val="000000" w:themeColor="text1"/>
          <w:lang w:val="en-US"/>
        </w:rPr>
        <w:instrText>mmol/g and phosphocholine content &gt;0.646</w:instrText>
      </w:r>
      <w:r w:rsidR="00DD05A0" w:rsidRPr="00383A0F">
        <w:rPr>
          <w:rFonts w:ascii="Calibri" w:eastAsia="Calibri" w:hAnsi="Calibri" w:cs="Calibri"/>
          <w:color w:val="000000" w:themeColor="text1"/>
          <w:lang w:val="en-US"/>
        </w:rPr>
        <w:instrText> </w:instrText>
      </w:r>
      <w:r w:rsidR="00DD05A0" w:rsidRPr="00383A0F">
        <w:rPr>
          <w:rFonts w:ascii="Book Antiqua" w:hAnsi="Book Antiqua" w:cs="Arial"/>
          <w:color w:val="000000" w:themeColor="text1"/>
          <w:lang w:val="en-US"/>
        </w:rPr>
        <w:instrText>mmol/g, which were significantly associated with graft dysfunction with an excellent accuracy (AUROClactates</w:instrText>
      </w:r>
      <w:r w:rsidR="00DD05A0" w:rsidRPr="00383A0F">
        <w:rPr>
          <w:rFonts w:ascii="Calibri" w:eastAsia="Calibri" w:hAnsi="Calibri" w:cs="Calibri"/>
          <w:color w:val="000000" w:themeColor="text1"/>
          <w:lang w:val="en-US"/>
        </w:rPr>
        <w:instrText> </w:instrText>
      </w:r>
      <w:r w:rsidR="00DD05A0" w:rsidRPr="00383A0F">
        <w:rPr>
          <w:rFonts w:ascii="Book Antiqua" w:hAnsi="Book Antiqua" w:cs="Arial"/>
          <w:color w:val="000000" w:themeColor="text1"/>
          <w:lang w:val="en-US"/>
        </w:rPr>
        <w:instrText>=</w:instrText>
      </w:r>
      <w:r w:rsidR="00DD05A0" w:rsidRPr="00383A0F">
        <w:rPr>
          <w:rFonts w:ascii="Calibri" w:eastAsia="Calibri" w:hAnsi="Calibri" w:cs="Calibri"/>
          <w:color w:val="000000" w:themeColor="text1"/>
          <w:lang w:val="en-US"/>
        </w:rPr>
        <w:instrText> </w:instrText>
      </w:r>
      <w:r w:rsidR="00DD05A0" w:rsidRPr="00383A0F">
        <w:rPr>
          <w:rFonts w:ascii="Book Antiqua" w:hAnsi="Book Antiqua" w:cs="Arial"/>
          <w:color w:val="000000" w:themeColor="text1"/>
          <w:lang w:val="en-US"/>
        </w:rPr>
        <w:instrText>0.906; AUROCphosphocholine</w:instrText>
      </w:r>
      <w:r w:rsidR="00DD05A0" w:rsidRPr="00383A0F">
        <w:rPr>
          <w:rFonts w:ascii="Calibri" w:eastAsia="Calibri" w:hAnsi="Calibri" w:cs="Calibri"/>
          <w:color w:val="000000" w:themeColor="text1"/>
          <w:lang w:val="en-US"/>
        </w:rPr>
        <w:instrText> </w:instrText>
      </w:r>
      <w:r w:rsidR="00DD05A0" w:rsidRPr="00383A0F">
        <w:rPr>
          <w:rFonts w:ascii="Book Antiqua" w:hAnsi="Book Antiqua" w:cs="Arial"/>
          <w:color w:val="000000" w:themeColor="text1"/>
          <w:lang w:val="en-US"/>
        </w:rPr>
        <w:instrText>=</w:instrText>
      </w:r>
      <w:r w:rsidR="00DD05A0" w:rsidRPr="00383A0F">
        <w:rPr>
          <w:rFonts w:ascii="Calibri" w:eastAsia="Calibri" w:hAnsi="Calibri" w:cs="Calibri"/>
          <w:color w:val="000000" w:themeColor="text1"/>
          <w:lang w:val="en-US"/>
        </w:rPr>
        <w:instrText> </w:instrText>
      </w:r>
      <w:r w:rsidR="00DD05A0" w:rsidRPr="00383A0F">
        <w:rPr>
          <w:rFonts w:ascii="Book Antiqua" w:hAnsi="Book Antiqua" w:cs="Arial"/>
          <w:color w:val="000000" w:themeColor="text1"/>
          <w:lang w:val="en-US"/>
        </w:rPr>
        <w:instrText xml:space="preserve">0.816). Native livers from patients with sarcopenia had low lactate and glycerophosphocholine content. In patients with sarcopenia, the risk of EAD was significantly higher when transplanting a graft with a high-risk graft metabolic score.\nCONCLUSION: This study underlines the cost of metabolic adaptation, identifying lactate and choline-derived metabolites as predictors of poor graft function in both native livers and liver grafts. HR-MAS-NMR seems a valid technique to evaluate graft quality and the consequences of cold ischemia on the graft. It could be used to assess the efficiency of graft resuscitation on machine perfusion in future studies.\nLAY SUMMARY: Real-time metabolomic profiles of human grafts during back-table can accurately predict graft dysfunction. High lactate and phosphocholine content are highly predictive of graft dysfunction whereas low lactate and phosphocholine content characterize patients with sarcopenia. In these patients, the cost of metabolic adaptation may explain the poor outcomes.","DOI":"10.1016/j.jhep.2017.11.022","ISSN":"1600-0641","note":"PMID: 29191459","shortTitle":"Impact of real-time metabolomics in liver transplantation","journalAbbreviation":"J. Hepatol.","language":"eng","author":[{"family":"Faitot","given":"Francois"},{"family":"Besch","given":"Camille"},{"family":"Battini","given":"Stephanie"},{"family":"Ruhland","given":"Elisa"},{"family":"Onea","given":"Mihaela"},{"family":"Addeo","given":"Pietro"},{"family":"Woehl-Jaeglé","given":"Marie-Lorraine"},{"family":"Ellero","given":"Bernard"},{"family":"Bachellier","given":"Philippe"},{"family":"Namer","given":"Izzie-Jacques"}],"issued":{"date-parts":[["2017",12,2]]}}}],"schema":"https://github.com/citation-style-language/schema/raw/master/csl-citation.json"} </w:instrText>
      </w:r>
      <w:r w:rsidR="00E04B7C"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[86]</w:t>
      </w:r>
      <w:r w:rsidR="00E04B7C" w:rsidRPr="00383A0F">
        <w:rPr>
          <w:rFonts w:ascii="Book Antiqua" w:hAnsi="Book Antiqua" w:cs="Arial"/>
          <w:color w:val="000000" w:themeColor="text1"/>
          <w:lang w:val="en-US"/>
        </w:rPr>
        <w:fldChar w:fldCharType="end"/>
      </w:r>
      <w:r w:rsidR="00104060" w:rsidRPr="00383A0F">
        <w:rPr>
          <w:rFonts w:ascii="Book Antiqua" w:hAnsi="Book Antiqua" w:cs="Arial"/>
          <w:color w:val="000000" w:themeColor="text1"/>
          <w:lang w:val="en-US"/>
        </w:rPr>
        <w:t>.</w:t>
      </w:r>
    </w:p>
    <w:p w14:paraId="603BF4EA" w14:textId="77777777" w:rsidR="00953928" w:rsidRPr="00383A0F" w:rsidRDefault="00953928" w:rsidP="00383A0F">
      <w:pPr>
        <w:pStyle w:val="a3"/>
        <w:adjustRightInd w:val="0"/>
        <w:snapToGrid w:val="0"/>
        <w:spacing w:line="360" w:lineRule="auto"/>
        <w:ind w:left="0"/>
        <w:contextualSpacing w:val="0"/>
        <w:jc w:val="both"/>
        <w:rPr>
          <w:rFonts w:ascii="Book Antiqua" w:hAnsi="Book Antiqua" w:cs="Arial"/>
          <w:color w:val="000000" w:themeColor="text1"/>
          <w:lang w:val="en-US"/>
        </w:rPr>
      </w:pPr>
    </w:p>
    <w:p w14:paraId="772FAB17" w14:textId="7AC39BBF" w:rsidR="00953928" w:rsidRPr="00383A0F" w:rsidRDefault="00953928" w:rsidP="000F1A83">
      <w:pPr>
        <w:pStyle w:val="a3"/>
        <w:adjustRightInd w:val="0"/>
        <w:snapToGrid w:val="0"/>
        <w:spacing w:line="360" w:lineRule="auto"/>
        <w:ind w:left="0"/>
        <w:contextualSpacing w:val="0"/>
        <w:jc w:val="both"/>
        <w:outlineLvl w:val="0"/>
        <w:rPr>
          <w:rFonts w:ascii="Book Antiqua" w:hAnsi="Book Antiqua" w:cs="Arial"/>
          <w:b/>
          <w:color w:val="000000" w:themeColor="text1"/>
          <w:lang w:val="en-US"/>
        </w:rPr>
      </w:pPr>
      <w:r w:rsidRPr="00383A0F">
        <w:rPr>
          <w:rFonts w:ascii="Book Antiqua" w:hAnsi="Book Antiqua" w:cs="Arial"/>
          <w:b/>
          <w:color w:val="000000" w:themeColor="text1"/>
          <w:lang w:val="en-US"/>
        </w:rPr>
        <w:t>CONCLUSION</w:t>
      </w:r>
    </w:p>
    <w:p w14:paraId="21CBB6D5" w14:textId="5B5E05A3" w:rsidR="00707081" w:rsidRPr="00383A0F" w:rsidRDefault="00953928" w:rsidP="00383A0F">
      <w:pPr>
        <w:pStyle w:val="a3"/>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This review offers a tentative algorithm </w:t>
      </w:r>
      <w:r w:rsidR="00A56EF6" w:rsidRPr="00383A0F">
        <w:rPr>
          <w:rFonts w:ascii="Book Antiqua" w:hAnsi="Book Antiqua" w:cs="Arial"/>
          <w:color w:val="000000" w:themeColor="text1"/>
          <w:lang w:val="en-US"/>
        </w:rPr>
        <w:t xml:space="preserve">to guide clinicians who treat </w:t>
      </w:r>
      <w:r w:rsidR="0026656A" w:rsidRPr="00383A0F">
        <w:rPr>
          <w:rFonts w:ascii="Book Antiqua" w:hAnsi="Book Antiqua" w:cs="Arial"/>
          <w:color w:val="000000" w:themeColor="text1"/>
          <w:lang w:val="en-US"/>
        </w:rPr>
        <w:t xml:space="preserve">critically ill </w:t>
      </w:r>
      <w:r w:rsidR="00A56EF6" w:rsidRPr="00383A0F">
        <w:rPr>
          <w:rFonts w:ascii="Book Antiqua" w:hAnsi="Book Antiqua" w:cs="Arial"/>
          <w:color w:val="000000" w:themeColor="text1"/>
          <w:lang w:val="en-US"/>
        </w:rPr>
        <w:t>patients with ACLF and have to decide whether to transplant them or not. It highlights the large grey area that surrounds this issue and identifies a number of steps</w:t>
      </w:r>
      <w:r w:rsidR="0026656A" w:rsidRPr="00383A0F">
        <w:rPr>
          <w:rFonts w:ascii="Book Antiqua" w:hAnsi="Book Antiqua" w:cs="Arial"/>
          <w:color w:val="000000" w:themeColor="text1"/>
          <w:lang w:val="en-US"/>
        </w:rPr>
        <w:t xml:space="preserve"> that could be followed in the future to elucidate the key points that remain unclear in this controversial area of liver transplant.</w:t>
      </w:r>
    </w:p>
    <w:p w14:paraId="026B26B6" w14:textId="626D1470" w:rsidR="00757962" w:rsidRPr="00383A0F" w:rsidRDefault="00A1519B"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br w:type="page"/>
      </w:r>
    </w:p>
    <w:p w14:paraId="4D5A2DFF" w14:textId="30F4C43A" w:rsidR="00145A81" w:rsidRPr="00907F73" w:rsidRDefault="00907F73" w:rsidP="00907F73">
      <w:pPr>
        <w:pStyle w:val="a3"/>
        <w:adjustRightInd w:val="0"/>
        <w:snapToGrid w:val="0"/>
        <w:spacing w:line="360" w:lineRule="auto"/>
        <w:ind w:left="0"/>
        <w:contextualSpacing w:val="0"/>
        <w:jc w:val="both"/>
        <w:rPr>
          <w:rFonts w:ascii="Book Antiqua" w:hAnsi="Book Antiqua" w:cs="Arial"/>
          <w:b/>
          <w:color w:val="000000" w:themeColor="text1"/>
          <w:lang w:val="en-US"/>
        </w:rPr>
      </w:pPr>
      <w:r>
        <w:rPr>
          <w:rFonts w:ascii="Book Antiqua" w:hAnsi="Book Antiqua" w:cs="Arial"/>
          <w:b/>
          <w:color w:val="000000" w:themeColor="text1"/>
          <w:lang w:val="en-US"/>
        </w:rPr>
        <w:lastRenderedPageBreak/>
        <w:t>REFERENCES</w:t>
      </w:r>
    </w:p>
    <w:p w14:paraId="6CF7089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1 </w:t>
      </w:r>
      <w:r w:rsidRPr="00907F73">
        <w:rPr>
          <w:rFonts w:ascii="Book Antiqua" w:hAnsi="Book Antiqua" w:cs="Times New Roman"/>
          <w:b/>
          <w:bCs/>
          <w:color w:val="000000" w:themeColor="text1"/>
          <w:lang w:val="en-US" w:eastAsia="zh-CN"/>
        </w:rPr>
        <w:t>Wiesner R</w:t>
      </w:r>
      <w:r w:rsidRPr="00907F73">
        <w:rPr>
          <w:rFonts w:ascii="Book Antiqua" w:hAnsi="Book Antiqua" w:cs="Times New Roman"/>
          <w:color w:val="000000" w:themeColor="text1"/>
          <w:lang w:val="en-US" w:eastAsia="zh-CN"/>
        </w:rPr>
        <w:t xml:space="preserve">, Edwards E, Freeman R, Harper A, Kim R, </w:t>
      </w:r>
      <w:proofErr w:type="spellStart"/>
      <w:r w:rsidRPr="00907F73">
        <w:rPr>
          <w:rFonts w:ascii="Book Antiqua" w:hAnsi="Book Antiqua" w:cs="Times New Roman"/>
          <w:color w:val="000000" w:themeColor="text1"/>
          <w:lang w:val="en-US" w:eastAsia="zh-CN"/>
        </w:rPr>
        <w:t>Kamath</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Kremers</w:t>
      </w:r>
      <w:proofErr w:type="spellEnd"/>
      <w:r w:rsidRPr="00907F73">
        <w:rPr>
          <w:rFonts w:ascii="Book Antiqua" w:hAnsi="Book Antiqua" w:cs="Times New Roman"/>
          <w:color w:val="000000" w:themeColor="text1"/>
          <w:lang w:val="en-US" w:eastAsia="zh-CN"/>
        </w:rPr>
        <w:t xml:space="preserve"> W, Lake J, Howard T, Merion RM, Wolfe RA, </w:t>
      </w:r>
      <w:proofErr w:type="spellStart"/>
      <w:r w:rsidRPr="00907F73">
        <w:rPr>
          <w:rFonts w:ascii="Book Antiqua" w:hAnsi="Book Antiqua" w:cs="Times New Roman"/>
          <w:color w:val="000000" w:themeColor="text1"/>
          <w:lang w:val="en-US" w:eastAsia="zh-CN"/>
        </w:rPr>
        <w:t>Krom</w:t>
      </w:r>
      <w:proofErr w:type="spellEnd"/>
      <w:r w:rsidRPr="00907F73">
        <w:rPr>
          <w:rFonts w:ascii="Book Antiqua" w:hAnsi="Book Antiqua" w:cs="Times New Roman"/>
          <w:color w:val="000000" w:themeColor="text1"/>
          <w:lang w:val="en-US" w:eastAsia="zh-CN"/>
        </w:rPr>
        <w:t xml:space="preserve"> R; United Network for Organ Sharing Liver Disease Severity Score Committee. Model for end-stage liver disease (MELD) and allocation of donor livers. </w:t>
      </w:r>
      <w:r w:rsidRPr="00907F73">
        <w:rPr>
          <w:rFonts w:ascii="Book Antiqua" w:hAnsi="Book Antiqua" w:cs="Times New Roman"/>
          <w:i/>
          <w:iCs/>
          <w:color w:val="000000" w:themeColor="text1"/>
          <w:lang w:val="en-US" w:eastAsia="zh-CN"/>
        </w:rPr>
        <w:t>Gastroenterology</w:t>
      </w:r>
      <w:r w:rsidRPr="00907F73">
        <w:rPr>
          <w:rFonts w:ascii="Book Antiqua" w:hAnsi="Book Antiqua" w:cs="Times New Roman"/>
          <w:color w:val="000000" w:themeColor="text1"/>
          <w:lang w:val="en-US" w:eastAsia="zh-CN"/>
        </w:rPr>
        <w:t> 2003; </w:t>
      </w:r>
      <w:r w:rsidRPr="00907F73">
        <w:rPr>
          <w:rFonts w:ascii="Book Antiqua" w:hAnsi="Book Antiqua" w:cs="Times New Roman"/>
          <w:b/>
          <w:bCs/>
          <w:color w:val="000000" w:themeColor="text1"/>
          <w:lang w:val="en-US" w:eastAsia="zh-CN"/>
        </w:rPr>
        <w:t>124</w:t>
      </w:r>
      <w:r w:rsidRPr="00907F73">
        <w:rPr>
          <w:rFonts w:ascii="Book Antiqua" w:hAnsi="Book Antiqua" w:cs="Times New Roman"/>
          <w:color w:val="000000" w:themeColor="text1"/>
          <w:lang w:val="en-US" w:eastAsia="zh-CN"/>
        </w:rPr>
        <w:t>: 91-96 [PMID: 12512033 DOI: 10.1053/gast.2003.50016]</w:t>
      </w:r>
    </w:p>
    <w:p w14:paraId="5C11BF01"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2 </w:t>
      </w:r>
      <w:r w:rsidRPr="00907F73">
        <w:rPr>
          <w:rFonts w:ascii="Book Antiqua" w:hAnsi="Book Antiqua" w:cs="Times New Roman"/>
          <w:b/>
          <w:bCs/>
          <w:color w:val="000000" w:themeColor="text1"/>
          <w:lang w:val="en-US" w:eastAsia="zh-CN"/>
        </w:rPr>
        <w:t>Austin MT</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Poulose</w:t>
      </w:r>
      <w:proofErr w:type="spellEnd"/>
      <w:r w:rsidRPr="00907F73">
        <w:rPr>
          <w:rFonts w:ascii="Book Antiqua" w:hAnsi="Book Antiqua" w:cs="Times New Roman"/>
          <w:color w:val="000000" w:themeColor="text1"/>
          <w:lang w:val="en-US" w:eastAsia="zh-CN"/>
        </w:rPr>
        <w:t xml:space="preserve"> BK, Ray WA, </w:t>
      </w:r>
      <w:proofErr w:type="spellStart"/>
      <w:r w:rsidRPr="00907F73">
        <w:rPr>
          <w:rFonts w:ascii="Book Antiqua" w:hAnsi="Book Antiqua" w:cs="Times New Roman"/>
          <w:color w:val="000000" w:themeColor="text1"/>
          <w:lang w:val="en-US" w:eastAsia="zh-CN"/>
        </w:rPr>
        <w:t>Arbogast</w:t>
      </w:r>
      <w:proofErr w:type="spellEnd"/>
      <w:r w:rsidRPr="00907F73">
        <w:rPr>
          <w:rFonts w:ascii="Book Antiqua" w:hAnsi="Book Antiqua" w:cs="Times New Roman"/>
          <w:color w:val="000000" w:themeColor="text1"/>
          <w:lang w:val="en-US" w:eastAsia="zh-CN"/>
        </w:rPr>
        <w:t xml:space="preserve"> PG, </w:t>
      </w:r>
      <w:proofErr w:type="spellStart"/>
      <w:r w:rsidRPr="00907F73">
        <w:rPr>
          <w:rFonts w:ascii="Book Antiqua" w:hAnsi="Book Antiqua" w:cs="Times New Roman"/>
          <w:color w:val="000000" w:themeColor="text1"/>
          <w:lang w:val="en-US" w:eastAsia="zh-CN"/>
        </w:rPr>
        <w:t>Feurer</w:t>
      </w:r>
      <w:proofErr w:type="spellEnd"/>
      <w:r w:rsidRPr="00907F73">
        <w:rPr>
          <w:rFonts w:ascii="Book Antiqua" w:hAnsi="Book Antiqua" w:cs="Times New Roman"/>
          <w:color w:val="000000" w:themeColor="text1"/>
          <w:lang w:val="en-US" w:eastAsia="zh-CN"/>
        </w:rPr>
        <w:t xml:space="preserve"> ID, Pinson CW. Model for end-stage liver disease: did the new liver allocation policy affect waiting list mortality? </w:t>
      </w:r>
      <w:r w:rsidRPr="00907F73">
        <w:rPr>
          <w:rFonts w:ascii="Book Antiqua" w:hAnsi="Book Antiqua" w:cs="Times New Roman"/>
          <w:i/>
          <w:iCs/>
          <w:color w:val="000000" w:themeColor="text1"/>
          <w:lang w:val="en-US" w:eastAsia="zh-CN"/>
        </w:rPr>
        <w:t>Arch Surg</w:t>
      </w:r>
      <w:r w:rsidRPr="00907F73">
        <w:rPr>
          <w:rFonts w:ascii="Book Antiqua" w:hAnsi="Book Antiqua" w:cs="Times New Roman"/>
          <w:color w:val="000000" w:themeColor="text1"/>
          <w:lang w:val="en-US" w:eastAsia="zh-CN"/>
        </w:rPr>
        <w:t> 2007; </w:t>
      </w:r>
      <w:r w:rsidRPr="00907F73">
        <w:rPr>
          <w:rFonts w:ascii="Book Antiqua" w:hAnsi="Book Antiqua" w:cs="Times New Roman"/>
          <w:b/>
          <w:bCs/>
          <w:color w:val="000000" w:themeColor="text1"/>
          <w:lang w:val="en-US" w:eastAsia="zh-CN"/>
        </w:rPr>
        <w:t>142</w:t>
      </w:r>
      <w:r w:rsidRPr="00907F73">
        <w:rPr>
          <w:rFonts w:ascii="Book Antiqua" w:hAnsi="Book Antiqua" w:cs="Times New Roman"/>
          <w:color w:val="000000" w:themeColor="text1"/>
          <w:lang w:val="en-US" w:eastAsia="zh-CN"/>
        </w:rPr>
        <w:t>: 1079-1085 [PMID: 18025337 DOI: 10.1001/archsurg.142.11.1079]</w:t>
      </w:r>
    </w:p>
    <w:p w14:paraId="2FD9791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3 </w:t>
      </w:r>
      <w:proofErr w:type="spellStart"/>
      <w:r w:rsidRPr="00907F73">
        <w:rPr>
          <w:rFonts w:ascii="Book Antiqua" w:hAnsi="Book Antiqua" w:cs="Times New Roman"/>
          <w:b/>
          <w:bCs/>
          <w:color w:val="000000" w:themeColor="text1"/>
          <w:lang w:val="en-US" w:eastAsia="zh-CN"/>
        </w:rPr>
        <w:t>Dellon</w:t>
      </w:r>
      <w:proofErr w:type="spellEnd"/>
      <w:r w:rsidRPr="00907F73">
        <w:rPr>
          <w:rFonts w:ascii="Book Antiqua" w:hAnsi="Book Antiqua" w:cs="Times New Roman"/>
          <w:b/>
          <w:bCs/>
          <w:color w:val="000000" w:themeColor="text1"/>
          <w:lang w:val="en-US" w:eastAsia="zh-CN"/>
        </w:rPr>
        <w:t xml:space="preserve"> ES</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Galanko</w:t>
      </w:r>
      <w:proofErr w:type="spellEnd"/>
      <w:r w:rsidRPr="00907F73">
        <w:rPr>
          <w:rFonts w:ascii="Book Antiqua" w:hAnsi="Book Antiqua" w:cs="Times New Roman"/>
          <w:color w:val="000000" w:themeColor="text1"/>
          <w:lang w:val="en-US" w:eastAsia="zh-CN"/>
        </w:rPr>
        <w:t xml:space="preserve"> JA, </w:t>
      </w:r>
      <w:proofErr w:type="spellStart"/>
      <w:r w:rsidRPr="00907F73">
        <w:rPr>
          <w:rFonts w:ascii="Book Antiqua" w:hAnsi="Book Antiqua" w:cs="Times New Roman"/>
          <w:color w:val="000000" w:themeColor="text1"/>
          <w:lang w:val="en-US" w:eastAsia="zh-CN"/>
        </w:rPr>
        <w:t>Medapalli</w:t>
      </w:r>
      <w:proofErr w:type="spellEnd"/>
      <w:r w:rsidRPr="00907F73">
        <w:rPr>
          <w:rFonts w:ascii="Book Antiqua" w:hAnsi="Book Antiqua" w:cs="Times New Roman"/>
          <w:color w:val="000000" w:themeColor="text1"/>
          <w:lang w:val="en-US" w:eastAsia="zh-CN"/>
        </w:rPr>
        <w:t xml:space="preserve"> RK, Russo MW. Impact of dialysis and older age on survival after liver transplantation. </w:t>
      </w:r>
      <w:r w:rsidRPr="00907F73">
        <w:rPr>
          <w:rFonts w:ascii="Book Antiqua" w:hAnsi="Book Antiqua" w:cs="Times New Roman"/>
          <w:i/>
          <w:iCs/>
          <w:color w:val="000000" w:themeColor="text1"/>
          <w:lang w:val="en-US" w:eastAsia="zh-CN"/>
        </w:rPr>
        <w:t>Am J Transplant</w:t>
      </w:r>
      <w:r w:rsidRPr="00907F73">
        <w:rPr>
          <w:rFonts w:ascii="Book Antiqua" w:hAnsi="Book Antiqua" w:cs="Times New Roman"/>
          <w:color w:val="000000" w:themeColor="text1"/>
          <w:lang w:val="en-US" w:eastAsia="zh-CN"/>
        </w:rPr>
        <w:t> 2006; </w:t>
      </w:r>
      <w:r w:rsidRPr="00907F73">
        <w:rPr>
          <w:rFonts w:ascii="Book Antiqua" w:hAnsi="Book Antiqua" w:cs="Times New Roman"/>
          <w:b/>
          <w:bCs/>
          <w:color w:val="000000" w:themeColor="text1"/>
          <w:lang w:val="en-US" w:eastAsia="zh-CN"/>
        </w:rPr>
        <w:t>6</w:t>
      </w:r>
      <w:r w:rsidRPr="00907F73">
        <w:rPr>
          <w:rFonts w:ascii="Book Antiqua" w:hAnsi="Book Antiqua" w:cs="Times New Roman"/>
          <w:color w:val="000000" w:themeColor="text1"/>
          <w:lang w:val="en-US" w:eastAsia="zh-CN"/>
        </w:rPr>
        <w:t>: 2183-2190 [PMID: 16827789 DOI: 10.1111/j.1600-6143.2006.01454.x]</w:t>
      </w:r>
    </w:p>
    <w:p w14:paraId="4506EDCD"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4 </w:t>
      </w:r>
      <w:proofErr w:type="spellStart"/>
      <w:r w:rsidRPr="00907F73">
        <w:rPr>
          <w:rFonts w:ascii="Book Antiqua" w:hAnsi="Book Antiqua" w:cs="Times New Roman"/>
          <w:b/>
          <w:bCs/>
          <w:color w:val="000000" w:themeColor="text1"/>
          <w:lang w:val="en-US" w:eastAsia="zh-CN"/>
        </w:rPr>
        <w:t>Weismüller</w:t>
      </w:r>
      <w:proofErr w:type="spellEnd"/>
      <w:r w:rsidRPr="00907F73">
        <w:rPr>
          <w:rFonts w:ascii="Book Antiqua" w:hAnsi="Book Antiqua" w:cs="Times New Roman"/>
          <w:b/>
          <w:bCs/>
          <w:color w:val="000000" w:themeColor="text1"/>
          <w:lang w:val="en-US" w:eastAsia="zh-CN"/>
        </w:rPr>
        <w:t xml:space="preserve"> TJ</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Fikatas</w:t>
      </w:r>
      <w:proofErr w:type="spellEnd"/>
      <w:r w:rsidRPr="00907F73">
        <w:rPr>
          <w:rFonts w:ascii="Book Antiqua" w:hAnsi="Book Antiqua" w:cs="Times New Roman"/>
          <w:color w:val="000000" w:themeColor="text1"/>
          <w:lang w:val="en-US" w:eastAsia="zh-CN"/>
        </w:rPr>
        <w:t xml:space="preserve"> P, Schmidt J, </w:t>
      </w:r>
      <w:proofErr w:type="spellStart"/>
      <w:r w:rsidRPr="00907F73">
        <w:rPr>
          <w:rFonts w:ascii="Book Antiqua" w:hAnsi="Book Antiqua" w:cs="Times New Roman"/>
          <w:color w:val="000000" w:themeColor="text1"/>
          <w:lang w:val="en-US" w:eastAsia="zh-CN"/>
        </w:rPr>
        <w:t>Barreiros</w:t>
      </w:r>
      <w:proofErr w:type="spellEnd"/>
      <w:r w:rsidRPr="00907F73">
        <w:rPr>
          <w:rFonts w:ascii="Book Antiqua" w:hAnsi="Book Antiqua" w:cs="Times New Roman"/>
          <w:color w:val="000000" w:themeColor="text1"/>
          <w:lang w:val="en-US" w:eastAsia="zh-CN"/>
        </w:rPr>
        <w:t xml:space="preserve"> AP, Otto G, </w:t>
      </w:r>
      <w:proofErr w:type="spellStart"/>
      <w:r w:rsidRPr="00907F73">
        <w:rPr>
          <w:rFonts w:ascii="Book Antiqua" w:hAnsi="Book Antiqua" w:cs="Times New Roman"/>
          <w:color w:val="000000" w:themeColor="text1"/>
          <w:lang w:val="en-US" w:eastAsia="zh-CN"/>
        </w:rPr>
        <w:t>Beckebaum</w:t>
      </w:r>
      <w:proofErr w:type="spellEnd"/>
      <w:r w:rsidRPr="00907F73">
        <w:rPr>
          <w:rFonts w:ascii="Book Antiqua" w:hAnsi="Book Antiqua" w:cs="Times New Roman"/>
          <w:color w:val="000000" w:themeColor="text1"/>
          <w:lang w:val="en-US" w:eastAsia="zh-CN"/>
        </w:rPr>
        <w:t xml:space="preserve"> S, Paul A, Scherer MN, Schmidt HH, </w:t>
      </w:r>
      <w:proofErr w:type="spellStart"/>
      <w:r w:rsidRPr="00907F73">
        <w:rPr>
          <w:rFonts w:ascii="Book Antiqua" w:hAnsi="Book Antiqua" w:cs="Times New Roman"/>
          <w:color w:val="000000" w:themeColor="text1"/>
          <w:lang w:val="en-US" w:eastAsia="zh-CN"/>
        </w:rPr>
        <w:t>Schlitt</w:t>
      </w:r>
      <w:proofErr w:type="spellEnd"/>
      <w:r w:rsidRPr="00907F73">
        <w:rPr>
          <w:rFonts w:ascii="Book Antiqua" w:hAnsi="Book Antiqua" w:cs="Times New Roman"/>
          <w:color w:val="000000" w:themeColor="text1"/>
          <w:lang w:val="en-US" w:eastAsia="zh-CN"/>
        </w:rPr>
        <w:t xml:space="preserve"> HJ, </w:t>
      </w:r>
      <w:proofErr w:type="spellStart"/>
      <w:r w:rsidRPr="00907F73">
        <w:rPr>
          <w:rFonts w:ascii="Book Antiqua" w:hAnsi="Book Antiqua" w:cs="Times New Roman"/>
          <w:color w:val="000000" w:themeColor="text1"/>
          <w:lang w:val="en-US" w:eastAsia="zh-CN"/>
        </w:rPr>
        <w:t>Neuhaus</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Klempnauer</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Pratschke</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Manns</w:t>
      </w:r>
      <w:proofErr w:type="spellEnd"/>
      <w:r w:rsidRPr="00907F73">
        <w:rPr>
          <w:rFonts w:ascii="Book Antiqua" w:hAnsi="Book Antiqua" w:cs="Times New Roman"/>
          <w:color w:val="000000" w:themeColor="text1"/>
          <w:lang w:val="en-US" w:eastAsia="zh-CN"/>
        </w:rPr>
        <w:t xml:space="preserve"> MP, </w:t>
      </w:r>
      <w:proofErr w:type="spellStart"/>
      <w:r w:rsidRPr="00907F73">
        <w:rPr>
          <w:rFonts w:ascii="Book Antiqua" w:hAnsi="Book Antiqua" w:cs="Times New Roman"/>
          <w:color w:val="000000" w:themeColor="text1"/>
          <w:lang w:val="en-US" w:eastAsia="zh-CN"/>
        </w:rPr>
        <w:t>Strassburg</w:t>
      </w:r>
      <w:proofErr w:type="spellEnd"/>
      <w:r w:rsidRPr="00907F73">
        <w:rPr>
          <w:rFonts w:ascii="Book Antiqua" w:hAnsi="Book Antiqua" w:cs="Times New Roman"/>
          <w:color w:val="000000" w:themeColor="text1"/>
          <w:lang w:val="en-US" w:eastAsia="zh-CN"/>
        </w:rPr>
        <w:t xml:space="preserve"> CP. Multicentric evaluation of model for end-stage liver disease-based allocation and survival after liver transplantation in Germany--limitations of the 'sickest first'-concept.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i/>
          <w:iCs/>
          <w:color w:val="000000" w:themeColor="text1"/>
          <w:lang w:val="en-US" w:eastAsia="zh-CN"/>
        </w:rPr>
        <w:t xml:space="preserve"> </w:t>
      </w:r>
      <w:proofErr w:type="spellStart"/>
      <w:r w:rsidRPr="00907F73">
        <w:rPr>
          <w:rFonts w:ascii="Book Antiqua" w:hAnsi="Book Antiqua" w:cs="Times New Roman"/>
          <w:i/>
          <w:iCs/>
          <w:color w:val="000000" w:themeColor="text1"/>
          <w:lang w:val="en-US" w:eastAsia="zh-CN"/>
        </w:rPr>
        <w:t>Int</w:t>
      </w:r>
      <w:proofErr w:type="spellEnd"/>
      <w:r w:rsidRPr="00907F73">
        <w:rPr>
          <w:rFonts w:ascii="Book Antiqua" w:hAnsi="Book Antiqua" w:cs="Times New Roman"/>
          <w:color w:val="000000" w:themeColor="text1"/>
          <w:lang w:val="en-US" w:eastAsia="zh-CN"/>
        </w:rPr>
        <w:t> 2011; </w:t>
      </w:r>
      <w:r w:rsidRPr="00907F73">
        <w:rPr>
          <w:rFonts w:ascii="Book Antiqua" w:hAnsi="Book Antiqua" w:cs="Times New Roman"/>
          <w:b/>
          <w:bCs/>
          <w:color w:val="000000" w:themeColor="text1"/>
          <w:lang w:val="en-US" w:eastAsia="zh-CN"/>
        </w:rPr>
        <w:t>24</w:t>
      </w:r>
      <w:r w:rsidRPr="00907F73">
        <w:rPr>
          <w:rFonts w:ascii="Book Antiqua" w:hAnsi="Book Antiqua" w:cs="Times New Roman"/>
          <w:color w:val="000000" w:themeColor="text1"/>
          <w:lang w:val="en-US" w:eastAsia="zh-CN"/>
        </w:rPr>
        <w:t>: 91-99 [PMID: 20819196 DOI: 10.1111/j.1432-2277.2010.01161.x]</w:t>
      </w:r>
    </w:p>
    <w:p w14:paraId="35DD9CC7"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5 </w:t>
      </w:r>
      <w:r w:rsidRPr="00907F73">
        <w:rPr>
          <w:rFonts w:ascii="Book Antiqua" w:hAnsi="Book Antiqua" w:cs="Times New Roman"/>
          <w:b/>
          <w:bCs/>
          <w:color w:val="000000" w:themeColor="text1"/>
          <w:lang w:val="en-US" w:eastAsia="zh-CN"/>
        </w:rPr>
        <w:t>Berry PA</w:t>
      </w:r>
      <w:r w:rsidRPr="00907F73">
        <w:rPr>
          <w:rFonts w:ascii="Book Antiqua" w:hAnsi="Book Antiqua" w:cs="Times New Roman"/>
          <w:color w:val="000000" w:themeColor="text1"/>
          <w:lang w:val="en-US" w:eastAsia="zh-CN"/>
        </w:rPr>
        <w:t>, Thomson SJ, Rahman TM, Ala A. Review article: towards a considered and ethical approach to organ support in critically-ill patients with cirrhosis. </w:t>
      </w:r>
      <w:r w:rsidRPr="00907F73">
        <w:rPr>
          <w:rFonts w:ascii="Book Antiqua" w:hAnsi="Book Antiqua" w:cs="Times New Roman"/>
          <w:i/>
          <w:iCs/>
          <w:color w:val="000000" w:themeColor="text1"/>
          <w:lang w:val="en-US" w:eastAsia="zh-CN"/>
        </w:rPr>
        <w:t xml:space="preserve">Aliment </w:t>
      </w:r>
      <w:proofErr w:type="spellStart"/>
      <w:r w:rsidRPr="00907F73">
        <w:rPr>
          <w:rFonts w:ascii="Book Antiqua" w:hAnsi="Book Antiqua" w:cs="Times New Roman"/>
          <w:i/>
          <w:iCs/>
          <w:color w:val="000000" w:themeColor="text1"/>
          <w:lang w:val="en-US" w:eastAsia="zh-CN"/>
        </w:rPr>
        <w:t>Pharmacol</w:t>
      </w:r>
      <w:proofErr w:type="spellEnd"/>
      <w:r w:rsidRPr="00907F73">
        <w:rPr>
          <w:rFonts w:ascii="Book Antiqua" w:hAnsi="Book Antiqua" w:cs="Times New Roman"/>
          <w:i/>
          <w:iCs/>
          <w:color w:val="000000" w:themeColor="text1"/>
          <w:lang w:val="en-US" w:eastAsia="zh-CN"/>
        </w:rPr>
        <w:t xml:space="preserve"> </w:t>
      </w:r>
      <w:proofErr w:type="spellStart"/>
      <w:r w:rsidRPr="00907F73">
        <w:rPr>
          <w:rFonts w:ascii="Book Antiqua" w:hAnsi="Book Antiqua" w:cs="Times New Roman"/>
          <w:i/>
          <w:iCs/>
          <w:color w:val="000000" w:themeColor="text1"/>
          <w:lang w:val="en-US" w:eastAsia="zh-CN"/>
        </w:rPr>
        <w:t>Ther</w:t>
      </w:r>
      <w:proofErr w:type="spellEnd"/>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37</w:t>
      </w:r>
      <w:r w:rsidRPr="00907F73">
        <w:rPr>
          <w:rFonts w:ascii="Book Antiqua" w:hAnsi="Book Antiqua" w:cs="Times New Roman"/>
          <w:color w:val="000000" w:themeColor="text1"/>
          <w:lang w:val="en-US" w:eastAsia="zh-CN"/>
        </w:rPr>
        <w:t>: 174-182 [PMID: 23157692 DOI: 10.1111/apt.12133]</w:t>
      </w:r>
    </w:p>
    <w:p w14:paraId="11D446D4"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6 </w:t>
      </w:r>
      <w:r w:rsidRPr="00907F73">
        <w:rPr>
          <w:rFonts w:ascii="Book Antiqua" w:hAnsi="Book Antiqua" w:cs="Times New Roman"/>
          <w:b/>
          <w:bCs/>
          <w:color w:val="000000" w:themeColor="text1"/>
          <w:lang w:val="en-US" w:eastAsia="zh-CN"/>
        </w:rPr>
        <w:t>Biggins SW</w:t>
      </w:r>
      <w:r w:rsidRPr="00907F73">
        <w:rPr>
          <w:rFonts w:ascii="Book Antiqua" w:hAnsi="Book Antiqua" w:cs="Times New Roman"/>
          <w:color w:val="000000" w:themeColor="text1"/>
          <w:lang w:val="en-US" w:eastAsia="zh-CN"/>
        </w:rPr>
        <w:t xml:space="preserve">. Futility and rationing in liver </w:t>
      </w:r>
      <w:proofErr w:type="spellStart"/>
      <w:r w:rsidRPr="00907F73">
        <w:rPr>
          <w:rFonts w:ascii="Book Antiqua" w:hAnsi="Book Antiqua" w:cs="Times New Roman"/>
          <w:color w:val="000000" w:themeColor="text1"/>
          <w:lang w:val="en-US" w:eastAsia="zh-CN"/>
        </w:rPr>
        <w:t>retransplantation</w:t>
      </w:r>
      <w:proofErr w:type="spellEnd"/>
      <w:r w:rsidRPr="00907F73">
        <w:rPr>
          <w:rFonts w:ascii="Book Antiqua" w:hAnsi="Book Antiqua" w:cs="Times New Roman"/>
          <w:color w:val="000000" w:themeColor="text1"/>
          <w:lang w:val="en-US" w:eastAsia="zh-CN"/>
        </w:rPr>
        <w:t>: when and how can we say no?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2012; </w:t>
      </w:r>
      <w:r w:rsidRPr="00907F73">
        <w:rPr>
          <w:rFonts w:ascii="Book Antiqua" w:hAnsi="Book Antiqua" w:cs="Times New Roman"/>
          <w:b/>
          <w:bCs/>
          <w:color w:val="000000" w:themeColor="text1"/>
          <w:lang w:val="en-US" w:eastAsia="zh-CN"/>
        </w:rPr>
        <w:t>56</w:t>
      </w:r>
      <w:r w:rsidRPr="00907F73">
        <w:rPr>
          <w:rFonts w:ascii="Book Antiqua" w:hAnsi="Book Antiqua" w:cs="Times New Roman"/>
          <w:color w:val="000000" w:themeColor="text1"/>
          <w:lang w:val="en-US" w:eastAsia="zh-CN"/>
        </w:rPr>
        <w:t>: 1404-1411 [PMID: 22314427 DOI: 10.1016/j.jhep.2011.11.027]</w:t>
      </w:r>
    </w:p>
    <w:p w14:paraId="17ADDFE7" w14:textId="5CC4DBA2"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7 </w:t>
      </w:r>
      <w:proofErr w:type="spellStart"/>
      <w:r w:rsidRPr="00907F73">
        <w:rPr>
          <w:rFonts w:ascii="Book Antiqua" w:hAnsi="Book Antiqua" w:cs="Times New Roman"/>
          <w:b/>
          <w:bCs/>
          <w:color w:val="000000" w:themeColor="text1"/>
          <w:lang w:val="en-US" w:eastAsia="zh-CN"/>
        </w:rPr>
        <w:t>Linecker</w:t>
      </w:r>
      <w:proofErr w:type="spellEnd"/>
      <w:r w:rsidRPr="00907F73">
        <w:rPr>
          <w:rFonts w:ascii="Book Antiqua" w:hAnsi="Book Antiqua" w:cs="Times New Roman"/>
          <w:b/>
          <w:bCs/>
          <w:color w:val="000000" w:themeColor="text1"/>
          <w:lang w:val="en-US" w:eastAsia="zh-CN"/>
        </w:rPr>
        <w:t xml:space="preserve"> M</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Krones</w:t>
      </w:r>
      <w:proofErr w:type="spellEnd"/>
      <w:r w:rsidRPr="00907F73">
        <w:rPr>
          <w:rFonts w:ascii="Book Antiqua" w:hAnsi="Book Antiqua" w:cs="Times New Roman"/>
          <w:color w:val="000000" w:themeColor="text1"/>
          <w:lang w:val="en-US" w:eastAsia="zh-CN"/>
        </w:rPr>
        <w:t xml:space="preserve"> T, Berg T, Niemann CU, Steadman RH, </w:t>
      </w:r>
      <w:proofErr w:type="spellStart"/>
      <w:r w:rsidRPr="00907F73">
        <w:rPr>
          <w:rFonts w:ascii="Book Antiqua" w:hAnsi="Book Antiqua" w:cs="Times New Roman"/>
          <w:color w:val="000000" w:themeColor="text1"/>
          <w:lang w:val="en-US" w:eastAsia="zh-CN"/>
        </w:rPr>
        <w:t>Dutkowski</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Clavien</w:t>
      </w:r>
      <w:proofErr w:type="spellEnd"/>
      <w:r w:rsidRPr="00907F73">
        <w:rPr>
          <w:rFonts w:ascii="Book Antiqua" w:hAnsi="Book Antiqua" w:cs="Times New Roman"/>
          <w:color w:val="000000" w:themeColor="text1"/>
          <w:lang w:val="en-US" w:eastAsia="zh-CN"/>
        </w:rPr>
        <w:t xml:space="preserve"> PA, </w:t>
      </w:r>
      <w:proofErr w:type="spellStart"/>
      <w:r w:rsidRPr="00907F73">
        <w:rPr>
          <w:rFonts w:ascii="Book Antiqua" w:hAnsi="Book Antiqua" w:cs="Times New Roman"/>
          <w:color w:val="000000" w:themeColor="text1"/>
          <w:lang w:val="en-US" w:eastAsia="zh-CN"/>
        </w:rPr>
        <w:t>Busuttil</w:t>
      </w:r>
      <w:proofErr w:type="spellEnd"/>
      <w:r w:rsidRPr="00907F73">
        <w:rPr>
          <w:rFonts w:ascii="Book Antiqua" w:hAnsi="Book Antiqua" w:cs="Times New Roman"/>
          <w:color w:val="000000" w:themeColor="text1"/>
          <w:lang w:val="en-US" w:eastAsia="zh-CN"/>
        </w:rPr>
        <w:t xml:space="preserve"> RW, </w:t>
      </w:r>
      <w:proofErr w:type="spellStart"/>
      <w:r w:rsidRPr="00907F73">
        <w:rPr>
          <w:rFonts w:ascii="Book Antiqua" w:hAnsi="Book Antiqua" w:cs="Times New Roman"/>
          <w:color w:val="000000" w:themeColor="text1"/>
          <w:lang w:val="en-US" w:eastAsia="zh-CN"/>
        </w:rPr>
        <w:t>Truog</w:t>
      </w:r>
      <w:proofErr w:type="spellEnd"/>
      <w:r w:rsidRPr="00907F73">
        <w:rPr>
          <w:rFonts w:ascii="Book Antiqua" w:hAnsi="Book Antiqua" w:cs="Times New Roman"/>
          <w:color w:val="000000" w:themeColor="text1"/>
          <w:lang w:val="en-US" w:eastAsia="zh-CN"/>
        </w:rPr>
        <w:t xml:space="preserve"> RD, </w:t>
      </w:r>
      <w:proofErr w:type="spellStart"/>
      <w:r w:rsidRPr="00907F73">
        <w:rPr>
          <w:rFonts w:ascii="Book Antiqua" w:hAnsi="Book Antiqua" w:cs="Times New Roman"/>
          <w:color w:val="000000" w:themeColor="text1"/>
          <w:lang w:val="en-US" w:eastAsia="zh-CN"/>
        </w:rPr>
        <w:t>Petrowsky</w:t>
      </w:r>
      <w:proofErr w:type="spellEnd"/>
      <w:r w:rsidRPr="00907F73">
        <w:rPr>
          <w:rFonts w:ascii="Book Antiqua" w:hAnsi="Book Antiqua" w:cs="Times New Roman"/>
          <w:color w:val="000000" w:themeColor="text1"/>
          <w:lang w:val="en-US" w:eastAsia="zh-CN"/>
        </w:rPr>
        <w:t xml:space="preserve"> H. Potentially inappropriate liver transplantation in the era of the "sickest first" policy - A search for the upper limits.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xml:space="preserve"> 2017 </w:t>
      </w:r>
      <w:proofErr w:type="spellStart"/>
      <w:r>
        <w:rPr>
          <w:rFonts w:ascii="Book Antiqua" w:hAnsi="Book Antiqua" w:cs="Times New Roman"/>
          <w:color w:val="000000" w:themeColor="text1"/>
          <w:lang w:val="en-US" w:eastAsia="zh-CN"/>
        </w:rPr>
        <w:t>Epub</w:t>
      </w:r>
      <w:proofErr w:type="spellEnd"/>
      <w:r>
        <w:rPr>
          <w:rFonts w:ascii="Book Antiqua" w:hAnsi="Book Antiqua" w:cs="Times New Roman"/>
          <w:color w:val="000000" w:themeColor="text1"/>
          <w:lang w:val="en-US" w:eastAsia="zh-CN"/>
        </w:rPr>
        <w:t xml:space="preserve"> ahead of print </w:t>
      </w:r>
      <w:r w:rsidRPr="00907F73">
        <w:rPr>
          <w:rFonts w:ascii="Book Antiqua" w:hAnsi="Book Antiqua" w:cs="Times New Roman"/>
          <w:color w:val="000000" w:themeColor="text1"/>
          <w:lang w:val="en-US" w:eastAsia="zh-CN"/>
        </w:rPr>
        <w:t>[PMID: 29133246 DOI: 10.1016/j.jhep.2017.11.008]</w:t>
      </w:r>
    </w:p>
    <w:p w14:paraId="04734CD4"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lastRenderedPageBreak/>
        <w:t>8 </w:t>
      </w:r>
      <w:r w:rsidRPr="00907F73">
        <w:rPr>
          <w:rFonts w:ascii="Book Antiqua" w:hAnsi="Book Antiqua" w:cs="Times New Roman"/>
          <w:b/>
          <w:bCs/>
          <w:color w:val="000000" w:themeColor="text1"/>
          <w:lang w:val="en-US" w:eastAsia="zh-CN"/>
        </w:rPr>
        <w:t>Doyle HR</w:t>
      </w:r>
      <w:r w:rsidRPr="00907F73">
        <w:rPr>
          <w:rFonts w:ascii="Book Antiqua" w:hAnsi="Book Antiqua" w:cs="Times New Roman"/>
          <w:color w:val="000000" w:themeColor="text1"/>
          <w:lang w:val="en-US" w:eastAsia="zh-CN"/>
        </w:rPr>
        <w:t xml:space="preserve">, Marino IR, Miro A, Scott V, Martin M, Fung J, Kramer D, </w:t>
      </w:r>
      <w:proofErr w:type="spellStart"/>
      <w:r w:rsidRPr="00907F73">
        <w:rPr>
          <w:rFonts w:ascii="Book Antiqua" w:hAnsi="Book Antiqua" w:cs="Times New Roman"/>
          <w:color w:val="000000" w:themeColor="text1"/>
          <w:lang w:val="en-US" w:eastAsia="zh-CN"/>
        </w:rPr>
        <w:t>Starzl</w:t>
      </w:r>
      <w:proofErr w:type="spellEnd"/>
      <w:r w:rsidRPr="00907F73">
        <w:rPr>
          <w:rFonts w:ascii="Book Antiqua" w:hAnsi="Book Antiqua" w:cs="Times New Roman"/>
          <w:color w:val="000000" w:themeColor="text1"/>
          <w:lang w:val="en-US" w:eastAsia="zh-CN"/>
        </w:rPr>
        <w:t xml:space="preserve"> TE. Adult respiratory distress syndrome secondary to end-stage liver disease-successful outcome following liver transplantation. </w:t>
      </w:r>
      <w:r w:rsidRPr="00907F73">
        <w:rPr>
          <w:rFonts w:ascii="Book Antiqua" w:hAnsi="Book Antiqua" w:cs="Times New Roman"/>
          <w:i/>
          <w:iCs/>
          <w:color w:val="000000" w:themeColor="text1"/>
          <w:lang w:val="en-US" w:eastAsia="zh-CN"/>
        </w:rPr>
        <w:t>Transplantation</w:t>
      </w:r>
      <w:r w:rsidRPr="00907F73">
        <w:rPr>
          <w:rFonts w:ascii="Book Antiqua" w:hAnsi="Book Antiqua" w:cs="Times New Roman"/>
          <w:color w:val="000000" w:themeColor="text1"/>
          <w:lang w:val="en-US" w:eastAsia="zh-CN"/>
        </w:rPr>
        <w:t> 1993; </w:t>
      </w:r>
      <w:r w:rsidRPr="00907F73">
        <w:rPr>
          <w:rFonts w:ascii="Book Antiqua" w:hAnsi="Book Antiqua" w:cs="Times New Roman"/>
          <w:b/>
          <w:bCs/>
          <w:color w:val="000000" w:themeColor="text1"/>
          <w:lang w:val="en-US" w:eastAsia="zh-CN"/>
        </w:rPr>
        <w:t>55</w:t>
      </w:r>
      <w:r w:rsidRPr="00907F73">
        <w:rPr>
          <w:rFonts w:ascii="Book Antiqua" w:hAnsi="Book Antiqua" w:cs="Times New Roman"/>
          <w:color w:val="000000" w:themeColor="text1"/>
          <w:lang w:val="en-US" w:eastAsia="zh-CN"/>
        </w:rPr>
        <w:t>: 292-296 [PMID: 8434378]</w:t>
      </w:r>
    </w:p>
    <w:p w14:paraId="5657256D"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9 </w:t>
      </w:r>
      <w:proofErr w:type="spellStart"/>
      <w:r w:rsidRPr="00907F73">
        <w:rPr>
          <w:rFonts w:ascii="Book Antiqua" w:hAnsi="Book Antiqua" w:cs="Times New Roman"/>
          <w:b/>
          <w:bCs/>
          <w:color w:val="000000" w:themeColor="text1"/>
          <w:lang w:val="en-US" w:eastAsia="zh-CN"/>
        </w:rPr>
        <w:t>Finkenstedt</w:t>
      </w:r>
      <w:proofErr w:type="spellEnd"/>
      <w:r w:rsidRPr="00907F73">
        <w:rPr>
          <w:rFonts w:ascii="Book Antiqua" w:hAnsi="Book Antiqua" w:cs="Times New Roman"/>
          <w:b/>
          <w:bCs/>
          <w:color w:val="000000" w:themeColor="text1"/>
          <w:lang w:val="en-US" w:eastAsia="zh-CN"/>
        </w:rPr>
        <w:t xml:space="preserve"> A</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Nachbaur</w:t>
      </w:r>
      <w:proofErr w:type="spellEnd"/>
      <w:r w:rsidRPr="00907F73">
        <w:rPr>
          <w:rFonts w:ascii="Book Antiqua" w:hAnsi="Book Antiqua" w:cs="Times New Roman"/>
          <w:color w:val="000000" w:themeColor="text1"/>
          <w:lang w:val="en-US" w:eastAsia="zh-CN"/>
        </w:rPr>
        <w:t xml:space="preserve"> K, </w:t>
      </w:r>
      <w:proofErr w:type="spellStart"/>
      <w:r w:rsidRPr="00907F73">
        <w:rPr>
          <w:rFonts w:ascii="Book Antiqua" w:hAnsi="Book Antiqua" w:cs="Times New Roman"/>
          <w:color w:val="000000" w:themeColor="text1"/>
          <w:lang w:val="en-US" w:eastAsia="zh-CN"/>
        </w:rPr>
        <w:t>Zoller</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Joannidis</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Pratschke</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Graziadei</w:t>
      </w:r>
      <w:proofErr w:type="spellEnd"/>
      <w:r w:rsidRPr="00907F73">
        <w:rPr>
          <w:rFonts w:ascii="Book Antiqua" w:hAnsi="Book Antiqua" w:cs="Times New Roman"/>
          <w:color w:val="000000" w:themeColor="text1"/>
          <w:lang w:val="en-US" w:eastAsia="zh-CN"/>
        </w:rPr>
        <w:t xml:space="preserve"> IW, Vogel W. Acute-on-chronic liver failure: excellent outcomes after liver transplantation but high mortality on the wait list.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19</w:t>
      </w:r>
      <w:r w:rsidRPr="00907F73">
        <w:rPr>
          <w:rFonts w:ascii="Book Antiqua" w:hAnsi="Book Antiqua" w:cs="Times New Roman"/>
          <w:color w:val="000000" w:themeColor="text1"/>
          <w:lang w:val="en-US" w:eastAsia="zh-CN"/>
        </w:rPr>
        <w:t>: 879-886 [PMID: 23696006 DOI: 10.1002/lt.23678]</w:t>
      </w:r>
    </w:p>
    <w:p w14:paraId="68439A37"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10 </w:t>
      </w:r>
      <w:proofErr w:type="spellStart"/>
      <w:r w:rsidRPr="00907F73">
        <w:rPr>
          <w:rFonts w:ascii="Book Antiqua" w:hAnsi="Book Antiqua" w:cs="Times New Roman"/>
          <w:b/>
          <w:bCs/>
          <w:color w:val="000000" w:themeColor="text1"/>
          <w:lang w:val="en-US" w:eastAsia="zh-CN"/>
        </w:rPr>
        <w:t>Artru</w:t>
      </w:r>
      <w:proofErr w:type="spellEnd"/>
      <w:r w:rsidRPr="00907F73">
        <w:rPr>
          <w:rFonts w:ascii="Book Antiqua" w:hAnsi="Book Antiqua" w:cs="Times New Roman"/>
          <w:b/>
          <w:bCs/>
          <w:color w:val="000000" w:themeColor="text1"/>
          <w:lang w:val="en-US" w:eastAsia="zh-CN"/>
        </w:rPr>
        <w:t xml:space="preserve"> F</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Louvet</w:t>
      </w:r>
      <w:proofErr w:type="spellEnd"/>
      <w:r w:rsidRPr="00907F73">
        <w:rPr>
          <w:rFonts w:ascii="Book Antiqua" w:hAnsi="Book Antiqua" w:cs="Times New Roman"/>
          <w:color w:val="000000" w:themeColor="text1"/>
          <w:lang w:val="en-US" w:eastAsia="zh-CN"/>
        </w:rPr>
        <w:t xml:space="preserve"> A, Ruiz I, Levesque E, </w:t>
      </w:r>
      <w:proofErr w:type="spellStart"/>
      <w:r w:rsidRPr="00907F73">
        <w:rPr>
          <w:rFonts w:ascii="Book Antiqua" w:hAnsi="Book Antiqua" w:cs="Times New Roman"/>
          <w:color w:val="000000" w:themeColor="text1"/>
          <w:lang w:val="en-US" w:eastAsia="zh-CN"/>
        </w:rPr>
        <w:t>Labreuche</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Ursic-Bedoya</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Lassailly</w:t>
      </w:r>
      <w:proofErr w:type="spellEnd"/>
      <w:r w:rsidRPr="00907F73">
        <w:rPr>
          <w:rFonts w:ascii="Book Antiqua" w:hAnsi="Book Antiqua" w:cs="Times New Roman"/>
          <w:color w:val="000000" w:themeColor="text1"/>
          <w:lang w:val="en-US" w:eastAsia="zh-CN"/>
        </w:rPr>
        <w:t xml:space="preserve"> G, </w:t>
      </w:r>
      <w:proofErr w:type="spellStart"/>
      <w:r w:rsidRPr="00907F73">
        <w:rPr>
          <w:rFonts w:ascii="Book Antiqua" w:hAnsi="Book Antiqua" w:cs="Times New Roman"/>
          <w:color w:val="000000" w:themeColor="text1"/>
          <w:lang w:val="en-US" w:eastAsia="zh-CN"/>
        </w:rPr>
        <w:t>Dharancy</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Boleslawski</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Lebuffe</w:t>
      </w:r>
      <w:proofErr w:type="spellEnd"/>
      <w:r w:rsidRPr="00907F73">
        <w:rPr>
          <w:rFonts w:ascii="Book Antiqua" w:hAnsi="Book Antiqua" w:cs="Times New Roman"/>
          <w:color w:val="000000" w:themeColor="text1"/>
          <w:lang w:val="en-US" w:eastAsia="zh-CN"/>
        </w:rPr>
        <w:t xml:space="preserve"> G, </w:t>
      </w:r>
      <w:proofErr w:type="spellStart"/>
      <w:r w:rsidRPr="00907F73">
        <w:rPr>
          <w:rFonts w:ascii="Book Antiqua" w:hAnsi="Book Antiqua" w:cs="Times New Roman"/>
          <w:color w:val="000000" w:themeColor="text1"/>
          <w:lang w:val="en-US" w:eastAsia="zh-CN"/>
        </w:rPr>
        <w:t>Kipnis</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Ichai</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Coilly</w:t>
      </w:r>
      <w:proofErr w:type="spellEnd"/>
      <w:r w:rsidRPr="00907F73">
        <w:rPr>
          <w:rFonts w:ascii="Book Antiqua" w:hAnsi="Book Antiqua" w:cs="Times New Roman"/>
          <w:color w:val="000000" w:themeColor="text1"/>
          <w:lang w:val="en-US" w:eastAsia="zh-CN"/>
        </w:rPr>
        <w:t xml:space="preserve"> A, De Martin E, </w:t>
      </w:r>
      <w:proofErr w:type="spellStart"/>
      <w:r w:rsidRPr="00907F73">
        <w:rPr>
          <w:rFonts w:ascii="Book Antiqua" w:hAnsi="Book Antiqua" w:cs="Times New Roman"/>
          <w:color w:val="000000" w:themeColor="text1"/>
          <w:lang w:val="en-US" w:eastAsia="zh-CN"/>
        </w:rPr>
        <w:t>Antonini</w:t>
      </w:r>
      <w:proofErr w:type="spellEnd"/>
      <w:r w:rsidRPr="00907F73">
        <w:rPr>
          <w:rFonts w:ascii="Book Antiqua" w:hAnsi="Book Antiqua" w:cs="Times New Roman"/>
          <w:color w:val="000000" w:themeColor="text1"/>
          <w:lang w:val="en-US" w:eastAsia="zh-CN"/>
        </w:rPr>
        <w:t xml:space="preserve"> TM, </w:t>
      </w:r>
      <w:proofErr w:type="spellStart"/>
      <w:r w:rsidRPr="00907F73">
        <w:rPr>
          <w:rFonts w:ascii="Book Antiqua" w:hAnsi="Book Antiqua" w:cs="Times New Roman"/>
          <w:color w:val="000000" w:themeColor="text1"/>
          <w:lang w:val="en-US" w:eastAsia="zh-CN"/>
        </w:rPr>
        <w:t>Vibert</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Jaber</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Herrerro</w:t>
      </w:r>
      <w:proofErr w:type="spellEnd"/>
      <w:r w:rsidRPr="00907F73">
        <w:rPr>
          <w:rFonts w:ascii="Book Antiqua" w:hAnsi="Book Antiqua" w:cs="Times New Roman"/>
          <w:color w:val="000000" w:themeColor="text1"/>
          <w:lang w:val="en-US" w:eastAsia="zh-CN"/>
        </w:rPr>
        <w:t xml:space="preserve"> A, Samuel D, Duhamel A, </w:t>
      </w:r>
      <w:proofErr w:type="spellStart"/>
      <w:r w:rsidRPr="00907F73">
        <w:rPr>
          <w:rFonts w:ascii="Book Antiqua" w:hAnsi="Book Antiqua" w:cs="Times New Roman"/>
          <w:color w:val="000000" w:themeColor="text1"/>
          <w:lang w:val="en-US" w:eastAsia="zh-CN"/>
        </w:rPr>
        <w:t>Pageaux</w:t>
      </w:r>
      <w:proofErr w:type="spellEnd"/>
      <w:r w:rsidRPr="00907F73">
        <w:rPr>
          <w:rFonts w:ascii="Book Antiqua" w:hAnsi="Book Antiqua" w:cs="Times New Roman"/>
          <w:color w:val="000000" w:themeColor="text1"/>
          <w:lang w:val="en-US" w:eastAsia="zh-CN"/>
        </w:rPr>
        <w:t xml:space="preserve"> GP, </w:t>
      </w:r>
      <w:proofErr w:type="spellStart"/>
      <w:r w:rsidRPr="00907F73">
        <w:rPr>
          <w:rFonts w:ascii="Book Antiqua" w:hAnsi="Book Antiqua" w:cs="Times New Roman"/>
          <w:color w:val="000000" w:themeColor="text1"/>
          <w:lang w:val="en-US" w:eastAsia="zh-CN"/>
        </w:rPr>
        <w:t>Mathurin</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Saliba</w:t>
      </w:r>
      <w:proofErr w:type="spellEnd"/>
      <w:r w:rsidRPr="00907F73">
        <w:rPr>
          <w:rFonts w:ascii="Book Antiqua" w:hAnsi="Book Antiqua" w:cs="Times New Roman"/>
          <w:color w:val="000000" w:themeColor="text1"/>
          <w:lang w:val="en-US" w:eastAsia="zh-CN"/>
        </w:rPr>
        <w:t xml:space="preserve"> F. Liver transplantation in the most severely ill cirrhotic patients: A multicenter study in acute-on-chronic liver failure grade 3.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67</w:t>
      </w:r>
      <w:r w:rsidRPr="00907F73">
        <w:rPr>
          <w:rFonts w:ascii="Book Antiqua" w:hAnsi="Book Antiqua" w:cs="Times New Roman"/>
          <w:color w:val="000000" w:themeColor="text1"/>
          <w:lang w:val="en-US" w:eastAsia="zh-CN"/>
        </w:rPr>
        <w:t>: 708-715 [PMID: 28645736 DOI: 10.1016/j.jhep.2017.06.009]</w:t>
      </w:r>
    </w:p>
    <w:p w14:paraId="0480251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11 </w:t>
      </w:r>
      <w:proofErr w:type="spellStart"/>
      <w:r w:rsidRPr="00907F73">
        <w:rPr>
          <w:rFonts w:ascii="Book Antiqua" w:hAnsi="Book Antiqua" w:cs="Times New Roman"/>
          <w:b/>
          <w:bCs/>
          <w:color w:val="000000" w:themeColor="text1"/>
          <w:lang w:val="en-US" w:eastAsia="zh-CN"/>
        </w:rPr>
        <w:t>Weismüller</w:t>
      </w:r>
      <w:proofErr w:type="spellEnd"/>
      <w:r w:rsidRPr="00907F73">
        <w:rPr>
          <w:rFonts w:ascii="Book Antiqua" w:hAnsi="Book Antiqua" w:cs="Times New Roman"/>
          <w:b/>
          <w:bCs/>
          <w:color w:val="000000" w:themeColor="text1"/>
          <w:lang w:val="en-US" w:eastAsia="zh-CN"/>
        </w:rPr>
        <w:t xml:space="preserve"> TJ</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Prokein</w:t>
      </w:r>
      <w:proofErr w:type="spellEnd"/>
      <w:r w:rsidRPr="00907F73">
        <w:rPr>
          <w:rFonts w:ascii="Book Antiqua" w:hAnsi="Book Antiqua" w:cs="Times New Roman"/>
          <w:color w:val="000000" w:themeColor="text1"/>
          <w:lang w:val="en-US" w:eastAsia="zh-CN"/>
        </w:rPr>
        <w:t xml:space="preserve"> J, Becker T, </w:t>
      </w:r>
      <w:proofErr w:type="spellStart"/>
      <w:r w:rsidRPr="00907F73">
        <w:rPr>
          <w:rFonts w:ascii="Book Antiqua" w:hAnsi="Book Antiqua" w:cs="Times New Roman"/>
          <w:color w:val="000000" w:themeColor="text1"/>
          <w:lang w:val="en-US" w:eastAsia="zh-CN"/>
        </w:rPr>
        <w:t>Barg</w:t>
      </w:r>
      <w:proofErr w:type="spellEnd"/>
      <w:r w:rsidRPr="00907F73">
        <w:rPr>
          <w:rFonts w:ascii="Book Antiqua" w:hAnsi="Book Antiqua" w:cs="Times New Roman"/>
          <w:color w:val="000000" w:themeColor="text1"/>
          <w:lang w:val="en-US" w:eastAsia="zh-CN"/>
        </w:rPr>
        <w:t xml:space="preserve">-Hock H, </w:t>
      </w:r>
      <w:proofErr w:type="spellStart"/>
      <w:r w:rsidRPr="00907F73">
        <w:rPr>
          <w:rFonts w:ascii="Book Antiqua" w:hAnsi="Book Antiqua" w:cs="Times New Roman"/>
          <w:color w:val="000000" w:themeColor="text1"/>
          <w:lang w:val="en-US" w:eastAsia="zh-CN"/>
        </w:rPr>
        <w:t>Klempnauer</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Manns</w:t>
      </w:r>
      <w:proofErr w:type="spellEnd"/>
      <w:r w:rsidRPr="00907F73">
        <w:rPr>
          <w:rFonts w:ascii="Book Antiqua" w:hAnsi="Book Antiqua" w:cs="Times New Roman"/>
          <w:color w:val="000000" w:themeColor="text1"/>
          <w:lang w:val="en-US" w:eastAsia="zh-CN"/>
        </w:rPr>
        <w:t xml:space="preserve"> MP, </w:t>
      </w:r>
      <w:proofErr w:type="spellStart"/>
      <w:r w:rsidRPr="00907F73">
        <w:rPr>
          <w:rFonts w:ascii="Book Antiqua" w:hAnsi="Book Antiqua" w:cs="Times New Roman"/>
          <w:color w:val="000000" w:themeColor="text1"/>
          <w:lang w:val="en-US" w:eastAsia="zh-CN"/>
        </w:rPr>
        <w:t>Strassburg</w:t>
      </w:r>
      <w:proofErr w:type="spellEnd"/>
      <w:r w:rsidRPr="00907F73">
        <w:rPr>
          <w:rFonts w:ascii="Book Antiqua" w:hAnsi="Book Antiqua" w:cs="Times New Roman"/>
          <w:color w:val="000000" w:themeColor="text1"/>
          <w:lang w:val="en-US" w:eastAsia="zh-CN"/>
        </w:rPr>
        <w:t xml:space="preserve"> CP. Prediction of survival after liver transplantation by pre-transplant parameters. </w:t>
      </w:r>
      <w:proofErr w:type="spellStart"/>
      <w:r w:rsidRPr="00907F73">
        <w:rPr>
          <w:rFonts w:ascii="Book Antiqua" w:hAnsi="Book Antiqua" w:cs="Times New Roman"/>
          <w:i/>
          <w:iCs/>
          <w:color w:val="000000" w:themeColor="text1"/>
          <w:lang w:val="en-US" w:eastAsia="zh-CN"/>
        </w:rPr>
        <w:t>Scand</w:t>
      </w:r>
      <w:proofErr w:type="spellEnd"/>
      <w:r w:rsidRPr="00907F73">
        <w:rPr>
          <w:rFonts w:ascii="Book Antiqua" w:hAnsi="Book Antiqua" w:cs="Times New Roman"/>
          <w:i/>
          <w:iCs/>
          <w:color w:val="000000" w:themeColor="text1"/>
          <w:lang w:val="en-US" w:eastAsia="zh-CN"/>
        </w:rPr>
        <w:t xml:space="preserve"> J </w:t>
      </w:r>
      <w:proofErr w:type="spellStart"/>
      <w:r w:rsidRPr="00907F73">
        <w:rPr>
          <w:rFonts w:ascii="Book Antiqua" w:hAnsi="Book Antiqua" w:cs="Times New Roman"/>
          <w:i/>
          <w:iCs/>
          <w:color w:val="000000" w:themeColor="text1"/>
          <w:lang w:val="en-US" w:eastAsia="zh-CN"/>
        </w:rPr>
        <w:t>Gastroenterol</w:t>
      </w:r>
      <w:proofErr w:type="spellEnd"/>
      <w:r w:rsidRPr="00907F73">
        <w:rPr>
          <w:rFonts w:ascii="Book Antiqua" w:hAnsi="Book Antiqua" w:cs="Times New Roman"/>
          <w:color w:val="000000" w:themeColor="text1"/>
          <w:lang w:val="en-US" w:eastAsia="zh-CN"/>
        </w:rPr>
        <w:t> 2008; </w:t>
      </w:r>
      <w:r w:rsidRPr="00907F73">
        <w:rPr>
          <w:rFonts w:ascii="Book Antiqua" w:hAnsi="Book Antiqua" w:cs="Times New Roman"/>
          <w:b/>
          <w:bCs/>
          <w:color w:val="000000" w:themeColor="text1"/>
          <w:lang w:val="en-US" w:eastAsia="zh-CN"/>
        </w:rPr>
        <w:t>43</w:t>
      </w:r>
      <w:r w:rsidRPr="00907F73">
        <w:rPr>
          <w:rFonts w:ascii="Book Antiqua" w:hAnsi="Book Antiqua" w:cs="Times New Roman"/>
          <w:color w:val="000000" w:themeColor="text1"/>
          <w:lang w:val="en-US" w:eastAsia="zh-CN"/>
        </w:rPr>
        <w:t>: 736-746 [PMID: 18569992 DOI: 10.1080/00365520801932944]</w:t>
      </w:r>
    </w:p>
    <w:p w14:paraId="431BDFE3"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12 </w:t>
      </w:r>
      <w:proofErr w:type="spellStart"/>
      <w:r w:rsidRPr="00907F73">
        <w:rPr>
          <w:rFonts w:ascii="Book Antiqua" w:hAnsi="Book Antiqua" w:cs="Times New Roman"/>
          <w:b/>
          <w:bCs/>
          <w:color w:val="000000" w:themeColor="text1"/>
          <w:lang w:val="en-US" w:eastAsia="zh-CN"/>
        </w:rPr>
        <w:t>Umgelter</w:t>
      </w:r>
      <w:proofErr w:type="spellEnd"/>
      <w:r w:rsidRPr="00907F73">
        <w:rPr>
          <w:rFonts w:ascii="Book Antiqua" w:hAnsi="Book Antiqua" w:cs="Times New Roman"/>
          <w:b/>
          <w:bCs/>
          <w:color w:val="000000" w:themeColor="text1"/>
          <w:lang w:val="en-US" w:eastAsia="zh-CN"/>
        </w:rPr>
        <w:t xml:space="preserve"> A</w:t>
      </w:r>
      <w:r w:rsidRPr="00907F73">
        <w:rPr>
          <w:rFonts w:ascii="Book Antiqua" w:hAnsi="Book Antiqua" w:cs="Times New Roman"/>
          <w:color w:val="000000" w:themeColor="text1"/>
          <w:lang w:val="en-US" w:eastAsia="zh-CN"/>
        </w:rPr>
        <w:t xml:space="preserve">, Lange K, Kornberg A, </w:t>
      </w:r>
      <w:proofErr w:type="spellStart"/>
      <w:r w:rsidRPr="00907F73">
        <w:rPr>
          <w:rFonts w:ascii="Book Antiqua" w:hAnsi="Book Antiqua" w:cs="Times New Roman"/>
          <w:color w:val="000000" w:themeColor="text1"/>
          <w:lang w:val="en-US" w:eastAsia="zh-CN"/>
        </w:rPr>
        <w:t>Büchler</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Friess</w:t>
      </w:r>
      <w:proofErr w:type="spellEnd"/>
      <w:r w:rsidRPr="00907F73">
        <w:rPr>
          <w:rFonts w:ascii="Book Antiqua" w:hAnsi="Book Antiqua" w:cs="Times New Roman"/>
          <w:color w:val="000000" w:themeColor="text1"/>
          <w:lang w:val="en-US" w:eastAsia="zh-CN"/>
        </w:rPr>
        <w:t xml:space="preserve"> H, Schmid RM. Orthotopic liver transplantation in critically ill cirrhotic patients with multi-organ failure: a single-center experience. </w:t>
      </w:r>
      <w:r w:rsidRPr="00907F73">
        <w:rPr>
          <w:rFonts w:ascii="Book Antiqua" w:hAnsi="Book Antiqua" w:cs="Times New Roman"/>
          <w:i/>
          <w:iCs/>
          <w:color w:val="000000" w:themeColor="text1"/>
          <w:lang w:val="en-US" w:eastAsia="zh-CN"/>
        </w:rPr>
        <w:t>Transplant Proc</w:t>
      </w:r>
      <w:r w:rsidRPr="00907F73">
        <w:rPr>
          <w:rFonts w:ascii="Book Antiqua" w:hAnsi="Book Antiqua" w:cs="Times New Roman"/>
          <w:color w:val="000000" w:themeColor="text1"/>
          <w:lang w:val="en-US" w:eastAsia="zh-CN"/>
        </w:rPr>
        <w:t> 2011; </w:t>
      </w:r>
      <w:r w:rsidRPr="00907F73">
        <w:rPr>
          <w:rFonts w:ascii="Book Antiqua" w:hAnsi="Book Antiqua" w:cs="Times New Roman"/>
          <w:b/>
          <w:bCs/>
          <w:color w:val="000000" w:themeColor="text1"/>
          <w:lang w:val="en-US" w:eastAsia="zh-CN"/>
        </w:rPr>
        <w:t>43</w:t>
      </w:r>
      <w:r w:rsidRPr="00907F73">
        <w:rPr>
          <w:rFonts w:ascii="Book Antiqua" w:hAnsi="Book Antiqua" w:cs="Times New Roman"/>
          <w:color w:val="000000" w:themeColor="text1"/>
          <w:lang w:val="en-US" w:eastAsia="zh-CN"/>
        </w:rPr>
        <w:t>: 3762-3768 [PMID: 22172843 DOI: 10.1016/j.transproceed.2011.08.110]</w:t>
      </w:r>
    </w:p>
    <w:p w14:paraId="1F68DCF6"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13 </w:t>
      </w:r>
      <w:proofErr w:type="spellStart"/>
      <w:r w:rsidRPr="00907F73">
        <w:rPr>
          <w:rFonts w:ascii="Book Antiqua" w:hAnsi="Book Antiqua" w:cs="Times New Roman"/>
          <w:b/>
          <w:bCs/>
          <w:color w:val="000000" w:themeColor="text1"/>
          <w:lang w:val="en-US" w:eastAsia="zh-CN"/>
        </w:rPr>
        <w:t>Petrowsky</w:t>
      </w:r>
      <w:proofErr w:type="spellEnd"/>
      <w:r w:rsidRPr="00907F73">
        <w:rPr>
          <w:rFonts w:ascii="Book Antiqua" w:hAnsi="Book Antiqua" w:cs="Times New Roman"/>
          <w:b/>
          <w:bCs/>
          <w:color w:val="000000" w:themeColor="text1"/>
          <w:lang w:val="en-US" w:eastAsia="zh-CN"/>
        </w:rPr>
        <w:t xml:space="preserve"> H</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Rana</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Kaldas</w:t>
      </w:r>
      <w:proofErr w:type="spellEnd"/>
      <w:r w:rsidRPr="00907F73">
        <w:rPr>
          <w:rFonts w:ascii="Book Antiqua" w:hAnsi="Book Antiqua" w:cs="Times New Roman"/>
          <w:color w:val="000000" w:themeColor="text1"/>
          <w:lang w:val="en-US" w:eastAsia="zh-CN"/>
        </w:rPr>
        <w:t xml:space="preserve"> FM, Sharma A, Hong JC, </w:t>
      </w:r>
      <w:proofErr w:type="spellStart"/>
      <w:r w:rsidRPr="00907F73">
        <w:rPr>
          <w:rFonts w:ascii="Book Antiqua" w:hAnsi="Book Antiqua" w:cs="Times New Roman"/>
          <w:color w:val="000000" w:themeColor="text1"/>
          <w:lang w:val="en-US" w:eastAsia="zh-CN"/>
        </w:rPr>
        <w:t>Agopian</w:t>
      </w:r>
      <w:proofErr w:type="spellEnd"/>
      <w:r w:rsidRPr="00907F73">
        <w:rPr>
          <w:rFonts w:ascii="Book Antiqua" w:hAnsi="Book Antiqua" w:cs="Times New Roman"/>
          <w:color w:val="000000" w:themeColor="text1"/>
          <w:lang w:val="en-US" w:eastAsia="zh-CN"/>
        </w:rPr>
        <w:t xml:space="preserve"> VG, </w:t>
      </w:r>
      <w:proofErr w:type="spellStart"/>
      <w:r w:rsidRPr="00907F73">
        <w:rPr>
          <w:rFonts w:ascii="Book Antiqua" w:hAnsi="Book Antiqua" w:cs="Times New Roman"/>
          <w:color w:val="000000" w:themeColor="text1"/>
          <w:lang w:val="en-US" w:eastAsia="zh-CN"/>
        </w:rPr>
        <w:t>Durazo</w:t>
      </w:r>
      <w:proofErr w:type="spellEnd"/>
      <w:r w:rsidRPr="00907F73">
        <w:rPr>
          <w:rFonts w:ascii="Book Antiqua" w:hAnsi="Book Antiqua" w:cs="Times New Roman"/>
          <w:color w:val="000000" w:themeColor="text1"/>
          <w:lang w:val="en-US" w:eastAsia="zh-CN"/>
        </w:rPr>
        <w:t xml:space="preserve"> F, Honda H, </w:t>
      </w:r>
      <w:proofErr w:type="spellStart"/>
      <w:r w:rsidRPr="00907F73">
        <w:rPr>
          <w:rFonts w:ascii="Book Antiqua" w:hAnsi="Book Antiqua" w:cs="Times New Roman"/>
          <w:color w:val="000000" w:themeColor="text1"/>
          <w:lang w:val="en-US" w:eastAsia="zh-CN"/>
        </w:rPr>
        <w:t>Gornbein</w:t>
      </w:r>
      <w:proofErr w:type="spellEnd"/>
      <w:r w:rsidRPr="00907F73">
        <w:rPr>
          <w:rFonts w:ascii="Book Antiqua" w:hAnsi="Book Antiqua" w:cs="Times New Roman"/>
          <w:color w:val="000000" w:themeColor="text1"/>
          <w:lang w:val="en-US" w:eastAsia="zh-CN"/>
        </w:rPr>
        <w:t xml:space="preserve"> J, Wu V, Farmer DG, Hiatt JR, Busuttil RW. Liver transplantation in highest acuity recipients: identifying factors to avoid futility. </w:t>
      </w:r>
      <w:r w:rsidRPr="00907F73">
        <w:rPr>
          <w:rFonts w:ascii="Book Antiqua" w:hAnsi="Book Antiqua" w:cs="Times New Roman"/>
          <w:i/>
          <w:iCs/>
          <w:color w:val="000000" w:themeColor="text1"/>
          <w:lang w:val="en-US" w:eastAsia="zh-CN"/>
        </w:rPr>
        <w:t>Ann Surg</w:t>
      </w:r>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259</w:t>
      </w:r>
      <w:r w:rsidRPr="00907F73">
        <w:rPr>
          <w:rFonts w:ascii="Book Antiqua" w:hAnsi="Book Antiqua" w:cs="Times New Roman"/>
          <w:color w:val="000000" w:themeColor="text1"/>
          <w:lang w:val="en-US" w:eastAsia="zh-CN"/>
        </w:rPr>
        <w:t>: 1186-1194 [PMID: 24263317 DOI: 10.1097/SLA.0000000000000265]</w:t>
      </w:r>
    </w:p>
    <w:p w14:paraId="14F18683"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14 </w:t>
      </w:r>
      <w:proofErr w:type="spellStart"/>
      <w:r w:rsidRPr="00907F73">
        <w:rPr>
          <w:rFonts w:ascii="Book Antiqua" w:hAnsi="Book Antiqua" w:cs="Times New Roman"/>
          <w:b/>
          <w:bCs/>
          <w:color w:val="000000" w:themeColor="text1"/>
          <w:lang w:val="en-US" w:eastAsia="zh-CN"/>
        </w:rPr>
        <w:t>Duvoux</w:t>
      </w:r>
      <w:proofErr w:type="spellEnd"/>
      <w:r w:rsidRPr="00907F73">
        <w:rPr>
          <w:rFonts w:ascii="Book Antiqua" w:hAnsi="Book Antiqua" w:cs="Times New Roman"/>
          <w:b/>
          <w:bCs/>
          <w:color w:val="000000" w:themeColor="text1"/>
          <w:lang w:val="en-US" w:eastAsia="zh-CN"/>
        </w:rPr>
        <w:t xml:space="preserve"> C</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Roudot-Thoraval</w:t>
      </w:r>
      <w:proofErr w:type="spellEnd"/>
      <w:r w:rsidRPr="00907F73">
        <w:rPr>
          <w:rFonts w:ascii="Book Antiqua" w:hAnsi="Book Antiqua" w:cs="Times New Roman"/>
          <w:color w:val="000000" w:themeColor="text1"/>
          <w:lang w:val="en-US" w:eastAsia="zh-CN"/>
        </w:rPr>
        <w:t xml:space="preserve"> F, </w:t>
      </w:r>
      <w:proofErr w:type="spellStart"/>
      <w:r w:rsidRPr="00907F73">
        <w:rPr>
          <w:rFonts w:ascii="Book Antiqua" w:hAnsi="Book Antiqua" w:cs="Times New Roman"/>
          <w:color w:val="000000" w:themeColor="text1"/>
          <w:lang w:val="en-US" w:eastAsia="zh-CN"/>
        </w:rPr>
        <w:t>Decaens</w:t>
      </w:r>
      <w:proofErr w:type="spellEnd"/>
      <w:r w:rsidRPr="00907F73">
        <w:rPr>
          <w:rFonts w:ascii="Book Antiqua" w:hAnsi="Book Antiqua" w:cs="Times New Roman"/>
          <w:color w:val="000000" w:themeColor="text1"/>
          <w:lang w:val="en-US" w:eastAsia="zh-CN"/>
        </w:rPr>
        <w:t xml:space="preserve"> T, </w:t>
      </w:r>
      <w:proofErr w:type="spellStart"/>
      <w:r w:rsidRPr="00907F73">
        <w:rPr>
          <w:rFonts w:ascii="Book Antiqua" w:hAnsi="Book Antiqua" w:cs="Times New Roman"/>
          <w:color w:val="000000" w:themeColor="text1"/>
          <w:lang w:val="en-US" w:eastAsia="zh-CN"/>
        </w:rPr>
        <w:t>Pessione</w:t>
      </w:r>
      <w:proofErr w:type="spellEnd"/>
      <w:r w:rsidRPr="00907F73">
        <w:rPr>
          <w:rFonts w:ascii="Book Antiqua" w:hAnsi="Book Antiqua" w:cs="Times New Roman"/>
          <w:color w:val="000000" w:themeColor="text1"/>
          <w:lang w:val="en-US" w:eastAsia="zh-CN"/>
        </w:rPr>
        <w:t xml:space="preserve"> F, </w:t>
      </w:r>
      <w:proofErr w:type="spellStart"/>
      <w:r w:rsidRPr="00907F73">
        <w:rPr>
          <w:rFonts w:ascii="Book Antiqua" w:hAnsi="Book Antiqua" w:cs="Times New Roman"/>
          <w:color w:val="000000" w:themeColor="text1"/>
          <w:lang w:val="en-US" w:eastAsia="zh-CN"/>
        </w:rPr>
        <w:t>Badran</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Piardi</w:t>
      </w:r>
      <w:proofErr w:type="spellEnd"/>
      <w:r w:rsidRPr="00907F73">
        <w:rPr>
          <w:rFonts w:ascii="Book Antiqua" w:hAnsi="Book Antiqua" w:cs="Times New Roman"/>
          <w:color w:val="000000" w:themeColor="text1"/>
          <w:lang w:val="en-US" w:eastAsia="zh-CN"/>
        </w:rPr>
        <w:t xml:space="preserve"> T, </w:t>
      </w:r>
      <w:proofErr w:type="spellStart"/>
      <w:r w:rsidRPr="00907F73">
        <w:rPr>
          <w:rFonts w:ascii="Book Antiqua" w:hAnsi="Book Antiqua" w:cs="Times New Roman"/>
          <w:color w:val="000000" w:themeColor="text1"/>
          <w:lang w:val="en-US" w:eastAsia="zh-CN"/>
        </w:rPr>
        <w:t>Francoz</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Compagnon</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Vanlemmens</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Dumortier</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Dharancy</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Gugenheim</w:t>
      </w:r>
      <w:proofErr w:type="spellEnd"/>
      <w:r w:rsidRPr="00907F73">
        <w:rPr>
          <w:rFonts w:ascii="Book Antiqua" w:hAnsi="Book Antiqua" w:cs="Times New Roman"/>
          <w:color w:val="000000" w:themeColor="text1"/>
          <w:lang w:val="en-US" w:eastAsia="zh-CN"/>
        </w:rPr>
        <w:t xml:space="preserve"> J, Bernard PH, Adam R, </w:t>
      </w:r>
      <w:proofErr w:type="spellStart"/>
      <w:r w:rsidRPr="00907F73">
        <w:rPr>
          <w:rFonts w:ascii="Book Antiqua" w:hAnsi="Book Antiqua" w:cs="Times New Roman"/>
          <w:color w:val="000000" w:themeColor="text1"/>
          <w:lang w:val="en-US" w:eastAsia="zh-CN"/>
        </w:rPr>
        <w:t>Radenne</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Muscari</w:t>
      </w:r>
      <w:proofErr w:type="spellEnd"/>
      <w:r w:rsidRPr="00907F73">
        <w:rPr>
          <w:rFonts w:ascii="Book Antiqua" w:hAnsi="Book Antiqua" w:cs="Times New Roman"/>
          <w:color w:val="000000" w:themeColor="text1"/>
          <w:lang w:val="en-US" w:eastAsia="zh-CN"/>
        </w:rPr>
        <w:t xml:space="preserve"> F, Conti F, </w:t>
      </w:r>
      <w:proofErr w:type="spellStart"/>
      <w:r w:rsidRPr="00907F73">
        <w:rPr>
          <w:rFonts w:ascii="Book Antiqua" w:hAnsi="Book Antiqua" w:cs="Times New Roman"/>
          <w:color w:val="000000" w:themeColor="text1"/>
          <w:lang w:val="en-US" w:eastAsia="zh-CN"/>
        </w:rPr>
        <w:t>Hardwigsen</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Pageaux</w:t>
      </w:r>
      <w:proofErr w:type="spellEnd"/>
      <w:r w:rsidRPr="00907F73">
        <w:rPr>
          <w:rFonts w:ascii="Book Antiqua" w:hAnsi="Book Antiqua" w:cs="Times New Roman"/>
          <w:color w:val="000000" w:themeColor="text1"/>
          <w:lang w:val="en-US" w:eastAsia="zh-CN"/>
        </w:rPr>
        <w:t xml:space="preserve"> GP, </w:t>
      </w:r>
      <w:proofErr w:type="spellStart"/>
      <w:r w:rsidRPr="00907F73">
        <w:rPr>
          <w:rFonts w:ascii="Book Antiqua" w:hAnsi="Book Antiqua" w:cs="Times New Roman"/>
          <w:color w:val="000000" w:themeColor="text1"/>
          <w:lang w:val="en-US" w:eastAsia="zh-CN"/>
        </w:rPr>
        <w:t>Chazouillères</w:t>
      </w:r>
      <w:proofErr w:type="spellEnd"/>
      <w:r w:rsidRPr="00907F73">
        <w:rPr>
          <w:rFonts w:ascii="Book Antiqua" w:hAnsi="Book Antiqua" w:cs="Times New Roman"/>
          <w:color w:val="000000" w:themeColor="text1"/>
          <w:lang w:val="en-US" w:eastAsia="zh-CN"/>
        </w:rPr>
        <w:t xml:space="preserve"> O, </w:t>
      </w:r>
      <w:proofErr w:type="spellStart"/>
      <w:r w:rsidRPr="00907F73">
        <w:rPr>
          <w:rFonts w:ascii="Book Antiqua" w:hAnsi="Book Antiqua" w:cs="Times New Roman"/>
          <w:color w:val="000000" w:themeColor="text1"/>
          <w:lang w:val="en-US" w:eastAsia="zh-CN"/>
        </w:rPr>
        <w:t>Salame</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Hilleret</w:t>
      </w:r>
      <w:proofErr w:type="spellEnd"/>
      <w:r w:rsidRPr="00907F73">
        <w:rPr>
          <w:rFonts w:ascii="Book Antiqua" w:hAnsi="Book Antiqua" w:cs="Times New Roman"/>
          <w:color w:val="000000" w:themeColor="text1"/>
          <w:lang w:val="en-US" w:eastAsia="zh-CN"/>
        </w:rPr>
        <w:t xml:space="preserve"> MN, </w:t>
      </w:r>
      <w:proofErr w:type="spellStart"/>
      <w:r w:rsidRPr="00907F73">
        <w:rPr>
          <w:rFonts w:ascii="Book Antiqua" w:hAnsi="Book Antiqua" w:cs="Times New Roman"/>
          <w:color w:val="000000" w:themeColor="text1"/>
          <w:lang w:val="en-US" w:eastAsia="zh-CN"/>
        </w:rPr>
        <w:t>Lebray</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Abergel</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Debette-Gratien</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Kluger</w:t>
      </w:r>
      <w:proofErr w:type="spellEnd"/>
      <w:r w:rsidRPr="00907F73">
        <w:rPr>
          <w:rFonts w:ascii="Book Antiqua" w:hAnsi="Book Antiqua" w:cs="Times New Roman"/>
          <w:color w:val="000000" w:themeColor="text1"/>
          <w:lang w:val="en-US" w:eastAsia="zh-CN"/>
        </w:rPr>
        <w:t xml:space="preserve"> MD, </w:t>
      </w:r>
      <w:proofErr w:type="spellStart"/>
      <w:r w:rsidRPr="00907F73">
        <w:rPr>
          <w:rFonts w:ascii="Book Antiqua" w:hAnsi="Book Antiqua" w:cs="Times New Roman"/>
          <w:color w:val="000000" w:themeColor="text1"/>
          <w:lang w:val="en-US" w:eastAsia="zh-CN"/>
        </w:rPr>
        <w:t>Mallat</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Azoulay</w:t>
      </w:r>
      <w:proofErr w:type="spellEnd"/>
      <w:r w:rsidRPr="00907F73">
        <w:rPr>
          <w:rFonts w:ascii="Book Antiqua" w:hAnsi="Book Antiqua" w:cs="Times New Roman"/>
          <w:color w:val="000000" w:themeColor="text1"/>
          <w:lang w:val="en-US" w:eastAsia="zh-CN"/>
        </w:rPr>
        <w:t xml:space="preserve"> D, </w:t>
      </w:r>
      <w:proofErr w:type="spellStart"/>
      <w:r w:rsidRPr="00907F73">
        <w:rPr>
          <w:rFonts w:ascii="Book Antiqua" w:hAnsi="Book Antiqua" w:cs="Times New Roman"/>
          <w:color w:val="000000" w:themeColor="text1"/>
          <w:lang w:val="en-US" w:eastAsia="zh-CN"/>
        </w:rPr>
        <w:t>Cherqui</w:t>
      </w:r>
      <w:proofErr w:type="spellEnd"/>
      <w:r w:rsidRPr="00907F73">
        <w:rPr>
          <w:rFonts w:ascii="Book Antiqua" w:hAnsi="Book Antiqua" w:cs="Times New Roman"/>
          <w:color w:val="000000" w:themeColor="text1"/>
          <w:lang w:val="en-US" w:eastAsia="zh-CN"/>
        </w:rPr>
        <w:t xml:space="preserve"> D; Liver Transplantation French Study Group. Liver transplantation for hepatocellular carcinoma: a model including α-</w:t>
      </w:r>
      <w:r w:rsidRPr="00907F73">
        <w:rPr>
          <w:rFonts w:ascii="Book Antiqua" w:hAnsi="Book Antiqua" w:cs="Times New Roman"/>
          <w:color w:val="000000" w:themeColor="text1"/>
          <w:lang w:val="en-US" w:eastAsia="zh-CN"/>
        </w:rPr>
        <w:lastRenderedPageBreak/>
        <w:t>fetoprotein improves the performance of Milan criteria. </w:t>
      </w:r>
      <w:r w:rsidRPr="00907F73">
        <w:rPr>
          <w:rFonts w:ascii="Book Antiqua" w:hAnsi="Book Antiqua" w:cs="Times New Roman"/>
          <w:i/>
          <w:iCs/>
          <w:color w:val="000000" w:themeColor="text1"/>
          <w:lang w:val="en-US" w:eastAsia="zh-CN"/>
        </w:rPr>
        <w:t>Gastroenterology</w:t>
      </w:r>
      <w:r w:rsidRPr="00907F73">
        <w:rPr>
          <w:rFonts w:ascii="Book Antiqua" w:hAnsi="Book Antiqua" w:cs="Times New Roman"/>
          <w:color w:val="000000" w:themeColor="text1"/>
          <w:lang w:val="en-US" w:eastAsia="zh-CN"/>
        </w:rPr>
        <w:t> 2012; </w:t>
      </w:r>
      <w:r w:rsidRPr="00907F73">
        <w:rPr>
          <w:rFonts w:ascii="Book Antiqua" w:hAnsi="Book Antiqua" w:cs="Times New Roman"/>
          <w:b/>
          <w:bCs/>
          <w:color w:val="000000" w:themeColor="text1"/>
          <w:lang w:val="en-US" w:eastAsia="zh-CN"/>
        </w:rPr>
        <w:t>143</w:t>
      </w:r>
      <w:r w:rsidRPr="00907F73">
        <w:rPr>
          <w:rFonts w:ascii="Book Antiqua" w:hAnsi="Book Antiqua" w:cs="Times New Roman"/>
          <w:color w:val="000000" w:themeColor="text1"/>
          <w:lang w:val="en-US" w:eastAsia="zh-CN"/>
        </w:rPr>
        <w:t>: 986-94.e3; quiz e14-5 [PMID: 22750200 DOI: 10.1053/j.gastro.2012.05.052]</w:t>
      </w:r>
    </w:p>
    <w:p w14:paraId="10C20B76"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15 </w:t>
      </w:r>
      <w:proofErr w:type="spellStart"/>
      <w:r w:rsidRPr="00907F73">
        <w:rPr>
          <w:rFonts w:ascii="Book Antiqua" w:hAnsi="Book Antiqua" w:cs="Times New Roman"/>
          <w:b/>
          <w:bCs/>
          <w:color w:val="000000" w:themeColor="text1"/>
          <w:lang w:val="en-US" w:eastAsia="zh-CN"/>
        </w:rPr>
        <w:t>Knaak</w:t>
      </w:r>
      <w:proofErr w:type="spellEnd"/>
      <w:r w:rsidRPr="00907F73">
        <w:rPr>
          <w:rFonts w:ascii="Book Antiqua" w:hAnsi="Book Antiqua" w:cs="Times New Roman"/>
          <w:b/>
          <w:bCs/>
          <w:color w:val="000000" w:themeColor="text1"/>
          <w:lang w:val="en-US" w:eastAsia="zh-CN"/>
        </w:rPr>
        <w:t xml:space="preserve"> J</w:t>
      </w:r>
      <w:r w:rsidRPr="00907F73">
        <w:rPr>
          <w:rFonts w:ascii="Book Antiqua" w:hAnsi="Book Antiqua" w:cs="Times New Roman"/>
          <w:color w:val="000000" w:themeColor="text1"/>
          <w:lang w:val="en-US" w:eastAsia="zh-CN"/>
        </w:rPr>
        <w:t xml:space="preserve">, McVey M, </w:t>
      </w:r>
      <w:proofErr w:type="spellStart"/>
      <w:r w:rsidRPr="00907F73">
        <w:rPr>
          <w:rFonts w:ascii="Book Antiqua" w:hAnsi="Book Antiqua" w:cs="Times New Roman"/>
          <w:color w:val="000000" w:themeColor="text1"/>
          <w:lang w:val="en-US" w:eastAsia="zh-CN"/>
        </w:rPr>
        <w:t>Bazerbachi</w:t>
      </w:r>
      <w:proofErr w:type="spellEnd"/>
      <w:r w:rsidRPr="00907F73">
        <w:rPr>
          <w:rFonts w:ascii="Book Antiqua" w:hAnsi="Book Antiqua" w:cs="Times New Roman"/>
          <w:color w:val="000000" w:themeColor="text1"/>
          <w:lang w:val="en-US" w:eastAsia="zh-CN"/>
        </w:rPr>
        <w:t xml:space="preserve"> F, </w:t>
      </w:r>
      <w:proofErr w:type="spellStart"/>
      <w:r w:rsidRPr="00907F73">
        <w:rPr>
          <w:rFonts w:ascii="Book Antiqua" w:hAnsi="Book Antiqua" w:cs="Times New Roman"/>
          <w:color w:val="000000" w:themeColor="text1"/>
          <w:lang w:val="en-US" w:eastAsia="zh-CN"/>
        </w:rPr>
        <w:t>Goldaracena</w:t>
      </w:r>
      <w:proofErr w:type="spellEnd"/>
      <w:r w:rsidRPr="00907F73">
        <w:rPr>
          <w:rFonts w:ascii="Book Antiqua" w:hAnsi="Book Antiqua" w:cs="Times New Roman"/>
          <w:color w:val="000000" w:themeColor="text1"/>
          <w:lang w:val="en-US" w:eastAsia="zh-CN"/>
        </w:rPr>
        <w:t xml:space="preserve"> N, </w:t>
      </w:r>
      <w:proofErr w:type="spellStart"/>
      <w:r w:rsidRPr="00907F73">
        <w:rPr>
          <w:rFonts w:ascii="Book Antiqua" w:hAnsi="Book Antiqua" w:cs="Times New Roman"/>
          <w:color w:val="000000" w:themeColor="text1"/>
          <w:lang w:val="en-US" w:eastAsia="zh-CN"/>
        </w:rPr>
        <w:t>Spetzler</w:t>
      </w:r>
      <w:proofErr w:type="spellEnd"/>
      <w:r w:rsidRPr="00907F73">
        <w:rPr>
          <w:rFonts w:ascii="Book Antiqua" w:hAnsi="Book Antiqua" w:cs="Times New Roman"/>
          <w:color w:val="000000" w:themeColor="text1"/>
          <w:lang w:val="en-US" w:eastAsia="zh-CN"/>
        </w:rPr>
        <w:t xml:space="preserve"> V, </w:t>
      </w:r>
      <w:proofErr w:type="spellStart"/>
      <w:r w:rsidRPr="00907F73">
        <w:rPr>
          <w:rFonts w:ascii="Book Antiqua" w:hAnsi="Book Antiqua" w:cs="Times New Roman"/>
          <w:color w:val="000000" w:themeColor="text1"/>
          <w:lang w:val="en-US" w:eastAsia="zh-CN"/>
        </w:rPr>
        <w:t>Selzner</w:t>
      </w:r>
      <w:proofErr w:type="spellEnd"/>
      <w:r w:rsidRPr="00907F73">
        <w:rPr>
          <w:rFonts w:ascii="Book Antiqua" w:hAnsi="Book Antiqua" w:cs="Times New Roman"/>
          <w:color w:val="000000" w:themeColor="text1"/>
          <w:lang w:val="en-US" w:eastAsia="zh-CN"/>
        </w:rPr>
        <w:t xml:space="preserve"> N, </w:t>
      </w:r>
      <w:proofErr w:type="spellStart"/>
      <w:r w:rsidRPr="00907F73">
        <w:rPr>
          <w:rFonts w:ascii="Book Antiqua" w:hAnsi="Book Antiqua" w:cs="Times New Roman"/>
          <w:color w:val="000000" w:themeColor="text1"/>
          <w:lang w:val="en-US" w:eastAsia="zh-CN"/>
        </w:rPr>
        <w:t>Cattral</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Greig</w:t>
      </w:r>
      <w:proofErr w:type="spellEnd"/>
      <w:r w:rsidRPr="00907F73">
        <w:rPr>
          <w:rFonts w:ascii="Book Antiqua" w:hAnsi="Book Antiqua" w:cs="Times New Roman"/>
          <w:color w:val="000000" w:themeColor="text1"/>
          <w:lang w:val="en-US" w:eastAsia="zh-CN"/>
        </w:rPr>
        <w:t xml:space="preserve"> P, Lilly L, </w:t>
      </w:r>
      <w:proofErr w:type="spellStart"/>
      <w:r w:rsidRPr="00907F73">
        <w:rPr>
          <w:rFonts w:ascii="Book Antiqua" w:hAnsi="Book Antiqua" w:cs="Times New Roman"/>
          <w:color w:val="000000" w:themeColor="text1"/>
          <w:lang w:val="en-US" w:eastAsia="zh-CN"/>
        </w:rPr>
        <w:t>McGilvray</w:t>
      </w:r>
      <w:proofErr w:type="spellEnd"/>
      <w:r w:rsidRPr="00907F73">
        <w:rPr>
          <w:rFonts w:ascii="Book Antiqua" w:hAnsi="Book Antiqua" w:cs="Times New Roman"/>
          <w:color w:val="000000" w:themeColor="text1"/>
          <w:lang w:val="en-US" w:eastAsia="zh-CN"/>
        </w:rPr>
        <w:t xml:space="preserve"> I, Levy G, </w:t>
      </w:r>
      <w:proofErr w:type="spellStart"/>
      <w:r w:rsidRPr="00907F73">
        <w:rPr>
          <w:rFonts w:ascii="Book Antiqua" w:hAnsi="Book Antiqua" w:cs="Times New Roman"/>
          <w:color w:val="000000" w:themeColor="text1"/>
          <w:lang w:val="en-US" w:eastAsia="zh-CN"/>
        </w:rPr>
        <w:t>Ghanekar</w:t>
      </w:r>
      <w:proofErr w:type="spellEnd"/>
      <w:r w:rsidRPr="00907F73">
        <w:rPr>
          <w:rFonts w:ascii="Book Antiqua" w:hAnsi="Book Antiqua" w:cs="Times New Roman"/>
          <w:color w:val="000000" w:themeColor="text1"/>
          <w:lang w:val="en-US" w:eastAsia="zh-CN"/>
        </w:rPr>
        <w:t xml:space="preserve"> A, Renner E, Grant D, </w:t>
      </w:r>
      <w:proofErr w:type="spellStart"/>
      <w:r w:rsidRPr="00907F73">
        <w:rPr>
          <w:rFonts w:ascii="Book Antiqua" w:hAnsi="Book Antiqua" w:cs="Times New Roman"/>
          <w:color w:val="000000" w:themeColor="text1"/>
          <w:lang w:val="en-US" w:eastAsia="zh-CN"/>
        </w:rPr>
        <w:t>Hawryluck</w:t>
      </w:r>
      <w:proofErr w:type="spellEnd"/>
      <w:r w:rsidRPr="00907F73">
        <w:rPr>
          <w:rFonts w:ascii="Book Antiqua" w:hAnsi="Book Antiqua" w:cs="Times New Roman"/>
          <w:color w:val="000000" w:themeColor="text1"/>
          <w:lang w:val="en-US" w:eastAsia="zh-CN"/>
        </w:rPr>
        <w:t xml:space="preserve"> L, </w:t>
      </w:r>
      <w:proofErr w:type="spellStart"/>
      <w:r w:rsidRPr="00907F73">
        <w:rPr>
          <w:rFonts w:ascii="Book Antiqua" w:hAnsi="Book Antiqua" w:cs="Times New Roman"/>
          <w:color w:val="000000" w:themeColor="text1"/>
          <w:lang w:val="en-US" w:eastAsia="zh-CN"/>
        </w:rPr>
        <w:t>Selzner</w:t>
      </w:r>
      <w:proofErr w:type="spellEnd"/>
      <w:r w:rsidRPr="00907F73">
        <w:rPr>
          <w:rFonts w:ascii="Book Antiqua" w:hAnsi="Book Antiqua" w:cs="Times New Roman"/>
          <w:color w:val="000000" w:themeColor="text1"/>
          <w:lang w:val="en-US" w:eastAsia="zh-CN"/>
        </w:rPr>
        <w:t xml:space="preserve"> M. Liver transplantation in patients with end-stage liver disease requiring intensive care unit admission and intubation.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21</w:t>
      </w:r>
      <w:r w:rsidRPr="00907F73">
        <w:rPr>
          <w:rFonts w:ascii="Book Antiqua" w:hAnsi="Book Antiqua" w:cs="Times New Roman"/>
          <w:color w:val="000000" w:themeColor="text1"/>
          <w:lang w:val="en-US" w:eastAsia="zh-CN"/>
        </w:rPr>
        <w:t>: 761-767 [PMID: 25865305 DOI: 10.1002/lt.24115]</w:t>
      </w:r>
    </w:p>
    <w:p w14:paraId="7F3E665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16 </w:t>
      </w:r>
      <w:proofErr w:type="spellStart"/>
      <w:r w:rsidRPr="00907F73">
        <w:rPr>
          <w:rFonts w:ascii="Book Antiqua" w:hAnsi="Book Antiqua" w:cs="Times New Roman"/>
          <w:b/>
          <w:bCs/>
          <w:color w:val="000000" w:themeColor="text1"/>
          <w:lang w:val="en-US" w:eastAsia="zh-CN"/>
        </w:rPr>
        <w:t>Karvellas</w:t>
      </w:r>
      <w:proofErr w:type="spellEnd"/>
      <w:r w:rsidRPr="00907F73">
        <w:rPr>
          <w:rFonts w:ascii="Book Antiqua" w:hAnsi="Book Antiqua" w:cs="Times New Roman"/>
          <w:b/>
          <w:bCs/>
          <w:color w:val="000000" w:themeColor="text1"/>
          <w:lang w:val="en-US" w:eastAsia="zh-CN"/>
        </w:rPr>
        <w:t xml:space="preserve"> CJ</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Lescot</w:t>
      </w:r>
      <w:proofErr w:type="spellEnd"/>
      <w:r w:rsidRPr="00907F73">
        <w:rPr>
          <w:rFonts w:ascii="Book Antiqua" w:hAnsi="Book Antiqua" w:cs="Times New Roman"/>
          <w:color w:val="000000" w:themeColor="text1"/>
          <w:lang w:val="en-US" w:eastAsia="zh-CN"/>
        </w:rPr>
        <w:t xml:space="preserve"> T, Goldberg P, Sharpe MD, </w:t>
      </w:r>
      <w:proofErr w:type="spellStart"/>
      <w:r w:rsidRPr="00907F73">
        <w:rPr>
          <w:rFonts w:ascii="Book Antiqua" w:hAnsi="Book Antiqua" w:cs="Times New Roman"/>
          <w:color w:val="000000" w:themeColor="text1"/>
          <w:lang w:val="en-US" w:eastAsia="zh-CN"/>
        </w:rPr>
        <w:t>Ronco</w:t>
      </w:r>
      <w:proofErr w:type="spellEnd"/>
      <w:r w:rsidRPr="00907F73">
        <w:rPr>
          <w:rFonts w:ascii="Book Antiqua" w:hAnsi="Book Antiqua" w:cs="Times New Roman"/>
          <w:color w:val="000000" w:themeColor="text1"/>
          <w:lang w:val="en-US" w:eastAsia="zh-CN"/>
        </w:rPr>
        <w:t xml:space="preserve"> JJ, Renner EL, </w:t>
      </w:r>
      <w:proofErr w:type="spellStart"/>
      <w:r w:rsidRPr="00907F73">
        <w:rPr>
          <w:rFonts w:ascii="Book Antiqua" w:hAnsi="Book Antiqua" w:cs="Times New Roman"/>
          <w:color w:val="000000" w:themeColor="text1"/>
          <w:lang w:val="en-US" w:eastAsia="zh-CN"/>
        </w:rPr>
        <w:t>Vahidy</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Poonja</w:t>
      </w:r>
      <w:proofErr w:type="spellEnd"/>
      <w:r w:rsidRPr="00907F73">
        <w:rPr>
          <w:rFonts w:ascii="Book Antiqua" w:hAnsi="Book Antiqua" w:cs="Times New Roman"/>
          <w:color w:val="000000" w:themeColor="text1"/>
          <w:lang w:val="en-US" w:eastAsia="zh-CN"/>
        </w:rPr>
        <w:t xml:space="preserve"> Z, </w:t>
      </w:r>
      <w:proofErr w:type="spellStart"/>
      <w:r w:rsidRPr="00907F73">
        <w:rPr>
          <w:rFonts w:ascii="Book Antiqua" w:hAnsi="Book Antiqua" w:cs="Times New Roman"/>
          <w:color w:val="000000" w:themeColor="text1"/>
          <w:lang w:val="en-US" w:eastAsia="zh-CN"/>
        </w:rPr>
        <w:t>Chaudhury</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Kneteman</w:t>
      </w:r>
      <w:proofErr w:type="spellEnd"/>
      <w:r w:rsidRPr="00907F73">
        <w:rPr>
          <w:rFonts w:ascii="Book Antiqua" w:hAnsi="Book Antiqua" w:cs="Times New Roman"/>
          <w:color w:val="000000" w:themeColor="text1"/>
          <w:lang w:val="en-US" w:eastAsia="zh-CN"/>
        </w:rPr>
        <w:t xml:space="preserve"> NM, </w:t>
      </w:r>
      <w:proofErr w:type="spellStart"/>
      <w:r w:rsidRPr="00907F73">
        <w:rPr>
          <w:rFonts w:ascii="Book Antiqua" w:hAnsi="Book Antiqua" w:cs="Times New Roman"/>
          <w:color w:val="000000" w:themeColor="text1"/>
          <w:lang w:val="en-US" w:eastAsia="zh-CN"/>
        </w:rPr>
        <w:t>Selzner</w:t>
      </w:r>
      <w:proofErr w:type="spellEnd"/>
      <w:r w:rsidRPr="00907F73">
        <w:rPr>
          <w:rFonts w:ascii="Book Antiqua" w:hAnsi="Book Antiqua" w:cs="Times New Roman"/>
          <w:color w:val="000000" w:themeColor="text1"/>
          <w:lang w:val="en-US" w:eastAsia="zh-CN"/>
        </w:rPr>
        <w:t xml:space="preserve"> M, Cook EF, Bagshaw SM; Canadian Liver Failure Study Group. Liver transplantation in the critically ill: a multicenter Canadian retrospective cohort study. </w:t>
      </w:r>
      <w:proofErr w:type="spellStart"/>
      <w:r w:rsidRPr="00907F73">
        <w:rPr>
          <w:rFonts w:ascii="Book Antiqua" w:hAnsi="Book Antiqua" w:cs="Times New Roman"/>
          <w:i/>
          <w:iCs/>
          <w:color w:val="000000" w:themeColor="text1"/>
          <w:lang w:val="en-US" w:eastAsia="zh-CN"/>
        </w:rPr>
        <w:t>Crit</w:t>
      </w:r>
      <w:proofErr w:type="spellEnd"/>
      <w:r w:rsidRPr="00907F73">
        <w:rPr>
          <w:rFonts w:ascii="Book Antiqua" w:hAnsi="Book Antiqua" w:cs="Times New Roman"/>
          <w:i/>
          <w:iCs/>
          <w:color w:val="000000" w:themeColor="text1"/>
          <w:lang w:val="en-US" w:eastAsia="zh-CN"/>
        </w:rPr>
        <w:t xml:space="preserve"> Care</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17</w:t>
      </w:r>
      <w:r w:rsidRPr="00907F73">
        <w:rPr>
          <w:rFonts w:ascii="Book Antiqua" w:hAnsi="Book Antiqua" w:cs="Times New Roman"/>
          <w:color w:val="000000" w:themeColor="text1"/>
          <w:lang w:val="en-US" w:eastAsia="zh-CN"/>
        </w:rPr>
        <w:t>: R28 [PMID: 23394270 DOI: 10.1186/cc12508]</w:t>
      </w:r>
    </w:p>
    <w:p w14:paraId="17E9D5FB"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17 </w:t>
      </w:r>
      <w:r w:rsidRPr="00907F73">
        <w:rPr>
          <w:rFonts w:ascii="Book Antiqua" w:hAnsi="Book Antiqua" w:cs="Times New Roman"/>
          <w:b/>
          <w:bCs/>
          <w:color w:val="000000" w:themeColor="text1"/>
          <w:lang w:val="en-US" w:eastAsia="zh-CN"/>
        </w:rPr>
        <w:t>Rana A</w:t>
      </w:r>
      <w:r w:rsidRPr="00907F73">
        <w:rPr>
          <w:rFonts w:ascii="Book Antiqua" w:hAnsi="Book Antiqua" w:cs="Times New Roman"/>
          <w:color w:val="000000" w:themeColor="text1"/>
          <w:lang w:val="en-US" w:eastAsia="zh-CN"/>
        </w:rPr>
        <w:t xml:space="preserve">, Hardy MA, </w:t>
      </w:r>
      <w:proofErr w:type="spellStart"/>
      <w:r w:rsidRPr="00907F73">
        <w:rPr>
          <w:rFonts w:ascii="Book Antiqua" w:hAnsi="Book Antiqua" w:cs="Times New Roman"/>
          <w:color w:val="000000" w:themeColor="text1"/>
          <w:lang w:val="en-US" w:eastAsia="zh-CN"/>
        </w:rPr>
        <w:t>Halazun</w:t>
      </w:r>
      <w:proofErr w:type="spellEnd"/>
      <w:r w:rsidRPr="00907F73">
        <w:rPr>
          <w:rFonts w:ascii="Book Antiqua" w:hAnsi="Book Antiqua" w:cs="Times New Roman"/>
          <w:color w:val="000000" w:themeColor="text1"/>
          <w:lang w:val="en-US" w:eastAsia="zh-CN"/>
        </w:rPr>
        <w:t xml:space="preserve"> KJ, Woodland DC, Ratner LE, </w:t>
      </w:r>
      <w:proofErr w:type="spellStart"/>
      <w:r w:rsidRPr="00907F73">
        <w:rPr>
          <w:rFonts w:ascii="Book Antiqua" w:hAnsi="Book Antiqua" w:cs="Times New Roman"/>
          <w:color w:val="000000" w:themeColor="text1"/>
          <w:lang w:val="en-US" w:eastAsia="zh-CN"/>
        </w:rPr>
        <w:t>Samstein</w:t>
      </w:r>
      <w:proofErr w:type="spellEnd"/>
      <w:r w:rsidRPr="00907F73">
        <w:rPr>
          <w:rFonts w:ascii="Book Antiqua" w:hAnsi="Book Antiqua" w:cs="Times New Roman"/>
          <w:color w:val="000000" w:themeColor="text1"/>
          <w:lang w:val="en-US" w:eastAsia="zh-CN"/>
        </w:rPr>
        <w:t xml:space="preserve"> B, </w:t>
      </w:r>
      <w:proofErr w:type="spellStart"/>
      <w:r w:rsidRPr="00907F73">
        <w:rPr>
          <w:rFonts w:ascii="Book Antiqua" w:hAnsi="Book Antiqua" w:cs="Times New Roman"/>
          <w:color w:val="000000" w:themeColor="text1"/>
          <w:lang w:val="en-US" w:eastAsia="zh-CN"/>
        </w:rPr>
        <w:t>Guarrera</w:t>
      </w:r>
      <w:proofErr w:type="spellEnd"/>
      <w:r w:rsidRPr="00907F73">
        <w:rPr>
          <w:rFonts w:ascii="Book Antiqua" w:hAnsi="Book Antiqua" w:cs="Times New Roman"/>
          <w:color w:val="000000" w:themeColor="text1"/>
          <w:lang w:val="en-US" w:eastAsia="zh-CN"/>
        </w:rPr>
        <w:t xml:space="preserve"> JV, Brown RS Jr, Emond JC. Survival outcomes following liver transplantation (SOFT) score: a novel method to predict patient survival following liver transplantation. </w:t>
      </w:r>
      <w:r w:rsidRPr="00907F73">
        <w:rPr>
          <w:rFonts w:ascii="Book Antiqua" w:hAnsi="Book Antiqua" w:cs="Times New Roman"/>
          <w:i/>
          <w:iCs/>
          <w:color w:val="000000" w:themeColor="text1"/>
          <w:lang w:val="en-US" w:eastAsia="zh-CN"/>
        </w:rPr>
        <w:t>Am J Transplant</w:t>
      </w:r>
      <w:r w:rsidRPr="00907F73">
        <w:rPr>
          <w:rFonts w:ascii="Book Antiqua" w:hAnsi="Book Antiqua" w:cs="Times New Roman"/>
          <w:color w:val="000000" w:themeColor="text1"/>
          <w:lang w:val="en-US" w:eastAsia="zh-CN"/>
        </w:rPr>
        <w:t> 2008; </w:t>
      </w:r>
      <w:r w:rsidRPr="00907F73">
        <w:rPr>
          <w:rFonts w:ascii="Book Antiqua" w:hAnsi="Book Antiqua" w:cs="Times New Roman"/>
          <w:b/>
          <w:bCs/>
          <w:color w:val="000000" w:themeColor="text1"/>
          <w:lang w:val="en-US" w:eastAsia="zh-CN"/>
        </w:rPr>
        <w:t>8</w:t>
      </w:r>
      <w:r w:rsidRPr="00907F73">
        <w:rPr>
          <w:rFonts w:ascii="Book Antiqua" w:hAnsi="Book Antiqua" w:cs="Times New Roman"/>
          <w:color w:val="000000" w:themeColor="text1"/>
          <w:lang w:val="en-US" w:eastAsia="zh-CN"/>
        </w:rPr>
        <w:t>: 2537-2546 [PMID: 18945283 DOI: 10.1111/j.1600-6143.2008.02400.x]</w:t>
      </w:r>
    </w:p>
    <w:p w14:paraId="00C2A9B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18 </w:t>
      </w:r>
      <w:proofErr w:type="spellStart"/>
      <w:r w:rsidRPr="00907F73">
        <w:rPr>
          <w:rFonts w:ascii="Book Antiqua" w:hAnsi="Book Antiqua" w:cs="Times New Roman"/>
          <w:b/>
          <w:bCs/>
          <w:color w:val="000000" w:themeColor="text1"/>
          <w:lang w:val="en-US" w:eastAsia="zh-CN"/>
        </w:rPr>
        <w:t>Olthoff</w:t>
      </w:r>
      <w:proofErr w:type="spellEnd"/>
      <w:r w:rsidRPr="00907F73">
        <w:rPr>
          <w:rFonts w:ascii="Book Antiqua" w:hAnsi="Book Antiqua" w:cs="Times New Roman"/>
          <w:b/>
          <w:bCs/>
          <w:color w:val="000000" w:themeColor="text1"/>
          <w:lang w:val="en-US" w:eastAsia="zh-CN"/>
        </w:rPr>
        <w:t xml:space="preserve"> KM</w:t>
      </w:r>
      <w:r w:rsidRPr="00907F73">
        <w:rPr>
          <w:rFonts w:ascii="Book Antiqua" w:hAnsi="Book Antiqua" w:cs="Times New Roman"/>
          <w:color w:val="000000" w:themeColor="text1"/>
          <w:lang w:val="en-US" w:eastAsia="zh-CN"/>
        </w:rPr>
        <w:t xml:space="preserve">, Brown RS Jr, Delmonico FL, Freeman RB, </w:t>
      </w:r>
      <w:proofErr w:type="spellStart"/>
      <w:r w:rsidRPr="00907F73">
        <w:rPr>
          <w:rFonts w:ascii="Book Antiqua" w:hAnsi="Book Antiqua" w:cs="Times New Roman"/>
          <w:color w:val="000000" w:themeColor="text1"/>
          <w:lang w:val="en-US" w:eastAsia="zh-CN"/>
        </w:rPr>
        <w:t>McDiarmid</w:t>
      </w:r>
      <w:proofErr w:type="spellEnd"/>
      <w:r w:rsidRPr="00907F73">
        <w:rPr>
          <w:rFonts w:ascii="Book Antiqua" w:hAnsi="Book Antiqua" w:cs="Times New Roman"/>
          <w:color w:val="000000" w:themeColor="text1"/>
          <w:lang w:val="en-US" w:eastAsia="zh-CN"/>
        </w:rPr>
        <w:t xml:space="preserve"> SV, Merion RM, Millis JM, Roberts JP, </w:t>
      </w:r>
      <w:proofErr w:type="spellStart"/>
      <w:r w:rsidRPr="00907F73">
        <w:rPr>
          <w:rFonts w:ascii="Book Antiqua" w:hAnsi="Book Antiqua" w:cs="Times New Roman"/>
          <w:color w:val="000000" w:themeColor="text1"/>
          <w:lang w:val="en-US" w:eastAsia="zh-CN"/>
        </w:rPr>
        <w:t>Shaked</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Wiesner</w:t>
      </w:r>
      <w:proofErr w:type="spellEnd"/>
      <w:r w:rsidRPr="00907F73">
        <w:rPr>
          <w:rFonts w:ascii="Book Antiqua" w:hAnsi="Book Antiqua" w:cs="Times New Roman"/>
          <w:color w:val="000000" w:themeColor="text1"/>
          <w:lang w:val="en-US" w:eastAsia="zh-CN"/>
        </w:rPr>
        <w:t xml:space="preserve"> RH, Lucey MR. Summary report of a national conference: Evolving concepts in liver allocation in the MELD and PELD era. December 8, 2003, Washington, DC, USA.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2004; </w:t>
      </w:r>
      <w:r w:rsidRPr="00907F73">
        <w:rPr>
          <w:rFonts w:ascii="Book Antiqua" w:hAnsi="Book Antiqua" w:cs="Times New Roman"/>
          <w:b/>
          <w:bCs/>
          <w:color w:val="000000" w:themeColor="text1"/>
          <w:lang w:val="en-US" w:eastAsia="zh-CN"/>
        </w:rPr>
        <w:t>10</w:t>
      </w:r>
      <w:r w:rsidRPr="00907F73">
        <w:rPr>
          <w:rFonts w:ascii="Book Antiqua" w:hAnsi="Book Antiqua" w:cs="Times New Roman"/>
          <w:color w:val="000000" w:themeColor="text1"/>
          <w:lang w:val="en-US" w:eastAsia="zh-CN"/>
        </w:rPr>
        <w:t>: A6-22 [PMID: 15382225 DOI: 10.1002/lt.20247]</w:t>
      </w:r>
    </w:p>
    <w:p w14:paraId="46F5BFC6"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19 </w:t>
      </w:r>
      <w:r w:rsidRPr="00907F73">
        <w:rPr>
          <w:rFonts w:ascii="Book Antiqua" w:hAnsi="Book Antiqua" w:cs="Times New Roman"/>
          <w:b/>
          <w:bCs/>
          <w:color w:val="000000" w:themeColor="text1"/>
          <w:lang w:val="en-US" w:eastAsia="zh-CN"/>
        </w:rPr>
        <w:t>Levesque E</w:t>
      </w:r>
      <w:r w:rsidRPr="00907F73">
        <w:rPr>
          <w:rFonts w:ascii="Book Antiqua" w:hAnsi="Book Antiqua" w:cs="Times New Roman"/>
          <w:color w:val="000000" w:themeColor="text1"/>
          <w:lang w:val="en-US" w:eastAsia="zh-CN"/>
        </w:rPr>
        <w:t xml:space="preserve">, Winter A, </w:t>
      </w:r>
      <w:proofErr w:type="spellStart"/>
      <w:r w:rsidRPr="00907F73">
        <w:rPr>
          <w:rFonts w:ascii="Book Antiqua" w:hAnsi="Book Antiqua" w:cs="Times New Roman"/>
          <w:color w:val="000000" w:themeColor="text1"/>
          <w:lang w:val="en-US" w:eastAsia="zh-CN"/>
        </w:rPr>
        <w:t>Noorah</w:t>
      </w:r>
      <w:proofErr w:type="spellEnd"/>
      <w:r w:rsidRPr="00907F73">
        <w:rPr>
          <w:rFonts w:ascii="Book Antiqua" w:hAnsi="Book Antiqua" w:cs="Times New Roman"/>
          <w:color w:val="000000" w:themeColor="text1"/>
          <w:lang w:val="en-US" w:eastAsia="zh-CN"/>
        </w:rPr>
        <w:t xml:space="preserve"> Z, </w:t>
      </w:r>
      <w:proofErr w:type="spellStart"/>
      <w:r w:rsidRPr="00907F73">
        <w:rPr>
          <w:rFonts w:ascii="Book Antiqua" w:hAnsi="Book Antiqua" w:cs="Times New Roman"/>
          <w:color w:val="000000" w:themeColor="text1"/>
          <w:lang w:val="en-US" w:eastAsia="zh-CN"/>
        </w:rPr>
        <w:t>Daurès</w:t>
      </w:r>
      <w:proofErr w:type="spellEnd"/>
      <w:r w:rsidRPr="00907F73">
        <w:rPr>
          <w:rFonts w:ascii="Book Antiqua" w:hAnsi="Book Antiqua" w:cs="Times New Roman"/>
          <w:color w:val="000000" w:themeColor="text1"/>
          <w:lang w:val="en-US" w:eastAsia="zh-CN"/>
        </w:rPr>
        <w:t xml:space="preserve"> JP, </w:t>
      </w:r>
      <w:proofErr w:type="spellStart"/>
      <w:r w:rsidRPr="00907F73">
        <w:rPr>
          <w:rFonts w:ascii="Book Antiqua" w:hAnsi="Book Antiqua" w:cs="Times New Roman"/>
          <w:color w:val="000000" w:themeColor="text1"/>
          <w:lang w:val="en-US" w:eastAsia="zh-CN"/>
        </w:rPr>
        <w:t>Landais</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Feray</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Azoulay</w:t>
      </w:r>
      <w:proofErr w:type="spellEnd"/>
      <w:r w:rsidRPr="00907F73">
        <w:rPr>
          <w:rFonts w:ascii="Book Antiqua" w:hAnsi="Book Antiqua" w:cs="Times New Roman"/>
          <w:color w:val="000000" w:themeColor="text1"/>
          <w:lang w:val="en-US" w:eastAsia="zh-CN"/>
        </w:rPr>
        <w:t xml:space="preserve"> D. Impact of acute-on-chronic liver failure on 90-day mortality following a first liver transplantation. </w:t>
      </w:r>
      <w:r w:rsidRPr="00907F73">
        <w:rPr>
          <w:rFonts w:ascii="Book Antiqua" w:hAnsi="Book Antiqua" w:cs="Times New Roman"/>
          <w:i/>
          <w:iCs/>
          <w:color w:val="000000" w:themeColor="text1"/>
          <w:lang w:val="en-US" w:eastAsia="zh-CN"/>
        </w:rPr>
        <w:t>Liver Int</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37</w:t>
      </w:r>
      <w:r w:rsidRPr="00907F73">
        <w:rPr>
          <w:rFonts w:ascii="Book Antiqua" w:hAnsi="Book Antiqua" w:cs="Times New Roman"/>
          <w:color w:val="000000" w:themeColor="text1"/>
          <w:lang w:val="en-US" w:eastAsia="zh-CN"/>
        </w:rPr>
        <w:t>: 684-693 [PMID: 28052486 DOI: 10.1111/liv.13355]</w:t>
      </w:r>
    </w:p>
    <w:p w14:paraId="5CCAF728"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20 </w:t>
      </w:r>
      <w:r w:rsidRPr="00907F73">
        <w:rPr>
          <w:rFonts w:ascii="Book Antiqua" w:hAnsi="Book Antiqua" w:cs="Times New Roman"/>
          <w:b/>
          <w:bCs/>
          <w:color w:val="000000" w:themeColor="text1"/>
          <w:lang w:val="en-US" w:eastAsia="zh-CN"/>
        </w:rPr>
        <w:t>Klein KB</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Stafinski</w:t>
      </w:r>
      <w:proofErr w:type="spellEnd"/>
      <w:r w:rsidRPr="00907F73">
        <w:rPr>
          <w:rFonts w:ascii="Book Antiqua" w:hAnsi="Book Antiqua" w:cs="Times New Roman"/>
          <w:color w:val="000000" w:themeColor="text1"/>
          <w:lang w:val="en-US" w:eastAsia="zh-CN"/>
        </w:rPr>
        <w:t xml:space="preserve"> TD, </w:t>
      </w:r>
      <w:proofErr w:type="spellStart"/>
      <w:r w:rsidRPr="00907F73">
        <w:rPr>
          <w:rFonts w:ascii="Book Antiqua" w:hAnsi="Book Antiqua" w:cs="Times New Roman"/>
          <w:color w:val="000000" w:themeColor="text1"/>
          <w:lang w:val="en-US" w:eastAsia="zh-CN"/>
        </w:rPr>
        <w:t>Menon</w:t>
      </w:r>
      <w:proofErr w:type="spellEnd"/>
      <w:r w:rsidRPr="00907F73">
        <w:rPr>
          <w:rFonts w:ascii="Book Antiqua" w:hAnsi="Book Antiqua" w:cs="Times New Roman"/>
          <w:color w:val="000000" w:themeColor="text1"/>
          <w:lang w:val="en-US" w:eastAsia="zh-CN"/>
        </w:rPr>
        <w:t xml:space="preserve"> D. Predicting survival after liver transplantation based on pre-transplant MELD score: a systematic review of the literature. </w:t>
      </w:r>
      <w:proofErr w:type="spellStart"/>
      <w:r w:rsidRPr="00907F73">
        <w:rPr>
          <w:rFonts w:ascii="Book Antiqua" w:hAnsi="Book Antiqua" w:cs="Times New Roman"/>
          <w:i/>
          <w:iCs/>
          <w:color w:val="000000" w:themeColor="text1"/>
          <w:lang w:val="en-US" w:eastAsia="zh-CN"/>
        </w:rPr>
        <w:t>PLoS</w:t>
      </w:r>
      <w:proofErr w:type="spellEnd"/>
      <w:r w:rsidRPr="00907F73">
        <w:rPr>
          <w:rFonts w:ascii="Book Antiqua" w:hAnsi="Book Antiqua" w:cs="Times New Roman"/>
          <w:i/>
          <w:iCs/>
          <w:color w:val="000000" w:themeColor="text1"/>
          <w:lang w:val="en-US" w:eastAsia="zh-CN"/>
        </w:rPr>
        <w:t xml:space="preserve"> One</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8</w:t>
      </w:r>
      <w:r w:rsidRPr="00907F73">
        <w:rPr>
          <w:rFonts w:ascii="Book Antiqua" w:hAnsi="Book Antiqua" w:cs="Times New Roman"/>
          <w:color w:val="000000" w:themeColor="text1"/>
          <w:lang w:val="en-US" w:eastAsia="zh-CN"/>
        </w:rPr>
        <w:t>: e80661 [PMID: 24349010 DOI: 10.1371/journal.pone.0080661]</w:t>
      </w:r>
    </w:p>
    <w:p w14:paraId="717891DE"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21 </w:t>
      </w:r>
      <w:proofErr w:type="spellStart"/>
      <w:r w:rsidRPr="00907F73">
        <w:rPr>
          <w:rFonts w:ascii="Book Antiqua" w:hAnsi="Book Antiqua" w:cs="Times New Roman"/>
          <w:b/>
          <w:bCs/>
          <w:color w:val="000000" w:themeColor="text1"/>
          <w:lang w:val="en-US" w:eastAsia="zh-CN"/>
        </w:rPr>
        <w:t>Kwong</w:t>
      </w:r>
      <w:proofErr w:type="spellEnd"/>
      <w:r w:rsidRPr="00907F73">
        <w:rPr>
          <w:rFonts w:ascii="Book Antiqua" w:hAnsi="Book Antiqua" w:cs="Times New Roman"/>
          <w:b/>
          <w:bCs/>
          <w:color w:val="000000" w:themeColor="text1"/>
          <w:lang w:val="en-US" w:eastAsia="zh-CN"/>
        </w:rPr>
        <w:t xml:space="preserve"> AJ</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Goel</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Mannalithara</w:t>
      </w:r>
      <w:proofErr w:type="spellEnd"/>
      <w:r w:rsidRPr="00907F73">
        <w:rPr>
          <w:rFonts w:ascii="Book Antiqua" w:hAnsi="Book Antiqua" w:cs="Times New Roman"/>
          <w:color w:val="000000" w:themeColor="text1"/>
          <w:lang w:val="en-US" w:eastAsia="zh-CN"/>
        </w:rPr>
        <w:t xml:space="preserve"> A, Kim WR. Improved posttransplant mortality after share 35 for liver transplantation. </w:t>
      </w:r>
      <w:r w:rsidRPr="00907F73">
        <w:rPr>
          <w:rFonts w:ascii="Book Antiqua" w:hAnsi="Book Antiqua" w:cs="Times New Roman"/>
          <w:i/>
          <w:iCs/>
          <w:color w:val="000000" w:themeColor="text1"/>
          <w:lang w:val="en-US" w:eastAsia="zh-CN"/>
        </w:rPr>
        <w:t>Hepatology</w:t>
      </w:r>
      <w:r w:rsidRPr="00907F73">
        <w:rPr>
          <w:rFonts w:ascii="Book Antiqua" w:hAnsi="Book Antiqua" w:cs="Times New Roman"/>
          <w:color w:val="000000" w:themeColor="text1"/>
          <w:lang w:val="en-US" w:eastAsia="zh-CN"/>
        </w:rPr>
        <w:t> 2018; </w:t>
      </w:r>
      <w:r w:rsidRPr="00907F73">
        <w:rPr>
          <w:rFonts w:ascii="Book Antiqua" w:hAnsi="Book Antiqua" w:cs="Times New Roman"/>
          <w:b/>
          <w:bCs/>
          <w:color w:val="000000" w:themeColor="text1"/>
          <w:lang w:val="en-US" w:eastAsia="zh-CN"/>
        </w:rPr>
        <w:t>67</w:t>
      </w:r>
      <w:r w:rsidRPr="00907F73">
        <w:rPr>
          <w:rFonts w:ascii="Book Antiqua" w:hAnsi="Book Antiqua" w:cs="Times New Roman"/>
          <w:color w:val="000000" w:themeColor="text1"/>
          <w:lang w:val="en-US" w:eastAsia="zh-CN"/>
        </w:rPr>
        <w:t>: 273-281 [PMID: 28586179 DOI: 10.1002/hep.29301]</w:t>
      </w:r>
    </w:p>
    <w:p w14:paraId="3980F7C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lastRenderedPageBreak/>
        <w:t>22 </w:t>
      </w:r>
      <w:proofErr w:type="spellStart"/>
      <w:r w:rsidRPr="00907F73">
        <w:rPr>
          <w:rFonts w:ascii="Book Antiqua" w:hAnsi="Book Antiqua" w:cs="Times New Roman"/>
          <w:b/>
          <w:bCs/>
          <w:color w:val="000000" w:themeColor="text1"/>
          <w:lang w:val="en-US" w:eastAsia="zh-CN"/>
        </w:rPr>
        <w:t>Bittermann</w:t>
      </w:r>
      <w:proofErr w:type="spellEnd"/>
      <w:r w:rsidRPr="00907F73">
        <w:rPr>
          <w:rFonts w:ascii="Book Antiqua" w:hAnsi="Book Antiqua" w:cs="Times New Roman"/>
          <w:b/>
          <w:bCs/>
          <w:color w:val="000000" w:themeColor="text1"/>
          <w:lang w:val="en-US" w:eastAsia="zh-CN"/>
        </w:rPr>
        <w:t xml:space="preserve"> T</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Makar</w:t>
      </w:r>
      <w:proofErr w:type="spellEnd"/>
      <w:r w:rsidRPr="00907F73">
        <w:rPr>
          <w:rFonts w:ascii="Book Antiqua" w:hAnsi="Book Antiqua" w:cs="Times New Roman"/>
          <w:color w:val="000000" w:themeColor="text1"/>
          <w:lang w:val="en-US" w:eastAsia="zh-CN"/>
        </w:rPr>
        <w:t xml:space="preserve"> G, Goldberg DS. Early post-transplant survival: Interaction of MELD score and hospitalization status.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63</w:t>
      </w:r>
      <w:r w:rsidRPr="00907F73">
        <w:rPr>
          <w:rFonts w:ascii="Book Antiqua" w:hAnsi="Book Antiqua" w:cs="Times New Roman"/>
          <w:color w:val="000000" w:themeColor="text1"/>
          <w:lang w:val="en-US" w:eastAsia="zh-CN"/>
        </w:rPr>
        <w:t>: 601-608 [PMID: 25858520 DOI: 10.1016/j.jhep.2015.03.034]</w:t>
      </w:r>
    </w:p>
    <w:p w14:paraId="23AE1FCD"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23 </w:t>
      </w:r>
      <w:proofErr w:type="spellStart"/>
      <w:r w:rsidRPr="00907F73">
        <w:rPr>
          <w:rFonts w:ascii="Book Antiqua" w:hAnsi="Book Antiqua" w:cs="Times New Roman"/>
          <w:b/>
          <w:bCs/>
          <w:color w:val="000000" w:themeColor="text1"/>
          <w:lang w:val="en-US" w:eastAsia="zh-CN"/>
        </w:rPr>
        <w:t>Schrem</w:t>
      </w:r>
      <w:proofErr w:type="spellEnd"/>
      <w:r w:rsidRPr="00907F73">
        <w:rPr>
          <w:rFonts w:ascii="Book Antiqua" w:hAnsi="Book Antiqua" w:cs="Times New Roman"/>
          <w:b/>
          <w:bCs/>
          <w:color w:val="000000" w:themeColor="text1"/>
          <w:lang w:val="en-US" w:eastAsia="zh-CN"/>
        </w:rPr>
        <w:t xml:space="preserve"> H</w:t>
      </w:r>
      <w:r w:rsidRPr="00907F73">
        <w:rPr>
          <w:rFonts w:ascii="Book Antiqua" w:hAnsi="Book Antiqua" w:cs="Times New Roman"/>
          <w:color w:val="000000" w:themeColor="text1"/>
          <w:lang w:val="en-US" w:eastAsia="zh-CN"/>
        </w:rPr>
        <w:t xml:space="preserve">, Reichert B, </w:t>
      </w:r>
      <w:proofErr w:type="spellStart"/>
      <w:r w:rsidRPr="00907F73">
        <w:rPr>
          <w:rFonts w:ascii="Book Antiqua" w:hAnsi="Book Antiqua" w:cs="Times New Roman"/>
          <w:color w:val="000000" w:themeColor="text1"/>
          <w:lang w:val="en-US" w:eastAsia="zh-CN"/>
        </w:rPr>
        <w:t>Frühauf</w:t>
      </w:r>
      <w:proofErr w:type="spellEnd"/>
      <w:r w:rsidRPr="00907F73">
        <w:rPr>
          <w:rFonts w:ascii="Book Antiqua" w:hAnsi="Book Antiqua" w:cs="Times New Roman"/>
          <w:color w:val="000000" w:themeColor="text1"/>
          <w:lang w:val="en-US" w:eastAsia="zh-CN"/>
        </w:rPr>
        <w:t xml:space="preserve"> N, Becker T, </w:t>
      </w:r>
      <w:proofErr w:type="spellStart"/>
      <w:r w:rsidRPr="00907F73">
        <w:rPr>
          <w:rFonts w:ascii="Book Antiqua" w:hAnsi="Book Antiqua" w:cs="Times New Roman"/>
          <w:color w:val="000000" w:themeColor="text1"/>
          <w:lang w:val="en-US" w:eastAsia="zh-CN"/>
        </w:rPr>
        <w:t>Lehner</w:t>
      </w:r>
      <w:proofErr w:type="spellEnd"/>
      <w:r w:rsidRPr="00907F73">
        <w:rPr>
          <w:rFonts w:ascii="Book Antiqua" w:hAnsi="Book Antiqua" w:cs="Times New Roman"/>
          <w:color w:val="000000" w:themeColor="text1"/>
          <w:lang w:val="en-US" w:eastAsia="zh-CN"/>
        </w:rPr>
        <w:t xml:space="preserve"> F, </w:t>
      </w:r>
      <w:proofErr w:type="spellStart"/>
      <w:r w:rsidRPr="00907F73">
        <w:rPr>
          <w:rFonts w:ascii="Book Antiqua" w:hAnsi="Book Antiqua" w:cs="Times New Roman"/>
          <w:color w:val="000000" w:themeColor="text1"/>
          <w:lang w:val="en-US" w:eastAsia="zh-CN"/>
        </w:rPr>
        <w:t>Kleine</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Bektas</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Zachau</w:t>
      </w:r>
      <w:proofErr w:type="spellEnd"/>
      <w:r w:rsidRPr="00907F73">
        <w:rPr>
          <w:rFonts w:ascii="Book Antiqua" w:hAnsi="Book Antiqua" w:cs="Times New Roman"/>
          <w:color w:val="000000" w:themeColor="text1"/>
          <w:lang w:val="en-US" w:eastAsia="zh-CN"/>
        </w:rPr>
        <w:t xml:space="preserve"> L, </w:t>
      </w:r>
      <w:proofErr w:type="spellStart"/>
      <w:r w:rsidRPr="00907F73">
        <w:rPr>
          <w:rFonts w:ascii="Book Antiqua" w:hAnsi="Book Antiqua" w:cs="Times New Roman"/>
          <w:color w:val="000000" w:themeColor="text1"/>
          <w:lang w:val="en-US" w:eastAsia="zh-CN"/>
        </w:rPr>
        <w:t>Klempnauer</w:t>
      </w:r>
      <w:proofErr w:type="spellEnd"/>
      <w:r w:rsidRPr="00907F73">
        <w:rPr>
          <w:rFonts w:ascii="Book Antiqua" w:hAnsi="Book Antiqua" w:cs="Times New Roman"/>
          <w:color w:val="000000" w:themeColor="text1"/>
          <w:lang w:val="en-US" w:eastAsia="zh-CN"/>
        </w:rPr>
        <w:t xml:space="preserve"> J. The Donor-Risk-Index, ECD-Score and D-MELD-Score all fail to predict short-term outcome after liver transplantation with acceptable sensitivity and specificity. </w:t>
      </w:r>
      <w:r w:rsidRPr="00907F73">
        <w:rPr>
          <w:rFonts w:ascii="Book Antiqua" w:hAnsi="Book Antiqua" w:cs="Times New Roman"/>
          <w:i/>
          <w:iCs/>
          <w:color w:val="000000" w:themeColor="text1"/>
          <w:lang w:val="en-US" w:eastAsia="zh-CN"/>
        </w:rPr>
        <w:t>Ann Transplant</w:t>
      </w:r>
      <w:r w:rsidRPr="00907F73">
        <w:rPr>
          <w:rFonts w:ascii="Book Antiqua" w:hAnsi="Book Antiqua" w:cs="Times New Roman"/>
          <w:color w:val="000000" w:themeColor="text1"/>
          <w:lang w:val="en-US" w:eastAsia="zh-CN"/>
        </w:rPr>
        <w:t> 2012; </w:t>
      </w:r>
      <w:r w:rsidRPr="00907F73">
        <w:rPr>
          <w:rFonts w:ascii="Book Antiqua" w:hAnsi="Book Antiqua" w:cs="Times New Roman"/>
          <w:b/>
          <w:bCs/>
          <w:color w:val="000000" w:themeColor="text1"/>
          <w:lang w:val="en-US" w:eastAsia="zh-CN"/>
        </w:rPr>
        <w:t>17</w:t>
      </w:r>
      <w:r w:rsidRPr="00907F73">
        <w:rPr>
          <w:rFonts w:ascii="Book Antiqua" w:hAnsi="Book Antiqua" w:cs="Times New Roman"/>
          <w:color w:val="000000" w:themeColor="text1"/>
          <w:lang w:val="en-US" w:eastAsia="zh-CN"/>
        </w:rPr>
        <w:t>: 5-13 [PMID: 23018250]</w:t>
      </w:r>
    </w:p>
    <w:p w14:paraId="6A06D024"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24 </w:t>
      </w:r>
      <w:proofErr w:type="spellStart"/>
      <w:r w:rsidRPr="00907F73">
        <w:rPr>
          <w:rFonts w:ascii="Book Antiqua" w:hAnsi="Book Antiqua" w:cs="Times New Roman"/>
          <w:b/>
          <w:bCs/>
          <w:color w:val="000000" w:themeColor="text1"/>
          <w:lang w:val="en-US" w:eastAsia="zh-CN"/>
        </w:rPr>
        <w:t>Bahirwani</w:t>
      </w:r>
      <w:proofErr w:type="spellEnd"/>
      <w:r w:rsidRPr="00907F73">
        <w:rPr>
          <w:rFonts w:ascii="Book Antiqua" w:hAnsi="Book Antiqua" w:cs="Times New Roman"/>
          <w:b/>
          <w:bCs/>
          <w:color w:val="000000" w:themeColor="text1"/>
          <w:lang w:val="en-US" w:eastAsia="zh-CN"/>
        </w:rPr>
        <w:t xml:space="preserve"> R</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Shaked</w:t>
      </w:r>
      <w:proofErr w:type="spellEnd"/>
      <w:r w:rsidRPr="00907F73">
        <w:rPr>
          <w:rFonts w:ascii="Book Antiqua" w:hAnsi="Book Antiqua" w:cs="Times New Roman"/>
          <w:color w:val="000000" w:themeColor="text1"/>
          <w:lang w:val="en-US" w:eastAsia="zh-CN"/>
        </w:rPr>
        <w:t xml:space="preserve"> O, </w:t>
      </w:r>
      <w:proofErr w:type="spellStart"/>
      <w:r w:rsidRPr="00907F73">
        <w:rPr>
          <w:rFonts w:ascii="Book Antiqua" w:hAnsi="Book Antiqua" w:cs="Times New Roman"/>
          <w:color w:val="000000" w:themeColor="text1"/>
          <w:lang w:val="en-US" w:eastAsia="zh-CN"/>
        </w:rPr>
        <w:t>Bewtra</w:t>
      </w:r>
      <w:proofErr w:type="spellEnd"/>
      <w:r w:rsidRPr="00907F73">
        <w:rPr>
          <w:rFonts w:ascii="Book Antiqua" w:hAnsi="Book Antiqua" w:cs="Times New Roman"/>
          <w:color w:val="000000" w:themeColor="text1"/>
          <w:lang w:val="en-US" w:eastAsia="zh-CN"/>
        </w:rPr>
        <w:t xml:space="preserve"> M, Forde K, Reddy KR. Acute-on-chronic liver failure before liver transplantation: impact on posttransplant outcomes. </w:t>
      </w:r>
      <w:r w:rsidRPr="00907F73">
        <w:rPr>
          <w:rFonts w:ascii="Book Antiqua" w:hAnsi="Book Antiqua" w:cs="Times New Roman"/>
          <w:i/>
          <w:iCs/>
          <w:color w:val="000000" w:themeColor="text1"/>
          <w:lang w:val="en-US" w:eastAsia="zh-CN"/>
        </w:rPr>
        <w:t>Transplantation</w:t>
      </w:r>
      <w:r w:rsidRPr="00907F73">
        <w:rPr>
          <w:rFonts w:ascii="Book Antiqua" w:hAnsi="Book Antiqua" w:cs="Times New Roman"/>
          <w:color w:val="000000" w:themeColor="text1"/>
          <w:lang w:val="en-US" w:eastAsia="zh-CN"/>
        </w:rPr>
        <w:t> 2011; </w:t>
      </w:r>
      <w:r w:rsidRPr="00907F73">
        <w:rPr>
          <w:rFonts w:ascii="Book Antiqua" w:hAnsi="Book Antiqua" w:cs="Times New Roman"/>
          <w:b/>
          <w:bCs/>
          <w:color w:val="000000" w:themeColor="text1"/>
          <w:lang w:val="en-US" w:eastAsia="zh-CN"/>
        </w:rPr>
        <w:t>92</w:t>
      </w:r>
      <w:r w:rsidRPr="00907F73">
        <w:rPr>
          <w:rFonts w:ascii="Book Antiqua" w:hAnsi="Book Antiqua" w:cs="Times New Roman"/>
          <w:color w:val="000000" w:themeColor="text1"/>
          <w:lang w:val="en-US" w:eastAsia="zh-CN"/>
        </w:rPr>
        <w:t>: 952-957 [PMID: 21869735 DOI: 10.1097/TP.0b013e31822e6eda]</w:t>
      </w:r>
    </w:p>
    <w:p w14:paraId="226BD8A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25 </w:t>
      </w:r>
      <w:r w:rsidRPr="00907F73">
        <w:rPr>
          <w:rFonts w:ascii="Book Antiqua" w:hAnsi="Book Antiqua" w:cs="Times New Roman"/>
          <w:b/>
          <w:bCs/>
          <w:color w:val="000000" w:themeColor="text1"/>
          <w:lang w:val="en-US" w:eastAsia="zh-CN"/>
        </w:rPr>
        <w:t>Levesque E</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Khemiss</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Noorah</w:t>
      </w:r>
      <w:proofErr w:type="spellEnd"/>
      <w:r w:rsidRPr="00907F73">
        <w:rPr>
          <w:rFonts w:ascii="Book Antiqua" w:hAnsi="Book Antiqua" w:cs="Times New Roman"/>
          <w:color w:val="000000" w:themeColor="text1"/>
          <w:lang w:val="en-US" w:eastAsia="zh-CN"/>
        </w:rPr>
        <w:t xml:space="preserve"> Z, </w:t>
      </w:r>
      <w:proofErr w:type="spellStart"/>
      <w:r w:rsidRPr="00907F73">
        <w:rPr>
          <w:rFonts w:ascii="Book Antiqua" w:hAnsi="Book Antiqua" w:cs="Times New Roman"/>
          <w:color w:val="000000" w:themeColor="text1"/>
          <w:lang w:val="en-US" w:eastAsia="zh-CN"/>
        </w:rPr>
        <w:t>Feray</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Azoulay</w:t>
      </w:r>
      <w:proofErr w:type="spellEnd"/>
      <w:r w:rsidRPr="00907F73">
        <w:rPr>
          <w:rFonts w:ascii="Book Antiqua" w:hAnsi="Book Antiqua" w:cs="Times New Roman"/>
          <w:color w:val="000000" w:themeColor="text1"/>
          <w:lang w:val="en-US" w:eastAsia="zh-CN"/>
        </w:rPr>
        <w:t xml:space="preserve"> D, </w:t>
      </w:r>
      <w:proofErr w:type="spellStart"/>
      <w:r w:rsidRPr="00907F73">
        <w:rPr>
          <w:rFonts w:ascii="Book Antiqua" w:hAnsi="Book Antiqua" w:cs="Times New Roman"/>
          <w:color w:val="000000" w:themeColor="text1"/>
          <w:lang w:val="en-US" w:eastAsia="zh-CN"/>
        </w:rPr>
        <w:t>Dhonneur</w:t>
      </w:r>
      <w:proofErr w:type="spellEnd"/>
      <w:r w:rsidRPr="00907F73">
        <w:rPr>
          <w:rFonts w:ascii="Book Antiqua" w:hAnsi="Book Antiqua" w:cs="Times New Roman"/>
          <w:color w:val="000000" w:themeColor="text1"/>
          <w:lang w:val="en-US" w:eastAsia="zh-CN"/>
        </w:rPr>
        <w:t xml:space="preserve"> G. Liver transplantation in patients with end-stage liver disease requiring intensive care unit admission and intubation.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21</w:t>
      </w:r>
      <w:r w:rsidRPr="00907F73">
        <w:rPr>
          <w:rFonts w:ascii="Book Antiqua" w:hAnsi="Book Antiqua" w:cs="Times New Roman"/>
          <w:color w:val="000000" w:themeColor="text1"/>
          <w:lang w:val="en-US" w:eastAsia="zh-CN"/>
        </w:rPr>
        <w:t>: 1331-1332 [PMID: 26108917 DOI: 10.1002/lt.24201]</w:t>
      </w:r>
    </w:p>
    <w:p w14:paraId="1E638E3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26 </w:t>
      </w:r>
      <w:r w:rsidRPr="00907F73">
        <w:rPr>
          <w:rFonts w:ascii="Book Antiqua" w:hAnsi="Book Antiqua" w:cs="Times New Roman"/>
          <w:b/>
          <w:bCs/>
          <w:color w:val="000000" w:themeColor="text1"/>
          <w:lang w:val="en-US" w:eastAsia="zh-CN"/>
        </w:rPr>
        <w:t>Schlegel A</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Linecker</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Kron</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Györi</w:t>
      </w:r>
      <w:proofErr w:type="spellEnd"/>
      <w:r w:rsidRPr="00907F73">
        <w:rPr>
          <w:rFonts w:ascii="Book Antiqua" w:hAnsi="Book Antiqua" w:cs="Times New Roman"/>
          <w:color w:val="000000" w:themeColor="text1"/>
          <w:lang w:val="en-US" w:eastAsia="zh-CN"/>
        </w:rPr>
        <w:t xml:space="preserve"> G, De Oliveira ML, </w:t>
      </w:r>
      <w:proofErr w:type="spellStart"/>
      <w:r w:rsidRPr="00907F73">
        <w:rPr>
          <w:rFonts w:ascii="Book Antiqua" w:hAnsi="Book Antiqua" w:cs="Times New Roman"/>
          <w:color w:val="000000" w:themeColor="text1"/>
          <w:lang w:val="en-US" w:eastAsia="zh-CN"/>
        </w:rPr>
        <w:t>Müllhaupt</w:t>
      </w:r>
      <w:proofErr w:type="spellEnd"/>
      <w:r w:rsidRPr="00907F73">
        <w:rPr>
          <w:rFonts w:ascii="Book Antiqua" w:hAnsi="Book Antiqua" w:cs="Times New Roman"/>
          <w:color w:val="000000" w:themeColor="text1"/>
          <w:lang w:val="en-US" w:eastAsia="zh-CN"/>
        </w:rPr>
        <w:t xml:space="preserve"> B, </w:t>
      </w:r>
      <w:proofErr w:type="spellStart"/>
      <w:r w:rsidRPr="00907F73">
        <w:rPr>
          <w:rFonts w:ascii="Book Antiqua" w:hAnsi="Book Antiqua" w:cs="Times New Roman"/>
          <w:color w:val="000000" w:themeColor="text1"/>
          <w:lang w:val="en-US" w:eastAsia="zh-CN"/>
        </w:rPr>
        <w:t>Clavien</w:t>
      </w:r>
      <w:proofErr w:type="spellEnd"/>
      <w:r w:rsidRPr="00907F73">
        <w:rPr>
          <w:rFonts w:ascii="Book Antiqua" w:hAnsi="Book Antiqua" w:cs="Times New Roman"/>
          <w:color w:val="000000" w:themeColor="text1"/>
          <w:lang w:val="en-US" w:eastAsia="zh-CN"/>
        </w:rPr>
        <w:t xml:space="preserve"> PA, </w:t>
      </w:r>
      <w:proofErr w:type="spellStart"/>
      <w:r w:rsidRPr="00907F73">
        <w:rPr>
          <w:rFonts w:ascii="Book Antiqua" w:hAnsi="Book Antiqua" w:cs="Times New Roman"/>
          <w:color w:val="000000" w:themeColor="text1"/>
          <w:lang w:val="en-US" w:eastAsia="zh-CN"/>
        </w:rPr>
        <w:t>Dutkowski</w:t>
      </w:r>
      <w:proofErr w:type="spellEnd"/>
      <w:r w:rsidRPr="00907F73">
        <w:rPr>
          <w:rFonts w:ascii="Book Antiqua" w:hAnsi="Book Antiqua" w:cs="Times New Roman"/>
          <w:color w:val="000000" w:themeColor="text1"/>
          <w:lang w:val="en-US" w:eastAsia="zh-CN"/>
        </w:rPr>
        <w:t xml:space="preserve"> P. Risk Assessment in High- and Low-MELD Liver Transplantation. </w:t>
      </w:r>
      <w:r w:rsidRPr="00907F73">
        <w:rPr>
          <w:rFonts w:ascii="Book Antiqua" w:hAnsi="Book Antiqua" w:cs="Times New Roman"/>
          <w:i/>
          <w:iCs/>
          <w:color w:val="000000" w:themeColor="text1"/>
          <w:lang w:val="en-US" w:eastAsia="zh-CN"/>
        </w:rPr>
        <w:t>Am J Transplant</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17</w:t>
      </w:r>
      <w:r w:rsidRPr="00907F73">
        <w:rPr>
          <w:rFonts w:ascii="Book Antiqua" w:hAnsi="Book Antiqua" w:cs="Times New Roman"/>
          <w:color w:val="000000" w:themeColor="text1"/>
          <w:lang w:val="en-US" w:eastAsia="zh-CN"/>
        </w:rPr>
        <w:t>: 1050-1063 [PMID: 27676319 DOI: 10.1111/ajt.14065]</w:t>
      </w:r>
    </w:p>
    <w:p w14:paraId="6C54482B"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27 </w:t>
      </w:r>
      <w:proofErr w:type="spellStart"/>
      <w:r w:rsidRPr="00907F73">
        <w:rPr>
          <w:rFonts w:ascii="Book Antiqua" w:hAnsi="Book Antiqua" w:cs="Times New Roman"/>
          <w:b/>
          <w:bCs/>
          <w:color w:val="000000" w:themeColor="text1"/>
          <w:lang w:val="en-US" w:eastAsia="zh-CN"/>
        </w:rPr>
        <w:t>Duan</w:t>
      </w:r>
      <w:proofErr w:type="spellEnd"/>
      <w:r w:rsidRPr="00907F73">
        <w:rPr>
          <w:rFonts w:ascii="Book Antiqua" w:hAnsi="Book Antiqua" w:cs="Times New Roman"/>
          <w:b/>
          <w:bCs/>
          <w:color w:val="000000" w:themeColor="text1"/>
          <w:lang w:val="en-US" w:eastAsia="zh-CN"/>
        </w:rPr>
        <w:t xml:space="preserve"> BW</w:t>
      </w:r>
      <w:r w:rsidRPr="00907F73">
        <w:rPr>
          <w:rFonts w:ascii="Book Antiqua" w:hAnsi="Book Antiqua" w:cs="Times New Roman"/>
          <w:color w:val="000000" w:themeColor="text1"/>
          <w:lang w:val="en-US" w:eastAsia="zh-CN"/>
        </w:rPr>
        <w:t xml:space="preserve">, Lu SC, Wang ML, Liu JN, Chi P, Lai W, Wu JS, Guo QL, Lin DD, Liu Y, Zeng DB, Li CY, Meng QH, Ding HG, Chen XY, Liao HY, Ma LQ, Chen Y, Zhang J, Xiang HP, </w:t>
      </w:r>
      <w:proofErr w:type="spellStart"/>
      <w:r w:rsidRPr="00907F73">
        <w:rPr>
          <w:rFonts w:ascii="Book Antiqua" w:hAnsi="Book Antiqua" w:cs="Times New Roman"/>
          <w:color w:val="000000" w:themeColor="text1"/>
          <w:lang w:val="en-US" w:eastAsia="zh-CN"/>
        </w:rPr>
        <w:t>Duan</w:t>
      </w:r>
      <w:proofErr w:type="spellEnd"/>
      <w:r w:rsidRPr="00907F73">
        <w:rPr>
          <w:rFonts w:ascii="Book Antiqua" w:hAnsi="Book Antiqua" w:cs="Times New Roman"/>
          <w:color w:val="000000" w:themeColor="text1"/>
          <w:lang w:val="en-US" w:eastAsia="zh-CN"/>
        </w:rPr>
        <w:t xml:space="preserve"> ZP, Li N. Liver transplantation in acute-on-chronic liver failure patients with high model for end-stage liver disease (MELD) scores: a single center experience of 100 consecutive cases. </w:t>
      </w:r>
      <w:r w:rsidRPr="00907F73">
        <w:rPr>
          <w:rFonts w:ascii="Book Antiqua" w:hAnsi="Book Antiqua" w:cs="Times New Roman"/>
          <w:i/>
          <w:iCs/>
          <w:color w:val="000000" w:themeColor="text1"/>
          <w:lang w:val="en-US" w:eastAsia="zh-CN"/>
        </w:rPr>
        <w:t>J Surg Res</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183</w:t>
      </w:r>
      <w:r w:rsidRPr="00907F73">
        <w:rPr>
          <w:rFonts w:ascii="Book Antiqua" w:hAnsi="Book Antiqua" w:cs="Times New Roman"/>
          <w:color w:val="000000" w:themeColor="text1"/>
          <w:lang w:val="en-US" w:eastAsia="zh-CN"/>
        </w:rPr>
        <w:t>: 936-943 [PMID: 23558257 DOI: 10.1016/j.jss.2013.03.008]</w:t>
      </w:r>
    </w:p>
    <w:p w14:paraId="7861988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28 </w:t>
      </w:r>
      <w:proofErr w:type="spellStart"/>
      <w:r w:rsidRPr="00907F73">
        <w:rPr>
          <w:rFonts w:ascii="Book Antiqua" w:hAnsi="Book Antiqua" w:cs="Times New Roman"/>
          <w:b/>
          <w:bCs/>
          <w:color w:val="000000" w:themeColor="text1"/>
          <w:lang w:val="en-US" w:eastAsia="zh-CN"/>
        </w:rPr>
        <w:t>Rana</w:t>
      </w:r>
      <w:proofErr w:type="spellEnd"/>
      <w:r w:rsidRPr="00907F73">
        <w:rPr>
          <w:rFonts w:ascii="Book Antiqua" w:hAnsi="Book Antiqua" w:cs="Times New Roman"/>
          <w:b/>
          <w:bCs/>
          <w:color w:val="000000" w:themeColor="text1"/>
          <w:lang w:val="en-US" w:eastAsia="zh-CN"/>
        </w:rPr>
        <w:t xml:space="preserve"> A</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Jie</w:t>
      </w:r>
      <w:proofErr w:type="spellEnd"/>
      <w:r w:rsidRPr="00907F73">
        <w:rPr>
          <w:rFonts w:ascii="Book Antiqua" w:hAnsi="Book Antiqua" w:cs="Times New Roman"/>
          <w:color w:val="000000" w:themeColor="text1"/>
          <w:lang w:val="en-US" w:eastAsia="zh-CN"/>
        </w:rPr>
        <w:t xml:space="preserve"> T, </w:t>
      </w:r>
      <w:proofErr w:type="spellStart"/>
      <w:r w:rsidRPr="00907F73">
        <w:rPr>
          <w:rFonts w:ascii="Book Antiqua" w:hAnsi="Book Antiqua" w:cs="Times New Roman"/>
          <w:color w:val="000000" w:themeColor="text1"/>
          <w:lang w:val="en-US" w:eastAsia="zh-CN"/>
        </w:rPr>
        <w:t>Porubsky</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Habib</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Rilo</w:t>
      </w:r>
      <w:proofErr w:type="spellEnd"/>
      <w:r w:rsidRPr="00907F73">
        <w:rPr>
          <w:rFonts w:ascii="Book Antiqua" w:hAnsi="Book Antiqua" w:cs="Times New Roman"/>
          <w:color w:val="000000" w:themeColor="text1"/>
          <w:lang w:val="en-US" w:eastAsia="zh-CN"/>
        </w:rPr>
        <w:t xml:space="preserve"> H, Kaplan B, </w:t>
      </w:r>
      <w:proofErr w:type="spellStart"/>
      <w:r w:rsidRPr="00907F73">
        <w:rPr>
          <w:rFonts w:ascii="Book Antiqua" w:hAnsi="Book Antiqua" w:cs="Times New Roman"/>
          <w:color w:val="000000" w:themeColor="text1"/>
          <w:lang w:val="en-US" w:eastAsia="zh-CN"/>
        </w:rPr>
        <w:t>Gruessner</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Gruessner</w:t>
      </w:r>
      <w:proofErr w:type="spellEnd"/>
      <w:r w:rsidRPr="00907F73">
        <w:rPr>
          <w:rFonts w:ascii="Book Antiqua" w:hAnsi="Book Antiqua" w:cs="Times New Roman"/>
          <w:color w:val="000000" w:themeColor="text1"/>
          <w:lang w:val="en-US" w:eastAsia="zh-CN"/>
        </w:rPr>
        <w:t xml:space="preserve"> R. The survival outcomes following liver transplantation (SOFT) score: validation with contemporaneous data and stratification of high-risk cohorts. </w:t>
      </w:r>
      <w:r w:rsidRPr="00907F73">
        <w:rPr>
          <w:rFonts w:ascii="Book Antiqua" w:hAnsi="Book Antiqua" w:cs="Times New Roman"/>
          <w:i/>
          <w:iCs/>
          <w:color w:val="000000" w:themeColor="text1"/>
          <w:lang w:val="en-US" w:eastAsia="zh-CN"/>
        </w:rPr>
        <w:t>Clin Transplant</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27</w:t>
      </w:r>
      <w:r w:rsidRPr="00907F73">
        <w:rPr>
          <w:rFonts w:ascii="Book Antiqua" w:hAnsi="Book Antiqua" w:cs="Times New Roman"/>
          <w:color w:val="000000" w:themeColor="text1"/>
          <w:lang w:val="en-US" w:eastAsia="zh-CN"/>
        </w:rPr>
        <w:t>: 627-632 [PMID: 23808891 DOI: 10.1111/ctr.12181]</w:t>
      </w:r>
    </w:p>
    <w:p w14:paraId="532627A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29 </w:t>
      </w:r>
      <w:proofErr w:type="spellStart"/>
      <w:r w:rsidRPr="00907F73">
        <w:rPr>
          <w:rFonts w:ascii="Book Antiqua" w:hAnsi="Book Antiqua" w:cs="Times New Roman"/>
          <w:b/>
          <w:bCs/>
          <w:color w:val="000000" w:themeColor="text1"/>
          <w:lang w:val="en-US" w:eastAsia="zh-CN"/>
        </w:rPr>
        <w:t>Dutkowski</w:t>
      </w:r>
      <w:proofErr w:type="spellEnd"/>
      <w:r w:rsidRPr="00907F73">
        <w:rPr>
          <w:rFonts w:ascii="Book Antiqua" w:hAnsi="Book Antiqua" w:cs="Times New Roman"/>
          <w:b/>
          <w:bCs/>
          <w:color w:val="000000" w:themeColor="text1"/>
          <w:lang w:val="en-US" w:eastAsia="zh-CN"/>
        </w:rPr>
        <w:t xml:space="preserve"> P</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Oberkofler</w:t>
      </w:r>
      <w:proofErr w:type="spellEnd"/>
      <w:r w:rsidRPr="00907F73">
        <w:rPr>
          <w:rFonts w:ascii="Book Antiqua" w:hAnsi="Book Antiqua" w:cs="Times New Roman"/>
          <w:color w:val="000000" w:themeColor="text1"/>
          <w:lang w:val="en-US" w:eastAsia="zh-CN"/>
        </w:rPr>
        <w:t xml:space="preserve"> CE, </w:t>
      </w:r>
      <w:proofErr w:type="spellStart"/>
      <w:r w:rsidRPr="00907F73">
        <w:rPr>
          <w:rFonts w:ascii="Book Antiqua" w:hAnsi="Book Antiqua" w:cs="Times New Roman"/>
          <w:color w:val="000000" w:themeColor="text1"/>
          <w:lang w:val="en-US" w:eastAsia="zh-CN"/>
        </w:rPr>
        <w:t>Slankamenac</w:t>
      </w:r>
      <w:proofErr w:type="spellEnd"/>
      <w:r w:rsidRPr="00907F73">
        <w:rPr>
          <w:rFonts w:ascii="Book Antiqua" w:hAnsi="Book Antiqua" w:cs="Times New Roman"/>
          <w:color w:val="000000" w:themeColor="text1"/>
          <w:lang w:val="en-US" w:eastAsia="zh-CN"/>
        </w:rPr>
        <w:t xml:space="preserve"> K, </w:t>
      </w:r>
      <w:proofErr w:type="spellStart"/>
      <w:r w:rsidRPr="00907F73">
        <w:rPr>
          <w:rFonts w:ascii="Book Antiqua" w:hAnsi="Book Antiqua" w:cs="Times New Roman"/>
          <w:color w:val="000000" w:themeColor="text1"/>
          <w:lang w:val="en-US" w:eastAsia="zh-CN"/>
        </w:rPr>
        <w:t>Puhan</w:t>
      </w:r>
      <w:proofErr w:type="spellEnd"/>
      <w:r w:rsidRPr="00907F73">
        <w:rPr>
          <w:rFonts w:ascii="Book Antiqua" w:hAnsi="Book Antiqua" w:cs="Times New Roman"/>
          <w:color w:val="000000" w:themeColor="text1"/>
          <w:lang w:val="en-US" w:eastAsia="zh-CN"/>
        </w:rPr>
        <w:t xml:space="preserve"> MA, </w:t>
      </w:r>
      <w:proofErr w:type="spellStart"/>
      <w:r w:rsidRPr="00907F73">
        <w:rPr>
          <w:rFonts w:ascii="Book Antiqua" w:hAnsi="Book Antiqua" w:cs="Times New Roman"/>
          <w:color w:val="000000" w:themeColor="text1"/>
          <w:lang w:val="en-US" w:eastAsia="zh-CN"/>
        </w:rPr>
        <w:t>Schadde</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Müllhaupt</w:t>
      </w:r>
      <w:proofErr w:type="spellEnd"/>
      <w:r w:rsidRPr="00907F73">
        <w:rPr>
          <w:rFonts w:ascii="Book Antiqua" w:hAnsi="Book Antiqua" w:cs="Times New Roman"/>
          <w:color w:val="000000" w:themeColor="text1"/>
          <w:lang w:val="en-US" w:eastAsia="zh-CN"/>
        </w:rPr>
        <w:t xml:space="preserve"> B, </w:t>
      </w:r>
      <w:proofErr w:type="spellStart"/>
      <w:r w:rsidRPr="00907F73">
        <w:rPr>
          <w:rFonts w:ascii="Book Antiqua" w:hAnsi="Book Antiqua" w:cs="Times New Roman"/>
          <w:color w:val="000000" w:themeColor="text1"/>
          <w:lang w:val="en-US" w:eastAsia="zh-CN"/>
        </w:rPr>
        <w:t>Geier</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Clavien</w:t>
      </w:r>
      <w:proofErr w:type="spellEnd"/>
      <w:r w:rsidRPr="00907F73">
        <w:rPr>
          <w:rFonts w:ascii="Book Antiqua" w:hAnsi="Book Antiqua" w:cs="Times New Roman"/>
          <w:color w:val="000000" w:themeColor="text1"/>
          <w:lang w:val="en-US" w:eastAsia="zh-CN"/>
        </w:rPr>
        <w:t xml:space="preserve"> PA. Are there better guidelines for allocation in liver transplantation? A novel score targeting justice and utility in the model for end-</w:t>
      </w:r>
      <w:r w:rsidRPr="00907F73">
        <w:rPr>
          <w:rFonts w:ascii="Book Antiqua" w:hAnsi="Book Antiqua" w:cs="Times New Roman"/>
          <w:color w:val="000000" w:themeColor="text1"/>
          <w:lang w:val="en-US" w:eastAsia="zh-CN"/>
        </w:rPr>
        <w:lastRenderedPageBreak/>
        <w:t>stage liver disease era. </w:t>
      </w:r>
      <w:r w:rsidRPr="00907F73">
        <w:rPr>
          <w:rFonts w:ascii="Book Antiqua" w:hAnsi="Book Antiqua" w:cs="Times New Roman"/>
          <w:i/>
          <w:iCs/>
          <w:color w:val="000000" w:themeColor="text1"/>
          <w:lang w:val="en-US" w:eastAsia="zh-CN"/>
        </w:rPr>
        <w:t>Ann Surg</w:t>
      </w:r>
      <w:r w:rsidRPr="00907F73">
        <w:rPr>
          <w:rFonts w:ascii="Book Antiqua" w:hAnsi="Book Antiqua" w:cs="Times New Roman"/>
          <w:color w:val="000000" w:themeColor="text1"/>
          <w:lang w:val="en-US" w:eastAsia="zh-CN"/>
        </w:rPr>
        <w:t> 2011; </w:t>
      </w:r>
      <w:r w:rsidRPr="00907F73">
        <w:rPr>
          <w:rFonts w:ascii="Book Antiqua" w:hAnsi="Book Antiqua" w:cs="Times New Roman"/>
          <w:b/>
          <w:bCs/>
          <w:color w:val="000000" w:themeColor="text1"/>
          <w:lang w:val="en-US" w:eastAsia="zh-CN"/>
        </w:rPr>
        <w:t>254</w:t>
      </w:r>
      <w:r w:rsidRPr="00907F73">
        <w:rPr>
          <w:rFonts w:ascii="Book Antiqua" w:hAnsi="Book Antiqua" w:cs="Times New Roman"/>
          <w:color w:val="000000" w:themeColor="text1"/>
          <w:lang w:val="en-US" w:eastAsia="zh-CN"/>
        </w:rPr>
        <w:t>: 745-53; discussion 753 [PMID: 22042468 DOI: 10.1097/SLA.0b013e3182365081]</w:t>
      </w:r>
    </w:p>
    <w:p w14:paraId="79CCD237"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30 </w:t>
      </w:r>
      <w:r w:rsidRPr="00907F73">
        <w:rPr>
          <w:rFonts w:ascii="Book Antiqua" w:hAnsi="Book Antiqua" w:cs="Times New Roman"/>
          <w:b/>
          <w:bCs/>
          <w:color w:val="000000" w:themeColor="text1"/>
          <w:lang w:val="en-US" w:eastAsia="zh-CN"/>
        </w:rPr>
        <w:t>de Campos Junior ID</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Stucchi</w:t>
      </w:r>
      <w:proofErr w:type="spellEnd"/>
      <w:r w:rsidRPr="00907F73">
        <w:rPr>
          <w:rFonts w:ascii="Book Antiqua" w:hAnsi="Book Antiqua" w:cs="Times New Roman"/>
          <w:color w:val="000000" w:themeColor="text1"/>
          <w:lang w:val="en-US" w:eastAsia="zh-CN"/>
        </w:rPr>
        <w:t xml:space="preserve"> RS, </w:t>
      </w:r>
      <w:proofErr w:type="spellStart"/>
      <w:r w:rsidRPr="00907F73">
        <w:rPr>
          <w:rFonts w:ascii="Book Antiqua" w:hAnsi="Book Antiqua" w:cs="Times New Roman"/>
          <w:color w:val="000000" w:themeColor="text1"/>
          <w:lang w:val="en-US" w:eastAsia="zh-CN"/>
        </w:rPr>
        <w:t>Udo</w:t>
      </w:r>
      <w:proofErr w:type="spellEnd"/>
      <w:r w:rsidRPr="00907F73">
        <w:rPr>
          <w:rFonts w:ascii="Book Antiqua" w:hAnsi="Book Antiqua" w:cs="Times New Roman"/>
          <w:color w:val="000000" w:themeColor="text1"/>
          <w:lang w:val="en-US" w:eastAsia="zh-CN"/>
        </w:rPr>
        <w:t xml:space="preserve"> EY, </w:t>
      </w:r>
      <w:proofErr w:type="spellStart"/>
      <w:r w:rsidRPr="00907F73">
        <w:rPr>
          <w:rFonts w:ascii="Book Antiqua" w:hAnsi="Book Antiqua" w:cs="Times New Roman"/>
          <w:color w:val="000000" w:themeColor="text1"/>
          <w:lang w:val="en-US" w:eastAsia="zh-CN"/>
        </w:rPr>
        <w:t>Boin</w:t>
      </w:r>
      <w:proofErr w:type="spellEnd"/>
      <w:r w:rsidRPr="00907F73">
        <w:rPr>
          <w:rFonts w:ascii="Book Antiqua" w:hAnsi="Book Antiqua" w:cs="Times New Roman"/>
          <w:color w:val="000000" w:themeColor="text1"/>
          <w:lang w:val="en-US" w:eastAsia="zh-CN"/>
        </w:rPr>
        <w:t xml:space="preserve"> Ide F. Application of the BAR score as a predictor of short- and long-term survival in liver transplantation patients.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i/>
          <w:iCs/>
          <w:color w:val="000000" w:themeColor="text1"/>
          <w:lang w:val="en-US" w:eastAsia="zh-CN"/>
        </w:rPr>
        <w:t xml:space="preserve"> </w:t>
      </w:r>
      <w:proofErr w:type="spellStart"/>
      <w:r w:rsidRPr="00907F73">
        <w:rPr>
          <w:rFonts w:ascii="Book Antiqua" w:hAnsi="Book Antiqua" w:cs="Times New Roman"/>
          <w:i/>
          <w:iCs/>
          <w:color w:val="000000" w:themeColor="text1"/>
          <w:lang w:val="en-US" w:eastAsia="zh-CN"/>
        </w:rPr>
        <w:t>Int</w:t>
      </w:r>
      <w:proofErr w:type="spellEnd"/>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9</w:t>
      </w:r>
      <w:r w:rsidRPr="00907F73">
        <w:rPr>
          <w:rFonts w:ascii="Book Antiqua" w:hAnsi="Book Antiqua" w:cs="Times New Roman"/>
          <w:color w:val="000000" w:themeColor="text1"/>
          <w:lang w:val="en-US" w:eastAsia="zh-CN"/>
        </w:rPr>
        <w:t>: 113-119 [PMID: 25788385 DOI: 10.1007/s12072-014-9563-3]</w:t>
      </w:r>
    </w:p>
    <w:p w14:paraId="41A974ED"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31 </w:t>
      </w:r>
      <w:proofErr w:type="spellStart"/>
      <w:r w:rsidRPr="00907F73">
        <w:rPr>
          <w:rFonts w:ascii="Book Antiqua" w:hAnsi="Book Antiqua" w:cs="Times New Roman"/>
          <w:b/>
          <w:bCs/>
          <w:color w:val="000000" w:themeColor="text1"/>
          <w:lang w:val="en-US" w:eastAsia="zh-CN"/>
        </w:rPr>
        <w:t>Schrem</w:t>
      </w:r>
      <w:proofErr w:type="spellEnd"/>
      <w:r w:rsidRPr="00907F73">
        <w:rPr>
          <w:rFonts w:ascii="Book Antiqua" w:hAnsi="Book Antiqua" w:cs="Times New Roman"/>
          <w:b/>
          <w:bCs/>
          <w:color w:val="000000" w:themeColor="text1"/>
          <w:lang w:val="en-US" w:eastAsia="zh-CN"/>
        </w:rPr>
        <w:t xml:space="preserve"> H</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Platsakis</w:t>
      </w:r>
      <w:proofErr w:type="spellEnd"/>
      <w:r w:rsidRPr="00907F73">
        <w:rPr>
          <w:rFonts w:ascii="Book Antiqua" w:hAnsi="Book Antiqua" w:cs="Times New Roman"/>
          <w:color w:val="000000" w:themeColor="text1"/>
          <w:lang w:val="en-US" w:eastAsia="zh-CN"/>
        </w:rPr>
        <w:t xml:space="preserve"> AL, </w:t>
      </w:r>
      <w:proofErr w:type="spellStart"/>
      <w:r w:rsidRPr="00907F73">
        <w:rPr>
          <w:rFonts w:ascii="Book Antiqua" w:hAnsi="Book Antiqua" w:cs="Times New Roman"/>
          <w:color w:val="000000" w:themeColor="text1"/>
          <w:lang w:val="en-US" w:eastAsia="zh-CN"/>
        </w:rPr>
        <w:t>Kaltenborn</w:t>
      </w:r>
      <w:proofErr w:type="spellEnd"/>
      <w:r w:rsidRPr="00907F73">
        <w:rPr>
          <w:rFonts w:ascii="Book Antiqua" w:hAnsi="Book Antiqua" w:cs="Times New Roman"/>
          <w:color w:val="000000" w:themeColor="text1"/>
          <w:lang w:val="en-US" w:eastAsia="zh-CN"/>
        </w:rPr>
        <w:t xml:space="preserve"> A, Koch A, Metz C, </w:t>
      </w:r>
      <w:proofErr w:type="spellStart"/>
      <w:r w:rsidRPr="00907F73">
        <w:rPr>
          <w:rFonts w:ascii="Book Antiqua" w:hAnsi="Book Antiqua" w:cs="Times New Roman"/>
          <w:color w:val="000000" w:themeColor="text1"/>
          <w:lang w:val="en-US" w:eastAsia="zh-CN"/>
        </w:rPr>
        <w:t>Barthold</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Krauth</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Amelung</w:t>
      </w:r>
      <w:proofErr w:type="spellEnd"/>
      <w:r w:rsidRPr="00907F73">
        <w:rPr>
          <w:rFonts w:ascii="Book Antiqua" w:hAnsi="Book Antiqua" w:cs="Times New Roman"/>
          <w:color w:val="000000" w:themeColor="text1"/>
          <w:lang w:val="en-US" w:eastAsia="zh-CN"/>
        </w:rPr>
        <w:t xml:space="preserve"> V, Braun F, Becker T, </w:t>
      </w:r>
      <w:proofErr w:type="spellStart"/>
      <w:r w:rsidRPr="00907F73">
        <w:rPr>
          <w:rFonts w:ascii="Book Antiqua" w:hAnsi="Book Antiqua" w:cs="Times New Roman"/>
          <w:color w:val="000000" w:themeColor="text1"/>
          <w:lang w:val="en-US" w:eastAsia="zh-CN"/>
        </w:rPr>
        <w:t>Klempnauer</w:t>
      </w:r>
      <w:proofErr w:type="spellEnd"/>
      <w:r w:rsidRPr="00907F73">
        <w:rPr>
          <w:rFonts w:ascii="Book Antiqua" w:hAnsi="Book Antiqua" w:cs="Times New Roman"/>
          <w:color w:val="000000" w:themeColor="text1"/>
          <w:lang w:val="en-US" w:eastAsia="zh-CN"/>
        </w:rPr>
        <w:t xml:space="preserve"> J, Reichert B. Value and limitations of the BAR-score for donor allocation in liver transplantation. </w:t>
      </w:r>
      <w:proofErr w:type="spellStart"/>
      <w:r w:rsidRPr="00907F73">
        <w:rPr>
          <w:rFonts w:ascii="Book Antiqua" w:hAnsi="Book Antiqua" w:cs="Times New Roman"/>
          <w:i/>
          <w:iCs/>
          <w:color w:val="000000" w:themeColor="text1"/>
          <w:lang w:val="en-US" w:eastAsia="zh-CN"/>
        </w:rPr>
        <w:t>Langenbecks</w:t>
      </w:r>
      <w:proofErr w:type="spellEnd"/>
      <w:r w:rsidRPr="00907F73">
        <w:rPr>
          <w:rFonts w:ascii="Book Antiqua" w:hAnsi="Book Antiqua" w:cs="Times New Roman"/>
          <w:i/>
          <w:iCs/>
          <w:color w:val="000000" w:themeColor="text1"/>
          <w:lang w:val="en-US" w:eastAsia="zh-CN"/>
        </w:rPr>
        <w:t xml:space="preserve"> Arch </w:t>
      </w:r>
      <w:proofErr w:type="spellStart"/>
      <w:r w:rsidRPr="00907F73">
        <w:rPr>
          <w:rFonts w:ascii="Book Antiqua" w:hAnsi="Book Antiqua" w:cs="Times New Roman"/>
          <w:i/>
          <w:iCs/>
          <w:color w:val="000000" w:themeColor="text1"/>
          <w:lang w:val="en-US" w:eastAsia="zh-CN"/>
        </w:rPr>
        <w:t>Surg</w:t>
      </w:r>
      <w:proofErr w:type="spellEnd"/>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399</w:t>
      </w:r>
      <w:r w:rsidRPr="00907F73">
        <w:rPr>
          <w:rFonts w:ascii="Book Antiqua" w:hAnsi="Book Antiqua" w:cs="Times New Roman"/>
          <w:color w:val="000000" w:themeColor="text1"/>
          <w:lang w:val="en-US" w:eastAsia="zh-CN"/>
        </w:rPr>
        <w:t>: 1011-1019 [PMID: 25218679 DOI: 10.1007/s00423-014-1247-x]</w:t>
      </w:r>
    </w:p>
    <w:p w14:paraId="1CF78623"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32 </w:t>
      </w:r>
      <w:proofErr w:type="spellStart"/>
      <w:r w:rsidRPr="00907F73">
        <w:rPr>
          <w:rFonts w:ascii="Book Antiqua" w:hAnsi="Book Antiqua" w:cs="Times New Roman"/>
          <w:b/>
          <w:bCs/>
          <w:color w:val="000000" w:themeColor="text1"/>
          <w:lang w:val="en-US" w:eastAsia="zh-CN"/>
        </w:rPr>
        <w:t>Åberg</w:t>
      </w:r>
      <w:proofErr w:type="spellEnd"/>
      <w:r w:rsidRPr="00907F73">
        <w:rPr>
          <w:rFonts w:ascii="Book Antiqua" w:hAnsi="Book Antiqua" w:cs="Times New Roman"/>
          <w:b/>
          <w:bCs/>
          <w:color w:val="000000" w:themeColor="text1"/>
          <w:lang w:val="en-US" w:eastAsia="zh-CN"/>
        </w:rPr>
        <w:t xml:space="preserve"> F</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Nordin</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Mäkisalo</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Isoniemi</w:t>
      </w:r>
      <w:proofErr w:type="spellEnd"/>
      <w:r w:rsidRPr="00907F73">
        <w:rPr>
          <w:rFonts w:ascii="Book Antiqua" w:hAnsi="Book Antiqua" w:cs="Times New Roman"/>
          <w:color w:val="000000" w:themeColor="text1"/>
          <w:lang w:val="en-US" w:eastAsia="zh-CN"/>
        </w:rPr>
        <w:t xml:space="preserve"> H. Who is too healthy and who is too sick for liver transplantation: external validation of prognostic scores and survival-benefit estimation. </w:t>
      </w:r>
      <w:proofErr w:type="spellStart"/>
      <w:r w:rsidRPr="00907F73">
        <w:rPr>
          <w:rFonts w:ascii="Book Antiqua" w:hAnsi="Book Antiqua" w:cs="Times New Roman"/>
          <w:i/>
          <w:iCs/>
          <w:color w:val="000000" w:themeColor="text1"/>
          <w:lang w:val="en-US" w:eastAsia="zh-CN"/>
        </w:rPr>
        <w:t>Scand</w:t>
      </w:r>
      <w:proofErr w:type="spellEnd"/>
      <w:r w:rsidRPr="00907F73">
        <w:rPr>
          <w:rFonts w:ascii="Book Antiqua" w:hAnsi="Book Antiqua" w:cs="Times New Roman"/>
          <w:i/>
          <w:iCs/>
          <w:color w:val="000000" w:themeColor="text1"/>
          <w:lang w:val="en-US" w:eastAsia="zh-CN"/>
        </w:rPr>
        <w:t xml:space="preserve"> J </w:t>
      </w:r>
      <w:proofErr w:type="spellStart"/>
      <w:r w:rsidRPr="00907F73">
        <w:rPr>
          <w:rFonts w:ascii="Book Antiqua" w:hAnsi="Book Antiqua" w:cs="Times New Roman"/>
          <w:i/>
          <w:iCs/>
          <w:color w:val="000000" w:themeColor="text1"/>
          <w:lang w:val="en-US" w:eastAsia="zh-CN"/>
        </w:rPr>
        <w:t>Gastroenterol</w:t>
      </w:r>
      <w:proofErr w:type="spellEnd"/>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50</w:t>
      </w:r>
      <w:r w:rsidRPr="00907F73">
        <w:rPr>
          <w:rFonts w:ascii="Book Antiqua" w:hAnsi="Book Antiqua" w:cs="Times New Roman"/>
          <w:color w:val="000000" w:themeColor="text1"/>
          <w:lang w:val="en-US" w:eastAsia="zh-CN"/>
        </w:rPr>
        <w:t>: 1144-1151 [PMID: 25865580 DOI: 10.3109/00365521.2015.1028992]</w:t>
      </w:r>
    </w:p>
    <w:p w14:paraId="5EE19E9E"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33 </w:t>
      </w:r>
      <w:r w:rsidRPr="00907F73">
        <w:rPr>
          <w:rFonts w:ascii="Book Antiqua" w:hAnsi="Book Antiqua" w:cs="Times New Roman"/>
          <w:b/>
          <w:bCs/>
          <w:color w:val="000000" w:themeColor="text1"/>
          <w:lang w:val="en-US" w:eastAsia="zh-CN"/>
        </w:rPr>
        <w:t>Roberts MS</w:t>
      </w:r>
      <w:r w:rsidRPr="00907F73">
        <w:rPr>
          <w:rFonts w:ascii="Book Antiqua" w:hAnsi="Book Antiqua" w:cs="Times New Roman"/>
          <w:color w:val="000000" w:themeColor="text1"/>
          <w:lang w:val="en-US" w:eastAsia="zh-CN"/>
        </w:rPr>
        <w:t xml:space="preserve">, Angus DC, Bryce CL, </w:t>
      </w:r>
      <w:proofErr w:type="spellStart"/>
      <w:r w:rsidRPr="00907F73">
        <w:rPr>
          <w:rFonts w:ascii="Book Antiqua" w:hAnsi="Book Antiqua" w:cs="Times New Roman"/>
          <w:color w:val="000000" w:themeColor="text1"/>
          <w:lang w:val="en-US" w:eastAsia="zh-CN"/>
        </w:rPr>
        <w:t>Valenta</w:t>
      </w:r>
      <w:proofErr w:type="spellEnd"/>
      <w:r w:rsidRPr="00907F73">
        <w:rPr>
          <w:rFonts w:ascii="Book Antiqua" w:hAnsi="Book Antiqua" w:cs="Times New Roman"/>
          <w:color w:val="000000" w:themeColor="text1"/>
          <w:lang w:val="en-US" w:eastAsia="zh-CN"/>
        </w:rPr>
        <w:t xml:space="preserve"> Z, </w:t>
      </w:r>
      <w:proofErr w:type="spellStart"/>
      <w:r w:rsidRPr="00907F73">
        <w:rPr>
          <w:rFonts w:ascii="Book Antiqua" w:hAnsi="Book Antiqua" w:cs="Times New Roman"/>
          <w:color w:val="000000" w:themeColor="text1"/>
          <w:lang w:val="en-US" w:eastAsia="zh-CN"/>
        </w:rPr>
        <w:t>Weissfeld</w:t>
      </w:r>
      <w:proofErr w:type="spellEnd"/>
      <w:r w:rsidRPr="00907F73">
        <w:rPr>
          <w:rFonts w:ascii="Book Antiqua" w:hAnsi="Book Antiqua" w:cs="Times New Roman"/>
          <w:color w:val="000000" w:themeColor="text1"/>
          <w:lang w:val="en-US" w:eastAsia="zh-CN"/>
        </w:rPr>
        <w:t xml:space="preserve"> L. Survival after liver transplantation in the United States: a disease-specific analysis of the UNOS database.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2004; </w:t>
      </w:r>
      <w:r w:rsidRPr="00907F73">
        <w:rPr>
          <w:rFonts w:ascii="Book Antiqua" w:hAnsi="Book Antiqua" w:cs="Times New Roman"/>
          <w:b/>
          <w:bCs/>
          <w:color w:val="000000" w:themeColor="text1"/>
          <w:lang w:val="en-US" w:eastAsia="zh-CN"/>
        </w:rPr>
        <w:t>10</w:t>
      </w:r>
      <w:r w:rsidRPr="00907F73">
        <w:rPr>
          <w:rFonts w:ascii="Book Antiqua" w:hAnsi="Book Antiqua" w:cs="Times New Roman"/>
          <w:color w:val="000000" w:themeColor="text1"/>
          <w:lang w:val="en-US" w:eastAsia="zh-CN"/>
        </w:rPr>
        <w:t>: 886-897 [PMID: 15237373 DOI: 10.1002/lt.20137]</w:t>
      </w:r>
    </w:p>
    <w:p w14:paraId="108EEC31"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34 </w:t>
      </w:r>
      <w:r w:rsidRPr="00907F73">
        <w:rPr>
          <w:rFonts w:ascii="Book Antiqua" w:hAnsi="Book Antiqua" w:cs="Times New Roman"/>
          <w:b/>
          <w:bCs/>
          <w:color w:val="000000" w:themeColor="text1"/>
          <w:lang w:val="en-US" w:eastAsia="zh-CN"/>
        </w:rPr>
        <w:t>Jacob M</w:t>
      </w:r>
      <w:r w:rsidRPr="00907F73">
        <w:rPr>
          <w:rFonts w:ascii="Book Antiqua" w:hAnsi="Book Antiqua" w:cs="Times New Roman"/>
          <w:color w:val="000000" w:themeColor="text1"/>
          <w:lang w:val="en-US" w:eastAsia="zh-CN"/>
        </w:rPr>
        <w:t xml:space="preserve">, Copley LP, </w:t>
      </w:r>
      <w:proofErr w:type="spellStart"/>
      <w:r w:rsidRPr="00907F73">
        <w:rPr>
          <w:rFonts w:ascii="Book Antiqua" w:hAnsi="Book Antiqua" w:cs="Times New Roman"/>
          <w:color w:val="000000" w:themeColor="text1"/>
          <w:lang w:val="en-US" w:eastAsia="zh-CN"/>
        </w:rPr>
        <w:t>Lewsey</w:t>
      </w:r>
      <w:proofErr w:type="spellEnd"/>
      <w:r w:rsidRPr="00907F73">
        <w:rPr>
          <w:rFonts w:ascii="Book Antiqua" w:hAnsi="Book Antiqua" w:cs="Times New Roman"/>
          <w:color w:val="000000" w:themeColor="text1"/>
          <w:lang w:val="en-US" w:eastAsia="zh-CN"/>
        </w:rPr>
        <w:t xml:space="preserve"> JD, </w:t>
      </w:r>
      <w:proofErr w:type="spellStart"/>
      <w:r w:rsidRPr="00907F73">
        <w:rPr>
          <w:rFonts w:ascii="Book Antiqua" w:hAnsi="Book Antiqua" w:cs="Times New Roman"/>
          <w:color w:val="000000" w:themeColor="text1"/>
          <w:lang w:val="en-US" w:eastAsia="zh-CN"/>
        </w:rPr>
        <w:t>Gimson</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Rela</w:t>
      </w:r>
      <w:proofErr w:type="spellEnd"/>
      <w:r w:rsidRPr="00907F73">
        <w:rPr>
          <w:rFonts w:ascii="Book Antiqua" w:hAnsi="Book Antiqua" w:cs="Times New Roman"/>
          <w:color w:val="000000" w:themeColor="text1"/>
          <w:lang w:val="en-US" w:eastAsia="zh-CN"/>
        </w:rPr>
        <w:t xml:space="preserve"> M, van der </w:t>
      </w:r>
      <w:proofErr w:type="spellStart"/>
      <w:r w:rsidRPr="00907F73">
        <w:rPr>
          <w:rFonts w:ascii="Book Antiqua" w:hAnsi="Book Antiqua" w:cs="Times New Roman"/>
          <w:color w:val="000000" w:themeColor="text1"/>
          <w:lang w:val="en-US" w:eastAsia="zh-CN"/>
        </w:rPr>
        <w:t>Meulen</w:t>
      </w:r>
      <w:proofErr w:type="spellEnd"/>
      <w:r w:rsidRPr="00907F73">
        <w:rPr>
          <w:rFonts w:ascii="Book Antiqua" w:hAnsi="Book Antiqua" w:cs="Times New Roman"/>
          <w:color w:val="000000" w:themeColor="text1"/>
          <w:lang w:val="en-US" w:eastAsia="zh-CN"/>
        </w:rPr>
        <w:t xml:space="preserve"> JH; UK and Ireland Liver Transplant Audit. Functional status of patients before liver transplantation as a predictor of posttransplant mortality. </w:t>
      </w:r>
      <w:r w:rsidRPr="00907F73">
        <w:rPr>
          <w:rFonts w:ascii="Book Antiqua" w:hAnsi="Book Antiqua" w:cs="Times New Roman"/>
          <w:i/>
          <w:iCs/>
          <w:color w:val="000000" w:themeColor="text1"/>
          <w:lang w:val="en-US" w:eastAsia="zh-CN"/>
        </w:rPr>
        <w:t>Transplantation</w:t>
      </w:r>
      <w:r w:rsidRPr="00907F73">
        <w:rPr>
          <w:rFonts w:ascii="Book Antiqua" w:hAnsi="Book Antiqua" w:cs="Times New Roman"/>
          <w:color w:val="000000" w:themeColor="text1"/>
          <w:lang w:val="en-US" w:eastAsia="zh-CN"/>
        </w:rPr>
        <w:t> 2005; </w:t>
      </w:r>
      <w:r w:rsidRPr="00907F73">
        <w:rPr>
          <w:rFonts w:ascii="Book Antiqua" w:hAnsi="Book Antiqua" w:cs="Times New Roman"/>
          <w:b/>
          <w:bCs/>
          <w:color w:val="000000" w:themeColor="text1"/>
          <w:lang w:val="en-US" w:eastAsia="zh-CN"/>
        </w:rPr>
        <w:t>80</w:t>
      </w:r>
      <w:r w:rsidRPr="00907F73">
        <w:rPr>
          <w:rFonts w:ascii="Book Antiqua" w:hAnsi="Book Antiqua" w:cs="Times New Roman"/>
          <w:color w:val="000000" w:themeColor="text1"/>
          <w:lang w:val="en-US" w:eastAsia="zh-CN"/>
        </w:rPr>
        <w:t>: 52-57 [PMID: 16003233]</w:t>
      </w:r>
    </w:p>
    <w:p w14:paraId="5607D0A4"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35 </w:t>
      </w:r>
      <w:r w:rsidRPr="00907F73">
        <w:rPr>
          <w:rFonts w:ascii="Book Antiqua" w:hAnsi="Book Antiqua" w:cs="Times New Roman"/>
          <w:b/>
          <w:bCs/>
          <w:color w:val="000000" w:themeColor="text1"/>
          <w:lang w:val="en-US" w:eastAsia="zh-CN"/>
        </w:rPr>
        <w:t>Sarin SK</w:t>
      </w:r>
      <w:r w:rsidRPr="00907F73">
        <w:rPr>
          <w:rFonts w:ascii="Book Antiqua" w:hAnsi="Book Antiqua" w:cs="Times New Roman"/>
          <w:color w:val="000000" w:themeColor="text1"/>
          <w:lang w:val="en-US" w:eastAsia="zh-CN"/>
        </w:rPr>
        <w:t xml:space="preserve">, Kumar A, Almeida JA, Chawla YK, Fan ST, Garg H, de Silva HJ, Hamid SS, </w:t>
      </w:r>
      <w:proofErr w:type="spellStart"/>
      <w:r w:rsidRPr="00907F73">
        <w:rPr>
          <w:rFonts w:ascii="Book Antiqua" w:hAnsi="Book Antiqua" w:cs="Times New Roman"/>
          <w:color w:val="000000" w:themeColor="text1"/>
          <w:lang w:val="en-US" w:eastAsia="zh-CN"/>
        </w:rPr>
        <w:t>Jalan</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Komolmit</w:t>
      </w:r>
      <w:proofErr w:type="spellEnd"/>
      <w:r w:rsidRPr="00907F73">
        <w:rPr>
          <w:rFonts w:ascii="Book Antiqua" w:hAnsi="Book Antiqua" w:cs="Times New Roman"/>
          <w:color w:val="000000" w:themeColor="text1"/>
          <w:lang w:val="en-US" w:eastAsia="zh-CN"/>
        </w:rPr>
        <w:t xml:space="preserve"> P, Lau GK, Liu Q, Madan K, Mohamed R, Ning Q, Rahman S, Rastogi A, Riordan SM, </w:t>
      </w:r>
      <w:proofErr w:type="spellStart"/>
      <w:r w:rsidRPr="00907F73">
        <w:rPr>
          <w:rFonts w:ascii="Book Antiqua" w:hAnsi="Book Antiqua" w:cs="Times New Roman"/>
          <w:color w:val="000000" w:themeColor="text1"/>
          <w:lang w:val="en-US" w:eastAsia="zh-CN"/>
        </w:rPr>
        <w:t>Sakhuja</w:t>
      </w:r>
      <w:proofErr w:type="spellEnd"/>
      <w:r w:rsidRPr="00907F73">
        <w:rPr>
          <w:rFonts w:ascii="Book Antiqua" w:hAnsi="Book Antiqua" w:cs="Times New Roman"/>
          <w:color w:val="000000" w:themeColor="text1"/>
          <w:lang w:val="en-US" w:eastAsia="zh-CN"/>
        </w:rPr>
        <w:t xml:space="preserve"> P, Samuel D, Shah S, Sharma BC, Sharma P, </w:t>
      </w:r>
      <w:proofErr w:type="spellStart"/>
      <w:r w:rsidRPr="00907F73">
        <w:rPr>
          <w:rFonts w:ascii="Book Antiqua" w:hAnsi="Book Antiqua" w:cs="Times New Roman"/>
          <w:color w:val="000000" w:themeColor="text1"/>
          <w:lang w:val="en-US" w:eastAsia="zh-CN"/>
        </w:rPr>
        <w:t>Takikawa</w:t>
      </w:r>
      <w:proofErr w:type="spellEnd"/>
      <w:r w:rsidRPr="00907F73">
        <w:rPr>
          <w:rFonts w:ascii="Book Antiqua" w:hAnsi="Book Antiqua" w:cs="Times New Roman"/>
          <w:color w:val="000000" w:themeColor="text1"/>
          <w:lang w:val="en-US" w:eastAsia="zh-CN"/>
        </w:rPr>
        <w:t xml:space="preserve"> Y, </w:t>
      </w:r>
      <w:proofErr w:type="spellStart"/>
      <w:r w:rsidRPr="00907F73">
        <w:rPr>
          <w:rFonts w:ascii="Book Antiqua" w:hAnsi="Book Antiqua" w:cs="Times New Roman"/>
          <w:color w:val="000000" w:themeColor="text1"/>
          <w:lang w:val="en-US" w:eastAsia="zh-CN"/>
        </w:rPr>
        <w:t>Thapa</w:t>
      </w:r>
      <w:proofErr w:type="spellEnd"/>
      <w:r w:rsidRPr="00907F73">
        <w:rPr>
          <w:rFonts w:ascii="Book Antiqua" w:hAnsi="Book Antiqua" w:cs="Times New Roman"/>
          <w:color w:val="000000" w:themeColor="text1"/>
          <w:lang w:val="en-US" w:eastAsia="zh-CN"/>
        </w:rPr>
        <w:t xml:space="preserve"> BR, Wai CT, Yuen MF. Acute-on-chronic liver failure: consensus recommendations of the Asian Pacific Association for the study of the liver (APASL).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i/>
          <w:iCs/>
          <w:color w:val="000000" w:themeColor="text1"/>
          <w:lang w:val="en-US" w:eastAsia="zh-CN"/>
        </w:rPr>
        <w:t xml:space="preserve"> </w:t>
      </w:r>
      <w:proofErr w:type="spellStart"/>
      <w:r w:rsidRPr="00907F73">
        <w:rPr>
          <w:rFonts w:ascii="Book Antiqua" w:hAnsi="Book Antiqua" w:cs="Times New Roman"/>
          <w:i/>
          <w:iCs/>
          <w:color w:val="000000" w:themeColor="text1"/>
          <w:lang w:val="en-US" w:eastAsia="zh-CN"/>
        </w:rPr>
        <w:t>Int</w:t>
      </w:r>
      <w:proofErr w:type="spellEnd"/>
      <w:r w:rsidRPr="00907F73">
        <w:rPr>
          <w:rFonts w:ascii="Book Antiqua" w:hAnsi="Book Antiqua" w:cs="Times New Roman"/>
          <w:color w:val="000000" w:themeColor="text1"/>
          <w:lang w:val="en-US" w:eastAsia="zh-CN"/>
        </w:rPr>
        <w:t> 2009; </w:t>
      </w:r>
      <w:r w:rsidRPr="00907F73">
        <w:rPr>
          <w:rFonts w:ascii="Book Antiqua" w:hAnsi="Book Antiqua" w:cs="Times New Roman"/>
          <w:b/>
          <w:bCs/>
          <w:color w:val="000000" w:themeColor="text1"/>
          <w:lang w:val="en-US" w:eastAsia="zh-CN"/>
        </w:rPr>
        <w:t>3</w:t>
      </w:r>
      <w:r w:rsidRPr="00907F73">
        <w:rPr>
          <w:rFonts w:ascii="Book Antiqua" w:hAnsi="Book Antiqua" w:cs="Times New Roman"/>
          <w:color w:val="000000" w:themeColor="text1"/>
          <w:lang w:val="en-US" w:eastAsia="zh-CN"/>
        </w:rPr>
        <w:t>: 269-282 [PMID: 19669378 DOI: 10.1007/s12072-008-9106-x]</w:t>
      </w:r>
    </w:p>
    <w:p w14:paraId="04DC104E"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36 </w:t>
      </w:r>
      <w:r w:rsidRPr="00907F73">
        <w:rPr>
          <w:rFonts w:ascii="Book Antiqua" w:hAnsi="Book Antiqua" w:cs="Times New Roman"/>
          <w:b/>
          <w:bCs/>
          <w:color w:val="000000" w:themeColor="text1"/>
          <w:lang w:val="en-US" w:eastAsia="zh-CN"/>
        </w:rPr>
        <w:t>Moreau R</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Jalan</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Gines</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Pavesi</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Angeli</w:t>
      </w:r>
      <w:proofErr w:type="spellEnd"/>
      <w:r w:rsidRPr="00907F73">
        <w:rPr>
          <w:rFonts w:ascii="Book Antiqua" w:hAnsi="Book Antiqua" w:cs="Times New Roman"/>
          <w:color w:val="000000" w:themeColor="text1"/>
          <w:lang w:val="en-US" w:eastAsia="zh-CN"/>
        </w:rPr>
        <w:t xml:space="preserve"> P, Cordoba J, Durand F, </w:t>
      </w:r>
      <w:proofErr w:type="spellStart"/>
      <w:r w:rsidRPr="00907F73">
        <w:rPr>
          <w:rFonts w:ascii="Book Antiqua" w:hAnsi="Book Antiqua" w:cs="Times New Roman"/>
          <w:color w:val="000000" w:themeColor="text1"/>
          <w:lang w:val="en-US" w:eastAsia="zh-CN"/>
        </w:rPr>
        <w:t>Gustot</w:t>
      </w:r>
      <w:proofErr w:type="spellEnd"/>
      <w:r w:rsidRPr="00907F73">
        <w:rPr>
          <w:rFonts w:ascii="Book Antiqua" w:hAnsi="Book Antiqua" w:cs="Times New Roman"/>
          <w:color w:val="000000" w:themeColor="text1"/>
          <w:lang w:val="en-US" w:eastAsia="zh-CN"/>
        </w:rPr>
        <w:t xml:space="preserve"> T, </w:t>
      </w:r>
      <w:proofErr w:type="spellStart"/>
      <w:r w:rsidRPr="00907F73">
        <w:rPr>
          <w:rFonts w:ascii="Book Antiqua" w:hAnsi="Book Antiqua" w:cs="Times New Roman"/>
          <w:color w:val="000000" w:themeColor="text1"/>
          <w:lang w:val="en-US" w:eastAsia="zh-CN"/>
        </w:rPr>
        <w:t>Saliba</w:t>
      </w:r>
      <w:proofErr w:type="spellEnd"/>
      <w:r w:rsidRPr="00907F73">
        <w:rPr>
          <w:rFonts w:ascii="Book Antiqua" w:hAnsi="Book Antiqua" w:cs="Times New Roman"/>
          <w:color w:val="000000" w:themeColor="text1"/>
          <w:lang w:val="en-US" w:eastAsia="zh-CN"/>
        </w:rPr>
        <w:t xml:space="preserve"> F, </w:t>
      </w:r>
      <w:proofErr w:type="spellStart"/>
      <w:r w:rsidRPr="00907F73">
        <w:rPr>
          <w:rFonts w:ascii="Book Antiqua" w:hAnsi="Book Antiqua" w:cs="Times New Roman"/>
          <w:color w:val="000000" w:themeColor="text1"/>
          <w:lang w:val="en-US" w:eastAsia="zh-CN"/>
        </w:rPr>
        <w:t>Domenicali</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Gerbes</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Wendon</w:t>
      </w:r>
      <w:proofErr w:type="spellEnd"/>
      <w:r w:rsidRPr="00907F73">
        <w:rPr>
          <w:rFonts w:ascii="Book Antiqua" w:hAnsi="Book Antiqua" w:cs="Times New Roman"/>
          <w:color w:val="000000" w:themeColor="text1"/>
          <w:lang w:val="en-US" w:eastAsia="zh-CN"/>
        </w:rPr>
        <w:t xml:space="preserve"> J, Alessandria C, </w:t>
      </w:r>
      <w:proofErr w:type="spellStart"/>
      <w:r w:rsidRPr="00907F73">
        <w:rPr>
          <w:rFonts w:ascii="Book Antiqua" w:hAnsi="Book Antiqua" w:cs="Times New Roman"/>
          <w:color w:val="000000" w:themeColor="text1"/>
          <w:lang w:val="en-US" w:eastAsia="zh-CN"/>
        </w:rPr>
        <w:t>Laleman</w:t>
      </w:r>
      <w:proofErr w:type="spellEnd"/>
      <w:r w:rsidRPr="00907F73">
        <w:rPr>
          <w:rFonts w:ascii="Book Antiqua" w:hAnsi="Book Antiqua" w:cs="Times New Roman"/>
          <w:color w:val="000000" w:themeColor="text1"/>
          <w:lang w:val="en-US" w:eastAsia="zh-CN"/>
        </w:rPr>
        <w:t xml:space="preserve"> W, </w:t>
      </w:r>
      <w:proofErr w:type="spellStart"/>
      <w:r w:rsidRPr="00907F73">
        <w:rPr>
          <w:rFonts w:ascii="Book Antiqua" w:hAnsi="Book Antiqua" w:cs="Times New Roman"/>
          <w:color w:val="000000" w:themeColor="text1"/>
          <w:lang w:val="en-US" w:eastAsia="zh-CN"/>
        </w:rPr>
        <w:t>Zeuzem</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Trebicka</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Bernardi</w:t>
      </w:r>
      <w:proofErr w:type="spellEnd"/>
      <w:r w:rsidRPr="00907F73">
        <w:rPr>
          <w:rFonts w:ascii="Book Antiqua" w:hAnsi="Book Antiqua" w:cs="Times New Roman"/>
          <w:color w:val="000000" w:themeColor="text1"/>
          <w:lang w:val="en-US" w:eastAsia="zh-CN"/>
        </w:rPr>
        <w:t xml:space="preserve"> M, Arroyo V; CANONIC Study Investigators of the EASL–CLIF Consortium. Acute-on-chronic liver failure is a distinct syndrome that </w:t>
      </w:r>
      <w:r w:rsidRPr="00907F73">
        <w:rPr>
          <w:rFonts w:ascii="Book Antiqua" w:hAnsi="Book Antiqua" w:cs="Times New Roman"/>
          <w:color w:val="000000" w:themeColor="text1"/>
          <w:lang w:val="en-US" w:eastAsia="zh-CN"/>
        </w:rPr>
        <w:lastRenderedPageBreak/>
        <w:t>develops in patients with acute decompensation of cirrhosis. </w:t>
      </w:r>
      <w:r w:rsidRPr="00907F73">
        <w:rPr>
          <w:rFonts w:ascii="Book Antiqua" w:hAnsi="Book Antiqua" w:cs="Times New Roman"/>
          <w:i/>
          <w:iCs/>
          <w:color w:val="000000" w:themeColor="text1"/>
          <w:lang w:val="en-US" w:eastAsia="zh-CN"/>
        </w:rPr>
        <w:t>Gastroenterology</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144</w:t>
      </w:r>
      <w:r w:rsidRPr="00907F73">
        <w:rPr>
          <w:rFonts w:ascii="Book Antiqua" w:hAnsi="Book Antiqua" w:cs="Times New Roman"/>
          <w:color w:val="000000" w:themeColor="text1"/>
          <w:lang w:val="en-US" w:eastAsia="zh-CN"/>
        </w:rPr>
        <w:t>: 1426-1437, 1437.e1-1437.e9 [PMID: 23474284 DOI: 10.1053/j.gastro.2013.02.042]</w:t>
      </w:r>
    </w:p>
    <w:p w14:paraId="096A22F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37 </w:t>
      </w:r>
      <w:proofErr w:type="spellStart"/>
      <w:r w:rsidRPr="00907F73">
        <w:rPr>
          <w:rFonts w:ascii="Book Antiqua" w:hAnsi="Book Antiqua" w:cs="Times New Roman"/>
          <w:b/>
          <w:bCs/>
          <w:color w:val="000000" w:themeColor="text1"/>
          <w:lang w:val="en-US" w:eastAsia="zh-CN"/>
        </w:rPr>
        <w:t>Jalan</w:t>
      </w:r>
      <w:proofErr w:type="spellEnd"/>
      <w:r w:rsidRPr="00907F73">
        <w:rPr>
          <w:rFonts w:ascii="Book Antiqua" w:hAnsi="Book Antiqua" w:cs="Times New Roman"/>
          <w:b/>
          <w:bCs/>
          <w:color w:val="000000" w:themeColor="text1"/>
          <w:lang w:val="en-US" w:eastAsia="zh-CN"/>
        </w:rPr>
        <w:t xml:space="preserve"> R</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Yurdaydin</w:t>
      </w:r>
      <w:proofErr w:type="spellEnd"/>
      <w:r w:rsidRPr="00907F73">
        <w:rPr>
          <w:rFonts w:ascii="Book Antiqua" w:hAnsi="Book Antiqua" w:cs="Times New Roman"/>
          <w:color w:val="000000" w:themeColor="text1"/>
          <w:lang w:val="en-US" w:eastAsia="zh-CN"/>
        </w:rPr>
        <w:t xml:space="preserve"> C, Bajaj JS, Acharya SK, Arroyo V, Lin HC, </w:t>
      </w:r>
      <w:proofErr w:type="spellStart"/>
      <w:r w:rsidRPr="00907F73">
        <w:rPr>
          <w:rFonts w:ascii="Book Antiqua" w:hAnsi="Book Antiqua" w:cs="Times New Roman"/>
          <w:color w:val="000000" w:themeColor="text1"/>
          <w:lang w:val="en-US" w:eastAsia="zh-CN"/>
        </w:rPr>
        <w:t>Gines</w:t>
      </w:r>
      <w:proofErr w:type="spellEnd"/>
      <w:r w:rsidRPr="00907F73">
        <w:rPr>
          <w:rFonts w:ascii="Book Antiqua" w:hAnsi="Book Antiqua" w:cs="Times New Roman"/>
          <w:color w:val="000000" w:themeColor="text1"/>
          <w:lang w:val="en-US" w:eastAsia="zh-CN"/>
        </w:rPr>
        <w:t xml:space="preserve"> P, Kim WR, Kamath PS; World Gastroenterology Organization Working Party. Toward an improved definition of acute-on-chronic liver failure. </w:t>
      </w:r>
      <w:r w:rsidRPr="00907F73">
        <w:rPr>
          <w:rFonts w:ascii="Book Antiqua" w:hAnsi="Book Antiqua" w:cs="Times New Roman"/>
          <w:i/>
          <w:iCs/>
          <w:color w:val="000000" w:themeColor="text1"/>
          <w:lang w:val="en-US" w:eastAsia="zh-CN"/>
        </w:rPr>
        <w:t>Gastroenterology</w:t>
      </w:r>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147</w:t>
      </w:r>
      <w:r w:rsidRPr="00907F73">
        <w:rPr>
          <w:rFonts w:ascii="Book Antiqua" w:hAnsi="Book Antiqua" w:cs="Times New Roman"/>
          <w:color w:val="000000" w:themeColor="text1"/>
          <w:lang w:val="en-US" w:eastAsia="zh-CN"/>
        </w:rPr>
        <w:t>: 4-10 [PMID: 24853409 DOI: 10.1053/j.gastro.2014.05.005]</w:t>
      </w:r>
    </w:p>
    <w:p w14:paraId="47CBC15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38 </w:t>
      </w:r>
      <w:r w:rsidRPr="00907F73">
        <w:rPr>
          <w:rFonts w:ascii="Book Antiqua" w:hAnsi="Book Antiqua" w:cs="Times New Roman"/>
          <w:b/>
          <w:bCs/>
          <w:color w:val="000000" w:themeColor="text1"/>
          <w:lang w:val="en-US" w:eastAsia="zh-CN"/>
        </w:rPr>
        <w:t>Bernal W</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Jalan</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Quaglia</w:t>
      </w:r>
      <w:proofErr w:type="spellEnd"/>
      <w:r w:rsidRPr="00907F73">
        <w:rPr>
          <w:rFonts w:ascii="Book Antiqua" w:hAnsi="Book Antiqua" w:cs="Times New Roman"/>
          <w:color w:val="000000" w:themeColor="text1"/>
          <w:lang w:val="en-US" w:eastAsia="zh-CN"/>
        </w:rPr>
        <w:t xml:space="preserve"> A, Simpson K, </w:t>
      </w:r>
      <w:proofErr w:type="spellStart"/>
      <w:r w:rsidRPr="00907F73">
        <w:rPr>
          <w:rFonts w:ascii="Book Antiqua" w:hAnsi="Book Antiqua" w:cs="Times New Roman"/>
          <w:color w:val="000000" w:themeColor="text1"/>
          <w:lang w:val="en-US" w:eastAsia="zh-CN"/>
        </w:rPr>
        <w:t>Wendon</w:t>
      </w:r>
      <w:proofErr w:type="spellEnd"/>
      <w:r w:rsidRPr="00907F73">
        <w:rPr>
          <w:rFonts w:ascii="Book Antiqua" w:hAnsi="Book Antiqua" w:cs="Times New Roman"/>
          <w:color w:val="000000" w:themeColor="text1"/>
          <w:lang w:val="en-US" w:eastAsia="zh-CN"/>
        </w:rPr>
        <w:t xml:space="preserve"> J, Burroughs A. Acute-on-chronic liver failure. </w:t>
      </w:r>
      <w:r w:rsidRPr="00907F73">
        <w:rPr>
          <w:rFonts w:ascii="Book Antiqua" w:hAnsi="Book Antiqua" w:cs="Times New Roman"/>
          <w:i/>
          <w:iCs/>
          <w:color w:val="000000" w:themeColor="text1"/>
          <w:lang w:val="en-US" w:eastAsia="zh-CN"/>
        </w:rPr>
        <w:t>Lancet</w:t>
      </w:r>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386</w:t>
      </w:r>
      <w:r w:rsidRPr="00907F73">
        <w:rPr>
          <w:rFonts w:ascii="Book Antiqua" w:hAnsi="Book Antiqua" w:cs="Times New Roman"/>
          <w:color w:val="000000" w:themeColor="text1"/>
          <w:lang w:val="en-US" w:eastAsia="zh-CN"/>
        </w:rPr>
        <w:t>: 1576-1587 [PMID: 26423181 DOI: 10.1016/S0140-6736(15)00309-8]</w:t>
      </w:r>
    </w:p>
    <w:p w14:paraId="6EC4B9C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39 </w:t>
      </w:r>
      <w:r w:rsidRPr="00907F73">
        <w:rPr>
          <w:rFonts w:ascii="Book Antiqua" w:hAnsi="Book Antiqua" w:cs="Times New Roman"/>
          <w:b/>
          <w:bCs/>
          <w:color w:val="000000" w:themeColor="text1"/>
          <w:lang w:val="en-US" w:eastAsia="zh-CN"/>
        </w:rPr>
        <w:t>Liu CL</w:t>
      </w:r>
      <w:r w:rsidRPr="00907F73">
        <w:rPr>
          <w:rFonts w:ascii="Book Antiqua" w:hAnsi="Book Antiqua" w:cs="Times New Roman"/>
          <w:color w:val="000000" w:themeColor="text1"/>
          <w:lang w:val="en-US" w:eastAsia="zh-CN"/>
        </w:rPr>
        <w:t>, Fan ST, Lo CM, Wei WI, Yong BH, Lai CL, Wong J. Live-donor liver transplantation for acute-on-chronic hepatitis B liver failure. </w:t>
      </w:r>
      <w:r w:rsidRPr="00907F73">
        <w:rPr>
          <w:rFonts w:ascii="Book Antiqua" w:hAnsi="Book Antiqua" w:cs="Times New Roman"/>
          <w:i/>
          <w:iCs/>
          <w:color w:val="000000" w:themeColor="text1"/>
          <w:lang w:val="en-US" w:eastAsia="zh-CN"/>
        </w:rPr>
        <w:t>Transplantation</w:t>
      </w:r>
      <w:r w:rsidRPr="00907F73">
        <w:rPr>
          <w:rFonts w:ascii="Book Antiqua" w:hAnsi="Book Antiqua" w:cs="Times New Roman"/>
          <w:color w:val="000000" w:themeColor="text1"/>
          <w:lang w:val="en-US" w:eastAsia="zh-CN"/>
        </w:rPr>
        <w:t> 2003; </w:t>
      </w:r>
      <w:r w:rsidRPr="00907F73">
        <w:rPr>
          <w:rFonts w:ascii="Book Antiqua" w:hAnsi="Book Antiqua" w:cs="Times New Roman"/>
          <w:b/>
          <w:bCs/>
          <w:color w:val="000000" w:themeColor="text1"/>
          <w:lang w:val="en-US" w:eastAsia="zh-CN"/>
        </w:rPr>
        <w:t>76</w:t>
      </w:r>
      <w:r w:rsidRPr="00907F73">
        <w:rPr>
          <w:rFonts w:ascii="Book Antiqua" w:hAnsi="Book Antiqua" w:cs="Times New Roman"/>
          <w:color w:val="000000" w:themeColor="text1"/>
          <w:lang w:val="en-US" w:eastAsia="zh-CN"/>
        </w:rPr>
        <w:t>: 1174-1179 [PMID: 14578749 DOI: 10.1097/01.TP.0000087341.88471.E5]</w:t>
      </w:r>
    </w:p>
    <w:p w14:paraId="0C18410B"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40 </w:t>
      </w:r>
      <w:r w:rsidRPr="00907F73">
        <w:rPr>
          <w:rFonts w:ascii="Book Antiqua" w:hAnsi="Book Antiqua" w:cs="Times New Roman"/>
          <w:b/>
          <w:bCs/>
          <w:color w:val="000000" w:themeColor="text1"/>
          <w:lang w:val="en-US" w:eastAsia="zh-CN"/>
        </w:rPr>
        <w:t>Chan AC</w:t>
      </w:r>
      <w:r w:rsidRPr="00907F73">
        <w:rPr>
          <w:rFonts w:ascii="Book Antiqua" w:hAnsi="Book Antiqua" w:cs="Times New Roman"/>
          <w:color w:val="000000" w:themeColor="text1"/>
          <w:lang w:val="en-US" w:eastAsia="zh-CN"/>
        </w:rPr>
        <w:t>, Fan ST, Lo CM, Liu CL, Chan SC, Ng KK, Yong BH, Chiu A, Lam BK. Liver transplantation for acute-on-chronic liver failure.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i/>
          <w:iCs/>
          <w:color w:val="000000" w:themeColor="text1"/>
          <w:lang w:val="en-US" w:eastAsia="zh-CN"/>
        </w:rPr>
        <w:t xml:space="preserve"> </w:t>
      </w:r>
      <w:proofErr w:type="spellStart"/>
      <w:r w:rsidRPr="00907F73">
        <w:rPr>
          <w:rFonts w:ascii="Book Antiqua" w:hAnsi="Book Antiqua" w:cs="Times New Roman"/>
          <w:i/>
          <w:iCs/>
          <w:color w:val="000000" w:themeColor="text1"/>
          <w:lang w:val="en-US" w:eastAsia="zh-CN"/>
        </w:rPr>
        <w:t>Int</w:t>
      </w:r>
      <w:proofErr w:type="spellEnd"/>
      <w:r w:rsidRPr="00907F73">
        <w:rPr>
          <w:rFonts w:ascii="Book Antiqua" w:hAnsi="Book Antiqua" w:cs="Times New Roman"/>
          <w:color w:val="000000" w:themeColor="text1"/>
          <w:lang w:val="en-US" w:eastAsia="zh-CN"/>
        </w:rPr>
        <w:t> 2009; </w:t>
      </w:r>
      <w:r w:rsidRPr="00907F73">
        <w:rPr>
          <w:rFonts w:ascii="Book Antiqua" w:hAnsi="Book Antiqua" w:cs="Times New Roman"/>
          <w:b/>
          <w:bCs/>
          <w:color w:val="000000" w:themeColor="text1"/>
          <w:lang w:val="en-US" w:eastAsia="zh-CN"/>
        </w:rPr>
        <w:t>3</w:t>
      </w:r>
      <w:r w:rsidRPr="00907F73">
        <w:rPr>
          <w:rFonts w:ascii="Book Antiqua" w:hAnsi="Book Antiqua" w:cs="Times New Roman"/>
          <w:color w:val="000000" w:themeColor="text1"/>
          <w:lang w:val="en-US" w:eastAsia="zh-CN"/>
        </w:rPr>
        <w:t>: 571-581 [PMID: 19680733 DOI: 10.1007/s12072-009-9148-8]</w:t>
      </w:r>
    </w:p>
    <w:p w14:paraId="19840190"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41 </w:t>
      </w:r>
      <w:r w:rsidRPr="00907F73">
        <w:rPr>
          <w:rFonts w:ascii="Book Antiqua" w:hAnsi="Book Antiqua" w:cs="Times New Roman"/>
          <w:b/>
          <w:bCs/>
          <w:color w:val="000000" w:themeColor="text1"/>
          <w:lang w:val="en-US" w:eastAsia="zh-CN"/>
        </w:rPr>
        <w:t>Chen Z</w:t>
      </w:r>
      <w:r w:rsidRPr="00907F73">
        <w:rPr>
          <w:rFonts w:ascii="Book Antiqua" w:hAnsi="Book Antiqua" w:cs="Times New Roman"/>
          <w:color w:val="000000" w:themeColor="text1"/>
          <w:lang w:val="en-US" w:eastAsia="zh-CN"/>
        </w:rPr>
        <w:t>, Wen T, Zeng Y, Wang L, Lu JJ, Gong S, Tan H, Feng P, Li B, Zhao J, Wang W, Xu M, Yang J, Wu H, Yan L. A single institution experience with living donor liver transplantation for acute-on-chronic hepatitis B liver failure. </w:t>
      </w:r>
      <w:proofErr w:type="spellStart"/>
      <w:r w:rsidRPr="00907F73">
        <w:rPr>
          <w:rFonts w:ascii="Book Antiqua" w:hAnsi="Book Antiqua" w:cs="Times New Roman"/>
          <w:i/>
          <w:iCs/>
          <w:color w:val="000000" w:themeColor="text1"/>
          <w:lang w:val="en-US" w:eastAsia="zh-CN"/>
        </w:rPr>
        <w:t>Hepatogastroenterology</w:t>
      </w:r>
      <w:proofErr w:type="spellEnd"/>
      <w:r w:rsidRPr="00907F73">
        <w:rPr>
          <w:rFonts w:ascii="Book Antiqua" w:hAnsi="Book Antiqua" w:cs="Times New Roman"/>
          <w:color w:val="000000" w:themeColor="text1"/>
          <w:lang w:val="en-US" w:eastAsia="zh-CN"/>
        </w:rPr>
        <w:t> 2011; </w:t>
      </w:r>
      <w:r w:rsidRPr="00907F73">
        <w:rPr>
          <w:rFonts w:ascii="Book Antiqua" w:hAnsi="Book Antiqua" w:cs="Times New Roman"/>
          <w:b/>
          <w:bCs/>
          <w:color w:val="000000" w:themeColor="text1"/>
          <w:lang w:val="en-US" w:eastAsia="zh-CN"/>
        </w:rPr>
        <w:t>58</w:t>
      </w:r>
      <w:r w:rsidRPr="00907F73">
        <w:rPr>
          <w:rFonts w:ascii="Book Antiqua" w:hAnsi="Book Antiqua" w:cs="Times New Roman"/>
          <w:color w:val="000000" w:themeColor="text1"/>
          <w:lang w:val="en-US" w:eastAsia="zh-CN"/>
        </w:rPr>
        <w:t>: 1267-1273 [PMID: 21937395 DOI: 10.5754/hge10148]</w:t>
      </w:r>
    </w:p>
    <w:p w14:paraId="783CBE7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42 </w:t>
      </w:r>
      <w:proofErr w:type="spellStart"/>
      <w:r w:rsidRPr="00907F73">
        <w:rPr>
          <w:rFonts w:ascii="Book Antiqua" w:hAnsi="Book Antiqua" w:cs="Times New Roman"/>
          <w:b/>
          <w:bCs/>
          <w:color w:val="000000" w:themeColor="text1"/>
          <w:lang w:val="en-US" w:eastAsia="zh-CN"/>
        </w:rPr>
        <w:t>Gustot</w:t>
      </w:r>
      <w:proofErr w:type="spellEnd"/>
      <w:r w:rsidRPr="00907F73">
        <w:rPr>
          <w:rFonts w:ascii="Book Antiqua" w:hAnsi="Book Antiqua" w:cs="Times New Roman"/>
          <w:b/>
          <w:bCs/>
          <w:color w:val="000000" w:themeColor="text1"/>
          <w:lang w:val="en-US" w:eastAsia="zh-CN"/>
        </w:rPr>
        <w:t xml:space="preserve"> T</w:t>
      </w:r>
      <w:r w:rsidRPr="00907F73">
        <w:rPr>
          <w:rFonts w:ascii="Book Antiqua" w:hAnsi="Book Antiqua" w:cs="Times New Roman"/>
          <w:color w:val="000000" w:themeColor="text1"/>
          <w:lang w:val="en-US" w:eastAsia="zh-CN"/>
        </w:rPr>
        <w:t xml:space="preserve">, Fernandez J, Garcia E, </w:t>
      </w:r>
      <w:proofErr w:type="spellStart"/>
      <w:r w:rsidRPr="00907F73">
        <w:rPr>
          <w:rFonts w:ascii="Book Antiqua" w:hAnsi="Book Antiqua" w:cs="Times New Roman"/>
          <w:color w:val="000000" w:themeColor="text1"/>
          <w:lang w:val="en-US" w:eastAsia="zh-CN"/>
        </w:rPr>
        <w:t>Morando</w:t>
      </w:r>
      <w:proofErr w:type="spellEnd"/>
      <w:r w:rsidRPr="00907F73">
        <w:rPr>
          <w:rFonts w:ascii="Book Antiqua" w:hAnsi="Book Antiqua" w:cs="Times New Roman"/>
          <w:color w:val="000000" w:themeColor="text1"/>
          <w:lang w:val="en-US" w:eastAsia="zh-CN"/>
        </w:rPr>
        <w:t xml:space="preserve"> F, </w:t>
      </w:r>
      <w:proofErr w:type="spellStart"/>
      <w:r w:rsidRPr="00907F73">
        <w:rPr>
          <w:rFonts w:ascii="Book Antiqua" w:hAnsi="Book Antiqua" w:cs="Times New Roman"/>
          <w:color w:val="000000" w:themeColor="text1"/>
          <w:lang w:val="en-US" w:eastAsia="zh-CN"/>
        </w:rPr>
        <w:t>Caraceni</w:t>
      </w:r>
      <w:proofErr w:type="spellEnd"/>
      <w:r w:rsidRPr="00907F73">
        <w:rPr>
          <w:rFonts w:ascii="Book Antiqua" w:hAnsi="Book Antiqua" w:cs="Times New Roman"/>
          <w:color w:val="000000" w:themeColor="text1"/>
          <w:lang w:val="en-US" w:eastAsia="zh-CN"/>
        </w:rPr>
        <w:t xml:space="preserve"> P, Alessandria C, </w:t>
      </w:r>
      <w:proofErr w:type="spellStart"/>
      <w:r w:rsidRPr="00907F73">
        <w:rPr>
          <w:rFonts w:ascii="Book Antiqua" w:hAnsi="Book Antiqua" w:cs="Times New Roman"/>
          <w:color w:val="000000" w:themeColor="text1"/>
          <w:lang w:val="en-US" w:eastAsia="zh-CN"/>
        </w:rPr>
        <w:t>Laleman</w:t>
      </w:r>
      <w:proofErr w:type="spellEnd"/>
      <w:r w:rsidRPr="00907F73">
        <w:rPr>
          <w:rFonts w:ascii="Book Antiqua" w:hAnsi="Book Antiqua" w:cs="Times New Roman"/>
          <w:color w:val="000000" w:themeColor="text1"/>
          <w:lang w:val="en-US" w:eastAsia="zh-CN"/>
        </w:rPr>
        <w:t xml:space="preserve"> W, </w:t>
      </w:r>
      <w:proofErr w:type="spellStart"/>
      <w:r w:rsidRPr="00907F73">
        <w:rPr>
          <w:rFonts w:ascii="Book Antiqua" w:hAnsi="Book Antiqua" w:cs="Times New Roman"/>
          <w:color w:val="000000" w:themeColor="text1"/>
          <w:lang w:val="en-US" w:eastAsia="zh-CN"/>
        </w:rPr>
        <w:t>Trebicka</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Elkrief</w:t>
      </w:r>
      <w:proofErr w:type="spellEnd"/>
      <w:r w:rsidRPr="00907F73">
        <w:rPr>
          <w:rFonts w:ascii="Book Antiqua" w:hAnsi="Book Antiqua" w:cs="Times New Roman"/>
          <w:color w:val="000000" w:themeColor="text1"/>
          <w:lang w:val="en-US" w:eastAsia="zh-CN"/>
        </w:rPr>
        <w:t xml:space="preserve"> L, </w:t>
      </w:r>
      <w:proofErr w:type="spellStart"/>
      <w:r w:rsidRPr="00907F73">
        <w:rPr>
          <w:rFonts w:ascii="Book Antiqua" w:hAnsi="Book Antiqua" w:cs="Times New Roman"/>
          <w:color w:val="000000" w:themeColor="text1"/>
          <w:lang w:val="en-US" w:eastAsia="zh-CN"/>
        </w:rPr>
        <w:t>Hopf</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Solís</w:t>
      </w:r>
      <w:proofErr w:type="spellEnd"/>
      <w:r w:rsidRPr="00907F73">
        <w:rPr>
          <w:rFonts w:ascii="Book Antiqua" w:hAnsi="Book Antiqua" w:cs="Times New Roman"/>
          <w:color w:val="000000" w:themeColor="text1"/>
          <w:lang w:val="en-US" w:eastAsia="zh-CN"/>
        </w:rPr>
        <w:t xml:space="preserve">-Munoz P, </w:t>
      </w:r>
      <w:proofErr w:type="spellStart"/>
      <w:r w:rsidRPr="00907F73">
        <w:rPr>
          <w:rFonts w:ascii="Book Antiqua" w:hAnsi="Book Antiqua" w:cs="Times New Roman"/>
          <w:color w:val="000000" w:themeColor="text1"/>
          <w:lang w:val="en-US" w:eastAsia="zh-CN"/>
        </w:rPr>
        <w:t>Saliba</w:t>
      </w:r>
      <w:proofErr w:type="spellEnd"/>
      <w:r w:rsidRPr="00907F73">
        <w:rPr>
          <w:rFonts w:ascii="Book Antiqua" w:hAnsi="Book Antiqua" w:cs="Times New Roman"/>
          <w:color w:val="000000" w:themeColor="text1"/>
          <w:lang w:val="en-US" w:eastAsia="zh-CN"/>
        </w:rPr>
        <w:t xml:space="preserve"> F, </w:t>
      </w:r>
      <w:proofErr w:type="spellStart"/>
      <w:r w:rsidRPr="00907F73">
        <w:rPr>
          <w:rFonts w:ascii="Book Antiqua" w:hAnsi="Book Antiqua" w:cs="Times New Roman"/>
          <w:color w:val="000000" w:themeColor="text1"/>
          <w:lang w:val="en-US" w:eastAsia="zh-CN"/>
        </w:rPr>
        <w:t>Zeuzem</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Albillos</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Benten</w:t>
      </w:r>
      <w:proofErr w:type="spellEnd"/>
      <w:r w:rsidRPr="00907F73">
        <w:rPr>
          <w:rFonts w:ascii="Book Antiqua" w:hAnsi="Book Antiqua" w:cs="Times New Roman"/>
          <w:color w:val="000000" w:themeColor="text1"/>
          <w:lang w:val="en-US" w:eastAsia="zh-CN"/>
        </w:rPr>
        <w:t xml:space="preserve"> D, Montero-Alvarez JL, Chivas MT, Concepción M, Córdoba J, McCormick A, </w:t>
      </w:r>
      <w:proofErr w:type="spellStart"/>
      <w:r w:rsidRPr="00907F73">
        <w:rPr>
          <w:rFonts w:ascii="Book Antiqua" w:hAnsi="Book Antiqua" w:cs="Times New Roman"/>
          <w:color w:val="000000" w:themeColor="text1"/>
          <w:lang w:val="en-US" w:eastAsia="zh-CN"/>
        </w:rPr>
        <w:t>Stauber</w:t>
      </w:r>
      <w:proofErr w:type="spellEnd"/>
      <w:r w:rsidRPr="00907F73">
        <w:rPr>
          <w:rFonts w:ascii="Book Antiqua" w:hAnsi="Book Antiqua" w:cs="Times New Roman"/>
          <w:color w:val="000000" w:themeColor="text1"/>
          <w:lang w:val="en-US" w:eastAsia="zh-CN"/>
        </w:rPr>
        <w:t xml:space="preserve"> R, Vogel W, de </w:t>
      </w:r>
      <w:proofErr w:type="spellStart"/>
      <w:r w:rsidRPr="00907F73">
        <w:rPr>
          <w:rFonts w:ascii="Book Antiqua" w:hAnsi="Book Antiqua" w:cs="Times New Roman"/>
          <w:color w:val="000000" w:themeColor="text1"/>
          <w:lang w:val="en-US" w:eastAsia="zh-CN"/>
        </w:rPr>
        <w:t>Gottardi</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Welzel</w:t>
      </w:r>
      <w:proofErr w:type="spellEnd"/>
      <w:r w:rsidRPr="00907F73">
        <w:rPr>
          <w:rFonts w:ascii="Book Antiqua" w:hAnsi="Book Antiqua" w:cs="Times New Roman"/>
          <w:color w:val="000000" w:themeColor="text1"/>
          <w:lang w:val="en-US" w:eastAsia="zh-CN"/>
        </w:rPr>
        <w:t xml:space="preserve"> TM, </w:t>
      </w:r>
      <w:proofErr w:type="spellStart"/>
      <w:r w:rsidRPr="00907F73">
        <w:rPr>
          <w:rFonts w:ascii="Book Antiqua" w:hAnsi="Book Antiqua" w:cs="Times New Roman"/>
          <w:color w:val="000000" w:themeColor="text1"/>
          <w:lang w:val="en-US" w:eastAsia="zh-CN"/>
        </w:rPr>
        <w:t>Domenicali</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Risso</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Wendon</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Deulofeu</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Angeli</w:t>
      </w:r>
      <w:proofErr w:type="spellEnd"/>
      <w:r w:rsidRPr="00907F73">
        <w:rPr>
          <w:rFonts w:ascii="Book Antiqua" w:hAnsi="Book Antiqua" w:cs="Times New Roman"/>
          <w:color w:val="000000" w:themeColor="text1"/>
          <w:lang w:val="en-US" w:eastAsia="zh-CN"/>
        </w:rPr>
        <w:t xml:space="preserve"> P, Durand F, </w:t>
      </w:r>
      <w:proofErr w:type="spellStart"/>
      <w:r w:rsidRPr="00907F73">
        <w:rPr>
          <w:rFonts w:ascii="Book Antiqua" w:hAnsi="Book Antiqua" w:cs="Times New Roman"/>
          <w:color w:val="000000" w:themeColor="text1"/>
          <w:lang w:val="en-US" w:eastAsia="zh-CN"/>
        </w:rPr>
        <w:t>Pavesi</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Gerbes</w:t>
      </w:r>
      <w:proofErr w:type="spellEnd"/>
      <w:r w:rsidRPr="00907F73">
        <w:rPr>
          <w:rFonts w:ascii="Book Antiqua" w:hAnsi="Book Antiqua" w:cs="Times New Roman"/>
          <w:color w:val="000000" w:themeColor="text1"/>
          <w:lang w:val="en-US" w:eastAsia="zh-CN"/>
        </w:rPr>
        <w:t xml:space="preserve"> A, Jalan R, Moreau R, </w:t>
      </w:r>
      <w:proofErr w:type="spellStart"/>
      <w:r w:rsidRPr="00907F73">
        <w:rPr>
          <w:rFonts w:ascii="Book Antiqua" w:hAnsi="Book Antiqua" w:cs="Times New Roman"/>
          <w:color w:val="000000" w:themeColor="text1"/>
          <w:lang w:val="en-US" w:eastAsia="zh-CN"/>
        </w:rPr>
        <w:t>Ginés</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Bernardi</w:t>
      </w:r>
      <w:proofErr w:type="spellEnd"/>
      <w:r w:rsidRPr="00907F73">
        <w:rPr>
          <w:rFonts w:ascii="Book Antiqua" w:hAnsi="Book Antiqua" w:cs="Times New Roman"/>
          <w:color w:val="000000" w:themeColor="text1"/>
          <w:lang w:val="en-US" w:eastAsia="zh-CN"/>
        </w:rPr>
        <w:t xml:space="preserve"> M, Arroyo V; CANONIC Study Investigators of the EASL-CLIF Consortium. Clinical Course of acute-on-chronic liver failure syndrome and effects on prognosis. </w:t>
      </w:r>
      <w:r w:rsidRPr="00907F73">
        <w:rPr>
          <w:rFonts w:ascii="Book Antiqua" w:hAnsi="Book Antiqua" w:cs="Times New Roman"/>
          <w:i/>
          <w:iCs/>
          <w:color w:val="000000" w:themeColor="text1"/>
          <w:lang w:val="en-US" w:eastAsia="zh-CN"/>
        </w:rPr>
        <w:t>Hepatology</w:t>
      </w:r>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62</w:t>
      </w:r>
      <w:r w:rsidRPr="00907F73">
        <w:rPr>
          <w:rFonts w:ascii="Book Antiqua" w:hAnsi="Book Antiqua" w:cs="Times New Roman"/>
          <w:color w:val="000000" w:themeColor="text1"/>
          <w:lang w:val="en-US" w:eastAsia="zh-CN"/>
        </w:rPr>
        <w:t>: 243-252 [PMID: 25877702 DOI: 10.1002/hep.27849]</w:t>
      </w:r>
    </w:p>
    <w:p w14:paraId="4D649EB2"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43 </w:t>
      </w:r>
      <w:proofErr w:type="spellStart"/>
      <w:r w:rsidRPr="00907F73">
        <w:rPr>
          <w:rFonts w:ascii="Book Antiqua" w:hAnsi="Book Antiqua" w:cs="Times New Roman"/>
          <w:b/>
          <w:bCs/>
          <w:color w:val="000000" w:themeColor="text1"/>
          <w:lang w:val="en-US" w:eastAsia="zh-CN"/>
        </w:rPr>
        <w:t>Thuluvath</w:t>
      </w:r>
      <w:proofErr w:type="spellEnd"/>
      <w:r w:rsidRPr="00907F73">
        <w:rPr>
          <w:rFonts w:ascii="Book Antiqua" w:hAnsi="Book Antiqua" w:cs="Times New Roman"/>
          <w:b/>
          <w:bCs/>
          <w:color w:val="000000" w:themeColor="text1"/>
          <w:lang w:val="en-US" w:eastAsia="zh-CN"/>
        </w:rPr>
        <w:t xml:space="preserve"> PJ</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Thuluvath</w:t>
      </w:r>
      <w:proofErr w:type="spellEnd"/>
      <w:r w:rsidRPr="00907F73">
        <w:rPr>
          <w:rFonts w:ascii="Book Antiqua" w:hAnsi="Book Antiqua" w:cs="Times New Roman"/>
          <w:color w:val="000000" w:themeColor="text1"/>
          <w:lang w:val="en-US" w:eastAsia="zh-CN"/>
        </w:rPr>
        <w:t xml:space="preserve"> AJ, </w:t>
      </w:r>
      <w:proofErr w:type="spellStart"/>
      <w:r w:rsidRPr="00907F73">
        <w:rPr>
          <w:rFonts w:ascii="Book Antiqua" w:hAnsi="Book Antiqua" w:cs="Times New Roman"/>
          <w:color w:val="000000" w:themeColor="text1"/>
          <w:lang w:val="en-US" w:eastAsia="zh-CN"/>
        </w:rPr>
        <w:t>Hanish</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Savva</w:t>
      </w:r>
      <w:proofErr w:type="spellEnd"/>
      <w:r w:rsidRPr="00907F73">
        <w:rPr>
          <w:rFonts w:ascii="Book Antiqua" w:hAnsi="Book Antiqua" w:cs="Times New Roman"/>
          <w:color w:val="000000" w:themeColor="text1"/>
          <w:lang w:val="en-US" w:eastAsia="zh-CN"/>
        </w:rPr>
        <w:t xml:space="preserve"> Y. Liver transplantation in patients with multiple organ failures: Feasibility and outcomes.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2018; </w:t>
      </w:r>
      <w:r w:rsidRPr="00907F73">
        <w:rPr>
          <w:rFonts w:ascii="Book Antiqua" w:hAnsi="Book Antiqua" w:cs="Times New Roman"/>
          <w:b/>
          <w:bCs/>
          <w:color w:val="000000" w:themeColor="text1"/>
          <w:lang w:val="en-US" w:eastAsia="zh-CN"/>
        </w:rPr>
        <w:t>69</w:t>
      </w:r>
      <w:r w:rsidRPr="00907F73">
        <w:rPr>
          <w:rFonts w:ascii="Book Antiqua" w:hAnsi="Book Antiqua" w:cs="Times New Roman"/>
          <w:color w:val="000000" w:themeColor="text1"/>
          <w:lang w:val="en-US" w:eastAsia="zh-CN"/>
        </w:rPr>
        <w:t>: 1047-1056 [PMID: 30071241 DOI: 10.1016/j.jhep.2018.07.007]</w:t>
      </w:r>
    </w:p>
    <w:p w14:paraId="2828F20D"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lastRenderedPageBreak/>
        <w:t>44 </w:t>
      </w:r>
      <w:proofErr w:type="spellStart"/>
      <w:r w:rsidRPr="00907F73">
        <w:rPr>
          <w:rFonts w:ascii="Book Antiqua" w:hAnsi="Book Antiqua" w:cs="Times New Roman"/>
          <w:b/>
          <w:bCs/>
          <w:color w:val="000000" w:themeColor="text1"/>
          <w:lang w:val="en-US" w:eastAsia="zh-CN"/>
        </w:rPr>
        <w:t>Michard</w:t>
      </w:r>
      <w:proofErr w:type="spellEnd"/>
      <w:r w:rsidRPr="00907F73">
        <w:rPr>
          <w:rFonts w:ascii="Book Antiqua" w:hAnsi="Book Antiqua" w:cs="Times New Roman"/>
          <w:b/>
          <w:bCs/>
          <w:color w:val="000000" w:themeColor="text1"/>
          <w:lang w:val="en-US" w:eastAsia="zh-CN"/>
        </w:rPr>
        <w:t xml:space="preserve"> B</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Artzner</w:t>
      </w:r>
      <w:proofErr w:type="spellEnd"/>
      <w:r w:rsidRPr="00907F73">
        <w:rPr>
          <w:rFonts w:ascii="Book Antiqua" w:hAnsi="Book Antiqua" w:cs="Times New Roman"/>
          <w:color w:val="000000" w:themeColor="text1"/>
          <w:lang w:val="en-US" w:eastAsia="zh-CN"/>
        </w:rPr>
        <w:t xml:space="preserve"> T, </w:t>
      </w:r>
      <w:proofErr w:type="spellStart"/>
      <w:r w:rsidRPr="00907F73">
        <w:rPr>
          <w:rFonts w:ascii="Book Antiqua" w:hAnsi="Book Antiqua" w:cs="Times New Roman"/>
          <w:color w:val="000000" w:themeColor="text1"/>
          <w:lang w:val="en-US" w:eastAsia="zh-CN"/>
        </w:rPr>
        <w:t>Lebas</w:t>
      </w:r>
      <w:proofErr w:type="spellEnd"/>
      <w:r w:rsidRPr="00907F73">
        <w:rPr>
          <w:rFonts w:ascii="Book Antiqua" w:hAnsi="Book Antiqua" w:cs="Times New Roman"/>
          <w:color w:val="000000" w:themeColor="text1"/>
          <w:lang w:val="en-US" w:eastAsia="zh-CN"/>
        </w:rPr>
        <w:t xml:space="preserve"> B, </w:t>
      </w:r>
      <w:proofErr w:type="spellStart"/>
      <w:r w:rsidRPr="00907F73">
        <w:rPr>
          <w:rFonts w:ascii="Book Antiqua" w:hAnsi="Book Antiqua" w:cs="Times New Roman"/>
          <w:color w:val="000000" w:themeColor="text1"/>
          <w:lang w:val="en-US" w:eastAsia="zh-CN"/>
        </w:rPr>
        <w:t>Besch</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Guillot</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Faitot</w:t>
      </w:r>
      <w:proofErr w:type="spellEnd"/>
      <w:r w:rsidRPr="00907F73">
        <w:rPr>
          <w:rFonts w:ascii="Book Antiqua" w:hAnsi="Book Antiqua" w:cs="Times New Roman"/>
          <w:color w:val="000000" w:themeColor="text1"/>
          <w:lang w:val="en-US" w:eastAsia="zh-CN"/>
        </w:rPr>
        <w:t xml:space="preserve"> F, Lefebvre F, </w:t>
      </w:r>
      <w:proofErr w:type="spellStart"/>
      <w:r w:rsidRPr="00907F73">
        <w:rPr>
          <w:rFonts w:ascii="Book Antiqua" w:hAnsi="Book Antiqua" w:cs="Times New Roman"/>
          <w:color w:val="000000" w:themeColor="text1"/>
          <w:lang w:val="en-US" w:eastAsia="zh-CN"/>
        </w:rPr>
        <w:t>Bachellier</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Castelain</w:t>
      </w:r>
      <w:proofErr w:type="spellEnd"/>
      <w:r w:rsidRPr="00907F73">
        <w:rPr>
          <w:rFonts w:ascii="Book Antiqua" w:hAnsi="Book Antiqua" w:cs="Times New Roman"/>
          <w:color w:val="000000" w:themeColor="text1"/>
          <w:lang w:val="en-US" w:eastAsia="zh-CN"/>
        </w:rPr>
        <w:t xml:space="preserve"> V, </w:t>
      </w:r>
      <w:proofErr w:type="spellStart"/>
      <w:r w:rsidRPr="00907F73">
        <w:rPr>
          <w:rFonts w:ascii="Book Antiqua" w:hAnsi="Book Antiqua" w:cs="Times New Roman"/>
          <w:color w:val="000000" w:themeColor="text1"/>
          <w:lang w:val="en-US" w:eastAsia="zh-CN"/>
        </w:rPr>
        <w:t>Maestraggi</w:t>
      </w:r>
      <w:proofErr w:type="spellEnd"/>
      <w:r w:rsidRPr="00907F73">
        <w:rPr>
          <w:rFonts w:ascii="Book Antiqua" w:hAnsi="Book Antiqua" w:cs="Times New Roman"/>
          <w:color w:val="000000" w:themeColor="text1"/>
          <w:lang w:val="en-US" w:eastAsia="zh-CN"/>
        </w:rPr>
        <w:t xml:space="preserve"> Q, Schneider F. Liver transplantation in critically ill patients: Preoperative predictive factors of post-transplant mortality to avoid futility. </w:t>
      </w:r>
      <w:r w:rsidRPr="00907F73">
        <w:rPr>
          <w:rFonts w:ascii="Book Antiqua" w:hAnsi="Book Antiqua" w:cs="Times New Roman"/>
          <w:i/>
          <w:iCs/>
          <w:color w:val="000000" w:themeColor="text1"/>
          <w:lang w:val="en-US" w:eastAsia="zh-CN"/>
        </w:rPr>
        <w:t>Clin Transplant</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31</w:t>
      </w:r>
      <w:r w:rsidRPr="00907F73">
        <w:rPr>
          <w:rFonts w:ascii="Book Antiqua" w:hAnsi="Book Antiqua" w:cs="Times New Roman"/>
          <w:color w:val="000000" w:themeColor="text1"/>
          <w:lang w:val="en-US" w:eastAsia="zh-CN"/>
        </w:rPr>
        <w:t>: [PMID: 28895204 DOI: 10.1111/ctr.13115]</w:t>
      </w:r>
    </w:p>
    <w:p w14:paraId="45DA98F7"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45 </w:t>
      </w:r>
      <w:r w:rsidRPr="00907F73">
        <w:rPr>
          <w:rFonts w:ascii="Book Antiqua" w:hAnsi="Book Antiqua" w:cs="Times New Roman"/>
          <w:b/>
          <w:bCs/>
          <w:color w:val="000000" w:themeColor="text1"/>
          <w:lang w:val="en-US" w:eastAsia="zh-CN"/>
        </w:rPr>
        <w:t>Moon DB</w:t>
      </w:r>
      <w:r w:rsidRPr="00907F73">
        <w:rPr>
          <w:rFonts w:ascii="Book Antiqua" w:hAnsi="Book Antiqua" w:cs="Times New Roman"/>
          <w:color w:val="000000" w:themeColor="text1"/>
          <w:lang w:val="en-US" w:eastAsia="zh-CN"/>
        </w:rPr>
        <w:t xml:space="preserve">, Lee SG, Kang WH, Song GW, Jung DH, Park GC, Cho HD, </w:t>
      </w:r>
      <w:proofErr w:type="spellStart"/>
      <w:r w:rsidRPr="00907F73">
        <w:rPr>
          <w:rFonts w:ascii="Book Antiqua" w:hAnsi="Book Antiqua" w:cs="Times New Roman"/>
          <w:color w:val="000000" w:themeColor="text1"/>
          <w:lang w:val="en-US" w:eastAsia="zh-CN"/>
        </w:rPr>
        <w:t>Jwa</w:t>
      </w:r>
      <w:proofErr w:type="spellEnd"/>
      <w:r w:rsidRPr="00907F73">
        <w:rPr>
          <w:rFonts w:ascii="Book Antiqua" w:hAnsi="Book Antiqua" w:cs="Times New Roman"/>
          <w:color w:val="000000" w:themeColor="text1"/>
          <w:lang w:val="en-US" w:eastAsia="zh-CN"/>
        </w:rPr>
        <w:t xml:space="preserve"> EK, Kim WJ, Ha TY, Kim HJ. Adult Living Donor Liver Transplantation for Acute-on-Chronic Liver Failure in High-Model for End-Stage Liver Disease Score Patients. </w:t>
      </w:r>
      <w:r w:rsidRPr="00907F73">
        <w:rPr>
          <w:rFonts w:ascii="Book Antiqua" w:hAnsi="Book Antiqua" w:cs="Times New Roman"/>
          <w:i/>
          <w:iCs/>
          <w:color w:val="000000" w:themeColor="text1"/>
          <w:lang w:val="en-US" w:eastAsia="zh-CN"/>
        </w:rPr>
        <w:t>Am J Transplant</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17</w:t>
      </w:r>
      <w:r w:rsidRPr="00907F73">
        <w:rPr>
          <w:rFonts w:ascii="Book Antiqua" w:hAnsi="Book Antiqua" w:cs="Times New Roman"/>
          <w:color w:val="000000" w:themeColor="text1"/>
          <w:lang w:val="en-US" w:eastAsia="zh-CN"/>
        </w:rPr>
        <w:t>: 1833-1842 [PMID: 28097804 DOI: 10.1111/ajt.14198]</w:t>
      </w:r>
    </w:p>
    <w:p w14:paraId="6E2B1711"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46 </w:t>
      </w:r>
      <w:proofErr w:type="spellStart"/>
      <w:r w:rsidRPr="00907F73">
        <w:rPr>
          <w:rFonts w:ascii="Book Antiqua" w:hAnsi="Book Antiqua" w:cs="Times New Roman"/>
          <w:b/>
          <w:bCs/>
          <w:color w:val="000000" w:themeColor="text1"/>
          <w:lang w:val="en-US" w:eastAsia="zh-CN"/>
        </w:rPr>
        <w:t>Artru</w:t>
      </w:r>
      <w:proofErr w:type="spellEnd"/>
      <w:r w:rsidRPr="00907F73">
        <w:rPr>
          <w:rFonts w:ascii="Book Antiqua" w:hAnsi="Book Antiqua" w:cs="Times New Roman"/>
          <w:b/>
          <w:bCs/>
          <w:color w:val="000000" w:themeColor="text1"/>
          <w:lang w:val="en-US" w:eastAsia="zh-CN"/>
        </w:rPr>
        <w:t xml:space="preserve"> F</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Louvet</w:t>
      </w:r>
      <w:proofErr w:type="spellEnd"/>
      <w:r w:rsidRPr="00907F73">
        <w:rPr>
          <w:rFonts w:ascii="Book Antiqua" w:hAnsi="Book Antiqua" w:cs="Times New Roman"/>
          <w:color w:val="000000" w:themeColor="text1"/>
          <w:lang w:val="en-US" w:eastAsia="zh-CN"/>
        </w:rPr>
        <w:t xml:space="preserve"> A. Reply to: "Liver transplantation for grade 3 acute-on-chronic liver failure: Type of organ failure is important".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2018; </w:t>
      </w:r>
      <w:r w:rsidRPr="00907F73">
        <w:rPr>
          <w:rFonts w:ascii="Book Antiqua" w:hAnsi="Book Antiqua" w:cs="Times New Roman"/>
          <w:b/>
          <w:bCs/>
          <w:color w:val="000000" w:themeColor="text1"/>
          <w:lang w:val="en-US" w:eastAsia="zh-CN"/>
        </w:rPr>
        <w:t>68</w:t>
      </w:r>
      <w:r w:rsidRPr="00907F73">
        <w:rPr>
          <w:rFonts w:ascii="Book Antiqua" w:hAnsi="Book Antiqua" w:cs="Times New Roman"/>
          <w:color w:val="000000" w:themeColor="text1"/>
          <w:lang w:val="en-US" w:eastAsia="zh-CN"/>
        </w:rPr>
        <w:t>: 622-623 [PMID: 29100997 DOI: 10.1016/j.jhep.2017.10.022]</w:t>
      </w:r>
    </w:p>
    <w:p w14:paraId="0620D121"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47 </w:t>
      </w:r>
      <w:proofErr w:type="spellStart"/>
      <w:r w:rsidRPr="00907F73">
        <w:rPr>
          <w:rFonts w:ascii="Book Antiqua" w:hAnsi="Book Antiqua" w:cs="Times New Roman"/>
          <w:b/>
          <w:bCs/>
          <w:color w:val="000000" w:themeColor="text1"/>
          <w:lang w:val="en-US" w:eastAsia="zh-CN"/>
        </w:rPr>
        <w:t>Choudhary</w:t>
      </w:r>
      <w:proofErr w:type="spellEnd"/>
      <w:r w:rsidRPr="00907F73">
        <w:rPr>
          <w:rFonts w:ascii="Book Antiqua" w:hAnsi="Book Antiqua" w:cs="Times New Roman"/>
          <w:b/>
          <w:bCs/>
          <w:color w:val="000000" w:themeColor="text1"/>
          <w:lang w:val="en-US" w:eastAsia="zh-CN"/>
        </w:rPr>
        <w:t xml:space="preserve"> NS</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Saraf</w:t>
      </w:r>
      <w:proofErr w:type="spellEnd"/>
      <w:r w:rsidRPr="00907F73">
        <w:rPr>
          <w:rFonts w:ascii="Book Antiqua" w:hAnsi="Book Antiqua" w:cs="Times New Roman"/>
          <w:color w:val="000000" w:themeColor="text1"/>
          <w:lang w:val="en-US" w:eastAsia="zh-CN"/>
        </w:rPr>
        <w:t xml:space="preserve"> N, </w:t>
      </w:r>
      <w:proofErr w:type="spellStart"/>
      <w:r w:rsidRPr="00907F73">
        <w:rPr>
          <w:rFonts w:ascii="Book Antiqua" w:hAnsi="Book Antiqua" w:cs="Times New Roman"/>
          <w:color w:val="000000" w:themeColor="text1"/>
          <w:lang w:val="en-US" w:eastAsia="zh-CN"/>
        </w:rPr>
        <w:t>Soin</w:t>
      </w:r>
      <w:proofErr w:type="spellEnd"/>
      <w:r w:rsidRPr="00907F73">
        <w:rPr>
          <w:rFonts w:ascii="Book Antiqua" w:hAnsi="Book Antiqua" w:cs="Times New Roman"/>
          <w:color w:val="000000" w:themeColor="text1"/>
          <w:lang w:val="en-US" w:eastAsia="zh-CN"/>
        </w:rPr>
        <w:t xml:space="preserve"> AS. Liver transplantation for grade 3 acute-on-chronic liver failure: Type of organ failure is important.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2018; </w:t>
      </w:r>
      <w:r w:rsidRPr="00907F73">
        <w:rPr>
          <w:rFonts w:ascii="Book Antiqua" w:hAnsi="Book Antiqua" w:cs="Times New Roman"/>
          <w:b/>
          <w:bCs/>
          <w:color w:val="000000" w:themeColor="text1"/>
          <w:lang w:val="en-US" w:eastAsia="zh-CN"/>
        </w:rPr>
        <w:t>68</w:t>
      </w:r>
      <w:r w:rsidRPr="00907F73">
        <w:rPr>
          <w:rFonts w:ascii="Book Antiqua" w:hAnsi="Book Antiqua" w:cs="Times New Roman"/>
          <w:color w:val="000000" w:themeColor="text1"/>
          <w:lang w:val="en-US" w:eastAsia="zh-CN"/>
        </w:rPr>
        <w:t>: 621-622 [PMID: 29100998 DOI: 10.1016/j.jhep.2017.09.030]</w:t>
      </w:r>
    </w:p>
    <w:p w14:paraId="34038C7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48 </w:t>
      </w:r>
      <w:r w:rsidRPr="00907F73">
        <w:rPr>
          <w:rFonts w:ascii="Book Antiqua" w:hAnsi="Book Antiqua" w:cs="Times New Roman"/>
          <w:b/>
          <w:bCs/>
          <w:color w:val="000000" w:themeColor="text1"/>
          <w:lang w:val="en-US" w:eastAsia="zh-CN"/>
        </w:rPr>
        <w:t>Lafayette RA</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Paré</w:t>
      </w:r>
      <w:proofErr w:type="spellEnd"/>
      <w:r w:rsidRPr="00907F73">
        <w:rPr>
          <w:rFonts w:ascii="Book Antiqua" w:hAnsi="Book Antiqua" w:cs="Times New Roman"/>
          <w:color w:val="000000" w:themeColor="text1"/>
          <w:lang w:val="en-US" w:eastAsia="zh-CN"/>
        </w:rPr>
        <w:t xml:space="preserve"> G, </w:t>
      </w:r>
      <w:proofErr w:type="spellStart"/>
      <w:r w:rsidRPr="00907F73">
        <w:rPr>
          <w:rFonts w:ascii="Book Antiqua" w:hAnsi="Book Antiqua" w:cs="Times New Roman"/>
          <w:color w:val="000000" w:themeColor="text1"/>
          <w:lang w:val="en-US" w:eastAsia="zh-CN"/>
        </w:rPr>
        <w:t>Schmid</w:t>
      </w:r>
      <w:proofErr w:type="spellEnd"/>
      <w:r w:rsidRPr="00907F73">
        <w:rPr>
          <w:rFonts w:ascii="Book Antiqua" w:hAnsi="Book Antiqua" w:cs="Times New Roman"/>
          <w:color w:val="000000" w:themeColor="text1"/>
          <w:lang w:val="en-US" w:eastAsia="zh-CN"/>
        </w:rPr>
        <w:t xml:space="preserve"> CH, King AJ, Rohrer RJ, </w:t>
      </w:r>
      <w:proofErr w:type="spellStart"/>
      <w:r w:rsidRPr="00907F73">
        <w:rPr>
          <w:rFonts w:ascii="Book Antiqua" w:hAnsi="Book Antiqua" w:cs="Times New Roman"/>
          <w:color w:val="000000" w:themeColor="text1"/>
          <w:lang w:val="en-US" w:eastAsia="zh-CN"/>
        </w:rPr>
        <w:t>Nasraway</w:t>
      </w:r>
      <w:proofErr w:type="spellEnd"/>
      <w:r w:rsidRPr="00907F73">
        <w:rPr>
          <w:rFonts w:ascii="Book Antiqua" w:hAnsi="Book Antiqua" w:cs="Times New Roman"/>
          <w:color w:val="000000" w:themeColor="text1"/>
          <w:lang w:val="en-US" w:eastAsia="zh-CN"/>
        </w:rPr>
        <w:t xml:space="preserve"> SA. Pretransplant renal dysfunction predicts poorer outcome in liver transplantation. </w:t>
      </w:r>
      <w:r w:rsidRPr="00907F73">
        <w:rPr>
          <w:rFonts w:ascii="Book Antiqua" w:hAnsi="Book Antiqua" w:cs="Times New Roman"/>
          <w:i/>
          <w:iCs/>
          <w:color w:val="000000" w:themeColor="text1"/>
          <w:lang w:val="en-US" w:eastAsia="zh-CN"/>
        </w:rPr>
        <w:t>Clin Nephrol</w:t>
      </w:r>
      <w:r w:rsidRPr="00907F73">
        <w:rPr>
          <w:rFonts w:ascii="Book Antiqua" w:hAnsi="Book Antiqua" w:cs="Times New Roman"/>
          <w:color w:val="000000" w:themeColor="text1"/>
          <w:lang w:val="en-US" w:eastAsia="zh-CN"/>
        </w:rPr>
        <w:t>1997; </w:t>
      </w:r>
      <w:r w:rsidRPr="00907F73">
        <w:rPr>
          <w:rFonts w:ascii="Book Antiqua" w:hAnsi="Book Antiqua" w:cs="Times New Roman"/>
          <w:b/>
          <w:bCs/>
          <w:color w:val="000000" w:themeColor="text1"/>
          <w:lang w:val="en-US" w:eastAsia="zh-CN"/>
        </w:rPr>
        <w:t>48</w:t>
      </w:r>
      <w:r w:rsidRPr="00907F73">
        <w:rPr>
          <w:rFonts w:ascii="Book Antiqua" w:hAnsi="Book Antiqua" w:cs="Times New Roman"/>
          <w:color w:val="000000" w:themeColor="text1"/>
          <w:lang w:val="en-US" w:eastAsia="zh-CN"/>
        </w:rPr>
        <w:t>: 159-164 [PMID: 9342487]</w:t>
      </w:r>
    </w:p>
    <w:p w14:paraId="0730BB41"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49 </w:t>
      </w:r>
      <w:r w:rsidRPr="00907F73">
        <w:rPr>
          <w:rFonts w:ascii="Book Antiqua" w:hAnsi="Book Antiqua" w:cs="Times New Roman"/>
          <w:b/>
          <w:bCs/>
          <w:color w:val="000000" w:themeColor="text1"/>
          <w:lang w:val="en-US" w:eastAsia="zh-CN"/>
        </w:rPr>
        <w:t>Wong RJ</w:t>
      </w:r>
      <w:r w:rsidRPr="00907F73">
        <w:rPr>
          <w:rFonts w:ascii="Book Antiqua" w:hAnsi="Book Antiqua" w:cs="Times New Roman"/>
          <w:color w:val="000000" w:themeColor="text1"/>
          <w:lang w:val="en-US" w:eastAsia="zh-CN"/>
        </w:rPr>
        <w:t>, Aguilar M, Gish RG, Cheung R, Ahmed A. The impact of pretransplant hepatic encephalopathy on survival following liver transplantation. </w:t>
      </w:r>
      <w:r w:rsidRPr="00907F73">
        <w:rPr>
          <w:rFonts w:ascii="Book Antiqua" w:hAnsi="Book Antiqua" w:cs="Times New Roman"/>
          <w:i/>
          <w:iCs/>
          <w:color w:val="000000" w:themeColor="text1"/>
          <w:lang w:val="en-US" w:eastAsia="zh-CN"/>
        </w:rPr>
        <w:t>Liver Transpl</w:t>
      </w:r>
      <w:r w:rsidRPr="00907F73">
        <w:rPr>
          <w:rFonts w:ascii="Book Antiqua" w:hAnsi="Book Antiqua" w:cs="Times New Roman"/>
          <w:color w:val="000000" w:themeColor="text1"/>
          <w:lang w:val="en-US" w:eastAsia="zh-CN"/>
        </w:rPr>
        <w:t>2015; </w:t>
      </w:r>
      <w:r w:rsidRPr="00907F73">
        <w:rPr>
          <w:rFonts w:ascii="Book Antiqua" w:hAnsi="Book Antiqua" w:cs="Times New Roman"/>
          <w:b/>
          <w:bCs/>
          <w:color w:val="000000" w:themeColor="text1"/>
          <w:lang w:val="en-US" w:eastAsia="zh-CN"/>
        </w:rPr>
        <w:t>21</w:t>
      </w:r>
      <w:r w:rsidRPr="00907F73">
        <w:rPr>
          <w:rFonts w:ascii="Book Antiqua" w:hAnsi="Book Antiqua" w:cs="Times New Roman"/>
          <w:color w:val="000000" w:themeColor="text1"/>
          <w:lang w:val="en-US" w:eastAsia="zh-CN"/>
        </w:rPr>
        <w:t>: 873-880 [PMID: 25902933 DOI: 10.1002/lt.24153]</w:t>
      </w:r>
    </w:p>
    <w:p w14:paraId="738C500D"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50 </w:t>
      </w:r>
      <w:proofErr w:type="spellStart"/>
      <w:r w:rsidRPr="00907F73">
        <w:rPr>
          <w:rFonts w:ascii="Book Antiqua" w:hAnsi="Book Antiqua" w:cs="Times New Roman"/>
          <w:b/>
          <w:bCs/>
          <w:color w:val="000000" w:themeColor="text1"/>
          <w:lang w:val="en-US" w:eastAsia="zh-CN"/>
        </w:rPr>
        <w:t>Hernaez</w:t>
      </w:r>
      <w:proofErr w:type="spellEnd"/>
      <w:r w:rsidRPr="00907F73">
        <w:rPr>
          <w:rFonts w:ascii="Book Antiqua" w:hAnsi="Book Antiqua" w:cs="Times New Roman"/>
          <w:b/>
          <w:bCs/>
          <w:color w:val="000000" w:themeColor="text1"/>
          <w:lang w:val="en-US" w:eastAsia="zh-CN"/>
        </w:rPr>
        <w:t xml:space="preserve"> R</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Solà</w:t>
      </w:r>
      <w:proofErr w:type="spellEnd"/>
      <w:r w:rsidRPr="00907F73">
        <w:rPr>
          <w:rFonts w:ascii="Book Antiqua" w:hAnsi="Book Antiqua" w:cs="Times New Roman"/>
          <w:color w:val="000000" w:themeColor="text1"/>
          <w:lang w:val="en-US" w:eastAsia="zh-CN"/>
        </w:rPr>
        <w:t xml:space="preserve"> E, Moreau R, </w:t>
      </w:r>
      <w:proofErr w:type="spellStart"/>
      <w:r w:rsidRPr="00907F73">
        <w:rPr>
          <w:rFonts w:ascii="Book Antiqua" w:hAnsi="Book Antiqua" w:cs="Times New Roman"/>
          <w:color w:val="000000" w:themeColor="text1"/>
          <w:lang w:val="en-US" w:eastAsia="zh-CN"/>
        </w:rPr>
        <w:t>Ginès</w:t>
      </w:r>
      <w:proofErr w:type="spellEnd"/>
      <w:r w:rsidRPr="00907F73">
        <w:rPr>
          <w:rFonts w:ascii="Book Antiqua" w:hAnsi="Book Antiqua" w:cs="Times New Roman"/>
          <w:color w:val="000000" w:themeColor="text1"/>
          <w:lang w:val="en-US" w:eastAsia="zh-CN"/>
        </w:rPr>
        <w:t xml:space="preserve"> P. Acute-on-chronic liver failure: an update. </w:t>
      </w:r>
      <w:r w:rsidRPr="00907F73">
        <w:rPr>
          <w:rFonts w:ascii="Book Antiqua" w:hAnsi="Book Antiqua" w:cs="Times New Roman"/>
          <w:i/>
          <w:iCs/>
          <w:color w:val="000000" w:themeColor="text1"/>
          <w:lang w:val="en-US" w:eastAsia="zh-CN"/>
        </w:rPr>
        <w:t>Gut</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66</w:t>
      </w:r>
      <w:r w:rsidRPr="00907F73">
        <w:rPr>
          <w:rFonts w:ascii="Book Antiqua" w:hAnsi="Book Antiqua" w:cs="Times New Roman"/>
          <w:color w:val="000000" w:themeColor="text1"/>
          <w:lang w:val="en-US" w:eastAsia="zh-CN"/>
        </w:rPr>
        <w:t>: 541-553 [PMID: 28053053 DOI: 10.1136/gutjnl-2016-312670]</w:t>
      </w:r>
    </w:p>
    <w:p w14:paraId="68E7FFB3"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51 </w:t>
      </w:r>
      <w:proofErr w:type="spellStart"/>
      <w:r w:rsidRPr="00907F73">
        <w:rPr>
          <w:rFonts w:ascii="Book Antiqua" w:hAnsi="Book Antiqua" w:cs="Times New Roman"/>
          <w:b/>
          <w:bCs/>
          <w:color w:val="000000" w:themeColor="text1"/>
          <w:lang w:val="en-US" w:eastAsia="zh-CN"/>
        </w:rPr>
        <w:t>Putignano</w:t>
      </w:r>
      <w:proofErr w:type="spellEnd"/>
      <w:r w:rsidRPr="00907F73">
        <w:rPr>
          <w:rFonts w:ascii="Book Antiqua" w:hAnsi="Book Antiqua" w:cs="Times New Roman"/>
          <w:b/>
          <w:bCs/>
          <w:color w:val="000000" w:themeColor="text1"/>
          <w:lang w:val="en-US" w:eastAsia="zh-CN"/>
        </w:rPr>
        <w:t xml:space="preserve"> A</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Gustot</w:t>
      </w:r>
      <w:proofErr w:type="spellEnd"/>
      <w:r w:rsidRPr="00907F73">
        <w:rPr>
          <w:rFonts w:ascii="Book Antiqua" w:hAnsi="Book Antiqua" w:cs="Times New Roman"/>
          <w:color w:val="000000" w:themeColor="text1"/>
          <w:lang w:val="en-US" w:eastAsia="zh-CN"/>
        </w:rPr>
        <w:t xml:space="preserve"> T. New concepts in acute-on-chronic liver failure: Implications for liver transplantation.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23</w:t>
      </w:r>
      <w:r w:rsidRPr="00907F73">
        <w:rPr>
          <w:rFonts w:ascii="Book Antiqua" w:hAnsi="Book Antiqua" w:cs="Times New Roman"/>
          <w:color w:val="000000" w:themeColor="text1"/>
          <w:lang w:val="en-US" w:eastAsia="zh-CN"/>
        </w:rPr>
        <w:t>: 234-243 [PMID: 27750389 DOI: 10.1002/lt.24654]</w:t>
      </w:r>
    </w:p>
    <w:p w14:paraId="2749755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52 </w:t>
      </w:r>
      <w:proofErr w:type="spellStart"/>
      <w:r w:rsidRPr="00907F73">
        <w:rPr>
          <w:rFonts w:ascii="Book Antiqua" w:hAnsi="Book Antiqua" w:cs="Times New Roman"/>
          <w:b/>
          <w:bCs/>
          <w:color w:val="000000" w:themeColor="text1"/>
          <w:lang w:val="en-US" w:eastAsia="zh-CN"/>
        </w:rPr>
        <w:t>Fagiuoli</w:t>
      </w:r>
      <w:proofErr w:type="spellEnd"/>
      <w:r w:rsidRPr="00907F73">
        <w:rPr>
          <w:rFonts w:ascii="Book Antiqua" w:hAnsi="Book Antiqua" w:cs="Times New Roman"/>
          <w:b/>
          <w:bCs/>
          <w:color w:val="000000" w:themeColor="text1"/>
          <w:lang w:val="en-US" w:eastAsia="zh-CN"/>
        </w:rPr>
        <w:t xml:space="preserve"> S</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Colli</w:t>
      </w:r>
      <w:proofErr w:type="spellEnd"/>
      <w:r w:rsidRPr="00907F73">
        <w:rPr>
          <w:rFonts w:ascii="Book Antiqua" w:hAnsi="Book Antiqua" w:cs="Times New Roman"/>
          <w:color w:val="000000" w:themeColor="text1"/>
          <w:lang w:val="en-US" w:eastAsia="zh-CN"/>
        </w:rPr>
        <w:t xml:space="preserve"> A, Bruno R, </w:t>
      </w:r>
      <w:proofErr w:type="spellStart"/>
      <w:r w:rsidRPr="00907F73">
        <w:rPr>
          <w:rFonts w:ascii="Book Antiqua" w:hAnsi="Book Antiqua" w:cs="Times New Roman"/>
          <w:color w:val="000000" w:themeColor="text1"/>
          <w:lang w:val="en-US" w:eastAsia="zh-CN"/>
        </w:rPr>
        <w:t>Craxì</w:t>
      </w:r>
      <w:proofErr w:type="spellEnd"/>
      <w:r w:rsidRPr="00907F73">
        <w:rPr>
          <w:rFonts w:ascii="Book Antiqua" w:hAnsi="Book Antiqua" w:cs="Times New Roman"/>
          <w:color w:val="000000" w:themeColor="text1"/>
          <w:lang w:val="en-US" w:eastAsia="zh-CN"/>
        </w:rPr>
        <w:t xml:space="preserve"> A, Gaeta GB, </w:t>
      </w:r>
      <w:proofErr w:type="spellStart"/>
      <w:r w:rsidRPr="00907F73">
        <w:rPr>
          <w:rFonts w:ascii="Book Antiqua" w:hAnsi="Book Antiqua" w:cs="Times New Roman"/>
          <w:color w:val="000000" w:themeColor="text1"/>
          <w:lang w:val="en-US" w:eastAsia="zh-CN"/>
        </w:rPr>
        <w:t>Grossi</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Mondelli</w:t>
      </w:r>
      <w:proofErr w:type="spellEnd"/>
      <w:r w:rsidRPr="00907F73">
        <w:rPr>
          <w:rFonts w:ascii="Book Antiqua" w:hAnsi="Book Antiqua" w:cs="Times New Roman"/>
          <w:color w:val="000000" w:themeColor="text1"/>
          <w:lang w:val="en-US" w:eastAsia="zh-CN"/>
        </w:rPr>
        <w:t xml:space="preserve"> MU, </w:t>
      </w:r>
      <w:proofErr w:type="spellStart"/>
      <w:r w:rsidRPr="00907F73">
        <w:rPr>
          <w:rFonts w:ascii="Book Antiqua" w:hAnsi="Book Antiqua" w:cs="Times New Roman"/>
          <w:color w:val="000000" w:themeColor="text1"/>
          <w:lang w:val="en-US" w:eastAsia="zh-CN"/>
        </w:rPr>
        <w:t>Puoti</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Sagnelli</w:t>
      </w:r>
      <w:proofErr w:type="spellEnd"/>
      <w:r w:rsidRPr="00907F73">
        <w:rPr>
          <w:rFonts w:ascii="Book Antiqua" w:hAnsi="Book Antiqua" w:cs="Times New Roman"/>
          <w:color w:val="000000" w:themeColor="text1"/>
          <w:lang w:val="en-US" w:eastAsia="zh-CN"/>
        </w:rPr>
        <w:t xml:space="preserve"> E, Stefani S, </w:t>
      </w:r>
      <w:proofErr w:type="spellStart"/>
      <w:r w:rsidRPr="00907F73">
        <w:rPr>
          <w:rFonts w:ascii="Book Antiqua" w:hAnsi="Book Antiqua" w:cs="Times New Roman"/>
          <w:color w:val="000000" w:themeColor="text1"/>
          <w:lang w:val="en-US" w:eastAsia="zh-CN"/>
        </w:rPr>
        <w:t>Toniutto</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Burra</w:t>
      </w:r>
      <w:proofErr w:type="spellEnd"/>
      <w:r w:rsidRPr="00907F73">
        <w:rPr>
          <w:rFonts w:ascii="Book Antiqua" w:hAnsi="Book Antiqua" w:cs="Times New Roman"/>
          <w:color w:val="000000" w:themeColor="text1"/>
          <w:lang w:val="en-US" w:eastAsia="zh-CN"/>
        </w:rPr>
        <w:t xml:space="preserve"> P; 2011 AISF Single Topic Group. Management of infections pre- and post-liver transplantation: report of an AISF consensus conference.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60</w:t>
      </w:r>
      <w:r w:rsidRPr="00907F73">
        <w:rPr>
          <w:rFonts w:ascii="Book Antiqua" w:hAnsi="Book Antiqua" w:cs="Times New Roman"/>
          <w:color w:val="000000" w:themeColor="text1"/>
          <w:lang w:val="en-US" w:eastAsia="zh-CN"/>
        </w:rPr>
        <w:t>: 1075-1089 [PMID: 24384327 DOI: 10.1016/j.jhep.2013.12.021]</w:t>
      </w:r>
    </w:p>
    <w:p w14:paraId="482708A8"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lastRenderedPageBreak/>
        <w:t>53 </w:t>
      </w:r>
      <w:r w:rsidRPr="00907F73">
        <w:rPr>
          <w:rFonts w:ascii="Book Antiqua" w:hAnsi="Book Antiqua" w:cs="Times New Roman"/>
          <w:b/>
          <w:bCs/>
          <w:color w:val="000000" w:themeColor="text1"/>
          <w:lang w:val="en-US" w:eastAsia="zh-CN"/>
        </w:rPr>
        <w:t>Arroyo V</w:t>
      </w:r>
      <w:r w:rsidRPr="00907F73">
        <w:rPr>
          <w:rFonts w:ascii="Book Antiqua" w:hAnsi="Book Antiqua" w:cs="Times New Roman"/>
          <w:color w:val="000000" w:themeColor="text1"/>
          <w:lang w:val="en-US" w:eastAsia="zh-CN"/>
        </w:rPr>
        <w:t xml:space="preserve">, Moreau R, </w:t>
      </w:r>
      <w:proofErr w:type="spellStart"/>
      <w:r w:rsidRPr="00907F73">
        <w:rPr>
          <w:rFonts w:ascii="Book Antiqua" w:hAnsi="Book Antiqua" w:cs="Times New Roman"/>
          <w:color w:val="000000" w:themeColor="text1"/>
          <w:lang w:val="en-US" w:eastAsia="zh-CN"/>
        </w:rPr>
        <w:t>Jalan</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Ginès</w:t>
      </w:r>
      <w:proofErr w:type="spellEnd"/>
      <w:r w:rsidRPr="00907F73">
        <w:rPr>
          <w:rFonts w:ascii="Book Antiqua" w:hAnsi="Book Antiqua" w:cs="Times New Roman"/>
          <w:color w:val="000000" w:themeColor="text1"/>
          <w:lang w:val="en-US" w:eastAsia="zh-CN"/>
        </w:rPr>
        <w:t xml:space="preserve"> P; EASL-CLIF Consortium CANONIC Study. Acute-on-chronic liver failure: A new syndrome that will re-classify cirrhosis.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62</w:t>
      </w:r>
      <w:r w:rsidRPr="00907F73">
        <w:rPr>
          <w:rFonts w:ascii="Book Antiqua" w:hAnsi="Book Antiqua" w:cs="Times New Roman"/>
          <w:color w:val="000000" w:themeColor="text1"/>
          <w:lang w:val="en-US" w:eastAsia="zh-CN"/>
        </w:rPr>
        <w:t>: S131-S143 [PMID: 25920082 DOI: 10.1016/j.jhep.2014.11.045]</w:t>
      </w:r>
    </w:p>
    <w:p w14:paraId="1C83F983"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54 </w:t>
      </w:r>
      <w:proofErr w:type="spellStart"/>
      <w:r w:rsidRPr="00907F73">
        <w:rPr>
          <w:rFonts w:ascii="Book Antiqua" w:hAnsi="Book Antiqua" w:cs="Times New Roman"/>
          <w:b/>
          <w:bCs/>
          <w:color w:val="000000" w:themeColor="text1"/>
          <w:lang w:val="en-US" w:eastAsia="zh-CN"/>
        </w:rPr>
        <w:t>Sarin</w:t>
      </w:r>
      <w:proofErr w:type="spellEnd"/>
      <w:r w:rsidRPr="00907F73">
        <w:rPr>
          <w:rFonts w:ascii="Book Antiqua" w:hAnsi="Book Antiqua" w:cs="Times New Roman"/>
          <w:b/>
          <w:bCs/>
          <w:color w:val="000000" w:themeColor="text1"/>
          <w:lang w:val="en-US" w:eastAsia="zh-CN"/>
        </w:rPr>
        <w:t xml:space="preserve"> SK</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Kedarisetty</w:t>
      </w:r>
      <w:proofErr w:type="spellEnd"/>
      <w:r w:rsidRPr="00907F73">
        <w:rPr>
          <w:rFonts w:ascii="Book Antiqua" w:hAnsi="Book Antiqua" w:cs="Times New Roman"/>
          <w:color w:val="000000" w:themeColor="text1"/>
          <w:lang w:val="en-US" w:eastAsia="zh-CN"/>
        </w:rPr>
        <w:t xml:space="preserve"> CK, Abbas Z, </w:t>
      </w:r>
      <w:proofErr w:type="spellStart"/>
      <w:r w:rsidRPr="00907F73">
        <w:rPr>
          <w:rFonts w:ascii="Book Antiqua" w:hAnsi="Book Antiqua" w:cs="Times New Roman"/>
          <w:color w:val="000000" w:themeColor="text1"/>
          <w:lang w:val="en-US" w:eastAsia="zh-CN"/>
        </w:rPr>
        <w:t>Amarapurkar</w:t>
      </w:r>
      <w:proofErr w:type="spellEnd"/>
      <w:r w:rsidRPr="00907F73">
        <w:rPr>
          <w:rFonts w:ascii="Book Antiqua" w:hAnsi="Book Antiqua" w:cs="Times New Roman"/>
          <w:color w:val="000000" w:themeColor="text1"/>
          <w:lang w:val="en-US" w:eastAsia="zh-CN"/>
        </w:rPr>
        <w:t xml:space="preserve"> D, </w:t>
      </w:r>
      <w:proofErr w:type="spellStart"/>
      <w:r w:rsidRPr="00907F73">
        <w:rPr>
          <w:rFonts w:ascii="Book Antiqua" w:hAnsi="Book Antiqua" w:cs="Times New Roman"/>
          <w:color w:val="000000" w:themeColor="text1"/>
          <w:lang w:val="en-US" w:eastAsia="zh-CN"/>
        </w:rPr>
        <w:t>Bihari</w:t>
      </w:r>
      <w:proofErr w:type="spellEnd"/>
      <w:r w:rsidRPr="00907F73">
        <w:rPr>
          <w:rFonts w:ascii="Book Antiqua" w:hAnsi="Book Antiqua" w:cs="Times New Roman"/>
          <w:color w:val="000000" w:themeColor="text1"/>
          <w:lang w:val="en-US" w:eastAsia="zh-CN"/>
        </w:rPr>
        <w:t xml:space="preserve"> C, Chan AC, </w:t>
      </w:r>
      <w:proofErr w:type="spellStart"/>
      <w:r w:rsidRPr="00907F73">
        <w:rPr>
          <w:rFonts w:ascii="Book Antiqua" w:hAnsi="Book Antiqua" w:cs="Times New Roman"/>
          <w:color w:val="000000" w:themeColor="text1"/>
          <w:lang w:val="en-US" w:eastAsia="zh-CN"/>
        </w:rPr>
        <w:t>Chawla</w:t>
      </w:r>
      <w:proofErr w:type="spellEnd"/>
      <w:r w:rsidRPr="00907F73">
        <w:rPr>
          <w:rFonts w:ascii="Book Antiqua" w:hAnsi="Book Antiqua" w:cs="Times New Roman"/>
          <w:color w:val="000000" w:themeColor="text1"/>
          <w:lang w:val="en-US" w:eastAsia="zh-CN"/>
        </w:rPr>
        <w:t xml:space="preserve"> YK, </w:t>
      </w:r>
      <w:proofErr w:type="spellStart"/>
      <w:r w:rsidRPr="00907F73">
        <w:rPr>
          <w:rFonts w:ascii="Book Antiqua" w:hAnsi="Book Antiqua" w:cs="Times New Roman"/>
          <w:color w:val="000000" w:themeColor="text1"/>
          <w:lang w:val="en-US" w:eastAsia="zh-CN"/>
        </w:rPr>
        <w:t>Dokmeci</w:t>
      </w:r>
      <w:proofErr w:type="spellEnd"/>
      <w:r w:rsidRPr="00907F73">
        <w:rPr>
          <w:rFonts w:ascii="Book Antiqua" w:hAnsi="Book Antiqua" w:cs="Times New Roman"/>
          <w:color w:val="000000" w:themeColor="text1"/>
          <w:lang w:val="en-US" w:eastAsia="zh-CN"/>
        </w:rPr>
        <w:t xml:space="preserve"> AK, </w:t>
      </w:r>
      <w:proofErr w:type="spellStart"/>
      <w:r w:rsidRPr="00907F73">
        <w:rPr>
          <w:rFonts w:ascii="Book Antiqua" w:hAnsi="Book Antiqua" w:cs="Times New Roman"/>
          <w:color w:val="000000" w:themeColor="text1"/>
          <w:lang w:val="en-US" w:eastAsia="zh-CN"/>
        </w:rPr>
        <w:t>Garg</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Ghazinyan</w:t>
      </w:r>
      <w:proofErr w:type="spellEnd"/>
      <w:r w:rsidRPr="00907F73">
        <w:rPr>
          <w:rFonts w:ascii="Book Antiqua" w:hAnsi="Book Antiqua" w:cs="Times New Roman"/>
          <w:color w:val="000000" w:themeColor="text1"/>
          <w:lang w:val="en-US" w:eastAsia="zh-CN"/>
        </w:rPr>
        <w:t xml:space="preserve"> H, Hamid S, Kim DJ, </w:t>
      </w:r>
      <w:proofErr w:type="spellStart"/>
      <w:r w:rsidRPr="00907F73">
        <w:rPr>
          <w:rFonts w:ascii="Book Antiqua" w:hAnsi="Book Antiqua" w:cs="Times New Roman"/>
          <w:color w:val="000000" w:themeColor="text1"/>
          <w:lang w:val="en-US" w:eastAsia="zh-CN"/>
        </w:rPr>
        <w:t>Komolmit</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Lata</w:t>
      </w:r>
      <w:proofErr w:type="spellEnd"/>
      <w:r w:rsidRPr="00907F73">
        <w:rPr>
          <w:rFonts w:ascii="Book Antiqua" w:hAnsi="Book Antiqua" w:cs="Times New Roman"/>
          <w:color w:val="000000" w:themeColor="text1"/>
          <w:lang w:val="en-US" w:eastAsia="zh-CN"/>
        </w:rPr>
        <w:t xml:space="preserve"> S, Lee GH, </w:t>
      </w:r>
      <w:proofErr w:type="spellStart"/>
      <w:r w:rsidRPr="00907F73">
        <w:rPr>
          <w:rFonts w:ascii="Book Antiqua" w:hAnsi="Book Antiqua" w:cs="Times New Roman"/>
          <w:color w:val="000000" w:themeColor="text1"/>
          <w:lang w:val="en-US" w:eastAsia="zh-CN"/>
        </w:rPr>
        <w:t>Lesmana</w:t>
      </w:r>
      <w:proofErr w:type="spellEnd"/>
      <w:r w:rsidRPr="00907F73">
        <w:rPr>
          <w:rFonts w:ascii="Book Antiqua" w:hAnsi="Book Antiqua" w:cs="Times New Roman"/>
          <w:color w:val="000000" w:themeColor="text1"/>
          <w:lang w:val="en-US" w:eastAsia="zh-CN"/>
        </w:rPr>
        <w:t xml:space="preserve"> LA, </w:t>
      </w:r>
      <w:proofErr w:type="spellStart"/>
      <w:r w:rsidRPr="00907F73">
        <w:rPr>
          <w:rFonts w:ascii="Book Antiqua" w:hAnsi="Book Antiqua" w:cs="Times New Roman"/>
          <w:color w:val="000000" w:themeColor="text1"/>
          <w:lang w:val="en-US" w:eastAsia="zh-CN"/>
        </w:rPr>
        <w:t>Mahtab</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Maiwall</w:t>
      </w:r>
      <w:proofErr w:type="spellEnd"/>
      <w:r w:rsidRPr="00907F73">
        <w:rPr>
          <w:rFonts w:ascii="Book Antiqua" w:hAnsi="Book Antiqua" w:cs="Times New Roman"/>
          <w:color w:val="000000" w:themeColor="text1"/>
          <w:lang w:val="en-US" w:eastAsia="zh-CN"/>
        </w:rPr>
        <w:t xml:space="preserve"> R, Moreau R, </w:t>
      </w:r>
      <w:proofErr w:type="spellStart"/>
      <w:r w:rsidRPr="00907F73">
        <w:rPr>
          <w:rFonts w:ascii="Book Antiqua" w:hAnsi="Book Antiqua" w:cs="Times New Roman"/>
          <w:color w:val="000000" w:themeColor="text1"/>
          <w:lang w:val="en-US" w:eastAsia="zh-CN"/>
        </w:rPr>
        <w:t>Ning</w:t>
      </w:r>
      <w:proofErr w:type="spellEnd"/>
      <w:r w:rsidRPr="00907F73">
        <w:rPr>
          <w:rFonts w:ascii="Book Antiqua" w:hAnsi="Book Antiqua" w:cs="Times New Roman"/>
          <w:color w:val="000000" w:themeColor="text1"/>
          <w:lang w:val="en-US" w:eastAsia="zh-CN"/>
        </w:rPr>
        <w:t xml:space="preserve"> Q, </w:t>
      </w:r>
      <w:proofErr w:type="spellStart"/>
      <w:r w:rsidRPr="00907F73">
        <w:rPr>
          <w:rFonts w:ascii="Book Antiqua" w:hAnsi="Book Antiqua" w:cs="Times New Roman"/>
          <w:color w:val="000000" w:themeColor="text1"/>
          <w:lang w:val="en-US" w:eastAsia="zh-CN"/>
        </w:rPr>
        <w:t>Pamecha</w:t>
      </w:r>
      <w:proofErr w:type="spellEnd"/>
      <w:r w:rsidRPr="00907F73">
        <w:rPr>
          <w:rFonts w:ascii="Book Antiqua" w:hAnsi="Book Antiqua" w:cs="Times New Roman"/>
          <w:color w:val="000000" w:themeColor="text1"/>
          <w:lang w:val="en-US" w:eastAsia="zh-CN"/>
        </w:rPr>
        <w:t xml:space="preserve"> V, </w:t>
      </w:r>
      <w:proofErr w:type="spellStart"/>
      <w:r w:rsidRPr="00907F73">
        <w:rPr>
          <w:rFonts w:ascii="Book Antiqua" w:hAnsi="Book Antiqua" w:cs="Times New Roman"/>
          <w:color w:val="000000" w:themeColor="text1"/>
          <w:lang w:val="en-US" w:eastAsia="zh-CN"/>
        </w:rPr>
        <w:t>Payawal</w:t>
      </w:r>
      <w:proofErr w:type="spellEnd"/>
      <w:r w:rsidRPr="00907F73">
        <w:rPr>
          <w:rFonts w:ascii="Book Antiqua" w:hAnsi="Book Antiqua" w:cs="Times New Roman"/>
          <w:color w:val="000000" w:themeColor="text1"/>
          <w:lang w:val="en-US" w:eastAsia="zh-CN"/>
        </w:rPr>
        <w:t xml:space="preserve"> DA, </w:t>
      </w:r>
      <w:proofErr w:type="spellStart"/>
      <w:r w:rsidRPr="00907F73">
        <w:rPr>
          <w:rFonts w:ascii="Book Antiqua" w:hAnsi="Book Antiqua" w:cs="Times New Roman"/>
          <w:color w:val="000000" w:themeColor="text1"/>
          <w:lang w:val="en-US" w:eastAsia="zh-CN"/>
        </w:rPr>
        <w:t>Rastogi</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Rahman</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Rela</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Saraya</w:t>
      </w:r>
      <w:proofErr w:type="spellEnd"/>
      <w:r w:rsidRPr="00907F73">
        <w:rPr>
          <w:rFonts w:ascii="Book Antiqua" w:hAnsi="Book Antiqua" w:cs="Times New Roman"/>
          <w:color w:val="000000" w:themeColor="text1"/>
          <w:lang w:val="en-US" w:eastAsia="zh-CN"/>
        </w:rPr>
        <w:t xml:space="preserve"> A, Samuel D, Saraswat V, Shah S, </w:t>
      </w:r>
      <w:proofErr w:type="spellStart"/>
      <w:r w:rsidRPr="00907F73">
        <w:rPr>
          <w:rFonts w:ascii="Book Antiqua" w:hAnsi="Book Antiqua" w:cs="Times New Roman"/>
          <w:color w:val="000000" w:themeColor="text1"/>
          <w:lang w:val="en-US" w:eastAsia="zh-CN"/>
        </w:rPr>
        <w:t>Shiha</w:t>
      </w:r>
      <w:proofErr w:type="spellEnd"/>
      <w:r w:rsidRPr="00907F73">
        <w:rPr>
          <w:rFonts w:ascii="Book Antiqua" w:hAnsi="Book Antiqua" w:cs="Times New Roman"/>
          <w:color w:val="000000" w:themeColor="text1"/>
          <w:lang w:val="en-US" w:eastAsia="zh-CN"/>
        </w:rPr>
        <w:t xml:space="preserve"> G, Sharma BC, Sharma MK, Sharma K, Butt AS, Tan SS, </w:t>
      </w:r>
      <w:proofErr w:type="spellStart"/>
      <w:r w:rsidRPr="00907F73">
        <w:rPr>
          <w:rFonts w:ascii="Book Antiqua" w:hAnsi="Book Antiqua" w:cs="Times New Roman"/>
          <w:color w:val="000000" w:themeColor="text1"/>
          <w:lang w:val="en-US" w:eastAsia="zh-CN"/>
        </w:rPr>
        <w:t>Vashishtha</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Wani</w:t>
      </w:r>
      <w:proofErr w:type="spellEnd"/>
      <w:r w:rsidRPr="00907F73">
        <w:rPr>
          <w:rFonts w:ascii="Book Antiqua" w:hAnsi="Book Antiqua" w:cs="Times New Roman"/>
          <w:color w:val="000000" w:themeColor="text1"/>
          <w:lang w:val="en-US" w:eastAsia="zh-CN"/>
        </w:rPr>
        <w:t xml:space="preserve"> ZA, Yuen MF, Yokosuka O; APASL ACLF Working Party. Acute-on-chronic liver failure: consensus recommendations of the Asian Pacific Association for the Study of the Liver (APASL) 2014.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i/>
          <w:iCs/>
          <w:color w:val="000000" w:themeColor="text1"/>
          <w:lang w:val="en-US" w:eastAsia="zh-CN"/>
        </w:rPr>
        <w:t xml:space="preserve"> </w:t>
      </w:r>
      <w:proofErr w:type="spellStart"/>
      <w:r w:rsidRPr="00907F73">
        <w:rPr>
          <w:rFonts w:ascii="Book Antiqua" w:hAnsi="Book Antiqua" w:cs="Times New Roman"/>
          <w:i/>
          <w:iCs/>
          <w:color w:val="000000" w:themeColor="text1"/>
          <w:lang w:val="en-US" w:eastAsia="zh-CN"/>
        </w:rPr>
        <w:t>Int</w:t>
      </w:r>
      <w:proofErr w:type="spellEnd"/>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8</w:t>
      </w:r>
      <w:r w:rsidRPr="00907F73">
        <w:rPr>
          <w:rFonts w:ascii="Book Antiqua" w:hAnsi="Book Antiqua" w:cs="Times New Roman"/>
          <w:color w:val="000000" w:themeColor="text1"/>
          <w:lang w:val="en-US" w:eastAsia="zh-CN"/>
        </w:rPr>
        <w:t>: 453-471 [PMID: 26202751 DOI: 10.1007/s12072-014-9580-2]</w:t>
      </w:r>
    </w:p>
    <w:p w14:paraId="0E07E053"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55 </w:t>
      </w:r>
      <w:r w:rsidRPr="00907F73">
        <w:rPr>
          <w:rFonts w:ascii="Book Antiqua" w:hAnsi="Book Antiqua" w:cs="Times New Roman"/>
          <w:b/>
          <w:bCs/>
          <w:color w:val="000000" w:themeColor="text1"/>
          <w:lang w:val="en-US" w:eastAsia="zh-CN"/>
        </w:rPr>
        <w:t>Choudhury A</w:t>
      </w:r>
      <w:r w:rsidRPr="00907F73">
        <w:rPr>
          <w:rFonts w:ascii="Book Antiqua" w:hAnsi="Book Antiqua" w:cs="Times New Roman"/>
          <w:color w:val="000000" w:themeColor="text1"/>
          <w:lang w:val="en-US" w:eastAsia="zh-CN"/>
        </w:rPr>
        <w:t xml:space="preserve">, Kumar M, Sharma BC, </w:t>
      </w:r>
      <w:proofErr w:type="spellStart"/>
      <w:r w:rsidRPr="00907F73">
        <w:rPr>
          <w:rFonts w:ascii="Book Antiqua" w:hAnsi="Book Antiqua" w:cs="Times New Roman"/>
          <w:color w:val="000000" w:themeColor="text1"/>
          <w:lang w:val="en-US" w:eastAsia="zh-CN"/>
        </w:rPr>
        <w:t>Maiwall</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Pamecha</w:t>
      </w:r>
      <w:proofErr w:type="spellEnd"/>
      <w:r w:rsidRPr="00907F73">
        <w:rPr>
          <w:rFonts w:ascii="Book Antiqua" w:hAnsi="Book Antiqua" w:cs="Times New Roman"/>
          <w:color w:val="000000" w:themeColor="text1"/>
          <w:lang w:val="en-US" w:eastAsia="zh-CN"/>
        </w:rPr>
        <w:t xml:space="preserve"> V, Moreau R, </w:t>
      </w:r>
      <w:proofErr w:type="spellStart"/>
      <w:r w:rsidRPr="00907F73">
        <w:rPr>
          <w:rFonts w:ascii="Book Antiqua" w:hAnsi="Book Antiqua" w:cs="Times New Roman"/>
          <w:color w:val="000000" w:themeColor="text1"/>
          <w:lang w:val="en-US" w:eastAsia="zh-CN"/>
        </w:rPr>
        <w:t>Chawla</w:t>
      </w:r>
      <w:proofErr w:type="spellEnd"/>
      <w:r w:rsidRPr="00907F73">
        <w:rPr>
          <w:rFonts w:ascii="Book Antiqua" w:hAnsi="Book Antiqua" w:cs="Times New Roman"/>
          <w:color w:val="000000" w:themeColor="text1"/>
          <w:lang w:val="en-US" w:eastAsia="zh-CN"/>
        </w:rPr>
        <w:t xml:space="preserve"> YK, </w:t>
      </w:r>
      <w:proofErr w:type="spellStart"/>
      <w:r w:rsidRPr="00907F73">
        <w:rPr>
          <w:rFonts w:ascii="Book Antiqua" w:hAnsi="Book Antiqua" w:cs="Times New Roman"/>
          <w:color w:val="000000" w:themeColor="text1"/>
          <w:lang w:val="en-US" w:eastAsia="zh-CN"/>
        </w:rPr>
        <w:t>Duseja</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Mahtab</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Rahman</w:t>
      </w:r>
      <w:proofErr w:type="spellEnd"/>
      <w:r w:rsidRPr="00907F73">
        <w:rPr>
          <w:rFonts w:ascii="Book Antiqua" w:hAnsi="Book Antiqua" w:cs="Times New Roman"/>
          <w:color w:val="000000" w:themeColor="text1"/>
          <w:lang w:val="en-US" w:eastAsia="zh-CN"/>
        </w:rPr>
        <w:t xml:space="preserve"> S, Hamid SS, Butt AS, Jafri W, Tan SS, </w:t>
      </w:r>
      <w:proofErr w:type="spellStart"/>
      <w:r w:rsidRPr="00907F73">
        <w:rPr>
          <w:rFonts w:ascii="Book Antiqua" w:hAnsi="Book Antiqua" w:cs="Times New Roman"/>
          <w:color w:val="000000" w:themeColor="text1"/>
          <w:lang w:val="en-US" w:eastAsia="zh-CN"/>
        </w:rPr>
        <w:t>Devarbhavi</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Amarapurkar</w:t>
      </w:r>
      <w:proofErr w:type="spellEnd"/>
      <w:r w:rsidRPr="00907F73">
        <w:rPr>
          <w:rFonts w:ascii="Book Antiqua" w:hAnsi="Book Antiqua" w:cs="Times New Roman"/>
          <w:color w:val="000000" w:themeColor="text1"/>
          <w:lang w:val="en-US" w:eastAsia="zh-CN"/>
        </w:rPr>
        <w:t xml:space="preserve"> D, </w:t>
      </w:r>
      <w:proofErr w:type="spellStart"/>
      <w:r w:rsidRPr="00907F73">
        <w:rPr>
          <w:rFonts w:ascii="Book Antiqua" w:hAnsi="Book Antiqua" w:cs="Times New Roman"/>
          <w:color w:val="000000" w:themeColor="text1"/>
          <w:lang w:val="en-US" w:eastAsia="zh-CN"/>
        </w:rPr>
        <w:t>Ning</w:t>
      </w:r>
      <w:proofErr w:type="spellEnd"/>
      <w:r w:rsidRPr="00907F73">
        <w:rPr>
          <w:rFonts w:ascii="Book Antiqua" w:hAnsi="Book Antiqua" w:cs="Times New Roman"/>
          <w:color w:val="000000" w:themeColor="text1"/>
          <w:lang w:val="en-US" w:eastAsia="zh-CN"/>
        </w:rPr>
        <w:t xml:space="preserve"> Q, </w:t>
      </w:r>
      <w:proofErr w:type="spellStart"/>
      <w:r w:rsidRPr="00907F73">
        <w:rPr>
          <w:rFonts w:ascii="Book Antiqua" w:hAnsi="Book Antiqua" w:cs="Times New Roman"/>
          <w:color w:val="000000" w:themeColor="text1"/>
          <w:lang w:val="en-US" w:eastAsia="zh-CN"/>
        </w:rPr>
        <w:t>Eapen</w:t>
      </w:r>
      <w:proofErr w:type="spellEnd"/>
      <w:r w:rsidRPr="00907F73">
        <w:rPr>
          <w:rFonts w:ascii="Book Antiqua" w:hAnsi="Book Antiqua" w:cs="Times New Roman"/>
          <w:color w:val="000000" w:themeColor="text1"/>
          <w:lang w:val="en-US" w:eastAsia="zh-CN"/>
        </w:rPr>
        <w:t xml:space="preserve"> CE, </w:t>
      </w:r>
      <w:proofErr w:type="spellStart"/>
      <w:r w:rsidRPr="00907F73">
        <w:rPr>
          <w:rFonts w:ascii="Book Antiqua" w:hAnsi="Book Antiqua" w:cs="Times New Roman"/>
          <w:color w:val="000000" w:themeColor="text1"/>
          <w:lang w:val="en-US" w:eastAsia="zh-CN"/>
        </w:rPr>
        <w:t>Goel</w:t>
      </w:r>
      <w:proofErr w:type="spellEnd"/>
      <w:r w:rsidRPr="00907F73">
        <w:rPr>
          <w:rFonts w:ascii="Book Antiqua" w:hAnsi="Book Antiqua" w:cs="Times New Roman"/>
          <w:color w:val="000000" w:themeColor="text1"/>
          <w:lang w:val="en-US" w:eastAsia="zh-CN"/>
        </w:rPr>
        <w:t xml:space="preserve"> A, Kim DJ, </w:t>
      </w:r>
      <w:proofErr w:type="spellStart"/>
      <w:r w:rsidRPr="00907F73">
        <w:rPr>
          <w:rFonts w:ascii="Book Antiqua" w:hAnsi="Book Antiqua" w:cs="Times New Roman"/>
          <w:color w:val="000000" w:themeColor="text1"/>
          <w:lang w:val="en-US" w:eastAsia="zh-CN"/>
        </w:rPr>
        <w:t>Ghazinyan</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Shiha</w:t>
      </w:r>
      <w:proofErr w:type="spellEnd"/>
      <w:r w:rsidRPr="00907F73">
        <w:rPr>
          <w:rFonts w:ascii="Book Antiqua" w:hAnsi="Book Antiqua" w:cs="Times New Roman"/>
          <w:color w:val="000000" w:themeColor="text1"/>
          <w:lang w:val="en-US" w:eastAsia="zh-CN"/>
        </w:rPr>
        <w:t xml:space="preserve"> G, Lee GH, Abbas Z, </w:t>
      </w:r>
      <w:proofErr w:type="spellStart"/>
      <w:r w:rsidRPr="00907F73">
        <w:rPr>
          <w:rFonts w:ascii="Book Antiqua" w:hAnsi="Book Antiqua" w:cs="Times New Roman"/>
          <w:color w:val="000000" w:themeColor="text1"/>
          <w:lang w:val="en-US" w:eastAsia="zh-CN"/>
        </w:rPr>
        <w:t>Payawal</w:t>
      </w:r>
      <w:proofErr w:type="spellEnd"/>
      <w:r w:rsidRPr="00907F73">
        <w:rPr>
          <w:rFonts w:ascii="Book Antiqua" w:hAnsi="Book Antiqua" w:cs="Times New Roman"/>
          <w:color w:val="000000" w:themeColor="text1"/>
          <w:lang w:val="en-US" w:eastAsia="zh-CN"/>
        </w:rPr>
        <w:t xml:space="preserve"> DA, </w:t>
      </w:r>
      <w:proofErr w:type="spellStart"/>
      <w:r w:rsidRPr="00907F73">
        <w:rPr>
          <w:rFonts w:ascii="Book Antiqua" w:hAnsi="Book Antiqua" w:cs="Times New Roman"/>
          <w:color w:val="000000" w:themeColor="text1"/>
          <w:lang w:val="en-US" w:eastAsia="zh-CN"/>
        </w:rPr>
        <w:t>Dokmeci</w:t>
      </w:r>
      <w:proofErr w:type="spellEnd"/>
      <w:r w:rsidRPr="00907F73">
        <w:rPr>
          <w:rFonts w:ascii="Book Antiqua" w:hAnsi="Book Antiqua" w:cs="Times New Roman"/>
          <w:color w:val="000000" w:themeColor="text1"/>
          <w:lang w:val="en-US" w:eastAsia="zh-CN"/>
        </w:rPr>
        <w:t xml:space="preserve"> AK, Yuen MF, </w:t>
      </w:r>
      <w:proofErr w:type="spellStart"/>
      <w:r w:rsidRPr="00907F73">
        <w:rPr>
          <w:rFonts w:ascii="Book Antiqua" w:hAnsi="Book Antiqua" w:cs="Times New Roman"/>
          <w:color w:val="000000" w:themeColor="text1"/>
          <w:lang w:val="en-US" w:eastAsia="zh-CN"/>
        </w:rPr>
        <w:t>Lesmana</w:t>
      </w:r>
      <w:proofErr w:type="spellEnd"/>
      <w:r w:rsidRPr="00907F73">
        <w:rPr>
          <w:rFonts w:ascii="Book Antiqua" w:hAnsi="Book Antiqua" w:cs="Times New Roman"/>
          <w:color w:val="000000" w:themeColor="text1"/>
          <w:lang w:val="en-US" w:eastAsia="zh-CN"/>
        </w:rPr>
        <w:t xml:space="preserve"> LA, </w:t>
      </w:r>
      <w:proofErr w:type="spellStart"/>
      <w:r w:rsidRPr="00907F73">
        <w:rPr>
          <w:rFonts w:ascii="Book Antiqua" w:hAnsi="Book Antiqua" w:cs="Times New Roman"/>
          <w:color w:val="000000" w:themeColor="text1"/>
          <w:lang w:val="en-US" w:eastAsia="zh-CN"/>
        </w:rPr>
        <w:t>Sood</w:t>
      </w:r>
      <w:proofErr w:type="spellEnd"/>
      <w:r w:rsidRPr="00907F73">
        <w:rPr>
          <w:rFonts w:ascii="Book Antiqua" w:hAnsi="Book Antiqua" w:cs="Times New Roman"/>
          <w:color w:val="000000" w:themeColor="text1"/>
          <w:lang w:val="en-US" w:eastAsia="zh-CN"/>
        </w:rPr>
        <w:t xml:space="preserve"> A, Chan A, Lau GK, </w:t>
      </w:r>
      <w:proofErr w:type="spellStart"/>
      <w:r w:rsidRPr="00907F73">
        <w:rPr>
          <w:rFonts w:ascii="Book Antiqua" w:hAnsi="Book Antiqua" w:cs="Times New Roman"/>
          <w:color w:val="000000" w:themeColor="text1"/>
          <w:lang w:val="en-US" w:eastAsia="zh-CN"/>
        </w:rPr>
        <w:t>Jia</w:t>
      </w:r>
      <w:proofErr w:type="spellEnd"/>
      <w:r w:rsidRPr="00907F73">
        <w:rPr>
          <w:rFonts w:ascii="Book Antiqua" w:hAnsi="Book Antiqua" w:cs="Times New Roman"/>
          <w:color w:val="000000" w:themeColor="text1"/>
          <w:lang w:val="en-US" w:eastAsia="zh-CN"/>
        </w:rPr>
        <w:t xml:space="preserve"> JD, </w:t>
      </w:r>
      <w:proofErr w:type="spellStart"/>
      <w:r w:rsidRPr="00907F73">
        <w:rPr>
          <w:rFonts w:ascii="Book Antiqua" w:hAnsi="Book Antiqua" w:cs="Times New Roman"/>
          <w:color w:val="000000" w:themeColor="text1"/>
          <w:lang w:val="en-US" w:eastAsia="zh-CN"/>
        </w:rPr>
        <w:t>Duan</w:t>
      </w:r>
      <w:proofErr w:type="spellEnd"/>
      <w:r w:rsidRPr="00907F73">
        <w:rPr>
          <w:rFonts w:ascii="Book Antiqua" w:hAnsi="Book Antiqua" w:cs="Times New Roman"/>
          <w:color w:val="000000" w:themeColor="text1"/>
          <w:lang w:val="en-US" w:eastAsia="zh-CN"/>
        </w:rPr>
        <w:t xml:space="preserve"> Z, Yu C, Yokosuka O, Jain P, </w:t>
      </w:r>
      <w:proofErr w:type="spellStart"/>
      <w:r w:rsidRPr="00907F73">
        <w:rPr>
          <w:rFonts w:ascii="Book Antiqua" w:hAnsi="Book Antiqua" w:cs="Times New Roman"/>
          <w:color w:val="000000" w:themeColor="text1"/>
          <w:lang w:val="en-US" w:eastAsia="zh-CN"/>
        </w:rPr>
        <w:t>Bhadoria</w:t>
      </w:r>
      <w:proofErr w:type="spellEnd"/>
      <w:r w:rsidRPr="00907F73">
        <w:rPr>
          <w:rFonts w:ascii="Book Antiqua" w:hAnsi="Book Antiqua" w:cs="Times New Roman"/>
          <w:color w:val="000000" w:themeColor="text1"/>
          <w:lang w:val="en-US" w:eastAsia="zh-CN"/>
        </w:rPr>
        <w:t xml:space="preserve"> AS, Kumar G, Sarin SK; APASL ACLF working party. Systemic inflammatory response syndrome in acute-on-chronic liver failure: Relevance of 'golden window': A prospective study.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Gastroenterol</w:t>
      </w:r>
      <w:proofErr w:type="spellEnd"/>
      <w:r w:rsidRPr="00907F73">
        <w:rPr>
          <w:rFonts w:ascii="Book Antiqua" w:hAnsi="Book Antiqua" w:cs="Times New Roman"/>
          <w:i/>
          <w:iCs/>
          <w:color w:val="000000" w:themeColor="text1"/>
          <w:lang w:val="en-US" w:eastAsia="zh-CN"/>
        </w:rPr>
        <w:t xml:space="preserve">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32</w:t>
      </w:r>
      <w:r w:rsidRPr="00907F73">
        <w:rPr>
          <w:rFonts w:ascii="Book Antiqua" w:hAnsi="Book Antiqua" w:cs="Times New Roman"/>
          <w:color w:val="000000" w:themeColor="text1"/>
          <w:lang w:val="en-US" w:eastAsia="zh-CN"/>
        </w:rPr>
        <w:t>: 1989-1997 [PMID: 28374414 DOI: 10.1111/jgh.13799]</w:t>
      </w:r>
    </w:p>
    <w:p w14:paraId="5F357970"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56 </w:t>
      </w:r>
      <w:r w:rsidRPr="00907F73">
        <w:rPr>
          <w:rFonts w:ascii="Book Antiqua" w:hAnsi="Book Antiqua" w:cs="Times New Roman"/>
          <w:b/>
          <w:bCs/>
          <w:color w:val="000000" w:themeColor="text1"/>
          <w:lang w:val="en-US" w:eastAsia="zh-CN"/>
        </w:rPr>
        <w:t>Kumar A</w:t>
      </w:r>
      <w:r w:rsidRPr="00907F73">
        <w:rPr>
          <w:rFonts w:ascii="Book Antiqua" w:hAnsi="Book Antiqua" w:cs="Times New Roman"/>
          <w:color w:val="000000" w:themeColor="text1"/>
          <w:lang w:val="en-US" w:eastAsia="zh-CN"/>
        </w:rPr>
        <w:t>, Das K, Sharma P, Mehta V, Sharma BC, Sarin SK. Hemodynamic studies in acute-on-chronic liver failure. </w:t>
      </w:r>
      <w:r w:rsidRPr="00907F73">
        <w:rPr>
          <w:rFonts w:ascii="Book Antiqua" w:hAnsi="Book Antiqua" w:cs="Times New Roman"/>
          <w:i/>
          <w:iCs/>
          <w:color w:val="000000" w:themeColor="text1"/>
          <w:lang w:val="en-US" w:eastAsia="zh-CN"/>
        </w:rPr>
        <w:t>Dig Dis Sci</w:t>
      </w:r>
      <w:r w:rsidRPr="00907F73">
        <w:rPr>
          <w:rFonts w:ascii="Book Antiqua" w:hAnsi="Book Antiqua" w:cs="Times New Roman"/>
          <w:color w:val="000000" w:themeColor="text1"/>
          <w:lang w:val="en-US" w:eastAsia="zh-CN"/>
        </w:rPr>
        <w:t> 2009; </w:t>
      </w:r>
      <w:r w:rsidRPr="00907F73">
        <w:rPr>
          <w:rFonts w:ascii="Book Antiqua" w:hAnsi="Book Antiqua" w:cs="Times New Roman"/>
          <w:b/>
          <w:bCs/>
          <w:color w:val="000000" w:themeColor="text1"/>
          <w:lang w:val="en-US" w:eastAsia="zh-CN"/>
        </w:rPr>
        <w:t>54</w:t>
      </w:r>
      <w:r w:rsidRPr="00907F73">
        <w:rPr>
          <w:rFonts w:ascii="Book Antiqua" w:hAnsi="Book Antiqua" w:cs="Times New Roman"/>
          <w:color w:val="000000" w:themeColor="text1"/>
          <w:lang w:val="en-US" w:eastAsia="zh-CN"/>
        </w:rPr>
        <w:t>: 869-878 [PMID: 18688717 DOI: 10.1007/s10620-008-0421-9]</w:t>
      </w:r>
    </w:p>
    <w:p w14:paraId="21809AC0"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57 </w:t>
      </w:r>
      <w:r w:rsidRPr="00907F73">
        <w:rPr>
          <w:rFonts w:ascii="Book Antiqua" w:hAnsi="Book Antiqua" w:cs="Times New Roman"/>
          <w:b/>
          <w:bCs/>
          <w:color w:val="000000" w:themeColor="text1"/>
          <w:lang w:val="en-US" w:eastAsia="zh-CN"/>
        </w:rPr>
        <w:t>Liu H</w:t>
      </w:r>
      <w:r w:rsidRPr="00907F73">
        <w:rPr>
          <w:rFonts w:ascii="Book Antiqua" w:hAnsi="Book Antiqua" w:cs="Times New Roman"/>
          <w:color w:val="000000" w:themeColor="text1"/>
          <w:lang w:val="en-US" w:eastAsia="zh-CN"/>
        </w:rPr>
        <w:t>, Lee SS. Acute-on-chronic liver failure: the heart and systemic hemodynamics. </w:t>
      </w:r>
      <w:proofErr w:type="spellStart"/>
      <w:r w:rsidRPr="00907F73">
        <w:rPr>
          <w:rFonts w:ascii="Book Antiqua" w:hAnsi="Book Antiqua" w:cs="Times New Roman"/>
          <w:i/>
          <w:iCs/>
          <w:color w:val="000000" w:themeColor="text1"/>
          <w:lang w:val="en-US" w:eastAsia="zh-CN"/>
        </w:rPr>
        <w:t>Curr</w:t>
      </w:r>
      <w:proofErr w:type="spellEnd"/>
      <w:r w:rsidRPr="00907F73">
        <w:rPr>
          <w:rFonts w:ascii="Book Antiqua" w:hAnsi="Book Antiqua" w:cs="Times New Roman"/>
          <w:i/>
          <w:iCs/>
          <w:color w:val="000000" w:themeColor="text1"/>
          <w:lang w:val="en-US" w:eastAsia="zh-CN"/>
        </w:rPr>
        <w:t xml:space="preserve"> </w:t>
      </w:r>
      <w:proofErr w:type="spellStart"/>
      <w:r w:rsidRPr="00907F73">
        <w:rPr>
          <w:rFonts w:ascii="Book Antiqua" w:hAnsi="Book Antiqua" w:cs="Times New Roman"/>
          <w:i/>
          <w:iCs/>
          <w:color w:val="000000" w:themeColor="text1"/>
          <w:lang w:val="en-US" w:eastAsia="zh-CN"/>
        </w:rPr>
        <w:t>Opin</w:t>
      </w:r>
      <w:proofErr w:type="spellEnd"/>
      <w:r w:rsidRPr="00907F73">
        <w:rPr>
          <w:rFonts w:ascii="Book Antiqua" w:hAnsi="Book Antiqua" w:cs="Times New Roman"/>
          <w:i/>
          <w:iCs/>
          <w:color w:val="000000" w:themeColor="text1"/>
          <w:lang w:val="en-US" w:eastAsia="zh-CN"/>
        </w:rPr>
        <w:t xml:space="preserve"> </w:t>
      </w:r>
      <w:proofErr w:type="spellStart"/>
      <w:r w:rsidRPr="00907F73">
        <w:rPr>
          <w:rFonts w:ascii="Book Antiqua" w:hAnsi="Book Antiqua" w:cs="Times New Roman"/>
          <w:i/>
          <w:iCs/>
          <w:color w:val="000000" w:themeColor="text1"/>
          <w:lang w:val="en-US" w:eastAsia="zh-CN"/>
        </w:rPr>
        <w:t>Crit</w:t>
      </w:r>
      <w:proofErr w:type="spellEnd"/>
      <w:r w:rsidRPr="00907F73">
        <w:rPr>
          <w:rFonts w:ascii="Book Antiqua" w:hAnsi="Book Antiqua" w:cs="Times New Roman"/>
          <w:i/>
          <w:iCs/>
          <w:color w:val="000000" w:themeColor="text1"/>
          <w:lang w:val="en-US" w:eastAsia="zh-CN"/>
        </w:rPr>
        <w:t xml:space="preserve"> Care</w:t>
      </w:r>
      <w:r w:rsidRPr="00907F73">
        <w:rPr>
          <w:rFonts w:ascii="Book Antiqua" w:hAnsi="Book Antiqua" w:cs="Times New Roman"/>
          <w:color w:val="000000" w:themeColor="text1"/>
          <w:lang w:val="en-US" w:eastAsia="zh-CN"/>
        </w:rPr>
        <w:t> 2011; </w:t>
      </w:r>
      <w:r w:rsidRPr="00907F73">
        <w:rPr>
          <w:rFonts w:ascii="Book Antiqua" w:hAnsi="Book Antiqua" w:cs="Times New Roman"/>
          <w:b/>
          <w:bCs/>
          <w:color w:val="000000" w:themeColor="text1"/>
          <w:lang w:val="en-US" w:eastAsia="zh-CN"/>
        </w:rPr>
        <w:t>17</w:t>
      </w:r>
      <w:r w:rsidRPr="00907F73">
        <w:rPr>
          <w:rFonts w:ascii="Book Antiqua" w:hAnsi="Book Antiqua" w:cs="Times New Roman"/>
          <w:color w:val="000000" w:themeColor="text1"/>
          <w:lang w:val="en-US" w:eastAsia="zh-CN"/>
        </w:rPr>
        <w:t>: 190-194 [PMID: 21326096 DOI: 10.1097/MCC.0b013e328344b397]</w:t>
      </w:r>
    </w:p>
    <w:p w14:paraId="5DBD8227"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58 </w:t>
      </w:r>
      <w:r w:rsidRPr="00907F73">
        <w:rPr>
          <w:rFonts w:ascii="Book Antiqua" w:hAnsi="Book Antiqua" w:cs="Times New Roman"/>
          <w:b/>
          <w:bCs/>
          <w:color w:val="000000" w:themeColor="text1"/>
          <w:lang w:val="en-US" w:eastAsia="zh-CN"/>
        </w:rPr>
        <w:t>Kim BS</w:t>
      </w:r>
      <w:r w:rsidRPr="00907F73">
        <w:rPr>
          <w:rFonts w:ascii="Book Antiqua" w:hAnsi="Book Antiqua" w:cs="Times New Roman"/>
          <w:color w:val="000000" w:themeColor="text1"/>
          <w:lang w:val="en-US" w:eastAsia="zh-CN"/>
        </w:rPr>
        <w:t xml:space="preserve">, Lee SG, Hwang S, </w:t>
      </w:r>
      <w:proofErr w:type="spellStart"/>
      <w:r w:rsidRPr="00907F73">
        <w:rPr>
          <w:rFonts w:ascii="Book Antiqua" w:hAnsi="Book Antiqua" w:cs="Times New Roman"/>
          <w:color w:val="000000" w:themeColor="text1"/>
          <w:lang w:val="en-US" w:eastAsia="zh-CN"/>
        </w:rPr>
        <w:t>Ahn</w:t>
      </w:r>
      <w:proofErr w:type="spellEnd"/>
      <w:r w:rsidRPr="00907F73">
        <w:rPr>
          <w:rFonts w:ascii="Book Antiqua" w:hAnsi="Book Antiqua" w:cs="Times New Roman"/>
          <w:color w:val="000000" w:themeColor="text1"/>
          <w:lang w:val="en-US" w:eastAsia="zh-CN"/>
        </w:rPr>
        <w:t xml:space="preserve"> CS, Kim KH, Moon DB, Ha TY, Song GW, Jung DH. Influence of </w:t>
      </w:r>
      <w:proofErr w:type="spellStart"/>
      <w:r w:rsidRPr="00907F73">
        <w:rPr>
          <w:rFonts w:ascii="Book Antiqua" w:hAnsi="Book Antiqua" w:cs="Times New Roman"/>
          <w:color w:val="000000" w:themeColor="text1"/>
          <w:lang w:val="en-US" w:eastAsia="zh-CN"/>
        </w:rPr>
        <w:t>pretransplantation</w:t>
      </w:r>
      <w:proofErr w:type="spellEnd"/>
      <w:r w:rsidRPr="00907F73">
        <w:rPr>
          <w:rFonts w:ascii="Book Antiqua" w:hAnsi="Book Antiqua" w:cs="Times New Roman"/>
          <w:color w:val="000000" w:themeColor="text1"/>
          <w:lang w:val="en-US" w:eastAsia="zh-CN"/>
        </w:rPr>
        <w:t xml:space="preserve"> bacterial and fungal culture positivity on outcome after living donor liver transplantation. </w:t>
      </w:r>
      <w:r w:rsidRPr="00907F73">
        <w:rPr>
          <w:rFonts w:ascii="Book Antiqua" w:hAnsi="Book Antiqua" w:cs="Times New Roman"/>
          <w:i/>
          <w:iCs/>
          <w:color w:val="000000" w:themeColor="text1"/>
          <w:lang w:val="en-US" w:eastAsia="zh-CN"/>
        </w:rPr>
        <w:t>Transplant Proc</w:t>
      </w:r>
      <w:r w:rsidRPr="00907F73">
        <w:rPr>
          <w:rFonts w:ascii="Book Antiqua" w:hAnsi="Book Antiqua" w:cs="Times New Roman"/>
          <w:color w:val="000000" w:themeColor="text1"/>
          <w:lang w:val="en-US" w:eastAsia="zh-CN"/>
        </w:rPr>
        <w:t> 2009; </w:t>
      </w:r>
      <w:r w:rsidRPr="00907F73">
        <w:rPr>
          <w:rFonts w:ascii="Book Antiqua" w:hAnsi="Book Antiqua" w:cs="Times New Roman"/>
          <w:b/>
          <w:bCs/>
          <w:color w:val="000000" w:themeColor="text1"/>
          <w:lang w:val="en-US" w:eastAsia="zh-CN"/>
        </w:rPr>
        <w:t>41</w:t>
      </w:r>
      <w:r w:rsidRPr="00907F73">
        <w:rPr>
          <w:rFonts w:ascii="Book Antiqua" w:hAnsi="Book Antiqua" w:cs="Times New Roman"/>
          <w:color w:val="000000" w:themeColor="text1"/>
          <w:lang w:val="en-US" w:eastAsia="zh-CN"/>
        </w:rPr>
        <w:t>: 250-252 [PMID: 19249527 DOI: 10.1016/j.transproceed.2008.10.033]</w:t>
      </w:r>
    </w:p>
    <w:p w14:paraId="4A36FA2B"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lastRenderedPageBreak/>
        <w:t>59 </w:t>
      </w:r>
      <w:r w:rsidRPr="00907F73">
        <w:rPr>
          <w:rFonts w:ascii="Book Antiqua" w:hAnsi="Book Antiqua" w:cs="Times New Roman"/>
          <w:b/>
          <w:bCs/>
          <w:color w:val="000000" w:themeColor="text1"/>
          <w:lang w:val="en-US" w:eastAsia="zh-CN"/>
        </w:rPr>
        <w:t>Sun HY</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Cacciarelli</w:t>
      </w:r>
      <w:proofErr w:type="spellEnd"/>
      <w:r w:rsidRPr="00907F73">
        <w:rPr>
          <w:rFonts w:ascii="Book Antiqua" w:hAnsi="Book Antiqua" w:cs="Times New Roman"/>
          <w:color w:val="000000" w:themeColor="text1"/>
          <w:lang w:val="en-US" w:eastAsia="zh-CN"/>
        </w:rPr>
        <w:t xml:space="preserve"> TV, Singh N. Impact of pretransplant infections on clinical outcomes of liver transplant recipients.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2010; </w:t>
      </w:r>
      <w:r w:rsidRPr="00907F73">
        <w:rPr>
          <w:rFonts w:ascii="Book Antiqua" w:hAnsi="Book Antiqua" w:cs="Times New Roman"/>
          <w:b/>
          <w:bCs/>
          <w:color w:val="000000" w:themeColor="text1"/>
          <w:lang w:val="en-US" w:eastAsia="zh-CN"/>
        </w:rPr>
        <w:t>16</w:t>
      </w:r>
      <w:r w:rsidRPr="00907F73">
        <w:rPr>
          <w:rFonts w:ascii="Book Antiqua" w:hAnsi="Book Antiqua" w:cs="Times New Roman"/>
          <w:color w:val="000000" w:themeColor="text1"/>
          <w:lang w:val="en-US" w:eastAsia="zh-CN"/>
        </w:rPr>
        <w:t>: 222-228 [PMID: 20104499 DOI: 10.1002/lt.21982]</w:t>
      </w:r>
    </w:p>
    <w:p w14:paraId="3A2821F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60 </w:t>
      </w:r>
      <w:r w:rsidRPr="00907F73">
        <w:rPr>
          <w:rFonts w:ascii="Book Antiqua" w:hAnsi="Book Antiqua" w:cs="Times New Roman"/>
          <w:b/>
          <w:bCs/>
          <w:color w:val="000000" w:themeColor="text1"/>
          <w:lang w:val="en-US" w:eastAsia="zh-CN"/>
        </w:rPr>
        <w:t>Lin KH</w:t>
      </w:r>
      <w:r w:rsidRPr="00907F73">
        <w:rPr>
          <w:rFonts w:ascii="Book Antiqua" w:hAnsi="Book Antiqua" w:cs="Times New Roman"/>
          <w:color w:val="000000" w:themeColor="text1"/>
          <w:lang w:val="en-US" w:eastAsia="zh-CN"/>
        </w:rPr>
        <w:t>, Liu JW, Chen CL, Wang SH, Lin CC, Liu YW, Yong CC, Lin TL, Li WF, Hu TH, Wang CC. Impacts of pretransplant infections on clinical outcomes of patients with acute-on-chronic liver failure who received living-donor liver transplantation. </w:t>
      </w:r>
      <w:proofErr w:type="spellStart"/>
      <w:r w:rsidRPr="00907F73">
        <w:rPr>
          <w:rFonts w:ascii="Book Antiqua" w:hAnsi="Book Antiqua" w:cs="Times New Roman"/>
          <w:i/>
          <w:iCs/>
          <w:color w:val="000000" w:themeColor="text1"/>
          <w:lang w:val="en-US" w:eastAsia="zh-CN"/>
        </w:rPr>
        <w:t>PLoS</w:t>
      </w:r>
      <w:proofErr w:type="spellEnd"/>
      <w:r w:rsidRPr="00907F73">
        <w:rPr>
          <w:rFonts w:ascii="Book Antiqua" w:hAnsi="Book Antiqua" w:cs="Times New Roman"/>
          <w:i/>
          <w:iCs/>
          <w:color w:val="000000" w:themeColor="text1"/>
          <w:lang w:val="en-US" w:eastAsia="zh-CN"/>
        </w:rPr>
        <w:t xml:space="preserve"> One</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8</w:t>
      </w:r>
      <w:r w:rsidRPr="00907F73">
        <w:rPr>
          <w:rFonts w:ascii="Book Antiqua" w:hAnsi="Book Antiqua" w:cs="Times New Roman"/>
          <w:color w:val="000000" w:themeColor="text1"/>
          <w:lang w:val="en-US" w:eastAsia="zh-CN"/>
        </w:rPr>
        <w:t>: e72893 [PMID: 24023787 DOI: 10.1371/journal.pone.0072893]</w:t>
      </w:r>
    </w:p>
    <w:p w14:paraId="30AB81C8"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61 </w:t>
      </w:r>
      <w:proofErr w:type="spellStart"/>
      <w:r w:rsidRPr="00907F73">
        <w:rPr>
          <w:rFonts w:ascii="Book Antiqua" w:hAnsi="Book Antiqua" w:cs="Times New Roman"/>
          <w:b/>
          <w:bCs/>
          <w:color w:val="000000" w:themeColor="text1"/>
          <w:lang w:val="en-US" w:eastAsia="zh-CN"/>
        </w:rPr>
        <w:t>Malinis</w:t>
      </w:r>
      <w:proofErr w:type="spellEnd"/>
      <w:r w:rsidRPr="00907F73">
        <w:rPr>
          <w:rFonts w:ascii="Book Antiqua" w:hAnsi="Book Antiqua" w:cs="Times New Roman"/>
          <w:b/>
          <w:bCs/>
          <w:color w:val="000000" w:themeColor="text1"/>
          <w:lang w:val="en-US" w:eastAsia="zh-CN"/>
        </w:rPr>
        <w:t xml:space="preserve"> MF</w:t>
      </w:r>
      <w:r w:rsidRPr="00907F73">
        <w:rPr>
          <w:rFonts w:ascii="Book Antiqua" w:hAnsi="Book Antiqua" w:cs="Times New Roman"/>
          <w:color w:val="000000" w:themeColor="text1"/>
          <w:lang w:val="en-US" w:eastAsia="zh-CN"/>
        </w:rPr>
        <w:t xml:space="preserve">, Chen S, </w:t>
      </w:r>
      <w:proofErr w:type="spellStart"/>
      <w:r w:rsidRPr="00907F73">
        <w:rPr>
          <w:rFonts w:ascii="Book Antiqua" w:hAnsi="Book Antiqua" w:cs="Times New Roman"/>
          <w:color w:val="000000" w:themeColor="text1"/>
          <w:lang w:val="en-US" w:eastAsia="zh-CN"/>
        </w:rPr>
        <w:t>Allore</w:t>
      </w:r>
      <w:proofErr w:type="spellEnd"/>
      <w:r w:rsidRPr="00907F73">
        <w:rPr>
          <w:rFonts w:ascii="Book Antiqua" w:hAnsi="Book Antiqua" w:cs="Times New Roman"/>
          <w:color w:val="000000" w:themeColor="text1"/>
          <w:lang w:val="en-US" w:eastAsia="zh-CN"/>
        </w:rPr>
        <w:t xml:space="preserve"> HG, </w:t>
      </w:r>
      <w:proofErr w:type="spellStart"/>
      <w:r w:rsidRPr="00907F73">
        <w:rPr>
          <w:rFonts w:ascii="Book Antiqua" w:hAnsi="Book Antiqua" w:cs="Times New Roman"/>
          <w:color w:val="000000" w:themeColor="text1"/>
          <w:lang w:val="en-US" w:eastAsia="zh-CN"/>
        </w:rPr>
        <w:t>Quagliarello</w:t>
      </w:r>
      <w:proofErr w:type="spellEnd"/>
      <w:r w:rsidRPr="00907F73">
        <w:rPr>
          <w:rFonts w:ascii="Book Antiqua" w:hAnsi="Book Antiqua" w:cs="Times New Roman"/>
          <w:color w:val="000000" w:themeColor="text1"/>
          <w:lang w:val="en-US" w:eastAsia="zh-CN"/>
        </w:rPr>
        <w:t xml:space="preserve"> VJ. Outcomes among older adult liver transplantation recipients in the model of end stage liver disease (MELD) era. </w:t>
      </w:r>
      <w:r w:rsidRPr="00907F73">
        <w:rPr>
          <w:rFonts w:ascii="Book Antiqua" w:hAnsi="Book Antiqua" w:cs="Times New Roman"/>
          <w:i/>
          <w:iCs/>
          <w:color w:val="000000" w:themeColor="text1"/>
          <w:lang w:val="en-US" w:eastAsia="zh-CN"/>
        </w:rPr>
        <w:t>Ann Transplant</w:t>
      </w:r>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19</w:t>
      </w:r>
      <w:r w:rsidRPr="00907F73">
        <w:rPr>
          <w:rFonts w:ascii="Book Antiqua" w:hAnsi="Book Antiqua" w:cs="Times New Roman"/>
          <w:color w:val="000000" w:themeColor="text1"/>
          <w:lang w:val="en-US" w:eastAsia="zh-CN"/>
        </w:rPr>
        <w:t>: 478-487 [PMID: 25256592 DOI: 10.12659/AOT.890934]</w:t>
      </w:r>
    </w:p>
    <w:p w14:paraId="3E9E9DF6"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62 </w:t>
      </w:r>
      <w:r w:rsidRPr="00907F73">
        <w:rPr>
          <w:rFonts w:ascii="Book Antiqua" w:hAnsi="Book Antiqua" w:cs="Times New Roman"/>
          <w:b/>
          <w:bCs/>
          <w:color w:val="000000" w:themeColor="text1"/>
          <w:lang w:val="en-US" w:eastAsia="zh-CN"/>
        </w:rPr>
        <w:t>Volk ML</w:t>
      </w:r>
      <w:r w:rsidRPr="00907F73">
        <w:rPr>
          <w:rFonts w:ascii="Book Antiqua" w:hAnsi="Book Antiqua" w:cs="Times New Roman"/>
          <w:color w:val="000000" w:themeColor="text1"/>
          <w:lang w:val="en-US" w:eastAsia="zh-CN"/>
        </w:rPr>
        <w:t xml:space="preserve">, Hernandez JC, Lok AS, Marrero JA. Modified </w:t>
      </w:r>
      <w:proofErr w:type="spellStart"/>
      <w:r w:rsidRPr="00907F73">
        <w:rPr>
          <w:rFonts w:ascii="Book Antiqua" w:hAnsi="Book Antiqua" w:cs="Times New Roman"/>
          <w:color w:val="000000" w:themeColor="text1"/>
          <w:lang w:val="en-US" w:eastAsia="zh-CN"/>
        </w:rPr>
        <w:t>Charlson</w:t>
      </w:r>
      <w:proofErr w:type="spellEnd"/>
      <w:r w:rsidRPr="00907F73">
        <w:rPr>
          <w:rFonts w:ascii="Book Antiqua" w:hAnsi="Book Antiqua" w:cs="Times New Roman"/>
          <w:color w:val="000000" w:themeColor="text1"/>
          <w:lang w:val="en-US" w:eastAsia="zh-CN"/>
        </w:rPr>
        <w:t xml:space="preserve"> comorbidity index for predicting survival after liver transplantation.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2007; </w:t>
      </w:r>
      <w:r w:rsidRPr="00907F73">
        <w:rPr>
          <w:rFonts w:ascii="Book Antiqua" w:hAnsi="Book Antiqua" w:cs="Times New Roman"/>
          <w:b/>
          <w:bCs/>
          <w:color w:val="000000" w:themeColor="text1"/>
          <w:lang w:val="en-US" w:eastAsia="zh-CN"/>
        </w:rPr>
        <w:t>13</w:t>
      </w:r>
      <w:r w:rsidRPr="00907F73">
        <w:rPr>
          <w:rFonts w:ascii="Book Antiqua" w:hAnsi="Book Antiqua" w:cs="Times New Roman"/>
          <w:color w:val="000000" w:themeColor="text1"/>
          <w:lang w:val="en-US" w:eastAsia="zh-CN"/>
        </w:rPr>
        <w:t>: 1515-1520 [PMID: 17969207 DOI: 10.1002/lt.21172]</w:t>
      </w:r>
    </w:p>
    <w:p w14:paraId="661ECB12"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63 </w:t>
      </w:r>
      <w:r w:rsidRPr="00907F73">
        <w:rPr>
          <w:rFonts w:ascii="Book Antiqua" w:hAnsi="Book Antiqua" w:cs="Times New Roman"/>
          <w:b/>
          <w:bCs/>
          <w:color w:val="000000" w:themeColor="text1"/>
          <w:lang w:val="en-US" w:eastAsia="zh-CN"/>
        </w:rPr>
        <w:t>Alvarez J</w:t>
      </w:r>
      <w:r w:rsidRPr="00907F73">
        <w:rPr>
          <w:rFonts w:ascii="Book Antiqua" w:hAnsi="Book Antiqua" w:cs="Times New Roman"/>
          <w:color w:val="000000" w:themeColor="text1"/>
          <w:lang w:val="en-US" w:eastAsia="zh-CN"/>
        </w:rPr>
        <w:t xml:space="preserve">, Mei X, Daily M, Shah M, </w:t>
      </w:r>
      <w:proofErr w:type="spellStart"/>
      <w:r w:rsidRPr="00907F73">
        <w:rPr>
          <w:rFonts w:ascii="Book Antiqua" w:hAnsi="Book Antiqua" w:cs="Times New Roman"/>
          <w:color w:val="000000" w:themeColor="text1"/>
          <w:lang w:val="en-US" w:eastAsia="zh-CN"/>
        </w:rPr>
        <w:t>Grigorian</w:t>
      </w:r>
      <w:proofErr w:type="spellEnd"/>
      <w:r w:rsidRPr="00907F73">
        <w:rPr>
          <w:rFonts w:ascii="Book Antiqua" w:hAnsi="Book Antiqua" w:cs="Times New Roman"/>
          <w:color w:val="000000" w:themeColor="text1"/>
          <w:lang w:val="en-US" w:eastAsia="zh-CN"/>
        </w:rPr>
        <w:t xml:space="preserve"> A, Berger J, Marti F, </w:t>
      </w:r>
      <w:proofErr w:type="spellStart"/>
      <w:r w:rsidRPr="00907F73">
        <w:rPr>
          <w:rFonts w:ascii="Book Antiqua" w:hAnsi="Book Antiqua" w:cs="Times New Roman"/>
          <w:color w:val="000000" w:themeColor="text1"/>
          <w:lang w:val="en-US" w:eastAsia="zh-CN"/>
        </w:rPr>
        <w:t>Gedaly</w:t>
      </w:r>
      <w:proofErr w:type="spellEnd"/>
      <w:r w:rsidRPr="00907F73">
        <w:rPr>
          <w:rFonts w:ascii="Book Antiqua" w:hAnsi="Book Antiqua" w:cs="Times New Roman"/>
          <w:color w:val="000000" w:themeColor="text1"/>
          <w:lang w:val="en-US" w:eastAsia="zh-CN"/>
        </w:rPr>
        <w:t xml:space="preserve"> R. Tipping the Scales: Liver Transplant Outcomes of the Super Obese.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Gastrointest</w:t>
      </w:r>
      <w:proofErr w:type="spellEnd"/>
      <w:r w:rsidRPr="00907F73">
        <w:rPr>
          <w:rFonts w:ascii="Book Antiqua" w:hAnsi="Book Antiqua" w:cs="Times New Roman"/>
          <w:i/>
          <w:iCs/>
          <w:color w:val="000000" w:themeColor="text1"/>
          <w:lang w:val="en-US" w:eastAsia="zh-CN"/>
        </w:rPr>
        <w:t xml:space="preserve"> Surg</w:t>
      </w:r>
      <w:r w:rsidRPr="00907F73">
        <w:rPr>
          <w:rFonts w:ascii="Book Antiqua" w:hAnsi="Book Antiqua" w:cs="Times New Roman"/>
          <w:color w:val="000000" w:themeColor="text1"/>
          <w:lang w:val="en-US" w:eastAsia="zh-CN"/>
        </w:rPr>
        <w:t>2016; </w:t>
      </w:r>
      <w:r w:rsidRPr="00907F73">
        <w:rPr>
          <w:rFonts w:ascii="Book Antiqua" w:hAnsi="Book Antiqua" w:cs="Times New Roman"/>
          <w:b/>
          <w:bCs/>
          <w:color w:val="000000" w:themeColor="text1"/>
          <w:lang w:val="en-US" w:eastAsia="zh-CN"/>
        </w:rPr>
        <w:t>20</w:t>
      </w:r>
      <w:r w:rsidRPr="00907F73">
        <w:rPr>
          <w:rFonts w:ascii="Book Antiqua" w:hAnsi="Book Antiqua" w:cs="Times New Roman"/>
          <w:color w:val="000000" w:themeColor="text1"/>
          <w:lang w:val="en-US" w:eastAsia="zh-CN"/>
        </w:rPr>
        <w:t>: 1628-1635 [PMID: 27311983 DOI: 10.1007/s11605-016-3185-0]</w:t>
      </w:r>
    </w:p>
    <w:p w14:paraId="4661502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64 </w:t>
      </w:r>
      <w:proofErr w:type="spellStart"/>
      <w:r w:rsidRPr="00907F73">
        <w:rPr>
          <w:rFonts w:ascii="Book Antiqua" w:hAnsi="Book Antiqua" w:cs="Times New Roman"/>
          <w:b/>
          <w:bCs/>
          <w:color w:val="000000" w:themeColor="text1"/>
          <w:lang w:val="en-US" w:eastAsia="zh-CN"/>
        </w:rPr>
        <w:t>Englesbe</w:t>
      </w:r>
      <w:proofErr w:type="spellEnd"/>
      <w:r w:rsidRPr="00907F73">
        <w:rPr>
          <w:rFonts w:ascii="Book Antiqua" w:hAnsi="Book Antiqua" w:cs="Times New Roman"/>
          <w:b/>
          <w:bCs/>
          <w:color w:val="000000" w:themeColor="text1"/>
          <w:lang w:val="en-US" w:eastAsia="zh-CN"/>
        </w:rPr>
        <w:t xml:space="preserve"> MJ</w:t>
      </w:r>
      <w:r w:rsidRPr="00907F73">
        <w:rPr>
          <w:rFonts w:ascii="Book Antiqua" w:hAnsi="Book Antiqua" w:cs="Times New Roman"/>
          <w:color w:val="000000" w:themeColor="text1"/>
          <w:lang w:val="en-US" w:eastAsia="zh-CN"/>
        </w:rPr>
        <w:t xml:space="preserve">, Patel SP, He K, Lynch RJ, </w:t>
      </w:r>
      <w:proofErr w:type="spellStart"/>
      <w:r w:rsidRPr="00907F73">
        <w:rPr>
          <w:rFonts w:ascii="Book Antiqua" w:hAnsi="Book Antiqua" w:cs="Times New Roman"/>
          <w:color w:val="000000" w:themeColor="text1"/>
          <w:lang w:val="en-US" w:eastAsia="zh-CN"/>
        </w:rPr>
        <w:t>Schaubel</w:t>
      </w:r>
      <w:proofErr w:type="spellEnd"/>
      <w:r w:rsidRPr="00907F73">
        <w:rPr>
          <w:rFonts w:ascii="Book Antiqua" w:hAnsi="Book Antiqua" w:cs="Times New Roman"/>
          <w:color w:val="000000" w:themeColor="text1"/>
          <w:lang w:val="en-US" w:eastAsia="zh-CN"/>
        </w:rPr>
        <w:t xml:space="preserve"> DE, </w:t>
      </w:r>
      <w:proofErr w:type="spellStart"/>
      <w:r w:rsidRPr="00907F73">
        <w:rPr>
          <w:rFonts w:ascii="Book Antiqua" w:hAnsi="Book Antiqua" w:cs="Times New Roman"/>
          <w:color w:val="000000" w:themeColor="text1"/>
          <w:lang w:val="en-US" w:eastAsia="zh-CN"/>
        </w:rPr>
        <w:t>Harbaugh</w:t>
      </w:r>
      <w:proofErr w:type="spellEnd"/>
      <w:r w:rsidRPr="00907F73">
        <w:rPr>
          <w:rFonts w:ascii="Book Antiqua" w:hAnsi="Book Antiqua" w:cs="Times New Roman"/>
          <w:color w:val="000000" w:themeColor="text1"/>
          <w:lang w:val="en-US" w:eastAsia="zh-CN"/>
        </w:rPr>
        <w:t xml:space="preserve"> C, Holcombe SA, Wang SC, </w:t>
      </w:r>
      <w:proofErr w:type="spellStart"/>
      <w:r w:rsidRPr="00907F73">
        <w:rPr>
          <w:rFonts w:ascii="Book Antiqua" w:hAnsi="Book Antiqua" w:cs="Times New Roman"/>
          <w:color w:val="000000" w:themeColor="text1"/>
          <w:lang w:val="en-US" w:eastAsia="zh-CN"/>
        </w:rPr>
        <w:t>Segev</w:t>
      </w:r>
      <w:proofErr w:type="spellEnd"/>
      <w:r w:rsidRPr="00907F73">
        <w:rPr>
          <w:rFonts w:ascii="Book Antiqua" w:hAnsi="Book Antiqua" w:cs="Times New Roman"/>
          <w:color w:val="000000" w:themeColor="text1"/>
          <w:lang w:val="en-US" w:eastAsia="zh-CN"/>
        </w:rPr>
        <w:t xml:space="preserve"> DL, </w:t>
      </w:r>
      <w:proofErr w:type="spellStart"/>
      <w:r w:rsidRPr="00907F73">
        <w:rPr>
          <w:rFonts w:ascii="Book Antiqua" w:hAnsi="Book Antiqua" w:cs="Times New Roman"/>
          <w:color w:val="000000" w:themeColor="text1"/>
          <w:lang w:val="en-US" w:eastAsia="zh-CN"/>
        </w:rPr>
        <w:t>Sonnenday</w:t>
      </w:r>
      <w:proofErr w:type="spellEnd"/>
      <w:r w:rsidRPr="00907F73">
        <w:rPr>
          <w:rFonts w:ascii="Book Antiqua" w:hAnsi="Book Antiqua" w:cs="Times New Roman"/>
          <w:color w:val="000000" w:themeColor="text1"/>
          <w:lang w:val="en-US" w:eastAsia="zh-CN"/>
        </w:rPr>
        <w:t xml:space="preserve"> CJ. Sarcopenia and mortality after liver transplantation. </w:t>
      </w:r>
      <w:r w:rsidRPr="00907F73">
        <w:rPr>
          <w:rFonts w:ascii="Book Antiqua" w:hAnsi="Book Antiqua" w:cs="Times New Roman"/>
          <w:i/>
          <w:iCs/>
          <w:color w:val="000000" w:themeColor="text1"/>
          <w:lang w:val="en-US" w:eastAsia="zh-CN"/>
        </w:rPr>
        <w:t>J Am Coll Surg</w:t>
      </w:r>
      <w:r w:rsidRPr="00907F73">
        <w:rPr>
          <w:rFonts w:ascii="Book Antiqua" w:hAnsi="Book Antiqua" w:cs="Times New Roman"/>
          <w:color w:val="000000" w:themeColor="text1"/>
          <w:lang w:val="en-US" w:eastAsia="zh-CN"/>
        </w:rPr>
        <w:t> 2010; </w:t>
      </w:r>
      <w:r w:rsidRPr="00907F73">
        <w:rPr>
          <w:rFonts w:ascii="Book Antiqua" w:hAnsi="Book Antiqua" w:cs="Times New Roman"/>
          <w:b/>
          <w:bCs/>
          <w:color w:val="000000" w:themeColor="text1"/>
          <w:lang w:val="en-US" w:eastAsia="zh-CN"/>
        </w:rPr>
        <w:t>211</w:t>
      </w:r>
      <w:r w:rsidRPr="00907F73">
        <w:rPr>
          <w:rFonts w:ascii="Book Antiqua" w:hAnsi="Book Antiqua" w:cs="Times New Roman"/>
          <w:color w:val="000000" w:themeColor="text1"/>
          <w:lang w:val="en-US" w:eastAsia="zh-CN"/>
        </w:rPr>
        <w:t>: 271-278 [PMID: 20670867 DOI: 10.1016/j.jamcollsurg.2010.03.039]</w:t>
      </w:r>
    </w:p>
    <w:p w14:paraId="1E4D91A3"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65 </w:t>
      </w:r>
      <w:r w:rsidRPr="00907F73">
        <w:rPr>
          <w:rFonts w:ascii="Book Antiqua" w:hAnsi="Book Antiqua" w:cs="Times New Roman"/>
          <w:b/>
          <w:bCs/>
          <w:color w:val="000000" w:themeColor="text1"/>
          <w:lang w:val="en-US" w:eastAsia="zh-CN"/>
        </w:rPr>
        <w:t>Lai JC</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Covinsky</w:t>
      </w:r>
      <w:proofErr w:type="spellEnd"/>
      <w:r w:rsidRPr="00907F73">
        <w:rPr>
          <w:rFonts w:ascii="Book Antiqua" w:hAnsi="Book Antiqua" w:cs="Times New Roman"/>
          <w:color w:val="000000" w:themeColor="text1"/>
          <w:lang w:val="en-US" w:eastAsia="zh-CN"/>
        </w:rPr>
        <w:t xml:space="preserve"> KE, Dodge JL, </w:t>
      </w:r>
      <w:proofErr w:type="spellStart"/>
      <w:r w:rsidRPr="00907F73">
        <w:rPr>
          <w:rFonts w:ascii="Book Antiqua" w:hAnsi="Book Antiqua" w:cs="Times New Roman"/>
          <w:color w:val="000000" w:themeColor="text1"/>
          <w:lang w:val="en-US" w:eastAsia="zh-CN"/>
        </w:rPr>
        <w:t>Boscardin</w:t>
      </w:r>
      <w:proofErr w:type="spellEnd"/>
      <w:r w:rsidRPr="00907F73">
        <w:rPr>
          <w:rFonts w:ascii="Book Antiqua" w:hAnsi="Book Antiqua" w:cs="Times New Roman"/>
          <w:color w:val="000000" w:themeColor="text1"/>
          <w:lang w:val="en-US" w:eastAsia="zh-CN"/>
        </w:rPr>
        <w:t xml:space="preserve"> WJ, </w:t>
      </w:r>
      <w:proofErr w:type="spellStart"/>
      <w:r w:rsidRPr="00907F73">
        <w:rPr>
          <w:rFonts w:ascii="Book Antiqua" w:hAnsi="Book Antiqua" w:cs="Times New Roman"/>
          <w:color w:val="000000" w:themeColor="text1"/>
          <w:lang w:val="en-US" w:eastAsia="zh-CN"/>
        </w:rPr>
        <w:t>Segev</w:t>
      </w:r>
      <w:proofErr w:type="spellEnd"/>
      <w:r w:rsidRPr="00907F73">
        <w:rPr>
          <w:rFonts w:ascii="Book Antiqua" w:hAnsi="Book Antiqua" w:cs="Times New Roman"/>
          <w:color w:val="000000" w:themeColor="text1"/>
          <w:lang w:val="en-US" w:eastAsia="zh-CN"/>
        </w:rPr>
        <w:t xml:space="preserve"> DL, Roberts JP, Feng S. Development of a novel frailty index to predict mortality in patients with end-stage liver disease. </w:t>
      </w:r>
      <w:r w:rsidRPr="00907F73">
        <w:rPr>
          <w:rFonts w:ascii="Book Antiqua" w:hAnsi="Book Antiqua" w:cs="Times New Roman"/>
          <w:i/>
          <w:iCs/>
          <w:color w:val="000000" w:themeColor="text1"/>
          <w:lang w:val="en-US" w:eastAsia="zh-CN"/>
        </w:rPr>
        <w:t>Hepatology</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66</w:t>
      </w:r>
      <w:r w:rsidRPr="00907F73">
        <w:rPr>
          <w:rFonts w:ascii="Book Antiqua" w:hAnsi="Book Antiqua" w:cs="Times New Roman"/>
          <w:color w:val="000000" w:themeColor="text1"/>
          <w:lang w:val="en-US" w:eastAsia="zh-CN"/>
        </w:rPr>
        <w:t>: 564-574 [PMID: 28422306 DOI: 10.1002/hep.29219]</w:t>
      </w:r>
    </w:p>
    <w:p w14:paraId="20D8D20A"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66 </w:t>
      </w:r>
      <w:proofErr w:type="spellStart"/>
      <w:r w:rsidRPr="00907F73">
        <w:rPr>
          <w:rFonts w:ascii="Book Antiqua" w:hAnsi="Book Antiqua" w:cs="Times New Roman"/>
          <w:b/>
          <w:bCs/>
          <w:color w:val="000000" w:themeColor="text1"/>
          <w:lang w:val="en-US" w:eastAsia="zh-CN"/>
        </w:rPr>
        <w:t>VanWagner</w:t>
      </w:r>
      <w:proofErr w:type="spellEnd"/>
      <w:r w:rsidRPr="00907F73">
        <w:rPr>
          <w:rFonts w:ascii="Book Antiqua" w:hAnsi="Book Antiqua" w:cs="Times New Roman"/>
          <w:b/>
          <w:bCs/>
          <w:color w:val="000000" w:themeColor="text1"/>
          <w:lang w:val="en-US" w:eastAsia="zh-CN"/>
        </w:rPr>
        <w:t xml:space="preserve"> LB</w:t>
      </w:r>
      <w:r w:rsidRPr="00907F73">
        <w:rPr>
          <w:rFonts w:ascii="Book Antiqua" w:hAnsi="Book Antiqua" w:cs="Times New Roman"/>
          <w:color w:val="000000" w:themeColor="text1"/>
          <w:lang w:val="en-US" w:eastAsia="zh-CN"/>
        </w:rPr>
        <w:t xml:space="preserve">, Lapin B, </w:t>
      </w:r>
      <w:proofErr w:type="spellStart"/>
      <w:r w:rsidRPr="00907F73">
        <w:rPr>
          <w:rFonts w:ascii="Book Antiqua" w:hAnsi="Book Antiqua" w:cs="Times New Roman"/>
          <w:color w:val="000000" w:themeColor="text1"/>
          <w:lang w:val="en-US" w:eastAsia="zh-CN"/>
        </w:rPr>
        <w:t>Levitsky</w:t>
      </w:r>
      <w:proofErr w:type="spellEnd"/>
      <w:r w:rsidRPr="00907F73">
        <w:rPr>
          <w:rFonts w:ascii="Book Antiqua" w:hAnsi="Book Antiqua" w:cs="Times New Roman"/>
          <w:color w:val="000000" w:themeColor="text1"/>
          <w:lang w:val="en-US" w:eastAsia="zh-CN"/>
        </w:rPr>
        <w:t xml:space="preserve"> J, Wilkins JT, </w:t>
      </w:r>
      <w:proofErr w:type="spellStart"/>
      <w:r w:rsidRPr="00907F73">
        <w:rPr>
          <w:rFonts w:ascii="Book Antiqua" w:hAnsi="Book Antiqua" w:cs="Times New Roman"/>
          <w:color w:val="000000" w:themeColor="text1"/>
          <w:lang w:val="en-US" w:eastAsia="zh-CN"/>
        </w:rPr>
        <w:t>Abecassis</w:t>
      </w:r>
      <w:proofErr w:type="spellEnd"/>
      <w:r w:rsidRPr="00907F73">
        <w:rPr>
          <w:rFonts w:ascii="Book Antiqua" w:hAnsi="Book Antiqua" w:cs="Times New Roman"/>
          <w:color w:val="000000" w:themeColor="text1"/>
          <w:lang w:val="en-US" w:eastAsia="zh-CN"/>
        </w:rPr>
        <w:t xml:space="preserve"> MM, </w:t>
      </w:r>
      <w:proofErr w:type="spellStart"/>
      <w:r w:rsidRPr="00907F73">
        <w:rPr>
          <w:rFonts w:ascii="Book Antiqua" w:hAnsi="Book Antiqua" w:cs="Times New Roman"/>
          <w:color w:val="000000" w:themeColor="text1"/>
          <w:lang w:val="en-US" w:eastAsia="zh-CN"/>
        </w:rPr>
        <w:t>Skaro</w:t>
      </w:r>
      <w:proofErr w:type="spellEnd"/>
      <w:r w:rsidRPr="00907F73">
        <w:rPr>
          <w:rFonts w:ascii="Book Antiqua" w:hAnsi="Book Antiqua" w:cs="Times New Roman"/>
          <w:color w:val="000000" w:themeColor="text1"/>
          <w:lang w:val="en-US" w:eastAsia="zh-CN"/>
        </w:rPr>
        <w:t xml:space="preserve"> AI, Lloyd-Jones DM. High early cardiovascular mortality after liver transplantation.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20</w:t>
      </w:r>
      <w:r w:rsidRPr="00907F73">
        <w:rPr>
          <w:rFonts w:ascii="Book Antiqua" w:hAnsi="Book Antiqua" w:cs="Times New Roman"/>
          <w:color w:val="000000" w:themeColor="text1"/>
          <w:lang w:val="en-US" w:eastAsia="zh-CN"/>
        </w:rPr>
        <w:t>: 1306-1316 [PMID: 25044256 DOI: 10.1002/lt.23950]</w:t>
      </w:r>
    </w:p>
    <w:p w14:paraId="38FE897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67 </w:t>
      </w:r>
      <w:r w:rsidRPr="00907F73">
        <w:rPr>
          <w:rFonts w:ascii="Book Antiqua" w:hAnsi="Book Antiqua" w:cs="Times New Roman"/>
          <w:b/>
          <w:bCs/>
          <w:color w:val="000000" w:themeColor="text1"/>
          <w:lang w:val="en-US" w:eastAsia="zh-CN"/>
        </w:rPr>
        <w:t>Watt KD</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Coss</w:t>
      </w:r>
      <w:proofErr w:type="spellEnd"/>
      <w:r w:rsidRPr="00907F73">
        <w:rPr>
          <w:rFonts w:ascii="Book Antiqua" w:hAnsi="Book Antiqua" w:cs="Times New Roman"/>
          <w:color w:val="000000" w:themeColor="text1"/>
          <w:lang w:val="en-US" w:eastAsia="zh-CN"/>
        </w:rPr>
        <w:t xml:space="preserve"> E, Pedersen RA, </w:t>
      </w:r>
      <w:proofErr w:type="spellStart"/>
      <w:r w:rsidRPr="00907F73">
        <w:rPr>
          <w:rFonts w:ascii="Book Antiqua" w:hAnsi="Book Antiqua" w:cs="Times New Roman"/>
          <w:color w:val="000000" w:themeColor="text1"/>
          <w:lang w:val="en-US" w:eastAsia="zh-CN"/>
        </w:rPr>
        <w:t>Dierkhising</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Heimbach</w:t>
      </w:r>
      <w:proofErr w:type="spellEnd"/>
      <w:r w:rsidRPr="00907F73">
        <w:rPr>
          <w:rFonts w:ascii="Book Antiqua" w:hAnsi="Book Antiqua" w:cs="Times New Roman"/>
          <w:color w:val="000000" w:themeColor="text1"/>
          <w:lang w:val="en-US" w:eastAsia="zh-CN"/>
        </w:rPr>
        <w:t xml:space="preserve"> JK, Charlton MR. Pretransplant serum troponin levels are highly predictive of patient and graft survival following liver transplantation.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2010; </w:t>
      </w:r>
      <w:r w:rsidRPr="00907F73">
        <w:rPr>
          <w:rFonts w:ascii="Book Antiqua" w:hAnsi="Book Antiqua" w:cs="Times New Roman"/>
          <w:b/>
          <w:bCs/>
          <w:color w:val="000000" w:themeColor="text1"/>
          <w:lang w:val="en-US" w:eastAsia="zh-CN"/>
        </w:rPr>
        <w:t>16</w:t>
      </w:r>
      <w:r w:rsidRPr="00907F73">
        <w:rPr>
          <w:rFonts w:ascii="Book Antiqua" w:hAnsi="Book Antiqua" w:cs="Times New Roman"/>
          <w:color w:val="000000" w:themeColor="text1"/>
          <w:lang w:val="en-US" w:eastAsia="zh-CN"/>
        </w:rPr>
        <w:t>: 990-998 [PMID: 20677290 DOI: 10.1002/lt.22102]</w:t>
      </w:r>
    </w:p>
    <w:p w14:paraId="17ECB782"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lastRenderedPageBreak/>
        <w:t>68 </w:t>
      </w:r>
      <w:r w:rsidRPr="00907F73">
        <w:rPr>
          <w:rFonts w:ascii="Book Antiqua" w:hAnsi="Book Antiqua" w:cs="Times New Roman"/>
          <w:b/>
          <w:bCs/>
          <w:color w:val="000000" w:themeColor="text1"/>
          <w:lang w:val="en-US" w:eastAsia="zh-CN"/>
        </w:rPr>
        <w:t>Benson AA</w:t>
      </w:r>
      <w:r w:rsidRPr="00907F73">
        <w:rPr>
          <w:rFonts w:ascii="Book Antiqua" w:hAnsi="Book Antiqua" w:cs="Times New Roman"/>
          <w:color w:val="000000" w:themeColor="text1"/>
          <w:lang w:val="en-US" w:eastAsia="zh-CN"/>
        </w:rPr>
        <w:t xml:space="preserve">, Rowe M, </w:t>
      </w:r>
      <w:proofErr w:type="spellStart"/>
      <w:r w:rsidRPr="00907F73">
        <w:rPr>
          <w:rFonts w:ascii="Book Antiqua" w:hAnsi="Book Antiqua" w:cs="Times New Roman"/>
          <w:color w:val="000000" w:themeColor="text1"/>
          <w:lang w:val="en-US" w:eastAsia="zh-CN"/>
        </w:rPr>
        <w:t>Eid</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Bluth</w:t>
      </w:r>
      <w:proofErr w:type="spellEnd"/>
      <w:r w:rsidRPr="00907F73">
        <w:rPr>
          <w:rFonts w:ascii="Book Antiqua" w:hAnsi="Book Antiqua" w:cs="Times New Roman"/>
          <w:color w:val="000000" w:themeColor="text1"/>
          <w:lang w:val="en-US" w:eastAsia="zh-CN"/>
        </w:rPr>
        <w:t xml:space="preserve"> K, </w:t>
      </w:r>
      <w:proofErr w:type="spellStart"/>
      <w:r w:rsidRPr="00907F73">
        <w:rPr>
          <w:rFonts w:ascii="Book Antiqua" w:hAnsi="Book Antiqua" w:cs="Times New Roman"/>
          <w:color w:val="000000" w:themeColor="text1"/>
          <w:lang w:val="en-US" w:eastAsia="zh-CN"/>
        </w:rPr>
        <w:t>Merhav</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Khalaileh</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Safadi</w:t>
      </w:r>
      <w:proofErr w:type="spellEnd"/>
      <w:r w:rsidRPr="00907F73">
        <w:rPr>
          <w:rFonts w:ascii="Book Antiqua" w:hAnsi="Book Antiqua" w:cs="Times New Roman"/>
          <w:color w:val="000000" w:themeColor="text1"/>
          <w:lang w:val="en-US" w:eastAsia="zh-CN"/>
        </w:rPr>
        <w:t xml:space="preserve"> R. Pre-liver transplant psychosocial evaluation predicts post-transplantation outcomes. </w:t>
      </w:r>
      <w:r w:rsidRPr="00907F73">
        <w:rPr>
          <w:rFonts w:ascii="Book Antiqua" w:hAnsi="Book Antiqua" w:cs="Times New Roman"/>
          <w:i/>
          <w:iCs/>
          <w:color w:val="000000" w:themeColor="text1"/>
          <w:lang w:val="en-US" w:eastAsia="zh-CN"/>
        </w:rPr>
        <w:t>Psychol Health Med</w:t>
      </w:r>
      <w:r w:rsidRPr="00907F73">
        <w:rPr>
          <w:rFonts w:ascii="Book Antiqua" w:hAnsi="Book Antiqua" w:cs="Times New Roman"/>
          <w:color w:val="000000" w:themeColor="text1"/>
          <w:lang w:val="en-US" w:eastAsia="zh-CN"/>
        </w:rPr>
        <w:t> 2018; </w:t>
      </w:r>
      <w:r w:rsidRPr="00907F73">
        <w:rPr>
          <w:rFonts w:ascii="Book Antiqua" w:hAnsi="Book Antiqua" w:cs="Times New Roman"/>
          <w:b/>
          <w:bCs/>
          <w:color w:val="000000" w:themeColor="text1"/>
          <w:lang w:val="en-US" w:eastAsia="zh-CN"/>
        </w:rPr>
        <w:t>23</w:t>
      </w:r>
      <w:r w:rsidRPr="00907F73">
        <w:rPr>
          <w:rFonts w:ascii="Book Antiqua" w:hAnsi="Book Antiqua" w:cs="Times New Roman"/>
          <w:color w:val="000000" w:themeColor="text1"/>
          <w:lang w:val="en-US" w:eastAsia="zh-CN"/>
        </w:rPr>
        <w:t>: 788-796 [PMID: 29278010 DOI: 10.1080/13548506.2017.1417610]</w:t>
      </w:r>
    </w:p>
    <w:p w14:paraId="6F48B3D1"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69 </w:t>
      </w:r>
      <w:proofErr w:type="spellStart"/>
      <w:r w:rsidRPr="00907F73">
        <w:rPr>
          <w:rFonts w:ascii="Book Antiqua" w:hAnsi="Book Antiqua" w:cs="Times New Roman"/>
          <w:b/>
          <w:bCs/>
          <w:color w:val="000000" w:themeColor="text1"/>
          <w:lang w:val="en-US" w:eastAsia="zh-CN"/>
        </w:rPr>
        <w:t>Rodrigue</w:t>
      </w:r>
      <w:proofErr w:type="spellEnd"/>
      <w:r w:rsidRPr="00907F73">
        <w:rPr>
          <w:rFonts w:ascii="Book Antiqua" w:hAnsi="Book Antiqua" w:cs="Times New Roman"/>
          <w:b/>
          <w:bCs/>
          <w:color w:val="000000" w:themeColor="text1"/>
          <w:lang w:val="en-US" w:eastAsia="zh-CN"/>
        </w:rPr>
        <w:t xml:space="preserve"> JR</w:t>
      </w:r>
      <w:r w:rsidRPr="00907F73">
        <w:rPr>
          <w:rFonts w:ascii="Book Antiqua" w:hAnsi="Book Antiqua" w:cs="Times New Roman"/>
          <w:color w:val="000000" w:themeColor="text1"/>
          <w:lang w:val="en-US" w:eastAsia="zh-CN"/>
        </w:rPr>
        <w:t xml:space="preserve">, Nelson DR, </w:t>
      </w:r>
      <w:proofErr w:type="spellStart"/>
      <w:r w:rsidRPr="00907F73">
        <w:rPr>
          <w:rFonts w:ascii="Book Antiqua" w:hAnsi="Book Antiqua" w:cs="Times New Roman"/>
          <w:color w:val="000000" w:themeColor="text1"/>
          <w:lang w:val="en-US" w:eastAsia="zh-CN"/>
        </w:rPr>
        <w:t>Hanto</w:t>
      </w:r>
      <w:proofErr w:type="spellEnd"/>
      <w:r w:rsidRPr="00907F73">
        <w:rPr>
          <w:rFonts w:ascii="Book Antiqua" w:hAnsi="Book Antiqua" w:cs="Times New Roman"/>
          <w:color w:val="000000" w:themeColor="text1"/>
          <w:lang w:val="en-US" w:eastAsia="zh-CN"/>
        </w:rPr>
        <w:t xml:space="preserve"> DW, Reed AI, Curry MP. Patient-reported immunosuppression nonadherence 6 to 24 months after liver transplant: association with pretransplant psychosocial factors and perceptions of health status change. </w:t>
      </w:r>
      <w:r w:rsidRPr="00907F73">
        <w:rPr>
          <w:rFonts w:ascii="Book Antiqua" w:hAnsi="Book Antiqua" w:cs="Times New Roman"/>
          <w:i/>
          <w:iCs/>
          <w:color w:val="000000" w:themeColor="text1"/>
          <w:lang w:val="en-US" w:eastAsia="zh-CN"/>
        </w:rPr>
        <w:t>Prog Transplant</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23</w:t>
      </w:r>
      <w:r w:rsidRPr="00907F73">
        <w:rPr>
          <w:rFonts w:ascii="Book Antiqua" w:hAnsi="Book Antiqua" w:cs="Times New Roman"/>
          <w:color w:val="000000" w:themeColor="text1"/>
          <w:lang w:val="en-US" w:eastAsia="zh-CN"/>
        </w:rPr>
        <w:t>: 319-328 [PMID: 24311395 DOI: 10.7182/pit2013501]</w:t>
      </w:r>
    </w:p>
    <w:p w14:paraId="53273E9A"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70 </w:t>
      </w:r>
      <w:proofErr w:type="spellStart"/>
      <w:r w:rsidRPr="00907F73">
        <w:rPr>
          <w:rFonts w:ascii="Book Antiqua" w:hAnsi="Book Antiqua" w:cs="Times New Roman"/>
          <w:b/>
          <w:bCs/>
          <w:color w:val="000000" w:themeColor="text1"/>
          <w:lang w:val="en-US" w:eastAsia="zh-CN"/>
        </w:rPr>
        <w:t>Hajifathalian</w:t>
      </w:r>
      <w:proofErr w:type="spellEnd"/>
      <w:r w:rsidRPr="00907F73">
        <w:rPr>
          <w:rFonts w:ascii="Book Antiqua" w:hAnsi="Book Antiqua" w:cs="Times New Roman"/>
          <w:b/>
          <w:bCs/>
          <w:color w:val="000000" w:themeColor="text1"/>
          <w:lang w:val="en-US" w:eastAsia="zh-CN"/>
        </w:rPr>
        <w:t xml:space="preserve"> K</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Humberson</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Hanouneh</w:t>
      </w:r>
      <w:proofErr w:type="spellEnd"/>
      <w:r w:rsidRPr="00907F73">
        <w:rPr>
          <w:rFonts w:ascii="Book Antiqua" w:hAnsi="Book Antiqua" w:cs="Times New Roman"/>
          <w:color w:val="000000" w:themeColor="text1"/>
          <w:lang w:val="en-US" w:eastAsia="zh-CN"/>
        </w:rPr>
        <w:t xml:space="preserve"> MA, Barnes DS, </w:t>
      </w:r>
      <w:proofErr w:type="spellStart"/>
      <w:r w:rsidRPr="00907F73">
        <w:rPr>
          <w:rFonts w:ascii="Book Antiqua" w:hAnsi="Book Antiqua" w:cs="Times New Roman"/>
          <w:color w:val="000000" w:themeColor="text1"/>
          <w:lang w:val="en-US" w:eastAsia="zh-CN"/>
        </w:rPr>
        <w:t>Arora</w:t>
      </w:r>
      <w:proofErr w:type="spellEnd"/>
      <w:r w:rsidRPr="00907F73">
        <w:rPr>
          <w:rFonts w:ascii="Book Antiqua" w:hAnsi="Book Antiqua" w:cs="Times New Roman"/>
          <w:color w:val="000000" w:themeColor="text1"/>
          <w:lang w:val="en-US" w:eastAsia="zh-CN"/>
        </w:rPr>
        <w:t xml:space="preserve"> Z, </w:t>
      </w:r>
      <w:proofErr w:type="spellStart"/>
      <w:r w:rsidRPr="00907F73">
        <w:rPr>
          <w:rFonts w:ascii="Book Antiqua" w:hAnsi="Book Antiqua" w:cs="Times New Roman"/>
          <w:color w:val="000000" w:themeColor="text1"/>
          <w:lang w:val="en-US" w:eastAsia="zh-CN"/>
        </w:rPr>
        <w:t>Zein</w:t>
      </w:r>
      <w:proofErr w:type="spellEnd"/>
      <w:r w:rsidRPr="00907F73">
        <w:rPr>
          <w:rFonts w:ascii="Book Antiqua" w:hAnsi="Book Antiqua" w:cs="Times New Roman"/>
          <w:color w:val="000000" w:themeColor="text1"/>
          <w:lang w:val="en-US" w:eastAsia="zh-CN"/>
        </w:rPr>
        <w:t xml:space="preserve"> NN, </w:t>
      </w:r>
      <w:proofErr w:type="spellStart"/>
      <w:r w:rsidRPr="00907F73">
        <w:rPr>
          <w:rFonts w:ascii="Book Antiqua" w:hAnsi="Book Antiqua" w:cs="Times New Roman"/>
          <w:color w:val="000000" w:themeColor="text1"/>
          <w:lang w:val="en-US" w:eastAsia="zh-CN"/>
        </w:rPr>
        <w:t>Eghtesad</w:t>
      </w:r>
      <w:proofErr w:type="spellEnd"/>
      <w:r w:rsidRPr="00907F73">
        <w:rPr>
          <w:rFonts w:ascii="Book Antiqua" w:hAnsi="Book Antiqua" w:cs="Times New Roman"/>
          <w:color w:val="000000" w:themeColor="text1"/>
          <w:lang w:val="en-US" w:eastAsia="zh-CN"/>
        </w:rPr>
        <w:t xml:space="preserve"> B, Kelly D, </w:t>
      </w:r>
      <w:proofErr w:type="spellStart"/>
      <w:r w:rsidRPr="00907F73">
        <w:rPr>
          <w:rFonts w:ascii="Book Antiqua" w:hAnsi="Book Antiqua" w:cs="Times New Roman"/>
          <w:color w:val="000000" w:themeColor="text1"/>
          <w:lang w:val="en-US" w:eastAsia="zh-CN"/>
        </w:rPr>
        <w:t>Hanouneh</w:t>
      </w:r>
      <w:proofErr w:type="spellEnd"/>
      <w:r w:rsidRPr="00907F73">
        <w:rPr>
          <w:rFonts w:ascii="Book Antiqua" w:hAnsi="Book Antiqua" w:cs="Times New Roman"/>
          <w:color w:val="000000" w:themeColor="text1"/>
          <w:lang w:val="en-US" w:eastAsia="zh-CN"/>
        </w:rPr>
        <w:t xml:space="preserve"> IA. Ohio solid organ transplantation consortium criteria for liver transplantation in patients with alcoholic liver disease. </w:t>
      </w:r>
      <w:r w:rsidRPr="00907F73">
        <w:rPr>
          <w:rFonts w:ascii="Book Antiqua" w:hAnsi="Book Antiqua" w:cs="Times New Roman"/>
          <w:i/>
          <w:iCs/>
          <w:color w:val="000000" w:themeColor="text1"/>
          <w:lang w:val="en-US" w:eastAsia="zh-CN"/>
        </w:rPr>
        <w:t xml:space="preserve">World 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2016; </w:t>
      </w:r>
      <w:r w:rsidRPr="00907F73">
        <w:rPr>
          <w:rFonts w:ascii="Book Antiqua" w:hAnsi="Book Antiqua" w:cs="Times New Roman"/>
          <w:b/>
          <w:bCs/>
          <w:color w:val="000000" w:themeColor="text1"/>
          <w:lang w:val="en-US" w:eastAsia="zh-CN"/>
        </w:rPr>
        <w:t>8</w:t>
      </w:r>
      <w:r w:rsidRPr="00907F73">
        <w:rPr>
          <w:rFonts w:ascii="Book Antiqua" w:hAnsi="Book Antiqua" w:cs="Times New Roman"/>
          <w:color w:val="000000" w:themeColor="text1"/>
          <w:lang w:val="en-US" w:eastAsia="zh-CN"/>
        </w:rPr>
        <w:t>: 1149-1154 [PMID: 27721920 DOI: 10.4254/wjh.v8.i27.1149]</w:t>
      </w:r>
    </w:p>
    <w:p w14:paraId="2399868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71 </w:t>
      </w:r>
      <w:r w:rsidRPr="00907F73">
        <w:rPr>
          <w:rFonts w:ascii="Book Antiqua" w:hAnsi="Book Antiqua" w:cs="Times New Roman"/>
          <w:b/>
          <w:bCs/>
          <w:color w:val="000000" w:themeColor="text1"/>
          <w:lang w:val="en-US" w:eastAsia="zh-CN"/>
        </w:rPr>
        <w:t>Lee BP</w:t>
      </w:r>
      <w:r w:rsidRPr="00907F73">
        <w:rPr>
          <w:rFonts w:ascii="Book Antiqua" w:hAnsi="Book Antiqua" w:cs="Times New Roman"/>
          <w:color w:val="000000" w:themeColor="text1"/>
          <w:lang w:val="en-US" w:eastAsia="zh-CN"/>
        </w:rPr>
        <w:t xml:space="preserve">, Chen PH, Haugen C, </w:t>
      </w:r>
      <w:proofErr w:type="spellStart"/>
      <w:r w:rsidRPr="00907F73">
        <w:rPr>
          <w:rFonts w:ascii="Book Antiqua" w:hAnsi="Book Antiqua" w:cs="Times New Roman"/>
          <w:color w:val="000000" w:themeColor="text1"/>
          <w:lang w:val="en-US" w:eastAsia="zh-CN"/>
        </w:rPr>
        <w:t>Hernaez</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Gurakar</w:t>
      </w:r>
      <w:proofErr w:type="spellEnd"/>
      <w:r w:rsidRPr="00907F73">
        <w:rPr>
          <w:rFonts w:ascii="Book Antiqua" w:hAnsi="Book Antiqua" w:cs="Times New Roman"/>
          <w:color w:val="000000" w:themeColor="text1"/>
          <w:lang w:val="en-US" w:eastAsia="zh-CN"/>
        </w:rPr>
        <w:t xml:space="preserve"> A, Philosophe B, </w:t>
      </w:r>
      <w:proofErr w:type="spellStart"/>
      <w:r w:rsidRPr="00907F73">
        <w:rPr>
          <w:rFonts w:ascii="Book Antiqua" w:hAnsi="Book Antiqua" w:cs="Times New Roman"/>
          <w:color w:val="000000" w:themeColor="text1"/>
          <w:lang w:val="en-US" w:eastAsia="zh-CN"/>
        </w:rPr>
        <w:t>Dagher</w:t>
      </w:r>
      <w:proofErr w:type="spellEnd"/>
      <w:r w:rsidRPr="00907F73">
        <w:rPr>
          <w:rFonts w:ascii="Book Antiqua" w:hAnsi="Book Antiqua" w:cs="Times New Roman"/>
          <w:color w:val="000000" w:themeColor="text1"/>
          <w:lang w:val="en-US" w:eastAsia="zh-CN"/>
        </w:rPr>
        <w:t xml:space="preserve"> N, Moore SA, Li Z, Cameron AM. Three-year Results of a Pilot Program in Early Liver Transplantation for Severe Alcoholic Hepatitis. </w:t>
      </w:r>
      <w:r w:rsidRPr="00907F73">
        <w:rPr>
          <w:rFonts w:ascii="Book Antiqua" w:hAnsi="Book Antiqua" w:cs="Times New Roman"/>
          <w:i/>
          <w:iCs/>
          <w:color w:val="000000" w:themeColor="text1"/>
          <w:lang w:val="en-US" w:eastAsia="zh-CN"/>
        </w:rPr>
        <w:t>Ann Surg</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265</w:t>
      </w:r>
      <w:r w:rsidRPr="00907F73">
        <w:rPr>
          <w:rFonts w:ascii="Book Antiqua" w:hAnsi="Book Antiqua" w:cs="Times New Roman"/>
          <w:color w:val="000000" w:themeColor="text1"/>
          <w:lang w:val="en-US" w:eastAsia="zh-CN"/>
        </w:rPr>
        <w:t>: 20-29 [PMID: 27280501 DOI: 10.1097/SLA.0000000000001831]</w:t>
      </w:r>
    </w:p>
    <w:p w14:paraId="53CA575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72 </w:t>
      </w:r>
      <w:r w:rsidRPr="00907F73">
        <w:rPr>
          <w:rFonts w:ascii="Book Antiqua" w:hAnsi="Book Antiqua" w:cs="Times New Roman"/>
          <w:b/>
          <w:bCs/>
          <w:color w:val="000000" w:themeColor="text1"/>
          <w:lang w:val="en-US" w:eastAsia="zh-CN"/>
        </w:rPr>
        <w:t>Mathurin P</w:t>
      </w:r>
      <w:r w:rsidRPr="00907F73">
        <w:rPr>
          <w:rFonts w:ascii="Book Antiqua" w:hAnsi="Book Antiqua" w:cs="Times New Roman"/>
          <w:color w:val="000000" w:themeColor="text1"/>
          <w:lang w:val="en-US" w:eastAsia="zh-CN"/>
        </w:rPr>
        <w:t xml:space="preserve">, Moreno C, Samuel D, </w:t>
      </w:r>
      <w:proofErr w:type="spellStart"/>
      <w:r w:rsidRPr="00907F73">
        <w:rPr>
          <w:rFonts w:ascii="Book Antiqua" w:hAnsi="Book Antiqua" w:cs="Times New Roman"/>
          <w:color w:val="000000" w:themeColor="text1"/>
          <w:lang w:val="en-US" w:eastAsia="zh-CN"/>
        </w:rPr>
        <w:t>Dumortier</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Salleron</w:t>
      </w:r>
      <w:proofErr w:type="spellEnd"/>
      <w:r w:rsidRPr="00907F73">
        <w:rPr>
          <w:rFonts w:ascii="Book Antiqua" w:hAnsi="Book Antiqua" w:cs="Times New Roman"/>
          <w:color w:val="000000" w:themeColor="text1"/>
          <w:lang w:val="en-US" w:eastAsia="zh-CN"/>
        </w:rPr>
        <w:t xml:space="preserve"> J, Durand F, Castel H, Duhamel A, </w:t>
      </w:r>
      <w:proofErr w:type="spellStart"/>
      <w:r w:rsidRPr="00907F73">
        <w:rPr>
          <w:rFonts w:ascii="Book Antiqua" w:hAnsi="Book Antiqua" w:cs="Times New Roman"/>
          <w:color w:val="000000" w:themeColor="text1"/>
          <w:lang w:val="en-US" w:eastAsia="zh-CN"/>
        </w:rPr>
        <w:t>Pageaux</w:t>
      </w:r>
      <w:proofErr w:type="spellEnd"/>
      <w:r w:rsidRPr="00907F73">
        <w:rPr>
          <w:rFonts w:ascii="Book Antiqua" w:hAnsi="Book Antiqua" w:cs="Times New Roman"/>
          <w:color w:val="000000" w:themeColor="text1"/>
          <w:lang w:val="en-US" w:eastAsia="zh-CN"/>
        </w:rPr>
        <w:t xml:space="preserve"> GP, Leroy V, </w:t>
      </w:r>
      <w:proofErr w:type="spellStart"/>
      <w:r w:rsidRPr="00907F73">
        <w:rPr>
          <w:rFonts w:ascii="Book Antiqua" w:hAnsi="Book Antiqua" w:cs="Times New Roman"/>
          <w:color w:val="000000" w:themeColor="text1"/>
          <w:lang w:val="en-US" w:eastAsia="zh-CN"/>
        </w:rPr>
        <w:t>Dharancy</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Louvet</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Boleslawski</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Lucidi</w:t>
      </w:r>
      <w:proofErr w:type="spellEnd"/>
      <w:r w:rsidRPr="00907F73">
        <w:rPr>
          <w:rFonts w:ascii="Book Antiqua" w:hAnsi="Book Antiqua" w:cs="Times New Roman"/>
          <w:color w:val="000000" w:themeColor="text1"/>
          <w:lang w:val="en-US" w:eastAsia="zh-CN"/>
        </w:rPr>
        <w:t xml:space="preserve"> V, </w:t>
      </w:r>
      <w:proofErr w:type="spellStart"/>
      <w:r w:rsidRPr="00907F73">
        <w:rPr>
          <w:rFonts w:ascii="Book Antiqua" w:hAnsi="Book Antiqua" w:cs="Times New Roman"/>
          <w:color w:val="000000" w:themeColor="text1"/>
          <w:lang w:val="en-US" w:eastAsia="zh-CN"/>
        </w:rPr>
        <w:t>Gustot</w:t>
      </w:r>
      <w:proofErr w:type="spellEnd"/>
      <w:r w:rsidRPr="00907F73">
        <w:rPr>
          <w:rFonts w:ascii="Book Antiqua" w:hAnsi="Book Antiqua" w:cs="Times New Roman"/>
          <w:color w:val="000000" w:themeColor="text1"/>
          <w:lang w:val="en-US" w:eastAsia="zh-CN"/>
        </w:rPr>
        <w:t xml:space="preserve"> T, </w:t>
      </w:r>
      <w:proofErr w:type="spellStart"/>
      <w:r w:rsidRPr="00907F73">
        <w:rPr>
          <w:rFonts w:ascii="Book Antiqua" w:hAnsi="Book Antiqua" w:cs="Times New Roman"/>
          <w:color w:val="000000" w:themeColor="text1"/>
          <w:lang w:val="en-US" w:eastAsia="zh-CN"/>
        </w:rPr>
        <w:t>Francoz</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Letoublon</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Castaing</w:t>
      </w:r>
      <w:proofErr w:type="spellEnd"/>
      <w:r w:rsidRPr="00907F73">
        <w:rPr>
          <w:rFonts w:ascii="Book Antiqua" w:hAnsi="Book Antiqua" w:cs="Times New Roman"/>
          <w:color w:val="000000" w:themeColor="text1"/>
          <w:lang w:val="en-US" w:eastAsia="zh-CN"/>
        </w:rPr>
        <w:t xml:space="preserve"> D, </w:t>
      </w:r>
      <w:proofErr w:type="spellStart"/>
      <w:r w:rsidRPr="00907F73">
        <w:rPr>
          <w:rFonts w:ascii="Book Antiqua" w:hAnsi="Book Antiqua" w:cs="Times New Roman"/>
          <w:color w:val="000000" w:themeColor="text1"/>
          <w:lang w:val="en-US" w:eastAsia="zh-CN"/>
        </w:rPr>
        <w:t>Belghiti</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Donckier</w:t>
      </w:r>
      <w:proofErr w:type="spellEnd"/>
      <w:r w:rsidRPr="00907F73">
        <w:rPr>
          <w:rFonts w:ascii="Book Antiqua" w:hAnsi="Book Antiqua" w:cs="Times New Roman"/>
          <w:color w:val="000000" w:themeColor="text1"/>
          <w:lang w:val="en-US" w:eastAsia="zh-CN"/>
        </w:rPr>
        <w:t xml:space="preserve"> V, </w:t>
      </w:r>
      <w:proofErr w:type="spellStart"/>
      <w:r w:rsidRPr="00907F73">
        <w:rPr>
          <w:rFonts w:ascii="Book Antiqua" w:hAnsi="Book Antiqua" w:cs="Times New Roman"/>
          <w:color w:val="000000" w:themeColor="text1"/>
          <w:lang w:val="en-US" w:eastAsia="zh-CN"/>
        </w:rPr>
        <w:t>Pruvot</w:t>
      </w:r>
      <w:proofErr w:type="spellEnd"/>
      <w:r w:rsidRPr="00907F73">
        <w:rPr>
          <w:rFonts w:ascii="Book Antiqua" w:hAnsi="Book Antiqua" w:cs="Times New Roman"/>
          <w:color w:val="000000" w:themeColor="text1"/>
          <w:lang w:val="en-US" w:eastAsia="zh-CN"/>
        </w:rPr>
        <w:t xml:space="preserve"> FR, </w:t>
      </w:r>
      <w:proofErr w:type="spellStart"/>
      <w:r w:rsidRPr="00907F73">
        <w:rPr>
          <w:rFonts w:ascii="Book Antiqua" w:hAnsi="Book Antiqua" w:cs="Times New Roman"/>
          <w:color w:val="000000" w:themeColor="text1"/>
          <w:lang w:val="en-US" w:eastAsia="zh-CN"/>
        </w:rPr>
        <w:t>Duclos-Vallée</w:t>
      </w:r>
      <w:proofErr w:type="spellEnd"/>
      <w:r w:rsidRPr="00907F73">
        <w:rPr>
          <w:rFonts w:ascii="Book Antiqua" w:hAnsi="Book Antiqua" w:cs="Times New Roman"/>
          <w:color w:val="000000" w:themeColor="text1"/>
          <w:lang w:val="en-US" w:eastAsia="zh-CN"/>
        </w:rPr>
        <w:t xml:space="preserve"> JC. Early liver transplantation for severe alcoholic hepatitis. </w:t>
      </w:r>
      <w:r w:rsidRPr="00907F73">
        <w:rPr>
          <w:rFonts w:ascii="Book Antiqua" w:hAnsi="Book Antiqua" w:cs="Times New Roman"/>
          <w:i/>
          <w:iCs/>
          <w:color w:val="000000" w:themeColor="text1"/>
          <w:lang w:val="en-US" w:eastAsia="zh-CN"/>
        </w:rPr>
        <w:t xml:space="preserve">N </w:t>
      </w:r>
      <w:proofErr w:type="spellStart"/>
      <w:r w:rsidRPr="00907F73">
        <w:rPr>
          <w:rFonts w:ascii="Book Antiqua" w:hAnsi="Book Antiqua" w:cs="Times New Roman"/>
          <w:i/>
          <w:iCs/>
          <w:color w:val="000000" w:themeColor="text1"/>
          <w:lang w:val="en-US" w:eastAsia="zh-CN"/>
        </w:rPr>
        <w:t>Engl</w:t>
      </w:r>
      <w:proofErr w:type="spellEnd"/>
      <w:r w:rsidRPr="00907F73">
        <w:rPr>
          <w:rFonts w:ascii="Book Antiqua" w:hAnsi="Book Antiqua" w:cs="Times New Roman"/>
          <w:i/>
          <w:iCs/>
          <w:color w:val="000000" w:themeColor="text1"/>
          <w:lang w:val="en-US" w:eastAsia="zh-CN"/>
        </w:rPr>
        <w:t xml:space="preserve"> J Med</w:t>
      </w:r>
      <w:r w:rsidRPr="00907F73">
        <w:rPr>
          <w:rFonts w:ascii="Book Antiqua" w:hAnsi="Book Antiqua" w:cs="Times New Roman"/>
          <w:color w:val="000000" w:themeColor="text1"/>
          <w:lang w:val="en-US" w:eastAsia="zh-CN"/>
        </w:rPr>
        <w:t>2011; </w:t>
      </w:r>
      <w:r w:rsidRPr="00907F73">
        <w:rPr>
          <w:rFonts w:ascii="Book Antiqua" w:hAnsi="Book Antiqua" w:cs="Times New Roman"/>
          <w:b/>
          <w:bCs/>
          <w:color w:val="000000" w:themeColor="text1"/>
          <w:lang w:val="en-US" w:eastAsia="zh-CN"/>
        </w:rPr>
        <w:t>365</w:t>
      </w:r>
      <w:r w:rsidRPr="00907F73">
        <w:rPr>
          <w:rFonts w:ascii="Book Antiqua" w:hAnsi="Book Antiqua" w:cs="Times New Roman"/>
          <w:color w:val="000000" w:themeColor="text1"/>
          <w:lang w:val="en-US" w:eastAsia="zh-CN"/>
        </w:rPr>
        <w:t>: 1790-1800 [PMID: 22070476 DOI: 10.1056/NEJMoa1105703]</w:t>
      </w:r>
    </w:p>
    <w:p w14:paraId="1486435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73 </w:t>
      </w:r>
      <w:proofErr w:type="spellStart"/>
      <w:r w:rsidRPr="00907F73">
        <w:rPr>
          <w:rFonts w:ascii="Book Antiqua" w:hAnsi="Book Antiqua" w:cs="Times New Roman"/>
          <w:b/>
          <w:bCs/>
          <w:color w:val="000000" w:themeColor="text1"/>
          <w:lang w:val="en-US" w:eastAsia="zh-CN"/>
        </w:rPr>
        <w:t>Artru</w:t>
      </w:r>
      <w:proofErr w:type="spellEnd"/>
      <w:r w:rsidRPr="00907F73">
        <w:rPr>
          <w:rFonts w:ascii="Book Antiqua" w:hAnsi="Book Antiqua" w:cs="Times New Roman"/>
          <w:b/>
          <w:bCs/>
          <w:color w:val="000000" w:themeColor="text1"/>
          <w:lang w:val="en-US" w:eastAsia="zh-CN"/>
        </w:rPr>
        <w:t xml:space="preserve"> F</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Louvet</w:t>
      </w:r>
      <w:proofErr w:type="spellEnd"/>
      <w:r w:rsidRPr="00907F73">
        <w:rPr>
          <w:rFonts w:ascii="Book Antiqua" w:hAnsi="Book Antiqua" w:cs="Times New Roman"/>
          <w:color w:val="000000" w:themeColor="text1"/>
          <w:lang w:val="en-US" w:eastAsia="zh-CN"/>
        </w:rPr>
        <w:t xml:space="preserve"> A, Mathurin P. Liver transplantation for patients with alcoholic hepatitis. </w:t>
      </w:r>
      <w:r w:rsidRPr="00907F73">
        <w:rPr>
          <w:rFonts w:ascii="Book Antiqua" w:hAnsi="Book Antiqua" w:cs="Times New Roman"/>
          <w:i/>
          <w:iCs/>
          <w:color w:val="000000" w:themeColor="text1"/>
          <w:lang w:val="en-US" w:eastAsia="zh-CN"/>
        </w:rPr>
        <w:t>Liver Int</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37</w:t>
      </w:r>
      <w:r w:rsidRPr="00907F73">
        <w:rPr>
          <w:rFonts w:ascii="Book Antiqua" w:hAnsi="Book Antiqua" w:cs="Times New Roman"/>
          <w:color w:val="000000" w:themeColor="text1"/>
          <w:lang w:val="en-US" w:eastAsia="zh-CN"/>
        </w:rPr>
        <w:t>: 337-339 [PMID: 28240838 DOI: 10.1111/liv.13248]</w:t>
      </w:r>
    </w:p>
    <w:p w14:paraId="7DD2D937"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74 </w:t>
      </w:r>
      <w:proofErr w:type="spellStart"/>
      <w:r w:rsidRPr="00907F73">
        <w:rPr>
          <w:rFonts w:ascii="Book Antiqua" w:hAnsi="Book Antiqua" w:cs="Times New Roman"/>
          <w:b/>
          <w:bCs/>
          <w:color w:val="000000" w:themeColor="text1"/>
          <w:lang w:val="en-US" w:eastAsia="zh-CN"/>
        </w:rPr>
        <w:t>Perney</w:t>
      </w:r>
      <w:proofErr w:type="spellEnd"/>
      <w:r w:rsidRPr="00907F73">
        <w:rPr>
          <w:rFonts w:ascii="Book Antiqua" w:hAnsi="Book Antiqua" w:cs="Times New Roman"/>
          <w:b/>
          <w:bCs/>
          <w:color w:val="000000" w:themeColor="text1"/>
          <w:lang w:val="en-US" w:eastAsia="zh-CN"/>
        </w:rPr>
        <w:t xml:space="preserve"> P</w:t>
      </w:r>
      <w:r w:rsidRPr="00907F73">
        <w:rPr>
          <w:rFonts w:ascii="Book Antiqua" w:hAnsi="Book Antiqua" w:cs="Times New Roman"/>
          <w:color w:val="000000" w:themeColor="text1"/>
          <w:lang w:val="en-US" w:eastAsia="zh-CN"/>
        </w:rPr>
        <w:t xml:space="preserve">, Bismuth M, </w:t>
      </w:r>
      <w:proofErr w:type="spellStart"/>
      <w:r w:rsidRPr="00907F73">
        <w:rPr>
          <w:rFonts w:ascii="Book Antiqua" w:hAnsi="Book Antiqua" w:cs="Times New Roman"/>
          <w:color w:val="000000" w:themeColor="text1"/>
          <w:lang w:val="en-US" w:eastAsia="zh-CN"/>
        </w:rPr>
        <w:t>Sigaud</w:t>
      </w:r>
      <w:proofErr w:type="spellEnd"/>
      <w:r w:rsidRPr="00907F73">
        <w:rPr>
          <w:rFonts w:ascii="Book Antiqua" w:hAnsi="Book Antiqua" w:cs="Times New Roman"/>
          <w:color w:val="000000" w:themeColor="text1"/>
          <w:lang w:val="en-US" w:eastAsia="zh-CN"/>
        </w:rPr>
        <w:t xml:space="preserve"> H, Picot MC, </w:t>
      </w:r>
      <w:proofErr w:type="spellStart"/>
      <w:r w:rsidRPr="00907F73">
        <w:rPr>
          <w:rFonts w:ascii="Book Antiqua" w:hAnsi="Book Antiqua" w:cs="Times New Roman"/>
          <w:color w:val="000000" w:themeColor="text1"/>
          <w:lang w:val="en-US" w:eastAsia="zh-CN"/>
        </w:rPr>
        <w:t>Jacquet</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Puche</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Jaber</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Rigole</w:t>
      </w:r>
      <w:proofErr w:type="spellEnd"/>
      <w:r w:rsidRPr="00907F73">
        <w:rPr>
          <w:rFonts w:ascii="Book Antiqua" w:hAnsi="Book Antiqua" w:cs="Times New Roman"/>
          <w:color w:val="000000" w:themeColor="text1"/>
          <w:lang w:val="en-US" w:eastAsia="zh-CN"/>
        </w:rPr>
        <w:t xml:space="preserve"> H, Navarro F, </w:t>
      </w:r>
      <w:proofErr w:type="spellStart"/>
      <w:r w:rsidRPr="00907F73">
        <w:rPr>
          <w:rFonts w:ascii="Book Antiqua" w:hAnsi="Book Antiqua" w:cs="Times New Roman"/>
          <w:color w:val="000000" w:themeColor="text1"/>
          <w:lang w:val="en-US" w:eastAsia="zh-CN"/>
        </w:rPr>
        <w:t>Eledjam</w:t>
      </w:r>
      <w:proofErr w:type="spellEnd"/>
      <w:r w:rsidRPr="00907F73">
        <w:rPr>
          <w:rFonts w:ascii="Book Antiqua" w:hAnsi="Book Antiqua" w:cs="Times New Roman"/>
          <w:color w:val="000000" w:themeColor="text1"/>
          <w:lang w:val="en-US" w:eastAsia="zh-CN"/>
        </w:rPr>
        <w:t xml:space="preserve"> JJ, Blanc F, </w:t>
      </w:r>
      <w:proofErr w:type="spellStart"/>
      <w:r w:rsidRPr="00907F73">
        <w:rPr>
          <w:rFonts w:ascii="Book Antiqua" w:hAnsi="Book Antiqua" w:cs="Times New Roman"/>
          <w:color w:val="000000" w:themeColor="text1"/>
          <w:lang w:val="en-US" w:eastAsia="zh-CN"/>
        </w:rPr>
        <w:t>Larrey</w:t>
      </w:r>
      <w:proofErr w:type="spellEnd"/>
      <w:r w:rsidRPr="00907F73">
        <w:rPr>
          <w:rFonts w:ascii="Book Antiqua" w:hAnsi="Book Antiqua" w:cs="Times New Roman"/>
          <w:color w:val="000000" w:themeColor="text1"/>
          <w:lang w:val="en-US" w:eastAsia="zh-CN"/>
        </w:rPr>
        <w:t xml:space="preserve"> D, </w:t>
      </w:r>
      <w:proofErr w:type="spellStart"/>
      <w:r w:rsidRPr="00907F73">
        <w:rPr>
          <w:rFonts w:ascii="Book Antiqua" w:hAnsi="Book Antiqua" w:cs="Times New Roman"/>
          <w:color w:val="000000" w:themeColor="text1"/>
          <w:lang w:val="en-US" w:eastAsia="zh-CN"/>
        </w:rPr>
        <w:t>Pageaux</w:t>
      </w:r>
      <w:proofErr w:type="spellEnd"/>
      <w:r w:rsidRPr="00907F73">
        <w:rPr>
          <w:rFonts w:ascii="Book Antiqua" w:hAnsi="Book Antiqua" w:cs="Times New Roman"/>
          <w:color w:val="000000" w:themeColor="text1"/>
          <w:lang w:val="en-US" w:eastAsia="zh-CN"/>
        </w:rPr>
        <w:t xml:space="preserve"> GP. Are preoperative patterns of alcohol consumption predictive of relapse after liver transplantation for alcoholic liver disease?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i/>
          <w:iCs/>
          <w:color w:val="000000" w:themeColor="text1"/>
          <w:lang w:val="en-US" w:eastAsia="zh-CN"/>
        </w:rPr>
        <w:t xml:space="preserve"> </w:t>
      </w:r>
      <w:proofErr w:type="spellStart"/>
      <w:r w:rsidRPr="00907F73">
        <w:rPr>
          <w:rFonts w:ascii="Book Antiqua" w:hAnsi="Book Antiqua" w:cs="Times New Roman"/>
          <w:i/>
          <w:iCs/>
          <w:color w:val="000000" w:themeColor="text1"/>
          <w:lang w:val="en-US" w:eastAsia="zh-CN"/>
        </w:rPr>
        <w:t>Int</w:t>
      </w:r>
      <w:proofErr w:type="spellEnd"/>
      <w:r w:rsidRPr="00907F73">
        <w:rPr>
          <w:rFonts w:ascii="Book Antiqua" w:hAnsi="Book Antiqua" w:cs="Times New Roman"/>
          <w:color w:val="000000" w:themeColor="text1"/>
          <w:lang w:val="en-US" w:eastAsia="zh-CN"/>
        </w:rPr>
        <w:t> 2005; </w:t>
      </w:r>
      <w:r w:rsidRPr="00907F73">
        <w:rPr>
          <w:rFonts w:ascii="Book Antiqua" w:hAnsi="Book Antiqua" w:cs="Times New Roman"/>
          <w:b/>
          <w:bCs/>
          <w:color w:val="000000" w:themeColor="text1"/>
          <w:lang w:val="en-US" w:eastAsia="zh-CN"/>
        </w:rPr>
        <w:t>18</w:t>
      </w:r>
      <w:r w:rsidRPr="00907F73">
        <w:rPr>
          <w:rFonts w:ascii="Book Antiqua" w:hAnsi="Book Antiqua" w:cs="Times New Roman"/>
          <w:color w:val="000000" w:themeColor="text1"/>
          <w:lang w:val="en-US" w:eastAsia="zh-CN"/>
        </w:rPr>
        <w:t>: 1292-1297 [PMID: 16221161 DOI: 10.1111/j.1432-2277.2005.00208.x]</w:t>
      </w:r>
    </w:p>
    <w:p w14:paraId="1CE4070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75 </w:t>
      </w:r>
      <w:r w:rsidRPr="00907F73">
        <w:rPr>
          <w:rFonts w:ascii="Book Antiqua" w:hAnsi="Book Antiqua" w:cs="Times New Roman"/>
          <w:b/>
          <w:bCs/>
          <w:color w:val="000000" w:themeColor="text1"/>
          <w:lang w:val="en-US" w:eastAsia="zh-CN"/>
        </w:rPr>
        <w:t>Levesque E</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Dhonneur</w:t>
      </w:r>
      <w:proofErr w:type="spellEnd"/>
      <w:r w:rsidRPr="00907F73">
        <w:rPr>
          <w:rFonts w:ascii="Book Antiqua" w:hAnsi="Book Antiqua" w:cs="Times New Roman"/>
          <w:color w:val="000000" w:themeColor="text1"/>
          <w:lang w:val="en-US" w:eastAsia="zh-CN"/>
        </w:rPr>
        <w:t xml:space="preserve"> G, </w:t>
      </w:r>
      <w:proofErr w:type="spellStart"/>
      <w:r w:rsidRPr="00907F73">
        <w:rPr>
          <w:rFonts w:ascii="Book Antiqua" w:hAnsi="Book Antiqua" w:cs="Times New Roman"/>
          <w:color w:val="000000" w:themeColor="text1"/>
          <w:lang w:val="en-US" w:eastAsia="zh-CN"/>
        </w:rPr>
        <w:t>Feray</w:t>
      </w:r>
      <w:proofErr w:type="spellEnd"/>
      <w:r w:rsidRPr="00907F73">
        <w:rPr>
          <w:rFonts w:ascii="Book Antiqua" w:hAnsi="Book Antiqua" w:cs="Times New Roman"/>
          <w:color w:val="000000" w:themeColor="text1"/>
          <w:lang w:val="en-US" w:eastAsia="zh-CN"/>
        </w:rPr>
        <w:t xml:space="preserve"> C, Lim C, </w:t>
      </w:r>
      <w:proofErr w:type="spellStart"/>
      <w:r w:rsidRPr="00907F73">
        <w:rPr>
          <w:rFonts w:ascii="Book Antiqua" w:hAnsi="Book Antiqua" w:cs="Times New Roman"/>
          <w:color w:val="000000" w:themeColor="text1"/>
          <w:lang w:val="en-US" w:eastAsia="zh-CN"/>
        </w:rPr>
        <w:t>Azoulay</w:t>
      </w:r>
      <w:proofErr w:type="spellEnd"/>
      <w:r w:rsidRPr="00907F73">
        <w:rPr>
          <w:rFonts w:ascii="Book Antiqua" w:hAnsi="Book Antiqua" w:cs="Times New Roman"/>
          <w:color w:val="000000" w:themeColor="text1"/>
          <w:lang w:val="en-US" w:eastAsia="zh-CN"/>
        </w:rPr>
        <w:t xml:space="preserve"> D. When the Patient Is Sicker Than His Liver. </w:t>
      </w:r>
      <w:r w:rsidRPr="00907F73">
        <w:rPr>
          <w:rFonts w:ascii="Book Antiqua" w:hAnsi="Book Antiqua" w:cs="Times New Roman"/>
          <w:i/>
          <w:iCs/>
          <w:color w:val="000000" w:themeColor="text1"/>
          <w:lang w:val="en-US" w:eastAsia="zh-CN"/>
        </w:rPr>
        <w:t>Ann Surg</w:t>
      </w:r>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262</w:t>
      </w:r>
      <w:r w:rsidRPr="00907F73">
        <w:rPr>
          <w:rFonts w:ascii="Book Antiqua" w:hAnsi="Book Antiqua" w:cs="Times New Roman"/>
          <w:color w:val="000000" w:themeColor="text1"/>
          <w:lang w:val="en-US" w:eastAsia="zh-CN"/>
        </w:rPr>
        <w:t>: e93 [PMID: 24937191 DOI: 10.1097/SLA.0000000000000727]</w:t>
      </w:r>
    </w:p>
    <w:p w14:paraId="72EF18C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76 </w:t>
      </w:r>
      <w:r w:rsidRPr="00907F73">
        <w:rPr>
          <w:rFonts w:ascii="Book Antiqua" w:hAnsi="Book Antiqua" w:cs="Times New Roman"/>
          <w:b/>
          <w:bCs/>
          <w:color w:val="000000" w:themeColor="text1"/>
          <w:lang w:val="en-US" w:eastAsia="zh-CN"/>
        </w:rPr>
        <w:t>Garg V</w:t>
      </w:r>
      <w:r w:rsidRPr="00907F73">
        <w:rPr>
          <w:rFonts w:ascii="Book Antiqua" w:hAnsi="Book Antiqua" w:cs="Times New Roman"/>
          <w:color w:val="000000" w:themeColor="text1"/>
          <w:lang w:val="en-US" w:eastAsia="zh-CN"/>
        </w:rPr>
        <w:t xml:space="preserve">, Garg H, Khan A, </w:t>
      </w:r>
      <w:proofErr w:type="spellStart"/>
      <w:r w:rsidRPr="00907F73">
        <w:rPr>
          <w:rFonts w:ascii="Book Antiqua" w:hAnsi="Book Antiqua" w:cs="Times New Roman"/>
          <w:color w:val="000000" w:themeColor="text1"/>
          <w:lang w:val="en-US" w:eastAsia="zh-CN"/>
        </w:rPr>
        <w:t>Trehanpati</w:t>
      </w:r>
      <w:proofErr w:type="spellEnd"/>
      <w:r w:rsidRPr="00907F73">
        <w:rPr>
          <w:rFonts w:ascii="Book Antiqua" w:hAnsi="Book Antiqua" w:cs="Times New Roman"/>
          <w:color w:val="000000" w:themeColor="text1"/>
          <w:lang w:val="en-US" w:eastAsia="zh-CN"/>
        </w:rPr>
        <w:t xml:space="preserve"> N, Kumar A, Sharma BC, </w:t>
      </w:r>
      <w:proofErr w:type="spellStart"/>
      <w:r w:rsidRPr="00907F73">
        <w:rPr>
          <w:rFonts w:ascii="Book Antiqua" w:hAnsi="Book Antiqua" w:cs="Times New Roman"/>
          <w:color w:val="000000" w:themeColor="text1"/>
          <w:lang w:val="en-US" w:eastAsia="zh-CN"/>
        </w:rPr>
        <w:t>Sakhuja</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Sarin</w:t>
      </w:r>
      <w:proofErr w:type="spellEnd"/>
      <w:r w:rsidRPr="00907F73">
        <w:rPr>
          <w:rFonts w:ascii="Book Antiqua" w:hAnsi="Book Antiqua" w:cs="Times New Roman"/>
          <w:color w:val="000000" w:themeColor="text1"/>
          <w:lang w:val="en-US" w:eastAsia="zh-CN"/>
        </w:rPr>
        <w:t xml:space="preserve"> SK. Granulocyte colony-stimulating factor mobilizes CD34(+) cells and improves </w:t>
      </w:r>
      <w:r w:rsidRPr="00907F73">
        <w:rPr>
          <w:rFonts w:ascii="Book Antiqua" w:hAnsi="Book Antiqua" w:cs="Times New Roman"/>
          <w:color w:val="000000" w:themeColor="text1"/>
          <w:lang w:val="en-US" w:eastAsia="zh-CN"/>
        </w:rPr>
        <w:lastRenderedPageBreak/>
        <w:t>survival of patients with acute-on-chronic liver failure. </w:t>
      </w:r>
      <w:r w:rsidRPr="00907F73">
        <w:rPr>
          <w:rFonts w:ascii="Book Antiqua" w:hAnsi="Book Antiqua" w:cs="Times New Roman"/>
          <w:i/>
          <w:iCs/>
          <w:color w:val="000000" w:themeColor="text1"/>
          <w:lang w:val="en-US" w:eastAsia="zh-CN"/>
        </w:rPr>
        <w:t>Gastroenterology</w:t>
      </w:r>
      <w:r w:rsidRPr="00907F73">
        <w:rPr>
          <w:rFonts w:ascii="Book Antiqua" w:hAnsi="Book Antiqua" w:cs="Times New Roman"/>
          <w:color w:val="000000" w:themeColor="text1"/>
          <w:lang w:val="en-US" w:eastAsia="zh-CN"/>
        </w:rPr>
        <w:t> 2012; </w:t>
      </w:r>
      <w:r w:rsidRPr="00907F73">
        <w:rPr>
          <w:rFonts w:ascii="Book Antiqua" w:hAnsi="Book Antiqua" w:cs="Times New Roman"/>
          <w:b/>
          <w:bCs/>
          <w:color w:val="000000" w:themeColor="text1"/>
          <w:lang w:val="en-US" w:eastAsia="zh-CN"/>
        </w:rPr>
        <w:t>142</w:t>
      </w:r>
      <w:r w:rsidRPr="00907F73">
        <w:rPr>
          <w:rFonts w:ascii="Book Antiqua" w:hAnsi="Book Antiqua" w:cs="Times New Roman"/>
          <w:color w:val="000000" w:themeColor="text1"/>
          <w:lang w:val="en-US" w:eastAsia="zh-CN"/>
        </w:rPr>
        <w:t>: 505-512.e1 [PMID: 22119930 DOI: 10.1053/j.gastro.2011.11.027]</w:t>
      </w:r>
    </w:p>
    <w:p w14:paraId="59962D5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77 </w:t>
      </w:r>
      <w:r w:rsidRPr="00907F73">
        <w:rPr>
          <w:rFonts w:ascii="Book Antiqua" w:hAnsi="Book Antiqua" w:cs="Times New Roman"/>
          <w:b/>
          <w:bCs/>
          <w:color w:val="000000" w:themeColor="text1"/>
          <w:lang w:val="en-US" w:eastAsia="zh-CN"/>
        </w:rPr>
        <w:t>Feng S</w:t>
      </w:r>
      <w:r w:rsidRPr="00907F73">
        <w:rPr>
          <w:rFonts w:ascii="Book Antiqua" w:hAnsi="Book Antiqua" w:cs="Times New Roman"/>
          <w:color w:val="000000" w:themeColor="text1"/>
          <w:lang w:val="en-US" w:eastAsia="zh-CN"/>
        </w:rPr>
        <w:t xml:space="preserve">, Goodrich NP, Bragg-Gresham JL, Dykstra DM, Punch JD, </w:t>
      </w:r>
      <w:proofErr w:type="spellStart"/>
      <w:r w:rsidRPr="00907F73">
        <w:rPr>
          <w:rFonts w:ascii="Book Antiqua" w:hAnsi="Book Antiqua" w:cs="Times New Roman"/>
          <w:color w:val="000000" w:themeColor="text1"/>
          <w:lang w:val="en-US" w:eastAsia="zh-CN"/>
        </w:rPr>
        <w:t>DebRoy</w:t>
      </w:r>
      <w:proofErr w:type="spellEnd"/>
      <w:r w:rsidRPr="00907F73">
        <w:rPr>
          <w:rFonts w:ascii="Book Antiqua" w:hAnsi="Book Antiqua" w:cs="Times New Roman"/>
          <w:color w:val="000000" w:themeColor="text1"/>
          <w:lang w:val="en-US" w:eastAsia="zh-CN"/>
        </w:rPr>
        <w:t xml:space="preserve"> MA, Greenstein SM, Merion RM. Characteristics associated with liver graft failure: the concept of a donor risk index. </w:t>
      </w:r>
      <w:r w:rsidRPr="00907F73">
        <w:rPr>
          <w:rFonts w:ascii="Book Antiqua" w:hAnsi="Book Antiqua" w:cs="Times New Roman"/>
          <w:i/>
          <w:iCs/>
          <w:color w:val="000000" w:themeColor="text1"/>
          <w:lang w:val="en-US" w:eastAsia="zh-CN"/>
        </w:rPr>
        <w:t>Am J Transplant</w:t>
      </w:r>
      <w:r w:rsidRPr="00907F73">
        <w:rPr>
          <w:rFonts w:ascii="Book Antiqua" w:hAnsi="Book Antiqua" w:cs="Times New Roman"/>
          <w:color w:val="000000" w:themeColor="text1"/>
          <w:lang w:val="en-US" w:eastAsia="zh-CN"/>
        </w:rPr>
        <w:t> 2006; </w:t>
      </w:r>
      <w:r w:rsidRPr="00907F73">
        <w:rPr>
          <w:rFonts w:ascii="Book Antiqua" w:hAnsi="Book Antiqua" w:cs="Times New Roman"/>
          <w:b/>
          <w:bCs/>
          <w:color w:val="000000" w:themeColor="text1"/>
          <w:lang w:val="en-US" w:eastAsia="zh-CN"/>
        </w:rPr>
        <w:t>6</w:t>
      </w:r>
      <w:r w:rsidRPr="00907F73">
        <w:rPr>
          <w:rFonts w:ascii="Book Antiqua" w:hAnsi="Book Antiqua" w:cs="Times New Roman"/>
          <w:color w:val="000000" w:themeColor="text1"/>
          <w:lang w:val="en-US" w:eastAsia="zh-CN"/>
        </w:rPr>
        <w:t>: 783-790 [PMID: 16539636 DOI: 10.1111/j.1600-6143.2006.01242.x]</w:t>
      </w:r>
    </w:p>
    <w:p w14:paraId="7156FC8F"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78 </w:t>
      </w:r>
      <w:proofErr w:type="spellStart"/>
      <w:r w:rsidRPr="00907F73">
        <w:rPr>
          <w:rFonts w:ascii="Book Antiqua" w:hAnsi="Book Antiqua" w:cs="Times New Roman"/>
          <w:b/>
          <w:bCs/>
          <w:color w:val="000000" w:themeColor="text1"/>
          <w:lang w:val="en-US" w:eastAsia="zh-CN"/>
        </w:rPr>
        <w:t>Kribben</w:t>
      </w:r>
      <w:proofErr w:type="spellEnd"/>
      <w:r w:rsidRPr="00907F73">
        <w:rPr>
          <w:rFonts w:ascii="Book Antiqua" w:hAnsi="Book Antiqua" w:cs="Times New Roman"/>
          <w:b/>
          <w:bCs/>
          <w:color w:val="000000" w:themeColor="text1"/>
          <w:lang w:val="en-US" w:eastAsia="zh-CN"/>
        </w:rPr>
        <w:t xml:space="preserve"> A</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Gerken</w:t>
      </w:r>
      <w:proofErr w:type="spellEnd"/>
      <w:r w:rsidRPr="00907F73">
        <w:rPr>
          <w:rFonts w:ascii="Book Antiqua" w:hAnsi="Book Antiqua" w:cs="Times New Roman"/>
          <w:color w:val="000000" w:themeColor="text1"/>
          <w:lang w:val="en-US" w:eastAsia="zh-CN"/>
        </w:rPr>
        <w:t xml:space="preserve"> G, Haag S, </w:t>
      </w:r>
      <w:proofErr w:type="spellStart"/>
      <w:r w:rsidRPr="00907F73">
        <w:rPr>
          <w:rFonts w:ascii="Book Antiqua" w:hAnsi="Book Antiqua" w:cs="Times New Roman"/>
          <w:color w:val="000000" w:themeColor="text1"/>
          <w:lang w:val="en-US" w:eastAsia="zh-CN"/>
        </w:rPr>
        <w:t>Herget</w:t>
      </w:r>
      <w:proofErr w:type="spellEnd"/>
      <w:r w:rsidRPr="00907F73">
        <w:rPr>
          <w:rFonts w:ascii="Book Antiqua" w:hAnsi="Book Antiqua" w:cs="Times New Roman"/>
          <w:color w:val="000000" w:themeColor="text1"/>
          <w:lang w:val="en-US" w:eastAsia="zh-CN"/>
        </w:rPr>
        <w:t xml:space="preserve">-Rosenthal S, </w:t>
      </w:r>
      <w:proofErr w:type="spellStart"/>
      <w:r w:rsidRPr="00907F73">
        <w:rPr>
          <w:rFonts w:ascii="Book Antiqua" w:hAnsi="Book Antiqua" w:cs="Times New Roman"/>
          <w:color w:val="000000" w:themeColor="text1"/>
          <w:lang w:val="en-US" w:eastAsia="zh-CN"/>
        </w:rPr>
        <w:t>Treichel</w:t>
      </w:r>
      <w:proofErr w:type="spellEnd"/>
      <w:r w:rsidRPr="00907F73">
        <w:rPr>
          <w:rFonts w:ascii="Book Antiqua" w:hAnsi="Book Antiqua" w:cs="Times New Roman"/>
          <w:color w:val="000000" w:themeColor="text1"/>
          <w:lang w:val="en-US" w:eastAsia="zh-CN"/>
        </w:rPr>
        <w:t xml:space="preserve"> U, Betz C, </w:t>
      </w:r>
      <w:proofErr w:type="spellStart"/>
      <w:r w:rsidRPr="00907F73">
        <w:rPr>
          <w:rFonts w:ascii="Book Antiqua" w:hAnsi="Book Antiqua" w:cs="Times New Roman"/>
          <w:color w:val="000000" w:themeColor="text1"/>
          <w:lang w:val="en-US" w:eastAsia="zh-CN"/>
        </w:rPr>
        <w:t>Sarrazin</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Hoste</w:t>
      </w:r>
      <w:proofErr w:type="spellEnd"/>
      <w:r w:rsidRPr="00907F73">
        <w:rPr>
          <w:rFonts w:ascii="Book Antiqua" w:hAnsi="Book Antiqua" w:cs="Times New Roman"/>
          <w:color w:val="000000" w:themeColor="text1"/>
          <w:lang w:val="en-US" w:eastAsia="zh-CN"/>
        </w:rPr>
        <w:t xml:space="preserve"> E, Van </w:t>
      </w:r>
      <w:proofErr w:type="spellStart"/>
      <w:r w:rsidRPr="00907F73">
        <w:rPr>
          <w:rFonts w:ascii="Book Antiqua" w:hAnsi="Book Antiqua" w:cs="Times New Roman"/>
          <w:color w:val="000000" w:themeColor="text1"/>
          <w:lang w:val="en-US" w:eastAsia="zh-CN"/>
        </w:rPr>
        <w:t>Vlierberghe</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Escorsell</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Hafer</w:t>
      </w:r>
      <w:proofErr w:type="spellEnd"/>
      <w:r w:rsidRPr="00907F73">
        <w:rPr>
          <w:rFonts w:ascii="Book Antiqua" w:hAnsi="Book Antiqua" w:cs="Times New Roman"/>
          <w:color w:val="000000" w:themeColor="text1"/>
          <w:lang w:val="en-US" w:eastAsia="zh-CN"/>
        </w:rPr>
        <w:t xml:space="preserve"> C, Schreiner O, Galle PR, Mancini E, </w:t>
      </w:r>
      <w:proofErr w:type="spellStart"/>
      <w:r w:rsidRPr="00907F73">
        <w:rPr>
          <w:rFonts w:ascii="Book Antiqua" w:hAnsi="Book Antiqua" w:cs="Times New Roman"/>
          <w:color w:val="000000" w:themeColor="text1"/>
          <w:lang w:val="en-US" w:eastAsia="zh-CN"/>
        </w:rPr>
        <w:t>Caraceni</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Karvellas</w:t>
      </w:r>
      <w:proofErr w:type="spellEnd"/>
      <w:r w:rsidRPr="00907F73">
        <w:rPr>
          <w:rFonts w:ascii="Book Antiqua" w:hAnsi="Book Antiqua" w:cs="Times New Roman"/>
          <w:color w:val="000000" w:themeColor="text1"/>
          <w:lang w:val="en-US" w:eastAsia="zh-CN"/>
        </w:rPr>
        <w:t xml:space="preserve"> CJ, </w:t>
      </w:r>
      <w:proofErr w:type="spellStart"/>
      <w:r w:rsidRPr="00907F73">
        <w:rPr>
          <w:rFonts w:ascii="Book Antiqua" w:hAnsi="Book Antiqua" w:cs="Times New Roman"/>
          <w:color w:val="000000" w:themeColor="text1"/>
          <w:lang w:val="en-US" w:eastAsia="zh-CN"/>
        </w:rPr>
        <w:t>Salmhofer</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Knotek</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Ginès</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Kozik-Jaromin</w:t>
      </w:r>
      <w:proofErr w:type="spellEnd"/>
      <w:r w:rsidRPr="00907F73">
        <w:rPr>
          <w:rFonts w:ascii="Book Antiqua" w:hAnsi="Book Antiqua" w:cs="Times New Roman"/>
          <w:color w:val="000000" w:themeColor="text1"/>
          <w:lang w:val="en-US" w:eastAsia="zh-CN"/>
        </w:rPr>
        <w:t xml:space="preserve"> J, Rifai K; HELIOS Study Group. Effects of fractionated plasma separation and adsorption on survival in patients with acute-on-chronic liver failure. </w:t>
      </w:r>
      <w:r w:rsidRPr="00907F73">
        <w:rPr>
          <w:rFonts w:ascii="Book Antiqua" w:hAnsi="Book Antiqua" w:cs="Times New Roman"/>
          <w:i/>
          <w:iCs/>
          <w:color w:val="000000" w:themeColor="text1"/>
          <w:lang w:val="en-US" w:eastAsia="zh-CN"/>
        </w:rPr>
        <w:t>Gastroenterology</w:t>
      </w:r>
      <w:r w:rsidRPr="00907F73">
        <w:rPr>
          <w:rFonts w:ascii="Book Antiqua" w:hAnsi="Book Antiqua" w:cs="Times New Roman"/>
          <w:color w:val="000000" w:themeColor="text1"/>
          <w:lang w:val="en-US" w:eastAsia="zh-CN"/>
        </w:rPr>
        <w:t> 2012; </w:t>
      </w:r>
      <w:r w:rsidRPr="00907F73">
        <w:rPr>
          <w:rFonts w:ascii="Book Antiqua" w:hAnsi="Book Antiqua" w:cs="Times New Roman"/>
          <w:b/>
          <w:bCs/>
          <w:color w:val="000000" w:themeColor="text1"/>
          <w:lang w:val="en-US" w:eastAsia="zh-CN"/>
        </w:rPr>
        <w:t>142</w:t>
      </w:r>
      <w:r w:rsidRPr="00907F73">
        <w:rPr>
          <w:rFonts w:ascii="Book Antiqua" w:hAnsi="Book Antiqua" w:cs="Times New Roman"/>
          <w:color w:val="000000" w:themeColor="text1"/>
          <w:lang w:val="en-US" w:eastAsia="zh-CN"/>
        </w:rPr>
        <w:t>: 782-789.e3 [PMID: 22248661 DOI: 10.1053/j.gastro.2011.12.056]</w:t>
      </w:r>
    </w:p>
    <w:p w14:paraId="3123E77F"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79 </w:t>
      </w:r>
      <w:proofErr w:type="spellStart"/>
      <w:r w:rsidRPr="00907F73">
        <w:rPr>
          <w:rFonts w:ascii="Book Antiqua" w:hAnsi="Book Antiqua" w:cs="Times New Roman"/>
          <w:b/>
          <w:bCs/>
          <w:color w:val="000000" w:themeColor="text1"/>
          <w:lang w:val="en-US" w:eastAsia="zh-CN"/>
        </w:rPr>
        <w:t>Saliba</w:t>
      </w:r>
      <w:proofErr w:type="spellEnd"/>
      <w:r w:rsidRPr="00907F73">
        <w:rPr>
          <w:rFonts w:ascii="Book Antiqua" w:hAnsi="Book Antiqua" w:cs="Times New Roman"/>
          <w:b/>
          <w:bCs/>
          <w:color w:val="000000" w:themeColor="text1"/>
          <w:lang w:val="en-US" w:eastAsia="zh-CN"/>
        </w:rPr>
        <w:t xml:space="preserve"> F</w:t>
      </w:r>
      <w:r w:rsidRPr="00907F73">
        <w:rPr>
          <w:rFonts w:ascii="Book Antiqua" w:hAnsi="Book Antiqua" w:cs="Times New Roman"/>
          <w:color w:val="000000" w:themeColor="text1"/>
          <w:lang w:val="en-US" w:eastAsia="zh-CN"/>
        </w:rPr>
        <w:t xml:space="preserve">, Camus C, Durand F, </w:t>
      </w:r>
      <w:proofErr w:type="spellStart"/>
      <w:r w:rsidRPr="00907F73">
        <w:rPr>
          <w:rFonts w:ascii="Book Antiqua" w:hAnsi="Book Antiqua" w:cs="Times New Roman"/>
          <w:color w:val="000000" w:themeColor="text1"/>
          <w:lang w:val="en-US" w:eastAsia="zh-CN"/>
        </w:rPr>
        <w:t>Mathurin</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Letierce</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Delafosse</w:t>
      </w:r>
      <w:proofErr w:type="spellEnd"/>
      <w:r w:rsidRPr="00907F73">
        <w:rPr>
          <w:rFonts w:ascii="Book Antiqua" w:hAnsi="Book Antiqua" w:cs="Times New Roman"/>
          <w:color w:val="000000" w:themeColor="text1"/>
          <w:lang w:val="en-US" w:eastAsia="zh-CN"/>
        </w:rPr>
        <w:t xml:space="preserve"> B, </w:t>
      </w:r>
      <w:proofErr w:type="spellStart"/>
      <w:r w:rsidRPr="00907F73">
        <w:rPr>
          <w:rFonts w:ascii="Book Antiqua" w:hAnsi="Book Antiqua" w:cs="Times New Roman"/>
          <w:color w:val="000000" w:themeColor="text1"/>
          <w:lang w:val="en-US" w:eastAsia="zh-CN"/>
        </w:rPr>
        <w:t>Barange</w:t>
      </w:r>
      <w:proofErr w:type="spellEnd"/>
      <w:r w:rsidRPr="00907F73">
        <w:rPr>
          <w:rFonts w:ascii="Book Antiqua" w:hAnsi="Book Antiqua" w:cs="Times New Roman"/>
          <w:color w:val="000000" w:themeColor="text1"/>
          <w:lang w:val="en-US" w:eastAsia="zh-CN"/>
        </w:rPr>
        <w:t xml:space="preserve"> K, </w:t>
      </w:r>
      <w:proofErr w:type="spellStart"/>
      <w:r w:rsidRPr="00907F73">
        <w:rPr>
          <w:rFonts w:ascii="Book Antiqua" w:hAnsi="Book Antiqua" w:cs="Times New Roman"/>
          <w:color w:val="000000" w:themeColor="text1"/>
          <w:lang w:val="en-US" w:eastAsia="zh-CN"/>
        </w:rPr>
        <w:t>Perrigault</w:t>
      </w:r>
      <w:proofErr w:type="spellEnd"/>
      <w:r w:rsidRPr="00907F73">
        <w:rPr>
          <w:rFonts w:ascii="Book Antiqua" w:hAnsi="Book Antiqua" w:cs="Times New Roman"/>
          <w:color w:val="000000" w:themeColor="text1"/>
          <w:lang w:val="en-US" w:eastAsia="zh-CN"/>
        </w:rPr>
        <w:t xml:space="preserve"> PF, </w:t>
      </w:r>
      <w:proofErr w:type="spellStart"/>
      <w:r w:rsidRPr="00907F73">
        <w:rPr>
          <w:rFonts w:ascii="Book Antiqua" w:hAnsi="Book Antiqua" w:cs="Times New Roman"/>
          <w:color w:val="000000" w:themeColor="text1"/>
          <w:lang w:val="en-US" w:eastAsia="zh-CN"/>
        </w:rPr>
        <w:t>Belnard</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Ichaï</w:t>
      </w:r>
      <w:proofErr w:type="spellEnd"/>
      <w:r w:rsidRPr="00907F73">
        <w:rPr>
          <w:rFonts w:ascii="Book Antiqua" w:hAnsi="Book Antiqua" w:cs="Times New Roman"/>
          <w:color w:val="000000" w:themeColor="text1"/>
          <w:lang w:val="en-US" w:eastAsia="zh-CN"/>
        </w:rPr>
        <w:t xml:space="preserve"> P, Samuel D. Albumin dialysis with a noncell artificial liver support device in patients with acute liver failure: a randomized, controlled trial. </w:t>
      </w:r>
      <w:r w:rsidRPr="00907F73">
        <w:rPr>
          <w:rFonts w:ascii="Book Antiqua" w:hAnsi="Book Antiqua" w:cs="Times New Roman"/>
          <w:i/>
          <w:iCs/>
          <w:color w:val="000000" w:themeColor="text1"/>
          <w:lang w:val="en-US" w:eastAsia="zh-CN"/>
        </w:rPr>
        <w:t>Ann Intern Med</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159</w:t>
      </w:r>
      <w:r w:rsidRPr="00907F73">
        <w:rPr>
          <w:rFonts w:ascii="Book Antiqua" w:hAnsi="Book Antiqua" w:cs="Times New Roman"/>
          <w:color w:val="000000" w:themeColor="text1"/>
          <w:lang w:val="en-US" w:eastAsia="zh-CN"/>
        </w:rPr>
        <w:t>: 522-531 [PMID: 24126646 DOI: 10.7326/0003-4819-159-8-201310150-00005]</w:t>
      </w:r>
    </w:p>
    <w:p w14:paraId="4974BC31"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80 </w:t>
      </w:r>
      <w:proofErr w:type="spellStart"/>
      <w:r w:rsidRPr="00907F73">
        <w:rPr>
          <w:rFonts w:ascii="Book Antiqua" w:hAnsi="Book Antiqua" w:cs="Times New Roman"/>
          <w:b/>
          <w:bCs/>
          <w:color w:val="000000" w:themeColor="text1"/>
          <w:lang w:val="en-US" w:eastAsia="zh-CN"/>
        </w:rPr>
        <w:t>Struecker</w:t>
      </w:r>
      <w:proofErr w:type="spellEnd"/>
      <w:r w:rsidRPr="00907F73">
        <w:rPr>
          <w:rFonts w:ascii="Book Antiqua" w:hAnsi="Book Antiqua" w:cs="Times New Roman"/>
          <w:b/>
          <w:bCs/>
          <w:color w:val="000000" w:themeColor="text1"/>
          <w:lang w:val="en-US" w:eastAsia="zh-CN"/>
        </w:rPr>
        <w:t xml:space="preserve"> B</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Raschzok</w:t>
      </w:r>
      <w:proofErr w:type="spellEnd"/>
      <w:r w:rsidRPr="00907F73">
        <w:rPr>
          <w:rFonts w:ascii="Book Antiqua" w:hAnsi="Book Antiqua" w:cs="Times New Roman"/>
          <w:color w:val="000000" w:themeColor="text1"/>
          <w:lang w:val="en-US" w:eastAsia="zh-CN"/>
        </w:rPr>
        <w:t xml:space="preserve"> N, Sauer IM. Liver support strategies: cutting-edge technologies. </w:t>
      </w:r>
      <w:r w:rsidRPr="00907F73">
        <w:rPr>
          <w:rFonts w:ascii="Book Antiqua" w:hAnsi="Book Antiqua" w:cs="Times New Roman"/>
          <w:i/>
          <w:iCs/>
          <w:color w:val="000000" w:themeColor="text1"/>
          <w:lang w:val="en-US" w:eastAsia="zh-CN"/>
        </w:rPr>
        <w:t xml:space="preserve">Nat Rev </w:t>
      </w:r>
      <w:proofErr w:type="spellStart"/>
      <w:r w:rsidRPr="00907F73">
        <w:rPr>
          <w:rFonts w:ascii="Book Antiqua" w:hAnsi="Book Antiqua" w:cs="Times New Roman"/>
          <w:i/>
          <w:iCs/>
          <w:color w:val="000000" w:themeColor="text1"/>
          <w:lang w:val="en-US" w:eastAsia="zh-CN"/>
        </w:rPr>
        <w:t>Gastroenterol</w:t>
      </w:r>
      <w:proofErr w:type="spellEnd"/>
      <w:r w:rsidRPr="00907F73">
        <w:rPr>
          <w:rFonts w:ascii="Book Antiqua" w:hAnsi="Book Antiqua" w:cs="Times New Roman"/>
          <w:i/>
          <w:iCs/>
          <w:color w:val="000000" w:themeColor="text1"/>
          <w:lang w:val="en-US" w:eastAsia="zh-CN"/>
        </w:rPr>
        <w:t xml:space="preserve">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11</w:t>
      </w:r>
      <w:r w:rsidRPr="00907F73">
        <w:rPr>
          <w:rFonts w:ascii="Book Antiqua" w:hAnsi="Book Antiqua" w:cs="Times New Roman"/>
          <w:color w:val="000000" w:themeColor="text1"/>
          <w:lang w:val="en-US" w:eastAsia="zh-CN"/>
        </w:rPr>
        <w:t>: 166-176 [PMID: 24166083 DOI: 10.1038/nrgastro.2013.204]</w:t>
      </w:r>
    </w:p>
    <w:p w14:paraId="1E648177"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81 </w:t>
      </w:r>
      <w:proofErr w:type="spellStart"/>
      <w:r w:rsidRPr="00907F73">
        <w:rPr>
          <w:rFonts w:ascii="Book Antiqua" w:hAnsi="Book Antiqua" w:cs="Times New Roman"/>
          <w:b/>
          <w:bCs/>
          <w:color w:val="000000" w:themeColor="text1"/>
          <w:lang w:val="en-US" w:eastAsia="zh-CN"/>
        </w:rPr>
        <w:t>Dutkowski</w:t>
      </w:r>
      <w:proofErr w:type="spellEnd"/>
      <w:r w:rsidRPr="00907F73">
        <w:rPr>
          <w:rFonts w:ascii="Book Antiqua" w:hAnsi="Book Antiqua" w:cs="Times New Roman"/>
          <w:b/>
          <w:bCs/>
          <w:color w:val="000000" w:themeColor="text1"/>
          <w:lang w:val="en-US" w:eastAsia="zh-CN"/>
        </w:rPr>
        <w:t xml:space="preserve"> P</w:t>
      </w:r>
      <w:r w:rsidRPr="00907F73">
        <w:rPr>
          <w:rFonts w:ascii="Book Antiqua" w:hAnsi="Book Antiqua" w:cs="Times New Roman"/>
          <w:color w:val="000000" w:themeColor="text1"/>
          <w:lang w:val="en-US" w:eastAsia="zh-CN"/>
        </w:rPr>
        <w:t xml:space="preserve">, Schlegel A, </w:t>
      </w:r>
      <w:proofErr w:type="spellStart"/>
      <w:r w:rsidRPr="00907F73">
        <w:rPr>
          <w:rFonts w:ascii="Book Antiqua" w:hAnsi="Book Antiqua" w:cs="Times New Roman"/>
          <w:color w:val="000000" w:themeColor="text1"/>
          <w:lang w:val="en-US" w:eastAsia="zh-CN"/>
        </w:rPr>
        <w:t>Slankamenac</w:t>
      </w:r>
      <w:proofErr w:type="spellEnd"/>
      <w:r w:rsidRPr="00907F73">
        <w:rPr>
          <w:rFonts w:ascii="Book Antiqua" w:hAnsi="Book Antiqua" w:cs="Times New Roman"/>
          <w:color w:val="000000" w:themeColor="text1"/>
          <w:lang w:val="en-US" w:eastAsia="zh-CN"/>
        </w:rPr>
        <w:t xml:space="preserve"> K, </w:t>
      </w:r>
      <w:proofErr w:type="spellStart"/>
      <w:r w:rsidRPr="00907F73">
        <w:rPr>
          <w:rFonts w:ascii="Book Antiqua" w:hAnsi="Book Antiqua" w:cs="Times New Roman"/>
          <w:color w:val="000000" w:themeColor="text1"/>
          <w:lang w:val="en-US" w:eastAsia="zh-CN"/>
        </w:rPr>
        <w:t>Oberkofler</w:t>
      </w:r>
      <w:proofErr w:type="spellEnd"/>
      <w:r w:rsidRPr="00907F73">
        <w:rPr>
          <w:rFonts w:ascii="Book Antiqua" w:hAnsi="Book Antiqua" w:cs="Times New Roman"/>
          <w:color w:val="000000" w:themeColor="text1"/>
          <w:lang w:val="en-US" w:eastAsia="zh-CN"/>
        </w:rPr>
        <w:t xml:space="preserve"> CE, Adam R, Burroughs AK, </w:t>
      </w:r>
      <w:proofErr w:type="spellStart"/>
      <w:r w:rsidRPr="00907F73">
        <w:rPr>
          <w:rFonts w:ascii="Book Antiqua" w:hAnsi="Book Antiqua" w:cs="Times New Roman"/>
          <w:color w:val="000000" w:themeColor="text1"/>
          <w:lang w:val="en-US" w:eastAsia="zh-CN"/>
        </w:rPr>
        <w:t>Schadde</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Müllhaupt</w:t>
      </w:r>
      <w:proofErr w:type="spellEnd"/>
      <w:r w:rsidRPr="00907F73">
        <w:rPr>
          <w:rFonts w:ascii="Book Antiqua" w:hAnsi="Book Antiqua" w:cs="Times New Roman"/>
          <w:color w:val="000000" w:themeColor="text1"/>
          <w:lang w:val="en-US" w:eastAsia="zh-CN"/>
        </w:rPr>
        <w:t xml:space="preserve"> B, </w:t>
      </w:r>
      <w:proofErr w:type="spellStart"/>
      <w:r w:rsidRPr="00907F73">
        <w:rPr>
          <w:rFonts w:ascii="Book Antiqua" w:hAnsi="Book Antiqua" w:cs="Times New Roman"/>
          <w:color w:val="000000" w:themeColor="text1"/>
          <w:lang w:val="en-US" w:eastAsia="zh-CN"/>
        </w:rPr>
        <w:t>Clavien</w:t>
      </w:r>
      <w:proofErr w:type="spellEnd"/>
      <w:r w:rsidRPr="00907F73">
        <w:rPr>
          <w:rFonts w:ascii="Book Antiqua" w:hAnsi="Book Antiqua" w:cs="Times New Roman"/>
          <w:color w:val="000000" w:themeColor="text1"/>
          <w:lang w:val="en-US" w:eastAsia="zh-CN"/>
        </w:rPr>
        <w:t xml:space="preserve"> PA. The use of fatty liver grafts in modern allocation systems: risk assessment by the balance of risk (BAR) score. </w:t>
      </w:r>
      <w:r w:rsidRPr="00907F73">
        <w:rPr>
          <w:rFonts w:ascii="Book Antiqua" w:hAnsi="Book Antiqua" w:cs="Times New Roman"/>
          <w:i/>
          <w:iCs/>
          <w:color w:val="000000" w:themeColor="text1"/>
          <w:lang w:val="en-US" w:eastAsia="zh-CN"/>
        </w:rPr>
        <w:t>Ann Surg</w:t>
      </w:r>
      <w:r w:rsidRPr="00907F73">
        <w:rPr>
          <w:rFonts w:ascii="Book Antiqua" w:hAnsi="Book Antiqua" w:cs="Times New Roman"/>
          <w:color w:val="000000" w:themeColor="text1"/>
          <w:lang w:val="en-US" w:eastAsia="zh-CN"/>
        </w:rPr>
        <w:t> 2012; </w:t>
      </w:r>
      <w:r w:rsidRPr="00907F73">
        <w:rPr>
          <w:rFonts w:ascii="Book Antiqua" w:hAnsi="Book Antiqua" w:cs="Times New Roman"/>
          <w:b/>
          <w:bCs/>
          <w:color w:val="000000" w:themeColor="text1"/>
          <w:lang w:val="en-US" w:eastAsia="zh-CN"/>
        </w:rPr>
        <w:t>256</w:t>
      </w:r>
      <w:r w:rsidRPr="00907F73">
        <w:rPr>
          <w:rFonts w:ascii="Book Antiqua" w:hAnsi="Book Antiqua" w:cs="Times New Roman"/>
          <w:color w:val="000000" w:themeColor="text1"/>
          <w:lang w:val="en-US" w:eastAsia="zh-CN"/>
        </w:rPr>
        <w:t>: 861-8; discussion 868-9 [PMID: 23095632 DOI: 10.1097/SLA.0b013e318272dea2]</w:t>
      </w:r>
    </w:p>
    <w:p w14:paraId="10C767A8"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82 </w:t>
      </w:r>
      <w:proofErr w:type="spellStart"/>
      <w:r w:rsidRPr="00907F73">
        <w:rPr>
          <w:rFonts w:ascii="Book Antiqua" w:hAnsi="Book Antiqua" w:cs="Times New Roman"/>
          <w:b/>
          <w:bCs/>
          <w:color w:val="000000" w:themeColor="text1"/>
          <w:lang w:val="en-US" w:eastAsia="zh-CN"/>
        </w:rPr>
        <w:t>Briceño</w:t>
      </w:r>
      <w:proofErr w:type="spellEnd"/>
      <w:r w:rsidRPr="00907F73">
        <w:rPr>
          <w:rFonts w:ascii="Book Antiqua" w:hAnsi="Book Antiqua" w:cs="Times New Roman"/>
          <w:b/>
          <w:bCs/>
          <w:color w:val="000000" w:themeColor="text1"/>
          <w:lang w:val="en-US" w:eastAsia="zh-CN"/>
        </w:rPr>
        <w:t xml:space="preserve"> J</w:t>
      </w:r>
      <w:r w:rsidRPr="00907F73">
        <w:rPr>
          <w:rFonts w:ascii="Book Antiqua" w:hAnsi="Book Antiqua" w:cs="Times New Roman"/>
          <w:color w:val="000000" w:themeColor="text1"/>
          <w:lang w:val="en-US" w:eastAsia="zh-CN"/>
        </w:rPr>
        <w:t>, Cruz-</w:t>
      </w:r>
      <w:proofErr w:type="spellStart"/>
      <w:r w:rsidRPr="00907F73">
        <w:rPr>
          <w:rFonts w:ascii="Book Antiqua" w:hAnsi="Book Antiqua" w:cs="Times New Roman"/>
          <w:color w:val="000000" w:themeColor="text1"/>
          <w:lang w:val="en-US" w:eastAsia="zh-CN"/>
        </w:rPr>
        <w:t>Ramírez</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Prieto</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Navasa</w:t>
      </w:r>
      <w:proofErr w:type="spellEnd"/>
      <w:r w:rsidRPr="00907F73">
        <w:rPr>
          <w:rFonts w:ascii="Book Antiqua" w:hAnsi="Book Antiqua" w:cs="Times New Roman"/>
          <w:color w:val="000000" w:themeColor="text1"/>
          <w:lang w:val="en-US" w:eastAsia="zh-CN"/>
        </w:rPr>
        <w:t xml:space="preserve"> M, Ortiz de </w:t>
      </w:r>
      <w:proofErr w:type="spellStart"/>
      <w:r w:rsidRPr="00907F73">
        <w:rPr>
          <w:rFonts w:ascii="Book Antiqua" w:hAnsi="Book Antiqua" w:cs="Times New Roman"/>
          <w:color w:val="000000" w:themeColor="text1"/>
          <w:lang w:val="en-US" w:eastAsia="zh-CN"/>
        </w:rPr>
        <w:t>Urbina</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Orti</w:t>
      </w:r>
      <w:proofErr w:type="spellEnd"/>
      <w:r w:rsidRPr="00907F73">
        <w:rPr>
          <w:rFonts w:ascii="Book Antiqua" w:hAnsi="Book Antiqua" w:cs="Times New Roman"/>
          <w:color w:val="000000" w:themeColor="text1"/>
          <w:lang w:val="en-US" w:eastAsia="zh-CN"/>
        </w:rPr>
        <w:t xml:space="preserve"> R, Gómez-Bravo MÁ, Otero A, Varo E, Tomé S, Clemente G, </w:t>
      </w:r>
      <w:proofErr w:type="spellStart"/>
      <w:r w:rsidRPr="00907F73">
        <w:rPr>
          <w:rFonts w:ascii="Book Antiqua" w:hAnsi="Book Antiqua" w:cs="Times New Roman"/>
          <w:color w:val="000000" w:themeColor="text1"/>
          <w:lang w:val="en-US" w:eastAsia="zh-CN"/>
        </w:rPr>
        <w:t>Bañares</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Bárcena</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Cuervas</w:t>
      </w:r>
      <w:proofErr w:type="spellEnd"/>
      <w:r w:rsidRPr="00907F73">
        <w:rPr>
          <w:rFonts w:ascii="Book Antiqua" w:hAnsi="Book Antiqua" w:cs="Times New Roman"/>
          <w:color w:val="000000" w:themeColor="text1"/>
          <w:lang w:val="en-US" w:eastAsia="zh-CN"/>
        </w:rPr>
        <w:t xml:space="preserve">-Mons V, Solórzano G, </w:t>
      </w:r>
      <w:proofErr w:type="spellStart"/>
      <w:r w:rsidRPr="00907F73">
        <w:rPr>
          <w:rFonts w:ascii="Book Antiqua" w:hAnsi="Book Antiqua" w:cs="Times New Roman"/>
          <w:color w:val="000000" w:themeColor="text1"/>
          <w:lang w:val="en-US" w:eastAsia="zh-CN"/>
        </w:rPr>
        <w:t>Vinaixa</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Rubín</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Colmenero</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Valdivieso</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Ciria</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Hervás-Martínez</w:t>
      </w:r>
      <w:proofErr w:type="spellEnd"/>
      <w:r w:rsidRPr="00907F73">
        <w:rPr>
          <w:rFonts w:ascii="Book Antiqua" w:hAnsi="Book Antiqua" w:cs="Times New Roman"/>
          <w:color w:val="000000" w:themeColor="text1"/>
          <w:lang w:val="en-US" w:eastAsia="zh-CN"/>
        </w:rPr>
        <w:t xml:space="preserve"> C, de la Mata M. Use of artificial intelligence as an innovative donor-recipient matching model for liver transplantation: results from a multicenter Spanish study.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61</w:t>
      </w:r>
      <w:r w:rsidRPr="00907F73">
        <w:rPr>
          <w:rFonts w:ascii="Book Antiqua" w:hAnsi="Book Antiqua" w:cs="Times New Roman"/>
          <w:color w:val="000000" w:themeColor="text1"/>
          <w:lang w:val="en-US" w:eastAsia="zh-CN"/>
        </w:rPr>
        <w:t>: 1020-1028 [PMID: 24905493 DOI: 10.1016/j.jhep.2014.05.039]</w:t>
      </w:r>
    </w:p>
    <w:p w14:paraId="4CE05F10"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lastRenderedPageBreak/>
        <w:t>83 </w:t>
      </w:r>
      <w:r w:rsidRPr="00907F73">
        <w:rPr>
          <w:rFonts w:ascii="Book Antiqua" w:hAnsi="Book Antiqua" w:cs="Times New Roman"/>
          <w:b/>
          <w:bCs/>
          <w:color w:val="000000" w:themeColor="text1"/>
          <w:lang w:val="en-US" w:eastAsia="zh-CN"/>
        </w:rPr>
        <w:t>Graham JA</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Guarrera</w:t>
      </w:r>
      <w:proofErr w:type="spellEnd"/>
      <w:r w:rsidRPr="00907F73">
        <w:rPr>
          <w:rFonts w:ascii="Book Antiqua" w:hAnsi="Book Antiqua" w:cs="Times New Roman"/>
          <w:color w:val="000000" w:themeColor="text1"/>
          <w:lang w:val="en-US" w:eastAsia="zh-CN"/>
        </w:rPr>
        <w:t xml:space="preserve"> JV. "Resuscitation" of marginal liver allografts for transplantation with machine perfusion technology.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61</w:t>
      </w:r>
      <w:r w:rsidRPr="00907F73">
        <w:rPr>
          <w:rFonts w:ascii="Book Antiqua" w:hAnsi="Book Antiqua" w:cs="Times New Roman"/>
          <w:color w:val="000000" w:themeColor="text1"/>
          <w:lang w:val="en-US" w:eastAsia="zh-CN"/>
        </w:rPr>
        <w:t>: 418-431 [PMID: 24768755 DOI: 10.1016/j.jhep.2014.04.019]</w:t>
      </w:r>
    </w:p>
    <w:p w14:paraId="56ABCA2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84 </w:t>
      </w:r>
      <w:r w:rsidRPr="00907F73">
        <w:rPr>
          <w:rFonts w:ascii="Book Antiqua" w:hAnsi="Book Antiqua" w:cs="Times New Roman"/>
          <w:b/>
          <w:bCs/>
          <w:color w:val="000000" w:themeColor="text1"/>
          <w:lang w:val="en-US" w:eastAsia="zh-CN"/>
        </w:rPr>
        <w:t>Schlegel A</w:t>
      </w:r>
      <w:r w:rsidRPr="00907F73">
        <w:rPr>
          <w:rFonts w:ascii="Book Antiqua" w:hAnsi="Book Antiqua" w:cs="Times New Roman"/>
          <w:color w:val="000000" w:themeColor="text1"/>
          <w:lang w:val="en-US" w:eastAsia="zh-CN"/>
        </w:rPr>
        <w:t xml:space="preserve">, Muller X, </w:t>
      </w:r>
      <w:proofErr w:type="spellStart"/>
      <w:r w:rsidRPr="00907F73">
        <w:rPr>
          <w:rFonts w:ascii="Book Antiqua" w:hAnsi="Book Antiqua" w:cs="Times New Roman"/>
          <w:color w:val="000000" w:themeColor="text1"/>
          <w:lang w:val="en-US" w:eastAsia="zh-CN"/>
        </w:rPr>
        <w:t>Dutkowski</w:t>
      </w:r>
      <w:proofErr w:type="spellEnd"/>
      <w:r w:rsidRPr="00907F73">
        <w:rPr>
          <w:rFonts w:ascii="Book Antiqua" w:hAnsi="Book Antiqua" w:cs="Times New Roman"/>
          <w:color w:val="000000" w:themeColor="text1"/>
          <w:lang w:val="en-US" w:eastAsia="zh-CN"/>
        </w:rPr>
        <w:t xml:space="preserve"> P. Hypothermic Machine Preservation of the Liver: State of the Art. </w:t>
      </w:r>
      <w:proofErr w:type="spellStart"/>
      <w:r w:rsidRPr="00907F73">
        <w:rPr>
          <w:rFonts w:ascii="Book Antiqua" w:hAnsi="Book Antiqua" w:cs="Times New Roman"/>
          <w:i/>
          <w:iCs/>
          <w:color w:val="000000" w:themeColor="text1"/>
          <w:lang w:val="en-US" w:eastAsia="zh-CN"/>
        </w:rPr>
        <w:t>Curr</w:t>
      </w:r>
      <w:proofErr w:type="spellEnd"/>
      <w:r w:rsidRPr="00907F73">
        <w:rPr>
          <w:rFonts w:ascii="Book Antiqua" w:hAnsi="Book Antiqua" w:cs="Times New Roman"/>
          <w:i/>
          <w:iCs/>
          <w:color w:val="000000" w:themeColor="text1"/>
          <w:lang w:val="en-US" w:eastAsia="zh-CN"/>
        </w:rPr>
        <w:t xml:space="preserve"> Transplant Rep</w:t>
      </w:r>
      <w:r w:rsidRPr="00907F73">
        <w:rPr>
          <w:rFonts w:ascii="Book Antiqua" w:hAnsi="Book Antiqua" w:cs="Times New Roman"/>
          <w:color w:val="000000" w:themeColor="text1"/>
          <w:lang w:val="en-US" w:eastAsia="zh-CN"/>
        </w:rPr>
        <w:t> 2018; </w:t>
      </w:r>
      <w:r w:rsidRPr="00907F73">
        <w:rPr>
          <w:rFonts w:ascii="Book Antiqua" w:hAnsi="Book Antiqua" w:cs="Times New Roman"/>
          <w:b/>
          <w:bCs/>
          <w:color w:val="000000" w:themeColor="text1"/>
          <w:lang w:val="en-US" w:eastAsia="zh-CN"/>
        </w:rPr>
        <w:t>5</w:t>
      </w:r>
      <w:r w:rsidRPr="00907F73">
        <w:rPr>
          <w:rFonts w:ascii="Book Antiqua" w:hAnsi="Book Antiqua" w:cs="Times New Roman"/>
          <w:color w:val="000000" w:themeColor="text1"/>
          <w:lang w:val="en-US" w:eastAsia="zh-CN"/>
        </w:rPr>
        <w:t>: 93-102 [PMID: 29564206 DOI: 10.1007/s40472-018-0183-z]</w:t>
      </w:r>
    </w:p>
    <w:p w14:paraId="1776C56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85 </w:t>
      </w:r>
      <w:proofErr w:type="spellStart"/>
      <w:r w:rsidRPr="00907F73">
        <w:rPr>
          <w:rFonts w:ascii="Book Antiqua" w:hAnsi="Book Antiqua" w:cs="Times New Roman"/>
          <w:b/>
          <w:bCs/>
          <w:color w:val="000000" w:themeColor="text1"/>
          <w:lang w:val="en-US" w:eastAsia="zh-CN"/>
        </w:rPr>
        <w:t>Mookerjee</w:t>
      </w:r>
      <w:proofErr w:type="spellEnd"/>
      <w:r w:rsidRPr="00907F73">
        <w:rPr>
          <w:rFonts w:ascii="Book Antiqua" w:hAnsi="Book Antiqua" w:cs="Times New Roman"/>
          <w:b/>
          <w:bCs/>
          <w:color w:val="000000" w:themeColor="text1"/>
          <w:lang w:val="en-US" w:eastAsia="zh-CN"/>
        </w:rPr>
        <w:t xml:space="preserve"> RP</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Pavesi</w:t>
      </w:r>
      <w:proofErr w:type="spellEnd"/>
      <w:r w:rsidRPr="00907F73">
        <w:rPr>
          <w:rFonts w:ascii="Book Antiqua" w:hAnsi="Book Antiqua" w:cs="Times New Roman"/>
          <w:color w:val="000000" w:themeColor="text1"/>
          <w:lang w:val="en-US" w:eastAsia="zh-CN"/>
        </w:rPr>
        <w:t xml:space="preserve"> M, Thomsen KL, Mehta G, </w:t>
      </w:r>
      <w:proofErr w:type="spellStart"/>
      <w:r w:rsidRPr="00907F73">
        <w:rPr>
          <w:rFonts w:ascii="Book Antiqua" w:hAnsi="Book Antiqua" w:cs="Times New Roman"/>
          <w:color w:val="000000" w:themeColor="text1"/>
          <w:lang w:val="en-US" w:eastAsia="zh-CN"/>
        </w:rPr>
        <w:t>Macnaughtan</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Bendtsen</w:t>
      </w:r>
      <w:proofErr w:type="spellEnd"/>
      <w:r w:rsidRPr="00907F73">
        <w:rPr>
          <w:rFonts w:ascii="Book Antiqua" w:hAnsi="Book Antiqua" w:cs="Times New Roman"/>
          <w:color w:val="000000" w:themeColor="text1"/>
          <w:lang w:val="en-US" w:eastAsia="zh-CN"/>
        </w:rPr>
        <w:t xml:space="preserve"> F, </w:t>
      </w:r>
      <w:proofErr w:type="spellStart"/>
      <w:r w:rsidRPr="00907F73">
        <w:rPr>
          <w:rFonts w:ascii="Book Antiqua" w:hAnsi="Book Antiqua" w:cs="Times New Roman"/>
          <w:color w:val="000000" w:themeColor="text1"/>
          <w:lang w:val="en-US" w:eastAsia="zh-CN"/>
        </w:rPr>
        <w:t>Coenraad</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Sperl</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Gines</w:t>
      </w:r>
      <w:proofErr w:type="spellEnd"/>
      <w:r w:rsidRPr="00907F73">
        <w:rPr>
          <w:rFonts w:ascii="Book Antiqua" w:hAnsi="Book Antiqua" w:cs="Times New Roman"/>
          <w:color w:val="000000" w:themeColor="text1"/>
          <w:lang w:val="en-US" w:eastAsia="zh-CN"/>
        </w:rPr>
        <w:t xml:space="preserve"> P, Moreau R, Arroyo V, Jalan R; CANONIC Study Investigators of the EASL-CLIF Consortium. Treatment with non-selective beta blockers is associated with reduced severity of systemic inflammation and improved survival of patients with acute-on-chronic liver failure.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2016; </w:t>
      </w:r>
      <w:r w:rsidRPr="00907F73">
        <w:rPr>
          <w:rFonts w:ascii="Book Antiqua" w:hAnsi="Book Antiqua" w:cs="Times New Roman"/>
          <w:b/>
          <w:bCs/>
          <w:color w:val="000000" w:themeColor="text1"/>
          <w:lang w:val="en-US" w:eastAsia="zh-CN"/>
        </w:rPr>
        <w:t>64</w:t>
      </w:r>
      <w:r w:rsidRPr="00907F73">
        <w:rPr>
          <w:rFonts w:ascii="Book Antiqua" w:hAnsi="Book Antiqua" w:cs="Times New Roman"/>
          <w:color w:val="000000" w:themeColor="text1"/>
          <w:lang w:val="en-US" w:eastAsia="zh-CN"/>
        </w:rPr>
        <w:t>: 574-582 [PMID: 26519600 DOI: 10.1016/j.jhep.2015.10.018]</w:t>
      </w:r>
    </w:p>
    <w:p w14:paraId="42800A10" w14:textId="3D243E43"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86 </w:t>
      </w:r>
      <w:proofErr w:type="spellStart"/>
      <w:r w:rsidRPr="00907F73">
        <w:rPr>
          <w:rFonts w:ascii="Book Antiqua" w:hAnsi="Book Antiqua" w:cs="Times New Roman"/>
          <w:b/>
          <w:bCs/>
          <w:color w:val="000000" w:themeColor="text1"/>
          <w:lang w:val="en-US" w:eastAsia="zh-CN"/>
        </w:rPr>
        <w:t>Faitot</w:t>
      </w:r>
      <w:proofErr w:type="spellEnd"/>
      <w:r w:rsidRPr="00907F73">
        <w:rPr>
          <w:rFonts w:ascii="Book Antiqua" w:hAnsi="Book Antiqua" w:cs="Times New Roman"/>
          <w:b/>
          <w:bCs/>
          <w:color w:val="000000" w:themeColor="text1"/>
          <w:lang w:val="en-US" w:eastAsia="zh-CN"/>
        </w:rPr>
        <w:t xml:space="preserve"> F</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Besch</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Battini</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Ruhland</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Onea</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Addeo</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Woehl-Jaeglé</w:t>
      </w:r>
      <w:proofErr w:type="spellEnd"/>
      <w:r w:rsidRPr="00907F73">
        <w:rPr>
          <w:rFonts w:ascii="Book Antiqua" w:hAnsi="Book Antiqua" w:cs="Times New Roman"/>
          <w:color w:val="000000" w:themeColor="text1"/>
          <w:lang w:val="en-US" w:eastAsia="zh-CN"/>
        </w:rPr>
        <w:t xml:space="preserve"> ML, </w:t>
      </w:r>
      <w:proofErr w:type="spellStart"/>
      <w:r w:rsidRPr="00907F73">
        <w:rPr>
          <w:rFonts w:ascii="Book Antiqua" w:hAnsi="Book Antiqua" w:cs="Times New Roman"/>
          <w:color w:val="000000" w:themeColor="text1"/>
          <w:lang w:val="en-US" w:eastAsia="zh-CN"/>
        </w:rPr>
        <w:t>Ellero</w:t>
      </w:r>
      <w:proofErr w:type="spellEnd"/>
      <w:r w:rsidRPr="00907F73">
        <w:rPr>
          <w:rFonts w:ascii="Book Antiqua" w:hAnsi="Book Antiqua" w:cs="Times New Roman"/>
          <w:color w:val="000000" w:themeColor="text1"/>
          <w:lang w:val="en-US" w:eastAsia="zh-CN"/>
        </w:rPr>
        <w:t xml:space="preserve"> B, </w:t>
      </w:r>
      <w:proofErr w:type="spellStart"/>
      <w:r w:rsidRPr="00907F73">
        <w:rPr>
          <w:rFonts w:ascii="Book Antiqua" w:hAnsi="Book Antiqua" w:cs="Times New Roman"/>
          <w:color w:val="000000" w:themeColor="text1"/>
          <w:lang w:val="en-US" w:eastAsia="zh-CN"/>
        </w:rPr>
        <w:t>Bachellier</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Namer</w:t>
      </w:r>
      <w:proofErr w:type="spellEnd"/>
      <w:r w:rsidRPr="00907F73">
        <w:rPr>
          <w:rFonts w:ascii="Book Antiqua" w:hAnsi="Book Antiqua" w:cs="Times New Roman"/>
          <w:color w:val="000000" w:themeColor="text1"/>
          <w:lang w:val="en-US" w:eastAsia="zh-CN"/>
        </w:rPr>
        <w:t xml:space="preserve"> IJ. Impact of real-time metabolomics in liver transplantation: Graft evaluation and donor-recipient matching.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w:t>
      </w:r>
      <w:r>
        <w:rPr>
          <w:rFonts w:ascii="Book Antiqua" w:hAnsi="Book Antiqua" w:cs="Times New Roman"/>
          <w:color w:val="000000" w:themeColor="text1"/>
          <w:lang w:val="en-US" w:eastAsia="zh-CN"/>
        </w:rPr>
        <w:t xml:space="preserve">2017 </w:t>
      </w:r>
      <w:proofErr w:type="spellStart"/>
      <w:r>
        <w:rPr>
          <w:rFonts w:ascii="Book Antiqua" w:hAnsi="Book Antiqua" w:cs="Times New Roman"/>
          <w:color w:val="000000" w:themeColor="text1"/>
          <w:lang w:val="en-US" w:eastAsia="zh-CN"/>
        </w:rPr>
        <w:t>Epub</w:t>
      </w:r>
      <w:proofErr w:type="spellEnd"/>
      <w:r>
        <w:rPr>
          <w:rFonts w:ascii="Book Antiqua" w:hAnsi="Book Antiqua" w:cs="Times New Roman"/>
          <w:color w:val="000000" w:themeColor="text1"/>
          <w:lang w:val="en-US" w:eastAsia="zh-CN"/>
        </w:rPr>
        <w:t xml:space="preserve"> ahead of print</w:t>
      </w:r>
      <w:r w:rsidRPr="00907F73">
        <w:rPr>
          <w:rFonts w:ascii="Book Antiqua" w:hAnsi="Book Antiqua" w:cs="Times New Roman"/>
          <w:color w:val="000000" w:themeColor="text1"/>
          <w:lang w:val="en-US" w:eastAsia="zh-CN"/>
        </w:rPr>
        <w:t xml:space="preserve"> [PMID: 29191459 DOI: 10.1016/j.jhep.2017.11.022]</w:t>
      </w:r>
    </w:p>
    <w:p w14:paraId="10693F11" w14:textId="77777777" w:rsidR="003D4E56" w:rsidRDefault="003D4E56" w:rsidP="003D4E56">
      <w:pPr>
        <w:wordWrap w:val="0"/>
        <w:snapToGrid w:val="0"/>
        <w:spacing w:line="360" w:lineRule="auto"/>
        <w:jc w:val="right"/>
        <w:rPr>
          <w:rFonts w:ascii="Book Antiqua" w:hAnsi="Book Antiqua"/>
          <w:b/>
          <w:bCs/>
        </w:rPr>
      </w:pPr>
      <w:bookmarkStart w:id="35" w:name="OLE_LINK148"/>
      <w:bookmarkStart w:id="36" w:name="OLE_LINK320"/>
      <w:bookmarkStart w:id="37" w:name="OLE_LINK387"/>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OLE_LINK386"/>
      <w:r w:rsidRPr="004F57C6">
        <w:rPr>
          <w:rFonts w:ascii="Book Antiqua" w:hAnsi="Book Antiqua"/>
          <w:b/>
          <w:bCs/>
        </w:rPr>
        <w:t>P-Reviewer:</w:t>
      </w:r>
      <w:r w:rsidRPr="004F57C6">
        <w:rPr>
          <w:rFonts w:ascii="Book Antiqua" w:hAnsi="Book Antiqua" w:hint="eastAsia"/>
          <w:b/>
          <w:bCs/>
        </w:rPr>
        <w:t xml:space="preserve"> </w:t>
      </w:r>
      <w:r w:rsidRPr="005921C8">
        <w:rPr>
          <w:rFonts w:ascii="Book Antiqua" w:hAnsi="Book Antiqua"/>
          <w:bCs/>
        </w:rPr>
        <w:t>Akamatsu</w:t>
      </w:r>
      <w:r>
        <w:rPr>
          <w:rFonts w:ascii="Book Antiqua" w:hAnsi="Book Antiqua"/>
          <w:bCs/>
        </w:rPr>
        <w:t xml:space="preserve"> N, </w:t>
      </w:r>
      <w:r w:rsidRPr="005921C8">
        <w:rPr>
          <w:rFonts w:ascii="Book Antiqua" w:hAnsi="Book Antiqua"/>
          <w:bCs/>
        </w:rPr>
        <w:t>Cholongitas</w:t>
      </w:r>
      <w:r>
        <w:rPr>
          <w:rFonts w:ascii="Book Antiqua" w:hAnsi="Book Antiqua"/>
          <w:bCs/>
        </w:rPr>
        <w:t xml:space="preserve"> E, </w:t>
      </w:r>
      <w:r w:rsidRPr="005921C8">
        <w:rPr>
          <w:rFonts w:ascii="Book Antiqua" w:hAnsi="Book Antiqua"/>
          <w:bCs/>
        </w:rPr>
        <w:t>Ramsay</w:t>
      </w:r>
      <w:r>
        <w:rPr>
          <w:rFonts w:ascii="Book Antiqua" w:hAnsi="Book Antiqua"/>
          <w:bCs/>
        </w:rPr>
        <w:t xml:space="preserve"> MA, </w:t>
      </w:r>
      <w:r w:rsidRPr="005921C8">
        <w:rPr>
          <w:rFonts w:ascii="Book Antiqua" w:hAnsi="Book Antiqua"/>
          <w:bCs/>
        </w:rPr>
        <w:t>Sibulesky</w:t>
      </w:r>
      <w:r>
        <w:rPr>
          <w:rFonts w:ascii="Book Antiqua" w:hAnsi="Book Antiqua"/>
          <w:bCs/>
        </w:rPr>
        <w:t xml:space="preserve"> L</w:t>
      </w:r>
    </w:p>
    <w:p w14:paraId="30A51DA2" w14:textId="2F3F7938" w:rsidR="003D4E56" w:rsidRPr="0053246E" w:rsidRDefault="003D4E56" w:rsidP="00980B3B">
      <w:pPr>
        <w:wordWrap w:val="0"/>
        <w:snapToGrid w:val="0"/>
        <w:spacing w:line="360" w:lineRule="auto"/>
        <w:jc w:val="right"/>
        <w:rPr>
          <w:rFonts w:ascii="Book Antiqua" w:hAnsi="Book Antiqua"/>
          <w:lang w:eastAsia="zh-CN"/>
        </w:rPr>
      </w:pPr>
      <w:r w:rsidRPr="004F57C6">
        <w:rPr>
          <w:rFonts w:ascii="Book Antiqua" w:hAnsi="Book Antiqua"/>
          <w:b/>
          <w:bCs/>
        </w:rPr>
        <w:t>S-Editor:</w:t>
      </w:r>
      <w:r w:rsidRPr="004F57C6">
        <w:rPr>
          <w:rFonts w:ascii="Book Antiqua" w:hAnsi="Book Antiqua" w:hint="eastAsia"/>
        </w:rPr>
        <w:t xml:space="preserve"> </w:t>
      </w:r>
      <w:r>
        <w:rPr>
          <w:rFonts w:ascii="Book Antiqua" w:hAnsi="Book Antiqua"/>
        </w:rPr>
        <w:t>Ma</w:t>
      </w:r>
      <w:r w:rsidRPr="004F57C6">
        <w:rPr>
          <w:rFonts w:ascii="Book Antiqua" w:hAnsi="Book Antiqua" w:hint="eastAsia"/>
        </w:rPr>
        <w:t xml:space="preserve"> </w:t>
      </w:r>
      <w:r>
        <w:rPr>
          <w:rFonts w:ascii="Book Antiqua" w:hAnsi="Book Antiqua"/>
        </w:rPr>
        <w:t>RY</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00980B3B">
        <w:rPr>
          <w:rFonts w:ascii="Book Antiqua" w:hAnsi="Book Antiqua" w:hint="eastAsia"/>
          <w:lang w:eastAsia="zh-CN"/>
        </w:rPr>
        <w:t xml:space="preserve">A </w:t>
      </w:r>
      <w:r w:rsidRPr="004F57C6">
        <w:rPr>
          <w:rFonts w:ascii="Book Antiqua" w:hAnsi="Book Antiqua"/>
          <w:b/>
          <w:bCs/>
        </w:rPr>
        <w:t>E-Editor:</w:t>
      </w:r>
      <w:r w:rsidR="00980B3B">
        <w:rPr>
          <w:rFonts w:ascii="Book Antiqua" w:hAnsi="Book Antiqua" w:hint="eastAsia"/>
          <w:b/>
          <w:bCs/>
          <w:lang w:eastAsia="zh-CN"/>
        </w:rPr>
        <w:t xml:space="preserve"> </w:t>
      </w:r>
      <w:r w:rsidR="00980B3B" w:rsidRPr="00980B3B">
        <w:rPr>
          <w:rFonts w:ascii="Book Antiqua" w:hAnsi="Book Antiqua" w:hint="eastAsia"/>
          <w:bCs/>
          <w:lang w:eastAsia="zh-CN"/>
        </w:rPr>
        <w:t>Yin SY</w:t>
      </w:r>
    </w:p>
    <w:p w14:paraId="496E9B01" w14:textId="77777777" w:rsidR="003D4E56" w:rsidRPr="004F57C6" w:rsidRDefault="003D4E56" w:rsidP="003D4E56">
      <w:pPr>
        <w:shd w:val="clear" w:color="auto" w:fill="FFFFFF"/>
        <w:snapToGrid w:val="0"/>
        <w:spacing w:line="360" w:lineRule="auto"/>
        <w:jc w:val="both"/>
        <w:rPr>
          <w:rFonts w:ascii="Book Antiqua" w:hAnsi="Book Antiqua" w:cs="Helvetica"/>
          <w:b/>
        </w:rPr>
      </w:pPr>
      <w:bookmarkStart w:id="135" w:name="OLE_LINK880"/>
      <w:bookmarkStart w:id="136" w:name="OLE_LINK88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4F57C6">
        <w:rPr>
          <w:rFonts w:ascii="Book Antiqua" w:hAnsi="Book Antiqua" w:cs="Helvetica"/>
          <w:b/>
        </w:rPr>
        <w:t xml:space="preserve">Specialty type: </w:t>
      </w:r>
      <w:r w:rsidRPr="004F57C6">
        <w:rPr>
          <w:rFonts w:ascii="Book Antiqua" w:hAnsi="Book Antiqua" w:cs="Helvetica"/>
        </w:rPr>
        <w:t>Gastroenterology and</w:t>
      </w:r>
      <w:r w:rsidRPr="004F57C6">
        <w:rPr>
          <w:rFonts w:ascii="Book Antiqua" w:hAnsi="Book Antiqua" w:cs="Helvetica" w:hint="eastAsia"/>
        </w:rPr>
        <w:t xml:space="preserve"> </w:t>
      </w:r>
      <w:r w:rsidRPr="004F57C6">
        <w:rPr>
          <w:rFonts w:ascii="Book Antiqua" w:hAnsi="Book Antiqua" w:cs="Helvetica"/>
        </w:rPr>
        <w:t>hepatology</w:t>
      </w:r>
    </w:p>
    <w:p w14:paraId="333D5652" w14:textId="77777777" w:rsidR="003D4E56" w:rsidRPr="004F57C6" w:rsidRDefault="003D4E56" w:rsidP="003D4E56">
      <w:pPr>
        <w:shd w:val="clear" w:color="auto" w:fill="FFFFFF"/>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France</w:t>
      </w:r>
    </w:p>
    <w:p w14:paraId="53256347" w14:textId="77777777" w:rsidR="003D4E56" w:rsidRPr="004F57C6" w:rsidRDefault="003D4E56" w:rsidP="003D4E56">
      <w:pPr>
        <w:shd w:val="clear" w:color="auto" w:fill="FFFFFF"/>
        <w:snapToGrid w:val="0"/>
        <w:spacing w:line="360" w:lineRule="auto"/>
        <w:jc w:val="both"/>
        <w:rPr>
          <w:rFonts w:ascii="Book Antiqua" w:hAnsi="Book Antiqua" w:cs="Helvetica"/>
          <w:b/>
        </w:rPr>
      </w:pPr>
      <w:r w:rsidRPr="004F57C6">
        <w:rPr>
          <w:rFonts w:ascii="Book Antiqua" w:hAnsi="Book Antiqua" w:cs="Helvetica"/>
          <w:b/>
        </w:rPr>
        <w:t>Peer-review report classification</w:t>
      </w:r>
    </w:p>
    <w:p w14:paraId="5C5E6C50" w14:textId="77777777" w:rsidR="003D4E56" w:rsidRPr="004F57C6" w:rsidRDefault="003D4E56" w:rsidP="003D4E56">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A, A</w:t>
      </w:r>
    </w:p>
    <w:p w14:paraId="2D6E2AE1" w14:textId="77777777" w:rsidR="003D4E56" w:rsidRPr="004F57C6" w:rsidRDefault="003D4E56" w:rsidP="003D4E56">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B</w:t>
      </w:r>
    </w:p>
    <w:p w14:paraId="766FD034" w14:textId="77777777" w:rsidR="003D4E56" w:rsidRPr="004F57C6" w:rsidRDefault="003D4E56" w:rsidP="003D4E56">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C (Good): </w:t>
      </w:r>
      <w:r>
        <w:rPr>
          <w:rFonts w:ascii="Book Antiqua" w:hAnsi="Book Antiqua" w:cs="Helvetica" w:hint="eastAsia"/>
        </w:rPr>
        <w:t>C</w:t>
      </w:r>
    </w:p>
    <w:p w14:paraId="3A934C42" w14:textId="77777777" w:rsidR="003D4E56" w:rsidRPr="004F57C6" w:rsidRDefault="003D4E56" w:rsidP="003D4E56">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3FE15313" w14:textId="77777777" w:rsidR="003D4E56" w:rsidRPr="003E14C0" w:rsidRDefault="003D4E56" w:rsidP="003D4E56">
      <w:pPr>
        <w:adjustRightInd w:val="0"/>
        <w:snapToGrid w:val="0"/>
        <w:spacing w:line="360" w:lineRule="auto"/>
        <w:jc w:val="both"/>
        <w:rPr>
          <w:rFonts w:ascii="Book Antiqua" w:hAnsi="Book Antiqua" w:cs="Arial"/>
          <w:color w:val="000000" w:themeColor="text1"/>
          <w:lang w:val="en-US"/>
        </w:rPr>
      </w:pPr>
      <w:r w:rsidRPr="004F57C6">
        <w:rPr>
          <w:rFonts w:ascii="Book Antiqua" w:hAnsi="Book Antiqua" w:cs="Helvetica"/>
        </w:rPr>
        <w:t xml:space="preserve">Grade E (Poor): </w:t>
      </w:r>
      <w:r w:rsidRPr="004F57C6">
        <w:rPr>
          <w:rFonts w:ascii="Book Antiqua" w:hAnsi="Book Antiqua" w:cs="Helvetica" w:hint="eastAsia"/>
        </w:rPr>
        <w:t>0</w:t>
      </w:r>
      <w:bookmarkEnd w:id="134"/>
      <w:bookmarkEnd w:id="135"/>
      <w:bookmarkEnd w:id="136"/>
    </w:p>
    <w:p w14:paraId="304124D0" w14:textId="77777777" w:rsidR="003D4E56" w:rsidRDefault="003D4E56" w:rsidP="00907F73">
      <w:pPr>
        <w:pStyle w:val="Bibliographie3"/>
        <w:adjustRightInd w:val="0"/>
        <w:snapToGrid w:val="0"/>
        <w:spacing w:after="0" w:line="360" w:lineRule="auto"/>
        <w:ind w:left="0" w:firstLine="0"/>
        <w:jc w:val="both"/>
        <w:rPr>
          <w:color w:val="000000" w:themeColor="text1"/>
          <w:lang w:val="en-US"/>
        </w:rPr>
        <w:sectPr w:rsidR="003D4E56" w:rsidSect="0006094A">
          <w:pgSz w:w="11900" w:h="16820"/>
          <w:pgMar w:top="1417" w:right="1417" w:bottom="851" w:left="1552" w:header="708" w:footer="708" w:gutter="0"/>
          <w:cols w:space="708"/>
          <w:docGrid w:linePitch="360"/>
        </w:sectPr>
      </w:pPr>
    </w:p>
    <w:p w14:paraId="411EF496" w14:textId="5886021E" w:rsidR="004442D5" w:rsidRPr="0006094A" w:rsidRDefault="00DD05A0" w:rsidP="003D4E56">
      <w:pPr>
        <w:pStyle w:val="Bibliographie3"/>
        <w:adjustRightInd w:val="0"/>
        <w:snapToGrid w:val="0"/>
        <w:spacing w:after="0" w:line="360" w:lineRule="auto"/>
        <w:ind w:left="0" w:firstLine="0"/>
        <w:jc w:val="both"/>
        <w:rPr>
          <w:b w:val="0"/>
          <w:color w:val="000000" w:themeColor="text1"/>
          <w:lang w:val="en-US"/>
        </w:rPr>
      </w:pPr>
      <w:r w:rsidRPr="003E14C0">
        <w:rPr>
          <w:color w:val="000000" w:themeColor="text1"/>
          <w:lang w:val="en-US"/>
        </w:rPr>
        <w:lastRenderedPageBreak/>
        <w:fldChar w:fldCharType="begin"/>
      </w:r>
      <w:r w:rsidR="00A1519B" w:rsidRPr="003E14C0">
        <w:rPr>
          <w:color w:val="000000" w:themeColor="text1"/>
          <w:lang w:val="en-US"/>
        </w:rPr>
        <w:instrText xml:space="preserve"> ADDIN ZOTERO_BIBL {"uncited":[],"omitted":[],"custom":[]} CSL_BIBLIOGRAPHY </w:instrText>
      </w:r>
      <w:r w:rsidRPr="003E14C0">
        <w:rPr>
          <w:color w:val="000000" w:themeColor="text1"/>
          <w:lang w:val="en-US"/>
        </w:rPr>
        <w:fldChar w:fldCharType="separate"/>
      </w:r>
      <w:r w:rsidR="003E14C0">
        <w:rPr>
          <w:color w:val="000000" w:themeColor="text1"/>
          <w:lang w:val="en-US"/>
        </w:rPr>
        <w:t>Table 1</w:t>
      </w:r>
      <w:r w:rsidR="004442D5" w:rsidRPr="003E14C0">
        <w:rPr>
          <w:color w:val="000000" w:themeColor="text1"/>
          <w:lang w:val="en-US"/>
        </w:rPr>
        <w:t xml:space="preserve"> Main retrospective studies on critically ill cirrhotic patients and liver transplant</w:t>
      </w:r>
    </w:p>
    <w:tbl>
      <w:tblPr>
        <w:tblStyle w:val="ad"/>
        <w:tblW w:w="11753" w:type="dxa"/>
        <w:tblLook w:val="04A0" w:firstRow="1" w:lastRow="0" w:firstColumn="1" w:lastColumn="0" w:noHBand="0" w:noVBand="1"/>
      </w:tblPr>
      <w:tblGrid>
        <w:gridCol w:w="1683"/>
        <w:gridCol w:w="983"/>
        <w:gridCol w:w="1193"/>
        <w:gridCol w:w="2031"/>
        <w:gridCol w:w="1156"/>
        <w:gridCol w:w="1000"/>
        <w:gridCol w:w="2020"/>
        <w:gridCol w:w="1687"/>
      </w:tblGrid>
      <w:tr w:rsidR="00383A0F" w:rsidRPr="003E14C0" w14:paraId="63C1BDF9" w14:textId="77777777" w:rsidTr="003D4E56">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71F8CE5B" w14:textId="67EEA1C3" w:rsidR="00CA70DC" w:rsidRPr="003E14C0" w:rsidRDefault="00CA70DC" w:rsidP="003E14C0">
            <w:pPr>
              <w:tabs>
                <w:tab w:val="left" w:pos="2977"/>
              </w:tabs>
              <w:adjustRightInd w:val="0"/>
              <w:snapToGrid w:val="0"/>
              <w:spacing w:line="360" w:lineRule="auto"/>
              <w:jc w:val="both"/>
              <w:rPr>
                <w:rFonts w:ascii="Book Antiqua" w:hAnsi="Book Antiqua" w:cs="Arial"/>
                <w:color w:val="000000" w:themeColor="text1"/>
                <w:lang w:val="en-US"/>
              </w:rPr>
            </w:pPr>
            <w:r w:rsidRPr="003E14C0">
              <w:rPr>
                <w:rFonts w:ascii="Book Antiqua" w:hAnsi="Book Antiqua" w:cs="Arial"/>
                <w:color w:val="000000" w:themeColor="text1"/>
                <w:lang w:val="en-US"/>
              </w:rPr>
              <w:t>Author</w:t>
            </w:r>
          </w:p>
        </w:tc>
        <w:tc>
          <w:tcPr>
            <w:tcW w:w="0" w:type="auto"/>
            <w:shd w:val="clear" w:color="auto" w:fill="auto"/>
            <w:vAlign w:val="center"/>
          </w:tcPr>
          <w:p w14:paraId="7111718A" w14:textId="653285D1" w:rsidR="00CA70DC" w:rsidRPr="003E14C0" w:rsidRDefault="0006094A"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Pr>
                <w:rFonts w:ascii="Book Antiqua" w:hAnsi="Book Antiqua" w:cs="Arial"/>
                <w:color w:val="000000" w:themeColor="text1"/>
                <w:lang w:val="en-US"/>
              </w:rPr>
              <w:t>Study p</w:t>
            </w:r>
            <w:r w:rsidR="00CA70DC" w:rsidRPr="003E14C0">
              <w:rPr>
                <w:rFonts w:ascii="Book Antiqua" w:hAnsi="Book Antiqua" w:cs="Arial"/>
                <w:color w:val="000000" w:themeColor="text1"/>
                <w:lang w:val="en-US"/>
              </w:rPr>
              <w:t>eriod</w:t>
            </w:r>
          </w:p>
        </w:tc>
        <w:tc>
          <w:tcPr>
            <w:tcW w:w="1193" w:type="dxa"/>
            <w:shd w:val="clear" w:color="auto" w:fill="auto"/>
            <w:vAlign w:val="center"/>
          </w:tcPr>
          <w:p w14:paraId="453DBE55" w14:textId="4B0AB76A" w:rsidR="00CA70DC" w:rsidRPr="0006094A" w:rsidRDefault="0006094A"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i/>
                <w:color w:val="000000" w:themeColor="text1"/>
                <w:lang w:val="en-US"/>
              </w:rPr>
            </w:pPr>
            <w:r>
              <w:rPr>
                <w:rFonts w:ascii="Book Antiqua" w:hAnsi="Book Antiqua" w:cs="Arial"/>
                <w:i/>
                <w:color w:val="000000" w:themeColor="text1"/>
                <w:lang w:val="en-US"/>
              </w:rPr>
              <w:t>n</w:t>
            </w:r>
          </w:p>
        </w:tc>
        <w:tc>
          <w:tcPr>
            <w:tcW w:w="2031" w:type="dxa"/>
            <w:shd w:val="clear" w:color="auto" w:fill="auto"/>
            <w:vAlign w:val="center"/>
          </w:tcPr>
          <w:p w14:paraId="6CBB9ED0" w14:textId="77777777" w:rsidR="00CA70DC" w:rsidRPr="003E14C0" w:rsidRDefault="00CA70DC" w:rsidP="0006094A">
            <w:pPr>
              <w:tabs>
                <w:tab w:val="left" w:pos="1061"/>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Defined</w:t>
            </w:r>
          </w:p>
          <w:p w14:paraId="74C88CE4" w14:textId="77777777" w:rsidR="00CA70DC" w:rsidRPr="003E14C0" w:rsidRDefault="00CA70DC" w:rsidP="0006094A">
            <w:pPr>
              <w:tabs>
                <w:tab w:val="left" w:pos="1061"/>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exclusion</w:t>
            </w:r>
          </w:p>
          <w:p w14:paraId="4CD2066E" w14:textId="77777777" w:rsidR="00CA70DC" w:rsidRPr="003E14C0" w:rsidRDefault="00CA70DC" w:rsidP="0006094A">
            <w:pPr>
              <w:tabs>
                <w:tab w:val="left" w:pos="1061"/>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criteria for LT</w:t>
            </w:r>
          </w:p>
        </w:tc>
        <w:tc>
          <w:tcPr>
            <w:tcW w:w="0" w:type="auto"/>
            <w:shd w:val="clear" w:color="auto" w:fill="auto"/>
            <w:vAlign w:val="center"/>
          </w:tcPr>
          <w:p w14:paraId="304D90B0" w14:textId="77777777" w:rsidR="00CA70DC" w:rsidRPr="003E14C0" w:rsidRDefault="00CA70DC" w:rsidP="0006094A">
            <w:pPr>
              <w:tabs>
                <w:tab w:val="left" w:pos="884"/>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General severity</w:t>
            </w:r>
          </w:p>
          <w:p w14:paraId="2AB48AE7" w14:textId="77777777" w:rsidR="00CA70DC" w:rsidRPr="003E14C0" w:rsidRDefault="00CA70DC" w:rsidP="0006094A">
            <w:pPr>
              <w:tabs>
                <w:tab w:val="left" w:pos="884"/>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LT</w:t>
            </w:r>
          </w:p>
        </w:tc>
        <w:tc>
          <w:tcPr>
            <w:tcW w:w="1000" w:type="dxa"/>
            <w:shd w:val="clear" w:color="auto" w:fill="auto"/>
            <w:vAlign w:val="center"/>
          </w:tcPr>
          <w:p w14:paraId="6B418706" w14:textId="77777777" w:rsidR="00CA70DC" w:rsidRPr="003E14C0" w:rsidRDefault="00CA70DC"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MELD</w:t>
            </w:r>
          </w:p>
          <w:p w14:paraId="4BE5D97B" w14:textId="77777777" w:rsidR="00CA70DC" w:rsidRPr="003E14C0" w:rsidRDefault="00CA70DC"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LT</w:t>
            </w:r>
          </w:p>
        </w:tc>
        <w:tc>
          <w:tcPr>
            <w:tcW w:w="2020" w:type="dxa"/>
            <w:shd w:val="clear" w:color="auto" w:fill="auto"/>
            <w:vAlign w:val="center"/>
          </w:tcPr>
          <w:p w14:paraId="4BD51787" w14:textId="752B3D1D" w:rsidR="00CA70DC" w:rsidRPr="003E14C0" w:rsidRDefault="00CA70DC"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Prognostic factors</w:t>
            </w:r>
          </w:p>
          <w:p w14:paraId="48F479B3" w14:textId="77777777" w:rsidR="00CA70DC" w:rsidRPr="003E14C0" w:rsidRDefault="00CA70DC"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of</w:t>
            </w:r>
          </w:p>
          <w:p w14:paraId="65ED91D4" w14:textId="16D4790C" w:rsidR="00CA70DC" w:rsidRPr="003E14C0" w:rsidRDefault="00CA70DC"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post-transplant</w:t>
            </w:r>
          </w:p>
          <w:p w14:paraId="66006EFE" w14:textId="77777777" w:rsidR="00CA70DC" w:rsidRPr="003E14C0" w:rsidRDefault="00CA70DC"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mortality</w:t>
            </w:r>
          </w:p>
        </w:tc>
        <w:tc>
          <w:tcPr>
            <w:tcW w:w="1687" w:type="dxa"/>
            <w:shd w:val="clear" w:color="auto" w:fill="auto"/>
            <w:vAlign w:val="center"/>
          </w:tcPr>
          <w:p w14:paraId="39AF0594" w14:textId="77777777" w:rsidR="00CA70DC" w:rsidRPr="003E14C0" w:rsidRDefault="00CA70DC" w:rsidP="0006094A">
            <w:pPr>
              <w:tabs>
                <w:tab w:val="left" w:pos="742"/>
                <w:tab w:val="left" w:pos="1644"/>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Post-transplant survival</w:t>
            </w:r>
          </w:p>
          <w:p w14:paraId="0A75C98C" w14:textId="77777777" w:rsidR="00CA70DC" w:rsidRPr="003E14C0" w:rsidRDefault="00CA70DC" w:rsidP="0006094A">
            <w:pPr>
              <w:tabs>
                <w:tab w:val="left" w:pos="742"/>
                <w:tab w:val="left" w:pos="1644"/>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p>
        </w:tc>
      </w:tr>
      <w:tr w:rsidR="00383A0F" w:rsidRPr="003E14C0" w14:paraId="2E3DD891" w14:textId="77777777" w:rsidTr="003D4E56">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1AA1E98D" w14:textId="5919C353"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Umgelter </w:t>
            </w:r>
            <w:bookmarkStart w:id="137" w:name="OLE_LINK22"/>
            <w:bookmarkStart w:id="138" w:name="OLE_LINK23"/>
            <w:r w:rsidR="003E14C0">
              <w:rPr>
                <w:rFonts w:ascii="Book Antiqua" w:hAnsi="Book Antiqua" w:cs="Arial"/>
                <w:i/>
                <w:color w:val="000000" w:themeColor="text1"/>
                <w:lang w:val="en-US"/>
              </w:rPr>
              <w:t>et al</w:t>
            </w:r>
            <w:bookmarkEnd w:id="137"/>
            <w:bookmarkEnd w:id="138"/>
            <w:r w:rsidR="00CD4333" w:rsidRPr="003E14C0">
              <w:rPr>
                <w:rFonts w:ascii="Book Antiqua" w:hAnsi="Book Antiqua" w:cs="Arial"/>
                <w:color w:val="000000" w:themeColor="text1"/>
                <w:lang w:val="en-US"/>
              </w:rPr>
              <w:fldChar w:fldCharType="begin"/>
            </w:r>
            <w:r w:rsidR="00CD4333"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CD4333"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[12</w:t>
            </w:r>
            <w:r w:rsidR="00CD4333" w:rsidRPr="003E14C0">
              <w:rPr>
                <w:rFonts w:ascii="Book Antiqua" w:hAnsi="Book Antiqua" w:cs="Arial"/>
                <w:color w:val="000000" w:themeColor="text1"/>
                <w:vertAlign w:val="superscript"/>
                <w:lang w:val="en-US"/>
              </w:rPr>
              <w:t>]</w:t>
            </w:r>
            <w:r w:rsidR="00CD4333" w:rsidRPr="003E14C0">
              <w:rPr>
                <w:rFonts w:ascii="Book Antiqua" w:hAnsi="Book Antiqua" w:cs="Arial"/>
                <w:color w:val="000000" w:themeColor="text1"/>
                <w:lang w:val="en-US"/>
              </w:rPr>
              <w:fldChar w:fldCharType="end"/>
            </w:r>
          </w:p>
        </w:tc>
        <w:tc>
          <w:tcPr>
            <w:tcW w:w="0" w:type="auto"/>
            <w:shd w:val="clear" w:color="auto" w:fill="auto"/>
            <w:vAlign w:val="center"/>
          </w:tcPr>
          <w:p w14:paraId="508995DF"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2007-</w:t>
            </w:r>
          </w:p>
          <w:p w14:paraId="49476913"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2009</w:t>
            </w:r>
          </w:p>
        </w:tc>
        <w:tc>
          <w:tcPr>
            <w:tcW w:w="1193" w:type="dxa"/>
            <w:shd w:val="clear" w:color="auto" w:fill="auto"/>
            <w:vAlign w:val="center"/>
          </w:tcPr>
          <w:p w14:paraId="5396C84E"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13</w:t>
            </w:r>
          </w:p>
        </w:tc>
        <w:tc>
          <w:tcPr>
            <w:tcW w:w="2031" w:type="dxa"/>
            <w:shd w:val="clear" w:color="auto" w:fill="auto"/>
            <w:vAlign w:val="center"/>
          </w:tcPr>
          <w:p w14:paraId="5A8F4056" w14:textId="77777777" w:rsidR="00CA70DC" w:rsidRPr="003E14C0" w:rsidRDefault="00CA70DC" w:rsidP="0006094A">
            <w:pPr>
              <w:tabs>
                <w:tab w:val="left" w:pos="88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Subjective</w:t>
            </w:r>
          </w:p>
        </w:tc>
        <w:tc>
          <w:tcPr>
            <w:tcW w:w="0" w:type="auto"/>
            <w:shd w:val="clear" w:color="auto" w:fill="auto"/>
            <w:vAlign w:val="center"/>
          </w:tcPr>
          <w:p w14:paraId="44A40194" w14:textId="1CC6151A" w:rsidR="00CA70DC" w:rsidRPr="003E14C0" w:rsidRDefault="00CA70DC" w:rsidP="0006094A">
            <w:pPr>
              <w:tabs>
                <w:tab w:val="left" w:pos="88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SOFA19</w:t>
            </w:r>
          </w:p>
        </w:tc>
        <w:tc>
          <w:tcPr>
            <w:tcW w:w="1000" w:type="dxa"/>
            <w:shd w:val="clear" w:color="auto" w:fill="auto"/>
            <w:vAlign w:val="center"/>
          </w:tcPr>
          <w:p w14:paraId="62DD588A"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38</w:t>
            </w:r>
          </w:p>
        </w:tc>
        <w:tc>
          <w:tcPr>
            <w:tcW w:w="2020" w:type="dxa"/>
            <w:shd w:val="clear" w:color="auto" w:fill="auto"/>
            <w:vAlign w:val="center"/>
          </w:tcPr>
          <w:p w14:paraId="609A94CD"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Increasing MELD during</w:t>
            </w:r>
          </w:p>
          <w:p w14:paraId="254B612E" w14:textId="69DD2510"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first 48</w:t>
            </w:r>
            <w:r w:rsidR="003E14C0">
              <w:rPr>
                <w:rFonts w:ascii="Book Antiqua" w:hAnsi="Book Antiqua" w:cs="Arial"/>
                <w:color w:val="000000" w:themeColor="text1"/>
                <w:lang w:val="en-US"/>
              </w:rPr>
              <w:t xml:space="preserve"> </w:t>
            </w:r>
            <w:r w:rsidRPr="003E14C0">
              <w:rPr>
                <w:rFonts w:ascii="Book Antiqua" w:hAnsi="Book Antiqua" w:cs="Arial"/>
                <w:color w:val="000000" w:themeColor="text1"/>
                <w:lang w:val="en-US"/>
              </w:rPr>
              <w:t>h and longer ICU stay</w:t>
            </w:r>
          </w:p>
        </w:tc>
        <w:tc>
          <w:tcPr>
            <w:tcW w:w="1687" w:type="dxa"/>
            <w:shd w:val="clear" w:color="auto" w:fill="auto"/>
            <w:vAlign w:val="center"/>
          </w:tcPr>
          <w:p w14:paraId="57DBD9FB"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46%</w:t>
            </w:r>
          </w:p>
          <w:p w14:paraId="28465BD6" w14:textId="3958C3D6"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1 y</w:t>
            </w:r>
            <w:r w:rsidR="003E14C0">
              <w:rPr>
                <w:rFonts w:ascii="Book Antiqua" w:hAnsi="Book Antiqua" w:cs="Arial"/>
                <w:color w:val="000000" w:themeColor="text1"/>
                <w:lang w:val="en-US"/>
              </w:rPr>
              <w:t>r</w:t>
            </w:r>
          </w:p>
        </w:tc>
      </w:tr>
      <w:tr w:rsidR="00383A0F" w:rsidRPr="003E14C0" w14:paraId="530E7851" w14:textId="77777777" w:rsidTr="003D4E56">
        <w:trPr>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15A9F285" w14:textId="73DCC04F"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Karvelllas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[16]</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33C98281"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2000-</w:t>
            </w:r>
          </w:p>
          <w:p w14:paraId="54A04C74"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2009</w:t>
            </w:r>
          </w:p>
        </w:tc>
        <w:tc>
          <w:tcPr>
            <w:tcW w:w="1193" w:type="dxa"/>
            <w:shd w:val="clear" w:color="auto" w:fill="auto"/>
            <w:vAlign w:val="center"/>
          </w:tcPr>
          <w:p w14:paraId="24A1E3D2"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198</w:t>
            </w:r>
          </w:p>
        </w:tc>
        <w:tc>
          <w:tcPr>
            <w:tcW w:w="2031" w:type="dxa"/>
            <w:shd w:val="clear" w:color="auto" w:fill="auto"/>
            <w:vAlign w:val="center"/>
          </w:tcPr>
          <w:p w14:paraId="71ADB56B"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0" w:type="auto"/>
            <w:shd w:val="clear" w:color="auto" w:fill="auto"/>
            <w:vAlign w:val="center"/>
          </w:tcPr>
          <w:p w14:paraId="3015CAAD"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SOFA 14</w:t>
            </w:r>
          </w:p>
        </w:tc>
        <w:tc>
          <w:tcPr>
            <w:tcW w:w="1000" w:type="dxa"/>
            <w:shd w:val="clear" w:color="auto" w:fill="auto"/>
            <w:vAlign w:val="center"/>
          </w:tcPr>
          <w:p w14:paraId="4F0D0B9D"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34</w:t>
            </w:r>
          </w:p>
        </w:tc>
        <w:tc>
          <w:tcPr>
            <w:tcW w:w="2020" w:type="dxa"/>
            <w:shd w:val="clear" w:color="auto" w:fill="auto"/>
            <w:vAlign w:val="center"/>
          </w:tcPr>
          <w:p w14:paraId="42836BCA"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Not SOFA</w:t>
            </w:r>
          </w:p>
          <w:p w14:paraId="46CAF17C" w14:textId="4E7BB603"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Recipient age &gt; 60 y</w:t>
            </w:r>
            <w:r w:rsidR="003E14C0">
              <w:rPr>
                <w:rFonts w:ascii="Book Antiqua" w:hAnsi="Book Antiqua" w:cs="Arial"/>
                <w:color w:val="000000" w:themeColor="text1"/>
                <w:lang w:val="en-US"/>
              </w:rPr>
              <w:t>r</w:t>
            </w:r>
          </w:p>
        </w:tc>
        <w:tc>
          <w:tcPr>
            <w:tcW w:w="1687" w:type="dxa"/>
            <w:shd w:val="clear" w:color="auto" w:fill="auto"/>
            <w:vAlign w:val="center"/>
          </w:tcPr>
          <w:p w14:paraId="729EF85D"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62%</w:t>
            </w:r>
          </w:p>
          <w:p w14:paraId="57AAEB37" w14:textId="7560EC7E"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3 y</w:t>
            </w:r>
            <w:r w:rsidR="003E14C0">
              <w:rPr>
                <w:rFonts w:ascii="Book Antiqua" w:hAnsi="Book Antiqua" w:cs="Arial"/>
                <w:color w:val="000000" w:themeColor="text1"/>
                <w:lang w:val="en-US"/>
              </w:rPr>
              <w:t>r</w:t>
            </w:r>
          </w:p>
        </w:tc>
      </w:tr>
      <w:tr w:rsidR="00383A0F" w:rsidRPr="003E14C0" w14:paraId="4FA6B5D8" w14:textId="77777777" w:rsidTr="003D4E5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6D2AA55F" w14:textId="557E1A2A"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Duan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[27]</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18172793"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2004-</w:t>
            </w:r>
          </w:p>
          <w:p w14:paraId="4B55E1D5"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2012</w:t>
            </w:r>
          </w:p>
        </w:tc>
        <w:tc>
          <w:tcPr>
            <w:tcW w:w="1193" w:type="dxa"/>
            <w:shd w:val="clear" w:color="auto" w:fill="auto"/>
            <w:vAlign w:val="center"/>
          </w:tcPr>
          <w:p w14:paraId="38C58165"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100</w:t>
            </w:r>
          </w:p>
        </w:tc>
        <w:tc>
          <w:tcPr>
            <w:tcW w:w="2031" w:type="dxa"/>
            <w:shd w:val="clear" w:color="auto" w:fill="auto"/>
            <w:vAlign w:val="center"/>
          </w:tcPr>
          <w:p w14:paraId="0C01D171"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0" w:type="auto"/>
            <w:shd w:val="clear" w:color="auto" w:fill="auto"/>
            <w:vAlign w:val="center"/>
          </w:tcPr>
          <w:p w14:paraId="3CCC960C"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SOFA 9</w:t>
            </w:r>
          </w:p>
        </w:tc>
        <w:tc>
          <w:tcPr>
            <w:tcW w:w="1000" w:type="dxa"/>
            <w:shd w:val="clear" w:color="auto" w:fill="auto"/>
            <w:vAlign w:val="center"/>
          </w:tcPr>
          <w:p w14:paraId="0FA51477"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32</w:t>
            </w:r>
          </w:p>
        </w:tc>
        <w:tc>
          <w:tcPr>
            <w:tcW w:w="2020" w:type="dxa"/>
            <w:shd w:val="clear" w:color="auto" w:fill="auto"/>
            <w:vAlign w:val="center"/>
          </w:tcPr>
          <w:p w14:paraId="4B0EE55B"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LDLT = DDLT</w:t>
            </w:r>
          </w:p>
        </w:tc>
        <w:tc>
          <w:tcPr>
            <w:tcW w:w="1687" w:type="dxa"/>
            <w:shd w:val="clear" w:color="auto" w:fill="auto"/>
            <w:vAlign w:val="center"/>
          </w:tcPr>
          <w:p w14:paraId="1581C2E1"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78%</w:t>
            </w:r>
          </w:p>
          <w:p w14:paraId="2E1DFE04" w14:textId="0E5887DD"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1 y</w:t>
            </w:r>
            <w:r w:rsidR="0006094A">
              <w:rPr>
                <w:rFonts w:ascii="Book Antiqua" w:hAnsi="Book Antiqua" w:cs="Arial"/>
                <w:color w:val="000000" w:themeColor="text1"/>
                <w:lang w:val="en-US"/>
              </w:rPr>
              <w:t>r</w:t>
            </w:r>
          </w:p>
        </w:tc>
      </w:tr>
      <w:tr w:rsidR="00383A0F" w:rsidRPr="003E14C0" w14:paraId="5A168528" w14:textId="77777777" w:rsidTr="003D4E56">
        <w:trPr>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499B09DE" w14:textId="58F5D605"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Finkenstedt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[9]</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5BD660CA"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2002-</w:t>
            </w:r>
          </w:p>
          <w:p w14:paraId="4A4C08BD"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2010</w:t>
            </w:r>
          </w:p>
        </w:tc>
        <w:tc>
          <w:tcPr>
            <w:tcW w:w="1193" w:type="dxa"/>
            <w:shd w:val="clear" w:color="auto" w:fill="auto"/>
            <w:vAlign w:val="center"/>
          </w:tcPr>
          <w:p w14:paraId="61F80EF4"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33</w:t>
            </w:r>
          </w:p>
        </w:tc>
        <w:tc>
          <w:tcPr>
            <w:tcW w:w="2031" w:type="dxa"/>
            <w:shd w:val="clear" w:color="auto" w:fill="auto"/>
            <w:vAlign w:val="center"/>
          </w:tcPr>
          <w:p w14:paraId="04628DBF"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Subjective</w:t>
            </w:r>
          </w:p>
        </w:tc>
        <w:tc>
          <w:tcPr>
            <w:tcW w:w="0" w:type="auto"/>
            <w:shd w:val="clear" w:color="auto" w:fill="auto"/>
            <w:vAlign w:val="center"/>
          </w:tcPr>
          <w:p w14:paraId="53E48977"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RRT 30%</w:t>
            </w:r>
          </w:p>
          <w:p w14:paraId="017A7319"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MV 9%</w:t>
            </w:r>
          </w:p>
        </w:tc>
        <w:tc>
          <w:tcPr>
            <w:tcW w:w="1000" w:type="dxa"/>
            <w:shd w:val="clear" w:color="auto" w:fill="auto"/>
            <w:vAlign w:val="center"/>
          </w:tcPr>
          <w:p w14:paraId="519E49E4"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28</w:t>
            </w:r>
          </w:p>
        </w:tc>
        <w:tc>
          <w:tcPr>
            <w:tcW w:w="2020" w:type="dxa"/>
            <w:shd w:val="clear" w:color="auto" w:fill="auto"/>
            <w:vAlign w:val="center"/>
          </w:tcPr>
          <w:p w14:paraId="4085986E"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1687" w:type="dxa"/>
            <w:shd w:val="clear" w:color="auto" w:fill="auto"/>
            <w:vAlign w:val="center"/>
          </w:tcPr>
          <w:p w14:paraId="603588C7"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87%</w:t>
            </w:r>
          </w:p>
          <w:p w14:paraId="00CD2BD0" w14:textId="1C1C24EC"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1 y</w:t>
            </w:r>
            <w:r w:rsidR="0006094A">
              <w:rPr>
                <w:rFonts w:ascii="Book Antiqua" w:hAnsi="Book Antiqua" w:cs="Arial"/>
                <w:color w:val="000000" w:themeColor="text1"/>
                <w:lang w:val="en-US"/>
              </w:rPr>
              <w:t>r</w:t>
            </w:r>
          </w:p>
        </w:tc>
      </w:tr>
      <w:tr w:rsidR="00383A0F" w:rsidRPr="003E14C0" w14:paraId="2ED15F74" w14:textId="77777777" w:rsidTr="003D4E5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2CFF2B05" w14:textId="284F86FD"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Petrowsky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[13]</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54223BCD"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2002-</w:t>
            </w:r>
          </w:p>
          <w:p w14:paraId="405D1146"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2010</w:t>
            </w:r>
          </w:p>
        </w:tc>
        <w:tc>
          <w:tcPr>
            <w:tcW w:w="1193" w:type="dxa"/>
            <w:shd w:val="clear" w:color="auto" w:fill="auto"/>
            <w:vAlign w:val="center"/>
          </w:tcPr>
          <w:p w14:paraId="4D6C7030"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133</w:t>
            </w:r>
          </w:p>
        </w:tc>
        <w:tc>
          <w:tcPr>
            <w:tcW w:w="2031" w:type="dxa"/>
            <w:shd w:val="clear" w:color="auto" w:fill="auto"/>
            <w:vAlign w:val="center"/>
          </w:tcPr>
          <w:p w14:paraId="5418BF66"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0" w:type="auto"/>
            <w:shd w:val="clear" w:color="auto" w:fill="auto"/>
            <w:vAlign w:val="center"/>
          </w:tcPr>
          <w:p w14:paraId="54737D5A"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RRT 90%</w:t>
            </w:r>
          </w:p>
          <w:p w14:paraId="6D9CC29B"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MV 66%</w:t>
            </w:r>
          </w:p>
        </w:tc>
        <w:tc>
          <w:tcPr>
            <w:tcW w:w="1000" w:type="dxa"/>
            <w:shd w:val="clear" w:color="auto" w:fill="auto"/>
            <w:vAlign w:val="center"/>
          </w:tcPr>
          <w:p w14:paraId="31E29724" w14:textId="61E341DA"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&gt;</w:t>
            </w:r>
            <w:r w:rsidR="0006094A">
              <w:rPr>
                <w:rFonts w:ascii="Book Antiqua" w:hAnsi="Book Antiqua" w:cs="Arial"/>
                <w:color w:val="000000" w:themeColor="text1"/>
                <w:lang w:val="en-US"/>
              </w:rPr>
              <w:t xml:space="preserve"> </w:t>
            </w:r>
            <w:r w:rsidRPr="003E14C0">
              <w:rPr>
                <w:rFonts w:ascii="Book Antiqua" w:hAnsi="Book Antiqua" w:cs="Arial"/>
                <w:color w:val="000000" w:themeColor="text1"/>
                <w:lang w:val="en-US"/>
              </w:rPr>
              <w:t>40</w:t>
            </w:r>
          </w:p>
        </w:tc>
        <w:tc>
          <w:tcPr>
            <w:tcW w:w="2020" w:type="dxa"/>
            <w:shd w:val="clear" w:color="auto" w:fill="auto"/>
            <w:vAlign w:val="center"/>
          </w:tcPr>
          <w:p w14:paraId="5CCD0A08"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MELD</w:t>
            </w:r>
          </w:p>
          <w:p w14:paraId="4106B976"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Age adjusted-Charslon index</w:t>
            </w:r>
          </w:p>
          <w:p w14:paraId="3A05B491"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Cardiac risk</w:t>
            </w:r>
          </w:p>
          <w:p w14:paraId="07ECEA35"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Septic shock</w:t>
            </w:r>
          </w:p>
        </w:tc>
        <w:tc>
          <w:tcPr>
            <w:tcW w:w="1687" w:type="dxa"/>
            <w:shd w:val="clear" w:color="auto" w:fill="auto"/>
            <w:vAlign w:val="center"/>
          </w:tcPr>
          <w:p w14:paraId="26E1AA54"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64%</w:t>
            </w:r>
          </w:p>
          <w:p w14:paraId="3A501F66" w14:textId="04162DAF"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3 y</w:t>
            </w:r>
            <w:r w:rsidR="0006094A">
              <w:rPr>
                <w:rFonts w:ascii="Book Antiqua" w:hAnsi="Book Antiqua" w:cs="Arial"/>
                <w:color w:val="000000" w:themeColor="text1"/>
                <w:lang w:val="en-US"/>
              </w:rPr>
              <w:t>r</w:t>
            </w:r>
          </w:p>
        </w:tc>
      </w:tr>
      <w:tr w:rsidR="00383A0F" w:rsidRPr="003E14C0" w14:paraId="06F0EDBA" w14:textId="77777777" w:rsidTr="003D4E56">
        <w:trPr>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31479EFD" w14:textId="6DD8D31D"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Knaak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[15]</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23AB0C14"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2000-</w:t>
            </w:r>
          </w:p>
          <w:p w14:paraId="73FB2FA2"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2013</w:t>
            </w:r>
          </w:p>
        </w:tc>
        <w:tc>
          <w:tcPr>
            <w:tcW w:w="1193" w:type="dxa"/>
            <w:shd w:val="clear" w:color="auto" w:fill="auto"/>
            <w:vAlign w:val="center"/>
          </w:tcPr>
          <w:p w14:paraId="065F47ED"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122</w:t>
            </w:r>
          </w:p>
        </w:tc>
        <w:tc>
          <w:tcPr>
            <w:tcW w:w="2031" w:type="dxa"/>
            <w:shd w:val="clear" w:color="auto" w:fill="auto"/>
            <w:vAlign w:val="center"/>
          </w:tcPr>
          <w:p w14:paraId="1056FC22" w14:textId="6E5D367F"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FiO2 &gt;</w:t>
            </w:r>
            <w:r w:rsidR="0006094A">
              <w:rPr>
                <w:rFonts w:ascii="Book Antiqua" w:hAnsi="Book Antiqua" w:cs="Arial"/>
                <w:color w:val="000000" w:themeColor="text1"/>
                <w:lang w:val="en-US"/>
              </w:rPr>
              <w:t xml:space="preserve"> </w:t>
            </w:r>
            <w:r w:rsidRPr="003E14C0">
              <w:rPr>
                <w:rFonts w:ascii="Book Antiqua" w:hAnsi="Book Antiqua" w:cs="Arial"/>
                <w:color w:val="000000" w:themeColor="text1"/>
                <w:lang w:val="en-US"/>
              </w:rPr>
              <w:t>40%</w:t>
            </w:r>
          </w:p>
          <w:p w14:paraId="74135E31"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Norepinephrine</w:t>
            </w:r>
          </w:p>
          <w:p w14:paraId="261186B2" w14:textId="6149FC34" w:rsidR="00CA70DC" w:rsidRPr="003E14C0" w:rsidRDefault="0006094A"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Pr>
                <w:rFonts w:ascii="Book Antiqua" w:hAnsi="Book Antiqua" w:cs="Arial"/>
                <w:color w:val="000000" w:themeColor="text1"/>
                <w:lang w:val="en-US"/>
              </w:rPr>
              <w:t xml:space="preserve">&gt; 0.1 µg/kg per </w:t>
            </w:r>
            <w:r w:rsidR="00CA70DC" w:rsidRPr="003E14C0">
              <w:rPr>
                <w:rFonts w:ascii="Book Antiqua" w:hAnsi="Book Antiqua" w:cs="Arial"/>
                <w:color w:val="000000" w:themeColor="text1"/>
                <w:lang w:val="en-US"/>
              </w:rPr>
              <w:t>min</w:t>
            </w:r>
          </w:p>
        </w:tc>
        <w:tc>
          <w:tcPr>
            <w:tcW w:w="0" w:type="auto"/>
            <w:shd w:val="clear" w:color="auto" w:fill="auto"/>
            <w:vAlign w:val="center"/>
          </w:tcPr>
          <w:p w14:paraId="09692F1D"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SOFA 15</w:t>
            </w:r>
          </w:p>
        </w:tc>
        <w:tc>
          <w:tcPr>
            <w:tcW w:w="1000" w:type="dxa"/>
            <w:shd w:val="clear" w:color="auto" w:fill="auto"/>
            <w:vAlign w:val="center"/>
          </w:tcPr>
          <w:p w14:paraId="234113D9"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32</w:t>
            </w:r>
          </w:p>
        </w:tc>
        <w:tc>
          <w:tcPr>
            <w:tcW w:w="2020" w:type="dxa"/>
            <w:shd w:val="clear" w:color="auto" w:fill="auto"/>
            <w:vAlign w:val="center"/>
          </w:tcPr>
          <w:p w14:paraId="12A33B09" w14:textId="77ACB85A"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Glasgow Coma Score</w:t>
            </w:r>
            <w:r w:rsidR="0006094A">
              <w:rPr>
                <w:rFonts w:ascii="Book Antiqua" w:hAnsi="Book Antiqua" w:cs="Arial"/>
                <w:color w:val="000000" w:themeColor="text1"/>
                <w:lang w:val="en-US"/>
              </w:rPr>
              <w:t xml:space="preserve"> </w:t>
            </w:r>
            <w:r w:rsidRPr="003E14C0">
              <w:rPr>
                <w:rFonts w:ascii="Book Antiqua" w:hAnsi="Book Antiqua" w:cs="Arial"/>
                <w:color w:val="000000" w:themeColor="text1"/>
                <w:lang w:val="en-US"/>
              </w:rPr>
              <w:t>&lt;</w:t>
            </w:r>
            <w:r w:rsidR="0006094A">
              <w:rPr>
                <w:rFonts w:ascii="Book Antiqua" w:hAnsi="Book Antiqua" w:cs="Arial"/>
                <w:color w:val="000000" w:themeColor="text1"/>
                <w:lang w:val="en-US"/>
              </w:rPr>
              <w:t xml:space="preserve"> </w:t>
            </w:r>
            <w:r w:rsidRPr="003E14C0">
              <w:rPr>
                <w:rFonts w:ascii="Book Antiqua" w:hAnsi="Book Antiqua" w:cs="Arial"/>
                <w:color w:val="000000" w:themeColor="text1"/>
                <w:lang w:val="en-US"/>
              </w:rPr>
              <w:t>7</w:t>
            </w:r>
          </w:p>
          <w:p w14:paraId="1B1C7B86"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before intubation</w:t>
            </w:r>
          </w:p>
        </w:tc>
        <w:tc>
          <w:tcPr>
            <w:tcW w:w="1687" w:type="dxa"/>
            <w:shd w:val="clear" w:color="auto" w:fill="auto"/>
            <w:vAlign w:val="center"/>
          </w:tcPr>
          <w:p w14:paraId="2EBB8073"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76%</w:t>
            </w:r>
          </w:p>
          <w:p w14:paraId="6A3B7B2A" w14:textId="40945EDA"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3 y</w:t>
            </w:r>
            <w:r w:rsidR="0006094A">
              <w:rPr>
                <w:rFonts w:ascii="Book Antiqua" w:hAnsi="Book Antiqua" w:cs="Arial"/>
                <w:color w:val="000000" w:themeColor="text1"/>
                <w:lang w:val="en-US"/>
              </w:rPr>
              <w:t>r</w:t>
            </w:r>
          </w:p>
        </w:tc>
      </w:tr>
      <w:tr w:rsidR="00383A0F" w:rsidRPr="003E14C0" w14:paraId="750556E5" w14:textId="77777777" w:rsidTr="003D4E5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63DCA886" w14:textId="4096169C"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Levesque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[19]</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233A001D"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2008-</w:t>
            </w:r>
          </w:p>
          <w:p w14:paraId="03230D70"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2013</w:t>
            </w:r>
          </w:p>
        </w:tc>
        <w:tc>
          <w:tcPr>
            <w:tcW w:w="1193" w:type="dxa"/>
            <w:shd w:val="clear" w:color="auto" w:fill="auto"/>
            <w:vAlign w:val="center"/>
          </w:tcPr>
          <w:p w14:paraId="72C73E4D"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30</w:t>
            </w:r>
          </w:p>
          <w:p w14:paraId="60AE0E27"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(ACLF3)</w:t>
            </w:r>
          </w:p>
        </w:tc>
        <w:tc>
          <w:tcPr>
            <w:tcW w:w="2031" w:type="dxa"/>
            <w:shd w:val="clear" w:color="auto" w:fill="auto"/>
            <w:vAlign w:val="center"/>
          </w:tcPr>
          <w:p w14:paraId="1061DA98"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0" w:type="auto"/>
            <w:shd w:val="clear" w:color="auto" w:fill="auto"/>
            <w:vAlign w:val="center"/>
          </w:tcPr>
          <w:p w14:paraId="150BA654"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SOFA 16</w:t>
            </w:r>
          </w:p>
        </w:tc>
        <w:tc>
          <w:tcPr>
            <w:tcW w:w="1000" w:type="dxa"/>
            <w:shd w:val="clear" w:color="auto" w:fill="auto"/>
            <w:vAlign w:val="center"/>
          </w:tcPr>
          <w:p w14:paraId="7AF8A553"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37</w:t>
            </w:r>
          </w:p>
        </w:tc>
        <w:tc>
          <w:tcPr>
            <w:tcW w:w="2020" w:type="dxa"/>
            <w:shd w:val="clear" w:color="auto" w:fill="auto"/>
            <w:vAlign w:val="center"/>
          </w:tcPr>
          <w:p w14:paraId="2FEB65ED"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1687" w:type="dxa"/>
            <w:shd w:val="clear" w:color="auto" w:fill="auto"/>
            <w:vAlign w:val="center"/>
          </w:tcPr>
          <w:p w14:paraId="74B209D7"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43%</w:t>
            </w:r>
          </w:p>
          <w:p w14:paraId="6D3067A7" w14:textId="3A4B2E0F"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1 y</w:t>
            </w:r>
            <w:r w:rsidR="0006094A">
              <w:rPr>
                <w:rFonts w:ascii="Book Antiqua" w:hAnsi="Book Antiqua" w:cs="Arial"/>
                <w:color w:val="000000" w:themeColor="text1"/>
                <w:lang w:val="en-US"/>
              </w:rPr>
              <w:t>r</w:t>
            </w:r>
          </w:p>
        </w:tc>
      </w:tr>
      <w:tr w:rsidR="00383A0F" w:rsidRPr="003E14C0" w14:paraId="486A6524" w14:textId="77777777" w:rsidTr="003D4E56">
        <w:trPr>
          <w:trHeight w:val="666"/>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68E37850" w14:textId="29152AE1"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Moon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[45]</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798B8F44"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1998-</w:t>
            </w:r>
          </w:p>
          <w:p w14:paraId="7A042DB8"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2010</w:t>
            </w:r>
          </w:p>
        </w:tc>
        <w:tc>
          <w:tcPr>
            <w:tcW w:w="1193" w:type="dxa"/>
            <w:shd w:val="clear" w:color="auto" w:fill="auto"/>
            <w:vAlign w:val="center"/>
          </w:tcPr>
          <w:p w14:paraId="0D5ADC2A"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190</w:t>
            </w:r>
          </w:p>
        </w:tc>
        <w:tc>
          <w:tcPr>
            <w:tcW w:w="2031" w:type="dxa"/>
            <w:shd w:val="clear" w:color="auto" w:fill="auto"/>
            <w:vAlign w:val="center"/>
          </w:tcPr>
          <w:p w14:paraId="71BCF585"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0" w:type="auto"/>
            <w:shd w:val="clear" w:color="auto" w:fill="auto"/>
            <w:vAlign w:val="center"/>
          </w:tcPr>
          <w:p w14:paraId="7923ED58"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RRT 43%</w:t>
            </w:r>
          </w:p>
          <w:p w14:paraId="725536E3"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MV 36%</w:t>
            </w:r>
          </w:p>
        </w:tc>
        <w:tc>
          <w:tcPr>
            <w:tcW w:w="1000" w:type="dxa"/>
            <w:shd w:val="clear" w:color="auto" w:fill="auto"/>
            <w:vAlign w:val="center"/>
          </w:tcPr>
          <w:p w14:paraId="4A278E49"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38</w:t>
            </w:r>
          </w:p>
        </w:tc>
        <w:tc>
          <w:tcPr>
            <w:tcW w:w="2020" w:type="dxa"/>
            <w:shd w:val="clear" w:color="auto" w:fill="auto"/>
            <w:vAlign w:val="center"/>
          </w:tcPr>
          <w:p w14:paraId="6A8A6F0B"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1687" w:type="dxa"/>
            <w:shd w:val="clear" w:color="auto" w:fill="auto"/>
            <w:vAlign w:val="center"/>
          </w:tcPr>
          <w:p w14:paraId="5BD2E1BF"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70%</w:t>
            </w:r>
          </w:p>
          <w:p w14:paraId="442B33AE" w14:textId="1D83DD34"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5 y</w:t>
            </w:r>
            <w:r w:rsidR="0006094A">
              <w:rPr>
                <w:rFonts w:ascii="Book Antiqua" w:hAnsi="Book Antiqua" w:cs="Arial"/>
                <w:color w:val="000000" w:themeColor="text1"/>
                <w:lang w:val="en-US"/>
              </w:rPr>
              <w:t>r</w:t>
            </w:r>
          </w:p>
        </w:tc>
      </w:tr>
      <w:tr w:rsidR="00383A0F" w:rsidRPr="003E14C0" w14:paraId="41F88120" w14:textId="77777777" w:rsidTr="003D4E5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34B6E222" w14:textId="60C3B488"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lastRenderedPageBreak/>
              <w:t xml:space="preserve">Artru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[10]</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670DF3D6"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2008-</w:t>
            </w:r>
          </w:p>
          <w:p w14:paraId="1D504F82"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2014</w:t>
            </w:r>
          </w:p>
        </w:tc>
        <w:tc>
          <w:tcPr>
            <w:tcW w:w="1193" w:type="dxa"/>
            <w:shd w:val="clear" w:color="auto" w:fill="auto"/>
            <w:vAlign w:val="center"/>
          </w:tcPr>
          <w:p w14:paraId="2D06DDE2"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73</w:t>
            </w:r>
          </w:p>
          <w:p w14:paraId="7B7AEEA8"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(ACLF3)</w:t>
            </w:r>
          </w:p>
        </w:tc>
        <w:tc>
          <w:tcPr>
            <w:tcW w:w="2031" w:type="dxa"/>
            <w:shd w:val="clear" w:color="auto" w:fill="auto"/>
            <w:vAlign w:val="center"/>
          </w:tcPr>
          <w:p w14:paraId="36228EC7"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 active GI bleeding</w:t>
            </w:r>
          </w:p>
          <w:p w14:paraId="66CC49EC"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Norepinephrine</w:t>
            </w:r>
          </w:p>
          <w:p w14:paraId="463CD693" w14:textId="66C9E8A2"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&lt; 3</w:t>
            </w:r>
            <w:r w:rsidR="0006094A">
              <w:rPr>
                <w:rFonts w:ascii="Book Antiqua" w:hAnsi="Book Antiqua" w:cs="Arial"/>
                <w:color w:val="000000" w:themeColor="text1"/>
                <w:lang w:val="en-US"/>
              </w:rPr>
              <w:t xml:space="preserve"> </w:t>
            </w:r>
            <w:r w:rsidRPr="003E14C0">
              <w:rPr>
                <w:rFonts w:ascii="Book Antiqua" w:hAnsi="Book Antiqua" w:cs="Arial"/>
                <w:color w:val="000000" w:themeColor="text1"/>
                <w:lang w:val="en-US"/>
              </w:rPr>
              <w:t>mg/h</w:t>
            </w:r>
          </w:p>
          <w:p w14:paraId="27009833"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PaO2/FiO2</w:t>
            </w:r>
          </w:p>
          <w:p w14:paraId="5CDBAB5A" w14:textId="6AEE7966"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&lt; 150</w:t>
            </w:r>
            <w:r w:rsidR="0006094A">
              <w:rPr>
                <w:rFonts w:ascii="Book Antiqua" w:hAnsi="Book Antiqua" w:cs="Arial"/>
                <w:color w:val="000000" w:themeColor="text1"/>
                <w:lang w:val="en-US"/>
              </w:rPr>
              <w:t xml:space="preserve"> </w:t>
            </w:r>
            <w:r w:rsidRPr="003E14C0">
              <w:rPr>
                <w:rFonts w:ascii="Book Antiqua" w:hAnsi="Book Antiqua" w:cs="Arial"/>
                <w:color w:val="000000" w:themeColor="text1"/>
                <w:lang w:val="en-US"/>
              </w:rPr>
              <w:t>mmHg</w:t>
            </w:r>
          </w:p>
        </w:tc>
        <w:tc>
          <w:tcPr>
            <w:tcW w:w="0" w:type="auto"/>
            <w:shd w:val="clear" w:color="auto" w:fill="auto"/>
            <w:vAlign w:val="center"/>
          </w:tcPr>
          <w:p w14:paraId="724978D4"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SOFA 16</w:t>
            </w:r>
          </w:p>
        </w:tc>
        <w:tc>
          <w:tcPr>
            <w:tcW w:w="1000" w:type="dxa"/>
            <w:shd w:val="clear" w:color="auto" w:fill="auto"/>
            <w:vAlign w:val="center"/>
          </w:tcPr>
          <w:p w14:paraId="07AD54C1"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38</w:t>
            </w:r>
          </w:p>
        </w:tc>
        <w:tc>
          <w:tcPr>
            <w:tcW w:w="2020" w:type="dxa"/>
            <w:shd w:val="clear" w:color="auto" w:fill="auto"/>
            <w:vAlign w:val="center"/>
          </w:tcPr>
          <w:p w14:paraId="1F992DC8"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1687" w:type="dxa"/>
            <w:shd w:val="clear" w:color="auto" w:fill="auto"/>
            <w:vAlign w:val="center"/>
          </w:tcPr>
          <w:p w14:paraId="527E17F0"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84%</w:t>
            </w:r>
          </w:p>
          <w:p w14:paraId="4A693A90" w14:textId="7F0A750B"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1 y</w:t>
            </w:r>
            <w:r w:rsidR="0006094A">
              <w:rPr>
                <w:rFonts w:ascii="Book Antiqua" w:hAnsi="Book Antiqua" w:cs="Arial"/>
                <w:color w:val="000000" w:themeColor="text1"/>
                <w:lang w:val="en-US"/>
              </w:rPr>
              <w:t>r</w:t>
            </w:r>
          </w:p>
        </w:tc>
      </w:tr>
      <w:tr w:rsidR="00383A0F" w:rsidRPr="003E14C0" w14:paraId="6DC13222" w14:textId="77777777" w:rsidTr="003D4E56">
        <w:trPr>
          <w:trHeight w:val="755"/>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757E8828" w14:textId="05961EB7"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Michard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[44]</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123A5714"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2007-</w:t>
            </w:r>
          </w:p>
          <w:p w14:paraId="632B4725"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2015</w:t>
            </w:r>
          </w:p>
        </w:tc>
        <w:tc>
          <w:tcPr>
            <w:tcW w:w="1193" w:type="dxa"/>
            <w:shd w:val="clear" w:color="auto" w:fill="auto"/>
            <w:vAlign w:val="center"/>
          </w:tcPr>
          <w:p w14:paraId="0E554F14"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55</w:t>
            </w:r>
          </w:p>
        </w:tc>
        <w:tc>
          <w:tcPr>
            <w:tcW w:w="2031" w:type="dxa"/>
            <w:shd w:val="clear" w:color="auto" w:fill="auto"/>
            <w:vAlign w:val="center"/>
          </w:tcPr>
          <w:p w14:paraId="79C776AC"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0" w:type="auto"/>
            <w:shd w:val="clear" w:color="auto" w:fill="auto"/>
            <w:vAlign w:val="center"/>
          </w:tcPr>
          <w:p w14:paraId="74209E77"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SOFA 16</w:t>
            </w:r>
          </w:p>
        </w:tc>
        <w:tc>
          <w:tcPr>
            <w:tcW w:w="1000" w:type="dxa"/>
            <w:shd w:val="clear" w:color="auto" w:fill="auto"/>
            <w:vAlign w:val="center"/>
          </w:tcPr>
          <w:p w14:paraId="226C3058"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42</w:t>
            </w:r>
          </w:p>
        </w:tc>
        <w:tc>
          <w:tcPr>
            <w:tcW w:w="2020" w:type="dxa"/>
            <w:shd w:val="clear" w:color="auto" w:fill="auto"/>
            <w:vAlign w:val="center"/>
          </w:tcPr>
          <w:p w14:paraId="2B877636"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Lactate &gt; 5 mmol/L</w:t>
            </w:r>
          </w:p>
          <w:p w14:paraId="06CED215" w14:textId="762438B8"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ARDS</w:t>
            </w:r>
          </w:p>
          <w:p w14:paraId="475E28A6" w14:textId="66A0E679"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with PaO</w:t>
            </w:r>
            <w:r w:rsidRPr="003E14C0">
              <w:rPr>
                <w:rFonts w:ascii="Book Antiqua" w:hAnsi="Book Antiqua" w:cs="Arial"/>
                <w:color w:val="000000" w:themeColor="text1"/>
                <w:vertAlign w:val="subscript"/>
                <w:lang w:val="en-US"/>
              </w:rPr>
              <w:t>2</w:t>
            </w:r>
            <w:r w:rsidRPr="003E14C0">
              <w:rPr>
                <w:rFonts w:ascii="Book Antiqua" w:hAnsi="Book Antiqua" w:cs="Arial"/>
                <w:color w:val="000000" w:themeColor="text1"/>
                <w:lang w:val="en-US"/>
              </w:rPr>
              <w:t>/FiO</w:t>
            </w:r>
            <w:r w:rsidRPr="003E14C0">
              <w:rPr>
                <w:rFonts w:ascii="Book Antiqua" w:hAnsi="Book Antiqua" w:cs="Arial"/>
                <w:color w:val="000000" w:themeColor="text1"/>
                <w:vertAlign w:val="subscript"/>
                <w:lang w:val="en-US"/>
              </w:rPr>
              <w:t>2</w:t>
            </w:r>
            <w:r w:rsidRPr="003E14C0">
              <w:rPr>
                <w:rFonts w:ascii="Book Antiqua" w:hAnsi="Book Antiqua" w:cs="Arial"/>
                <w:color w:val="000000" w:themeColor="text1"/>
                <w:lang w:val="en-US"/>
              </w:rPr>
              <w:t xml:space="preserve"> &lt; 200 mmHg</w:t>
            </w:r>
          </w:p>
        </w:tc>
        <w:tc>
          <w:tcPr>
            <w:tcW w:w="1687" w:type="dxa"/>
            <w:shd w:val="clear" w:color="auto" w:fill="auto"/>
            <w:vAlign w:val="center"/>
          </w:tcPr>
          <w:p w14:paraId="024A4AEA"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60%</w:t>
            </w:r>
          </w:p>
          <w:p w14:paraId="7728A7FB" w14:textId="56FFB3A8"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1 y</w:t>
            </w:r>
            <w:r w:rsidR="0006094A">
              <w:rPr>
                <w:rFonts w:ascii="Book Antiqua" w:hAnsi="Book Antiqua" w:cs="Arial"/>
                <w:color w:val="000000" w:themeColor="text1"/>
                <w:lang w:val="en-US"/>
              </w:rPr>
              <w:t>r</w:t>
            </w:r>
          </w:p>
        </w:tc>
      </w:tr>
      <w:tr w:rsidR="00383A0F" w:rsidRPr="003E14C0" w14:paraId="77AEBDDF" w14:textId="77777777" w:rsidTr="003D4E56">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27AD2D20" w14:textId="2CF90FBA" w:rsidR="00CA70DC" w:rsidRPr="003E14C0" w:rsidRDefault="00CA70DC" w:rsidP="003E14C0">
            <w:pPr>
              <w:tabs>
                <w:tab w:val="left" w:pos="2977"/>
              </w:tabs>
              <w:adjustRightInd w:val="0"/>
              <w:snapToGrid w:val="0"/>
              <w:spacing w:line="360" w:lineRule="auto"/>
              <w:jc w:val="both"/>
              <w:rPr>
                <w:rFonts w:ascii="Book Antiqua" w:hAnsi="Book Antiqua" w:cs="Arial"/>
                <w:color w:val="000000" w:themeColor="text1"/>
                <w:lang w:val="en-US"/>
              </w:rPr>
            </w:pPr>
            <w:r w:rsidRPr="003E14C0">
              <w:rPr>
                <w:rFonts w:ascii="Book Antiqua" w:hAnsi="Book Antiqua" w:cs="Arial"/>
                <w:color w:val="000000" w:themeColor="text1"/>
                <w:lang w:val="en-US"/>
              </w:rPr>
              <w:t xml:space="preserve">Thuluvath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[43]</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39A8F852"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2002-</w:t>
            </w:r>
          </w:p>
          <w:p w14:paraId="224B3782"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2016</w:t>
            </w:r>
          </w:p>
        </w:tc>
        <w:tc>
          <w:tcPr>
            <w:tcW w:w="1193" w:type="dxa"/>
            <w:shd w:val="clear" w:color="auto" w:fill="auto"/>
            <w:vAlign w:val="center"/>
          </w:tcPr>
          <w:p w14:paraId="3A9D4846"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677</w:t>
            </w:r>
          </w:p>
        </w:tc>
        <w:tc>
          <w:tcPr>
            <w:tcW w:w="2031" w:type="dxa"/>
            <w:shd w:val="clear" w:color="auto" w:fill="auto"/>
            <w:vAlign w:val="center"/>
          </w:tcPr>
          <w:p w14:paraId="3EEA7B4C"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0" w:type="auto"/>
            <w:shd w:val="clear" w:color="auto" w:fill="auto"/>
            <w:vAlign w:val="center"/>
          </w:tcPr>
          <w:p w14:paraId="4488F298"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5 or 6 OF</w:t>
            </w:r>
          </w:p>
        </w:tc>
        <w:tc>
          <w:tcPr>
            <w:tcW w:w="1000" w:type="dxa"/>
            <w:shd w:val="clear" w:color="auto" w:fill="auto"/>
            <w:vAlign w:val="center"/>
          </w:tcPr>
          <w:p w14:paraId="54CF7ED8"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40</w:t>
            </w:r>
          </w:p>
        </w:tc>
        <w:tc>
          <w:tcPr>
            <w:tcW w:w="2020" w:type="dxa"/>
            <w:shd w:val="clear" w:color="auto" w:fill="auto"/>
            <w:vAlign w:val="center"/>
          </w:tcPr>
          <w:p w14:paraId="37420534" w14:textId="45B6A512"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Age, intubation</w:t>
            </w:r>
          </w:p>
        </w:tc>
        <w:tc>
          <w:tcPr>
            <w:tcW w:w="1687" w:type="dxa"/>
            <w:shd w:val="clear" w:color="auto" w:fill="auto"/>
            <w:vAlign w:val="center"/>
          </w:tcPr>
          <w:p w14:paraId="7ACE6278" w14:textId="0AE779B6"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81%</w:t>
            </w:r>
          </w:p>
          <w:p w14:paraId="5AA499D7" w14:textId="545C9FAC"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1 y</w:t>
            </w:r>
            <w:r w:rsidR="0006094A">
              <w:rPr>
                <w:rFonts w:ascii="Book Antiqua" w:hAnsi="Book Antiqua" w:cs="Arial"/>
                <w:color w:val="000000" w:themeColor="text1"/>
                <w:lang w:val="en-US"/>
              </w:rPr>
              <w:t>r</w:t>
            </w:r>
          </w:p>
        </w:tc>
      </w:tr>
    </w:tbl>
    <w:p w14:paraId="3EF22E5E" w14:textId="5B973967" w:rsidR="004442D5" w:rsidRPr="003E14C0" w:rsidRDefault="0006094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LT:</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L</w:t>
      </w:r>
      <w:r w:rsidR="004442D5" w:rsidRPr="003E14C0">
        <w:rPr>
          <w:rFonts w:ascii="Book Antiqua" w:hAnsi="Book Antiqua" w:cs="Arial"/>
          <w:color w:val="000000" w:themeColor="text1"/>
          <w:lang w:val="en-US"/>
        </w:rPr>
        <w:t xml:space="preserve">iver </w:t>
      </w:r>
      <w:r w:rsidR="00680087" w:rsidRPr="003E14C0">
        <w:rPr>
          <w:rFonts w:ascii="Book Antiqua" w:hAnsi="Book Antiqua" w:cs="Arial"/>
          <w:color w:val="000000" w:themeColor="text1"/>
          <w:lang w:val="en-US"/>
        </w:rPr>
        <w:t>t</w:t>
      </w:r>
      <w:r>
        <w:rPr>
          <w:rFonts w:ascii="Book Antiqua" w:hAnsi="Book Antiqua" w:cs="Arial"/>
          <w:color w:val="000000" w:themeColor="text1"/>
          <w:lang w:val="en-US"/>
        </w:rPr>
        <w:t>ranslant; SOFA:</w:t>
      </w:r>
      <w:r w:rsidR="004442D5" w:rsidRPr="003E14C0">
        <w:rPr>
          <w:rFonts w:ascii="Book Antiqua" w:hAnsi="Book Antiqua" w:cs="Arial"/>
          <w:color w:val="000000" w:themeColor="text1"/>
          <w:lang w:val="en-US"/>
        </w:rPr>
        <w:t xml:space="preserve"> </w:t>
      </w:r>
      <w:r>
        <w:rPr>
          <w:rFonts w:ascii="Book Antiqua" w:eastAsia="Times New Roman" w:hAnsi="Book Antiqua" w:cs="Arial"/>
          <w:bCs/>
          <w:color w:val="000000" w:themeColor="text1"/>
          <w:lang w:val="en-US"/>
        </w:rPr>
        <w:t>S</w:t>
      </w:r>
      <w:r w:rsidR="004442D5" w:rsidRPr="003E14C0">
        <w:rPr>
          <w:rFonts w:ascii="Book Antiqua" w:eastAsia="Times New Roman" w:hAnsi="Book Antiqua" w:cs="Arial"/>
          <w:bCs/>
          <w:color w:val="000000" w:themeColor="text1"/>
          <w:lang w:val="en-US"/>
        </w:rPr>
        <w:t xml:space="preserve">equential </w:t>
      </w:r>
      <w:r w:rsidR="00680087" w:rsidRPr="003E14C0">
        <w:rPr>
          <w:rFonts w:ascii="Book Antiqua" w:eastAsia="Times New Roman" w:hAnsi="Book Antiqua" w:cs="Arial"/>
          <w:bCs/>
          <w:color w:val="000000" w:themeColor="text1"/>
          <w:lang w:val="en-US"/>
        </w:rPr>
        <w:t>o</w:t>
      </w:r>
      <w:r w:rsidR="004442D5" w:rsidRPr="003E14C0">
        <w:rPr>
          <w:rFonts w:ascii="Book Antiqua" w:eastAsia="Times New Roman" w:hAnsi="Book Antiqua" w:cs="Arial"/>
          <w:bCs/>
          <w:color w:val="000000" w:themeColor="text1"/>
          <w:lang w:val="en-US"/>
        </w:rPr>
        <w:t xml:space="preserve">rgan </w:t>
      </w:r>
      <w:r w:rsidR="00680087" w:rsidRPr="003E14C0">
        <w:rPr>
          <w:rFonts w:ascii="Book Antiqua" w:eastAsia="Times New Roman" w:hAnsi="Book Antiqua" w:cs="Arial"/>
          <w:bCs/>
          <w:color w:val="000000" w:themeColor="text1"/>
          <w:lang w:val="en-US"/>
        </w:rPr>
        <w:t>f</w:t>
      </w:r>
      <w:r w:rsidR="004442D5" w:rsidRPr="003E14C0">
        <w:rPr>
          <w:rFonts w:ascii="Book Antiqua" w:eastAsia="Times New Roman" w:hAnsi="Book Antiqua" w:cs="Arial"/>
          <w:bCs/>
          <w:color w:val="000000" w:themeColor="text1"/>
          <w:lang w:val="en-US"/>
        </w:rPr>
        <w:t xml:space="preserve">ailure </w:t>
      </w:r>
      <w:r w:rsidR="00680087" w:rsidRPr="003E14C0">
        <w:rPr>
          <w:rFonts w:ascii="Book Antiqua" w:eastAsia="Times New Roman" w:hAnsi="Book Antiqua" w:cs="Arial"/>
          <w:bCs/>
          <w:color w:val="000000" w:themeColor="text1"/>
          <w:lang w:val="en-US"/>
        </w:rPr>
        <w:t>a</w:t>
      </w:r>
      <w:r w:rsidR="004442D5" w:rsidRPr="003E14C0">
        <w:rPr>
          <w:rFonts w:ascii="Book Antiqua" w:eastAsia="Times New Roman" w:hAnsi="Book Antiqua" w:cs="Arial"/>
          <w:bCs/>
          <w:color w:val="000000" w:themeColor="text1"/>
          <w:lang w:val="en-US"/>
        </w:rPr>
        <w:t>ssessment</w:t>
      </w:r>
      <w:r>
        <w:rPr>
          <w:rFonts w:ascii="Book Antiqua" w:eastAsia="Times New Roman" w:hAnsi="Book Antiqua" w:cs="Arial"/>
          <w:color w:val="000000" w:themeColor="text1"/>
          <w:lang w:val="en-US"/>
        </w:rPr>
        <w:t>; ICU:</w:t>
      </w:r>
      <w:r w:rsidR="004442D5" w:rsidRPr="003E14C0">
        <w:rPr>
          <w:rFonts w:ascii="Book Antiqua" w:eastAsia="Times New Roman" w:hAnsi="Book Antiqua" w:cs="Arial"/>
          <w:color w:val="000000" w:themeColor="text1"/>
          <w:lang w:val="en-US"/>
        </w:rPr>
        <w:t xml:space="preserve"> </w:t>
      </w:r>
      <w:r>
        <w:rPr>
          <w:rFonts w:ascii="Book Antiqua" w:eastAsia="Times New Roman" w:hAnsi="Book Antiqua" w:cs="Arial"/>
          <w:color w:val="000000" w:themeColor="text1"/>
          <w:lang w:val="en-US"/>
        </w:rPr>
        <w:t>I</w:t>
      </w:r>
      <w:r w:rsidR="004442D5" w:rsidRPr="003E14C0">
        <w:rPr>
          <w:rFonts w:ascii="Book Antiqua" w:eastAsia="Times New Roman" w:hAnsi="Book Antiqua" w:cs="Arial"/>
          <w:color w:val="000000" w:themeColor="text1"/>
          <w:lang w:val="en-US"/>
        </w:rPr>
        <w:t xml:space="preserve">ntensive </w:t>
      </w:r>
      <w:r w:rsidR="00680087" w:rsidRPr="003E14C0">
        <w:rPr>
          <w:rFonts w:ascii="Book Antiqua" w:eastAsia="Times New Roman" w:hAnsi="Book Antiqua" w:cs="Arial"/>
          <w:color w:val="000000" w:themeColor="text1"/>
          <w:lang w:val="en-US"/>
        </w:rPr>
        <w:t>c</w:t>
      </w:r>
      <w:r w:rsidR="004442D5" w:rsidRPr="003E14C0">
        <w:rPr>
          <w:rFonts w:ascii="Book Antiqua" w:eastAsia="Times New Roman" w:hAnsi="Book Antiqua" w:cs="Arial"/>
          <w:color w:val="000000" w:themeColor="text1"/>
          <w:lang w:val="en-US"/>
        </w:rPr>
        <w:t xml:space="preserve">are </w:t>
      </w:r>
      <w:r w:rsidR="00680087" w:rsidRPr="003E14C0">
        <w:rPr>
          <w:rFonts w:ascii="Book Antiqua" w:eastAsia="Times New Roman" w:hAnsi="Book Antiqua" w:cs="Arial"/>
          <w:color w:val="000000" w:themeColor="text1"/>
          <w:lang w:val="en-US"/>
        </w:rPr>
        <w:t>u</w:t>
      </w:r>
      <w:r>
        <w:rPr>
          <w:rFonts w:ascii="Book Antiqua" w:eastAsia="Times New Roman" w:hAnsi="Book Antiqua" w:cs="Arial"/>
          <w:color w:val="000000" w:themeColor="text1"/>
          <w:lang w:val="en-US"/>
        </w:rPr>
        <w:t>nit; RRT:</w:t>
      </w:r>
      <w:r w:rsidR="004442D5" w:rsidRPr="003E14C0">
        <w:rPr>
          <w:rFonts w:ascii="Book Antiqua" w:eastAsia="Times New Roman" w:hAnsi="Book Antiqua" w:cs="Arial"/>
          <w:color w:val="000000" w:themeColor="text1"/>
          <w:lang w:val="en-US"/>
        </w:rPr>
        <w:t xml:space="preserve"> </w:t>
      </w:r>
      <w:r>
        <w:rPr>
          <w:rFonts w:ascii="Book Antiqua" w:eastAsia="Times New Roman" w:hAnsi="Book Antiqua" w:cs="Arial"/>
          <w:color w:val="000000" w:themeColor="text1"/>
          <w:lang w:val="en-US"/>
        </w:rPr>
        <w:t>R</w:t>
      </w:r>
      <w:r w:rsidR="004442D5" w:rsidRPr="003E14C0">
        <w:rPr>
          <w:rFonts w:ascii="Book Antiqua" w:eastAsia="Times New Roman" w:hAnsi="Book Antiqua" w:cs="Arial"/>
          <w:color w:val="000000" w:themeColor="text1"/>
          <w:lang w:val="en-US"/>
        </w:rPr>
        <w:t xml:space="preserve">enal </w:t>
      </w:r>
      <w:r w:rsidR="00680087" w:rsidRPr="003E14C0">
        <w:rPr>
          <w:rFonts w:ascii="Book Antiqua" w:eastAsia="Times New Roman" w:hAnsi="Book Antiqua" w:cs="Arial"/>
          <w:color w:val="000000" w:themeColor="text1"/>
          <w:lang w:val="en-US"/>
        </w:rPr>
        <w:t>r</w:t>
      </w:r>
      <w:r w:rsidR="004442D5" w:rsidRPr="003E14C0">
        <w:rPr>
          <w:rFonts w:ascii="Book Antiqua" w:eastAsia="Times New Roman" w:hAnsi="Book Antiqua" w:cs="Arial"/>
          <w:color w:val="000000" w:themeColor="text1"/>
          <w:lang w:val="en-US"/>
        </w:rPr>
        <w:t xml:space="preserve">eplacement </w:t>
      </w:r>
      <w:r w:rsidR="00680087" w:rsidRPr="003E14C0">
        <w:rPr>
          <w:rFonts w:ascii="Book Antiqua" w:eastAsia="Times New Roman" w:hAnsi="Book Antiqua" w:cs="Arial"/>
          <w:color w:val="000000" w:themeColor="text1"/>
          <w:lang w:val="en-US"/>
        </w:rPr>
        <w:t>t</w:t>
      </w:r>
      <w:r>
        <w:rPr>
          <w:rFonts w:ascii="Book Antiqua" w:eastAsia="Times New Roman" w:hAnsi="Book Antiqua" w:cs="Arial"/>
          <w:color w:val="000000" w:themeColor="text1"/>
          <w:lang w:val="en-US"/>
        </w:rPr>
        <w:t>herapy; MV:</w:t>
      </w:r>
      <w:r w:rsidR="004442D5" w:rsidRPr="003E14C0">
        <w:rPr>
          <w:rFonts w:ascii="Book Antiqua" w:eastAsia="Times New Roman" w:hAnsi="Book Antiqua" w:cs="Arial"/>
          <w:color w:val="000000" w:themeColor="text1"/>
          <w:lang w:val="en-US"/>
        </w:rPr>
        <w:t xml:space="preserve"> </w:t>
      </w:r>
      <w:r>
        <w:rPr>
          <w:rFonts w:ascii="Book Antiqua" w:eastAsia="Times New Roman" w:hAnsi="Book Antiqua" w:cs="Arial"/>
          <w:color w:val="000000" w:themeColor="text1"/>
          <w:lang w:val="en-US"/>
        </w:rPr>
        <w:t>M</w:t>
      </w:r>
      <w:r w:rsidR="004442D5" w:rsidRPr="003E14C0">
        <w:rPr>
          <w:rFonts w:ascii="Book Antiqua" w:eastAsia="Times New Roman" w:hAnsi="Book Antiqua" w:cs="Arial"/>
          <w:color w:val="000000" w:themeColor="text1"/>
          <w:lang w:val="en-US"/>
        </w:rPr>
        <w:t xml:space="preserve">echanical </w:t>
      </w:r>
      <w:r w:rsidR="00680087" w:rsidRPr="003E14C0">
        <w:rPr>
          <w:rFonts w:ascii="Book Antiqua" w:eastAsia="Times New Roman" w:hAnsi="Book Antiqua" w:cs="Arial"/>
          <w:color w:val="000000" w:themeColor="text1"/>
          <w:lang w:val="en-US"/>
        </w:rPr>
        <w:t>v</w:t>
      </w:r>
      <w:r w:rsidR="004442D5" w:rsidRPr="003E14C0">
        <w:rPr>
          <w:rFonts w:ascii="Book Antiqua" w:eastAsia="Times New Roman" w:hAnsi="Book Antiqua" w:cs="Arial"/>
          <w:color w:val="000000" w:themeColor="text1"/>
          <w:lang w:val="en-US"/>
        </w:rPr>
        <w:t>entilation</w:t>
      </w:r>
      <w:r w:rsidR="00CA70DC" w:rsidRPr="003E14C0">
        <w:rPr>
          <w:rFonts w:ascii="Book Antiqua" w:eastAsia="Times New Roman" w:hAnsi="Book Antiqua" w:cs="Arial"/>
          <w:color w:val="000000" w:themeColor="text1"/>
          <w:lang w:val="en-US"/>
        </w:rPr>
        <w:t>;</w:t>
      </w:r>
      <w:r w:rsidR="004442D5" w:rsidRPr="003E14C0">
        <w:rPr>
          <w:rFonts w:ascii="Book Antiqua" w:hAnsi="Book Antiqua" w:cs="Arial"/>
          <w:color w:val="000000" w:themeColor="text1"/>
          <w:lang w:val="en-US"/>
        </w:rPr>
        <w:t xml:space="preserve"> ARDS</w:t>
      </w:r>
      <w:r>
        <w:rPr>
          <w:rFonts w:ascii="Book Antiqua" w:hAnsi="Book Antiqua" w:cs="Arial"/>
          <w:color w:val="000000" w:themeColor="text1"/>
          <w:lang w:val="en-US"/>
        </w:rPr>
        <w:t>:</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A</w:t>
      </w:r>
      <w:r w:rsidR="004442D5" w:rsidRPr="003E14C0">
        <w:rPr>
          <w:rFonts w:ascii="Book Antiqua" w:hAnsi="Book Antiqua" w:cs="Arial"/>
          <w:color w:val="000000" w:themeColor="text1"/>
          <w:lang w:val="en-US"/>
        </w:rPr>
        <w:t xml:space="preserve">cute </w:t>
      </w:r>
      <w:r w:rsidR="00680087" w:rsidRPr="003E14C0">
        <w:rPr>
          <w:rFonts w:ascii="Book Antiqua" w:hAnsi="Book Antiqua" w:cs="Arial"/>
          <w:color w:val="000000" w:themeColor="text1"/>
          <w:lang w:val="en-US"/>
        </w:rPr>
        <w:t>r</w:t>
      </w:r>
      <w:r w:rsidR="004442D5" w:rsidRPr="003E14C0">
        <w:rPr>
          <w:rFonts w:ascii="Book Antiqua" w:hAnsi="Book Antiqua" w:cs="Arial"/>
          <w:color w:val="000000" w:themeColor="text1"/>
          <w:lang w:val="en-US"/>
        </w:rPr>
        <w:t xml:space="preserve">espiratory </w:t>
      </w:r>
      <w:r w:rsidR="00680087" w:rsidRPr="003E14C0">
        <w:rPr>
          <w:rFonts w:ascii="Book Antiqua" w:hAnsi="Book Antiqua" w:cs="Arial"/>
          <w:color w:val="000000" w:themeColor="text1"/>
          <w:lang w:val="en-US"/>
        </w:rPr>
        <w:t>d</w:t>
      </w:r>
      <w:r w:rsidR="004442D5" w:rsidRPr="003E14C0">
        <w:rPr>
          <w:rFonts w:ascii="Book Antiqua" w:hAnsi="Book Antiqua" w:cs="Arial"/>
          <w:color w:val="000000" w:themeColor="text1"/>
          <w:lang w:val="en-US"/>
        </w:rPr>
        <w:t xml:space="preserve">istress </w:t>
      </w:r>
      <w:r w:rsidR="00680087" w:rsidRPr="003E14C0">
        <w:rPr>
          <w:rFonts w:ascii="Book Antiqua" w:hAnsi="Book Antiqua" w:cs="Arial"/>
          <w:color w:val="000000" w:themeColor="text1"/>
          <w:lang w:val="en-US"/>
        </w:rPr>
        <w:t>s</w:t>
      </w:r>
      <w:r>
        <w:rPr>
          <w:rFonts w:ascii="Book Antiqua" w:hAnsi="Book Antiqua" w:cs="Arial"/>
          <w:color w:val="000000" w:themeColor="text1"/>
          <w:lang w:val="en-US"/>
        </w:rPr>
        <w:t>yndrome; DDLT/LDLT:</w:t>
      </w:r>
      <w:r w:rsidR="004442D5" w:rsidRPr="003E14C0">
        <w:rPr>
          <w:rFonts w:ascii="Book Antiqua" w:hAnsi="Book Antiqua" w:cs="Times New Roman"/>
          <w:color w:val="000000" w:themeColor="text1"/>
          <w:lang w:val="en-US"/>
        </w:rPr>
        <w:t xml:space="preserve"> </w:t>
      </w:r>
      <w:r>
        <w:rPr>
          <w:rFonts w:ascii="Book Antiqua" w:hAnsi="Book Antiqua" w:cs="Arial"/>
          <w:color w:val="000000" w:themeColor="text1"/>
          <w:lang w:val="en-US"/>
        </w:rPr>
        <w:t>D</w:t>
      </w:r>
      <w:r w:rsidR="004442D5" w:rsidRPr="003E14C0">
        <w:rPr>
          <w:rFonts w:ascii="Book Antiqua" w:hAnsi="Book Antiqua" w:cs="Arial"/>
          <w:color w:val="000000" w:themeColor="text1"/>
          <w:lang w:val="en-US"/>
        </w:rPr>
        <w:t>eceased</w:t>
      </w:r>
      <w:r w:rsidR="00680087" w:rsidRPr="003E14C0">
        <w:rPr>
          <w:rFonts w:ascii="Book Antiqua" w:hAnsi="Book Antiqua" w:cs="Arial"/>
          <w:color w:val="000000" w:themeColor="text1"/>
          <w:lang w:val="en-US"/>
        </w:rPr>
        <w:t>/l</w:t>
      </w:r>
      <w:r w:rsidR="004442D5" w:rsidRPr="003E14C0">
        <w:rPr>
          <w:rFonts w:ascii="Book Antiqua" w:hAnsi="Book Antiqua" w:cs="Arial"/>
          <w:color w:val="000000" w:themeColor="text1"/>
          <w:lang w:val="en-US"/>
        </w:rPr>
        <w:t xml:space="preserve">iving </w:t>
      </w:r>
      <w:r w:rsidR="00680087" w:rsidRPr="003E14C0">
        <w:rPr>
          <w:rFonts w:ascii="Book Antiqua" w:hAnsi="Book Antiqua" w:cs="Arial"/>
          <w:color w:val="000000" w:themeColor="text1"/>
          <w:lang w:val="en-US"/>
        </w:rPr>
        <w:t>d</w:t>
      </w:r>
      <w:r w:rsidR="004442D5" w:rsidRPr="003E14C0">
        <w:rPr>
          <w:rFonts w:ascii="Book Antiqua" w:hAnsi="Book Antiqua" w:cs="Arial"/>
          <w:color w:val="000000" w:themeColor="text1"/>
          <w:lang w:val="en-US"/>
        </w:rPr>
        <w:t xml:space="preserve">onor </w:t>
      </w:r>
      <w:r w:rsidR="00680087" w:rsidRPr="003E14C0">
        <w:rPr>
          <w:rFonts w:ascii="Book Antiqua" w:hAnsi="Book Antiqua" w:cs="Arial"/>
          <w:color w:val="000000" w:themeColor="text1"/>
          <w:lang w:val="en-US"/>
        </w:rPr>
        <w:t>l</w:t>
      </w:r>
      <w:r w:rsidR="004442D5" w:rsidRPr="003E14C0">
        <w:rPr>
          <w:rFonts w:ascii="Book Antiqua" w:hAnsi="Book Antiqua" w:cs="Arial"/>
          <w:color w:val="000000" w:themeColor="text1"/>
          <w:lang w:val="en-US"/>
        </w:rPr>
        <w:t xml:space="preserve">iver </w:t>
      </w:r>
      <w:r w:rsidR="00680087" w:rsidRPr="003E14C0">
        <w:rPr>
          <w:rFonts w:ascii="Book Antiqua" w:hAnsi="Book Antiqua" w:cs="Arial"/>
          <w:color w:val="000000" w:themeColor="text1"/>
          <w:lang w:val="en-US"/>
        </w:rPr>
        <w:t>t</w:t>
      </w:r>
      <w:r>
        <w:rPr>
          <w:rFonts w:ascii="Book Antiqua" w:hAnsi="Book Antiqua" w:cs="Arial"/>
          <w:color w:val="000000" w:themeColor="text1"/>
          <w:lang w:val="en-US"/>
        </w:rPr>
        <w:t>ransplantation; GI:</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G</w:t>
      </w:r>
      <w:r w:rsidR="004442D5" w:rsidRPr="003E14C0">
        <w:rPr>
          <w:rFonts w:ascii="Book Antiqua" w:hAnsi="Book Antiqua" w:cs="Arial"/>
          <w:color w:val="000000" w:themeColor="text1"/>
          <w:lang w:val="en-US"/>
        </w:rPr>
        <w:t xml:space="preserve">astro </w:t>
      </w:r>
      <w:r w:rsidR="00680087" w:rsidRPr="003E14C0">
        <w:rPr>
          <w:rFonts w:ascii="Book Antiqua" w:hAnsi="Book Antiqua" w:cs="Arial"/>
          <w:color w:val="000000" w:themeColor="text1"/>
          <w:lang w:val="en-US"/>
        </w:rPr>
        <w:t>i</w:t>
      </w:r>
      <w:r>
        <w:rPr>
          <w:rFonts w:ascii="Book Antiqua" w:hAnsi="Book Antiqua" w:cs="Arial"/>
          <w:color w:val="000000" w:themeColor="text1"/>
          <w:lang w:val="en-US"/>
        </w:rPr>
        <w:t>ntestinal; MELD:</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M</w:t>
      </w:r>
      <w:r w:rsidR="004442D5" w:rsidRPr="003E14C0">
        <w:rPr>
          <w:rFonts w:ascii="Book Antiqua" w:hAnsi="Book Antiqua" w:cs="Arial"/>
          <w:color w:val="000000" w:themeColor="text1"/>
          <w:lang w:val="en-US"/>
        </w:rPr>
        <w:t xml:space="preserve">odel </w:t>
      </w:r>
      <w:r w:rsidR="00680087" w:rsidRPr="003E14C0">
        <w:rPr>
          <w:rFonts w:ascii="Book Antiqua" w:hAnsi="Book Antiqua" w:cs="Arial"/>
          <w:color w:val="000000" w:themeColor="text1"/>
          <w:lang w:val="en-US"/>
        </w:rPr>
        <w:t>for e</w:t>
      </w:r>
      <w:r w:rsidR="004442D5" w:rsidRPr="003E14C0">
        <w:rPr>
          <w:rFonts w:ascii="Book Antiqua" w:hAnsi="Book Antiqua" w:cs="Arial"/>
          <w:color w:val="000000" w:themeColor="text1"/>
          <w:lang w:val="en-US"/>
        </w:rPr>
        <w:t>nd</w:t>
      </w:r>
      <w:r w:rsidR="00680087" w:rsidRPr="003E14C0">
        <w:rPr>
          <w:rFonts w:ascii="Book Antiqua" w:hAnsi="Book Antiqua" w:cs="Arial"/>
          <w:color w:val="000000" w:themeColor="text1"/>
          <w:lang w:val="en-US"/>
        </w:rPr>
        <w:t>-</w:t>
      </w:r>
      <w:r w:rsidR="004442D5" w:rsidRPr="003E14C0">
        <w:rPr>
          <w:rFonts w:ascii="Book Antiqua" w:hAnsi="Book Antiqua" w:cs="Arial"/>
          <w:color w:val="000000" w:themeColor="text1"/>
          <w:lang w:val="en-US"/>
        </w:rPr>
        <w:t xml:space="preserve">stage </w:t>
      </w:r>
      <w:r w:rsidR="00680087" w:rsidRPr="003E14C0">
        <w:rPr>
          <w:rFonts w:ascii="Book Antiqua" w:hAnsi="Book Antiqua" w:cs="Arial"/>
          <w:color w:val="000000" w:themeColor="text1"/>
          <w:lang w:val="en-US"/>
        </w:rPr>
        <w:t>l</w:t>
      </w:r>
      <w:r w:rsidR="004442D5" w:rsidRPr="003E14C0">
        <w:rPr>
          <w:rFonts w:ascii="Book Antiqua" w:hAnsi="Book Antiqua" w:cs="Arial"/>
          <w:color w:val="000000" w:themeColor="text1"/>
          <w:lang w:val="en-US"/>
        </w:rPr>
        <w:t xml:space="preserve">iver </w:t>
      </w:r>
      <w:r w:rsidR="00680087" w:rsidRPr="003E14C0">
        <w:rPr>
          <w:rFonts w:ascii="Book Antiqua" w:hAnsi="Book Antiqua" w:cs="Arial"/>
          <w:color w:val="000000" w:themeColor="text1"/>
          <w:lang w:val="en-US"/>
        </w:rPr>
        <w:t>d</w:t>
      </w:r>
      <w:r>
        <w:rPr>
          <w:rFonts w:ascii="Book Antiqua" w:hAnsi="Book Antiqua" w:cs="Arial"/>
          <w:color w:val="000000" w:themeColor="text1"/>
          <w:lang w:val="en-US"/>
        </w:rPr>
        <w:t>isease; OF:</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O</w:t>
      </w:r>
      <w:r w:rsidR="004442D5" w:rsidRPr="003E14C0">
        <w:rPr>
          <w:rFonts w:ascii="Book Antiqua" w:hAnsi="Book Antiqua" w:cs="Arial"/>
          <w:color w:val="000000" w:themeColor="text1"/>
          <w:lang w:val="en-US"/>
        </w:rPr>
        <w:t xml:space="preserve">rgan </w:t>
      </w:r>
      <w:r w:rsidR="00680087" w:rsidRPr="003E14C0">
        <w:rPr>
          <w:rFonts w:ascii="Book Antiqua" w:hAnsi="Book Antiqua" w:cs="Arial"/>
          <w:color w:val="000000" w:themeColor="text1"/>
          <w:lang w:val="en-US"/>
        </w:rPr>
        <w:t>f</w:t>
      </w:r>
      <w:r w:rsidR="004442D5" w:rsidRPr="003E14C0">
        <w:rPr>
          <w:rFonts w:ascii="Book Antiqua" w:hAnsi="Book Antiqua" w:cs="Arial"/>
          <w:color w:val="000000" w:themeColor="text1"/>
          <w:lang w:val="en-US"/>
        </w:rPr>
        <w:t>ailure according to CLIF-SOFA</w:t>
      </w:r>
      <w:r>
        <w:rPr>
          <w:rFonts w:ascii="Book Antiqua" w:hAnsi="Book Antiqua" w:cs="Arial"/>
          <w:color w:val="000000" w:themeColor="text1"/>
          <w:lang w:val="en-US"/>
        </w:rPr>
        <w:t>.</w:t>
      </w:r>
    </w:p>
    <w:p w14:paraId="37963C0F"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r w:rsidRPr="003E14C0">
        <w:rPr>
          <w:rFonts w:ascii="Book Antiqua" w:hAnsi="Book Antiqua" w:cs="Arial"/>
          <w:color w:val="000000" w:themeColor="text1"/>
          <w:lang w:val="en-US"/>
        </w:rPr>
        <w:br w:type="page"/>
      </w:r>
    </w:p>
    <w:p w14:paraId="359C99B1" w14:textId="5883B770" w:rsidR="004442D5" w:rsidRPr="0006094A" w:rsidRDefault="0006094A" w:rsidP="00383A0F">
      <w:pPr>
        <w:adjustRightInd w:val="0"/>
        <w:snapToGrid w:val="0"/>
        <w:spacing w:line="360" w:lineRule="auto"/>
        <w:jc w:val="both"/>
        <w:rPr>
          <w:rFonts w:ascii="Book Antiqua" w:hAnsi="Book Antiqua" w:cs="Arial"/>
          <w:b/>
          <w:color w:val="000000" w:themeColor="text1"/>
          <w:lang w:val="en-US"/>
        </w:rPr>
      </w:pPr>
      <w:r>
        <w:rPr>
          <w:rFonts w:ascii="Book Antiqua" w:hAnsi="Book Antiqua" w:cs="Arial"/>
          <w:b/>
          <w:color w:val="000000" w:themeColor="text1"/>
          <w:lang w:val="en-US"/>
        </w:rPr>
        <w:lastRenderedPageBreak/>
        <w:t>Table 2 Potential pre-</w:t>
      </w:r>
      <w:r w:rsidR="004442D5" w:rsidRPr="003E14C0">
        <w:rPr>
          <w:rFonts w:ascii="Book Antiqua" w:hAnsi="Book Antiqua" w:cs="Arial"/>
          <w:b/>
          <w:color w:val="000000" w:themeColor="text1"/>
          <w:lang w:val="en-US"/>
        </w:rPr>
        <w:t xml:space="preserve">transplant prognosis factors of critically ill </w:t>
      </w:r>
      <w:r>
        <w:rPr>
          <w:rFonts w:ascii="Book Antiqua" w:hAnsi="Book Antiqua" w:cs="Arial"/>
          <w:b/>
          <w:color w:val="000000" w:themeColor="text1"/>
          <w:lang w:val="en-US"/>
        </w:rPr>
        <w:t>cirrhotic patients requiring liver transplantation</w:t>
      </w:r>
    </w:p>
    <w:tbl>
      <w:tblPr>
        <w:tblStyle w:val="ad"/>
        <w:tblW w:w="0" w:type="auto"/>
        <w:tblLook w:val="04A0" w:firstRow="1" w:lastRow="0" w:firstColumn="1" w:lastColumn="0" w:noHBand="0" w:noVBand="1"/>
      </w:tblPr>
      <w:tblGrid>
        <w:gridCol w:w="2650"/>
        <w:gridCol w:w="8769"/>
      </w:tblGrid>
      <w:tr w:rsidR="00383A0F" w:rsidRPr="003E14C0" w14:paraId="4B87FDB1" w14:textId="77777777" w:rsidTr="00060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3C0E687"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2A58BC6F"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2941BDAD"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r w:rsidRPr="003E14C0">
              <w:rPr>
                <w:rFonts w:ascii="Book Antiqua" w:hAnsi="Book Antiqua" w:cs="Arial"/>
                <w:color w:val="000000" w:themeColor="text1"/>
                <w:lang w:val="en-US"/>
              </w:rPr>
              <w:t>Pre-transplant organ failures</w:t>
            </w:r>
          </w:p>
          <w:p w14:paraId="5A165709" w14:textId="77777777" w:rsidR="004442D5" w:rsidRPr="003E14C0" w:rsidRDefault="004442D5" w:rsidP="00383A0F">
            <w:pPr>
              <w:pStyle w:val="a3"/>
              <w:adjustRightInd w:val="0"/>
              <w:snapToGrid w:val="0"/>
              <w:spacing w:line="360" w:lineRule="auto"/>
              <w:ind w:left="0"/>
              <w:contextualSpacing w:val="0"/>
              <w:jc w:val="both"/>
              <w:rPr>
                <w:rFonts w:ascii="Book Antiqua" w:hAnsi="Book Antiqua" w:cs="Arial"/>
                <w:color w:val="000000" w:themeColor="text1"/>
                <w:lang w:val="en-US"/>
              </w:rPr>
            </w:pPr>
          </w:p>
        </w:tc>
        <w:tc>
          <w:tcPr>
            <w:tcW w:w="0" w:type="auto"/>
            <w:shd w:val="clear" w:color="auto" w:fill="auto"/>
          </w:tcPr>
          <w:p w14:paraId="2DB91809" w14:textId="77777777" w:rsidR="004442D5" w:rsidRPr="003E14C0" w:rsidRDefault="004442D5" w:rsidP="0006094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000000" w:themeColor="text1"/>
                <w:lang w:val="en-US"/>
              </w:rPr>
            </w:pPr>
            <w:r w:rsidRPr="003E14C0">
              <w:rPr>
                <w:rFonts w:ascii="Book Antiqua" w:hAnsi="Book Antiqua" w:cs="Arial"/>
                <w:b w:val="0"/>
                <w:color w:val="000000" w:themeColor="text1"/>
                <w:lang w:val="en-US"/>
              </w:rPr>
              <w:t>None of the existing organ failure scores used in liver transplant (MELD, BAR, SOFT, UCLA) or in ICU (SOFA, CLIF SOFA) are capable of predicting post-transplant survival of critically ill ACLF patients</w:t>
            </w:r>
          </w:p>
          <w:p w14:paraId="30DBD754" w14:textId="77777777" w:rsidR="004442D5" w:rsidRPr="003E14C0" w:rsidRDefault="004442D5" w:rsidP="0006094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000000" w:themeColor="text1"/>
                <w:lang w:val="en-US"/>
              </w:rPr>
            </w:pPr>
          </w:p>
          <w:p w14:paraId="4C5A9EB9" w14:textId="50213820" w:rsidR="004442D5" w:rsidRPr="0006094A" w:rsidRDefault="004442D5" w:rsidP="0006094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000000" w:themeColor="text1"/>
                <w:lang w:val="en-US"/>
              </w:rPr>
            </w:pPr>
            <w:r w:rsidRPr="003E14C0">
              <w:rPr>
                <w:rFonts w:ascii="Book Antiqua" w:hAnsi="Book Antiqua" w:cs="Arial"/>
                <w:b w:val="0"/>
                <w:color w:val="000000" w:themeColor="text1"/>
                <w:lang w:val="en-US"/>
              </w:rPr>
              <w:t>Individual organ failures should be precisely examined. Severe acute respiratory distress syndrome, high lactate level and coma have each been shown to be associated with poor post-transplant outcome</w:t>
            </w:r>
          </w:p>
        </w:tc>
      </w:tr>
      <w:tr w:rsidR="00383A0F" w:rsidRPr="003E14C0" w14:paraId="5A711FA4" w14:textId="77777777" w:rsidTr="0006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B1C4B03"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47769884"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2BC5E568"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61FE9E5F"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r w:rsidRPr="003E14C0">
              <w:rPr>
                <w:rFonts w:ascii="Book Antiqua" w:hAnsi="Book Antiqua" w:cs="Arial"/>
                <w:color w:val="000000" w:themeColor="text1"/>
                <w:lang w:val="en-US"/>
              </w:rPr>
              <w:t>Dynamic perspective on ACLF and optimal timing for LT</w:t>
            </w:r>
          </w:p>
          <w:p w14:paraId="000E8951"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tc>
        <w:tc>
          <w:tcPr>
            <w:tcW w:w="0" w:type="auto"/>
            <w:shd w:val="clear" w:color="auto" w:fill="auto"/>
          </w:tcPr>
          <w:p w14:paraId="21BE30A0" w14:textId="77777777"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Patients with ACLF have very different evolutive profiles during their first week of treatment.</w:t>
            </w:r>
          </w:p>
          <w:p w14:paraId="185C3A14" w14:textId="77777777"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p>
          <w:p w14:paraId="252CBD7A" w14:textId="257307CE"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Admission criteria in ICU should therefore be lenient in order to re-evaluate patients 3 to 7 d after admission and their evolutive profile should be taken into consideration when deciding to transplant them or not.</w:t>
            </w:r>
          </w:p>
          <w:p w14:paraId="406DAB3D" w14:textId="77777777"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p>
          <w:p w14:paraId="4A4F2CA9" w14:textId="77777777"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p>
        </w:tc>
      </w:tr>
      <w:tr w:rsidR="00383A0F" w:rsidRPr="003E14C0" w14:paraId="7421AE10" w14:textId="77777777" w:rsidTr="0006094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0D7C506"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30AE46FB"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28E5CFD2"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13626D74"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420DBD87"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r w:rsidRPr="003E14C0">
              <w:rPr>
                <w:rFonts w:ascii="Book Antiqua" w:hAnsi="Book Antiqua" w:cs="Arial"/>
                <w:color w:val="000000" w:themeColor="text1"/>
                <w:lang w:val="en-US"/>
              </w:rPr>
              <w:t>Sepsis</w:t>
            </w:r>
          </w:p>
          <w:p w14:paraId="242CBB56"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tc>
        <w:tc>
          <w:tcPr>
            <w:tcW w:w="0" w:type="auto"/>
            <w:shd w:val="clear" w:color="auto" w:fill="auto"/>
          </w:tcPr>
          <w:p w14:paraId="35696D0A" w14:textId="77777777" w:rsidR="004442D5" w:rsidRPr="003E14C0" w:rsidRDefault="004442D5" w:rsidP="0006094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 xml:space="preserve">The link between pre-transplant bacterial infection and post-transplant mortality is controversial but sepsis does not seem to be sufficient to exclude patients from LT </w:t>
            </w:r>
            <w:r w:rsidRPr="003E14C0">
              <w:rPr>
                <w:rFonts w:ascii="Book Antiqua" w:hAnsi="Book Antiqua" w:cs="Arial"/>
                <w:i/>
                <w:color w:val="000000" w:themeColor="text1"/>
                <w:lang w:val="en-US"/>
              </w:rPr>
              <w:t>per se</w:t>
            </w:r>
            <w:r w:rsidRPr="003E14C0">
              <w:rPr>
                <w:rFonts w:ascii="Book Antiqua" w:hAnsi="Book Antiqua" w:cs="Arial"/>
                <w:color w:val="000000" w:themeColor="text1"/>
                <w:lang w:val="en-US"/>
              </w:rPr>
              <w:t>. In some circumstances, sepsis and septic shock can be difficult to distinguish from SIRS in patients with severe ACLF.</w:t>
            </w:r>
          </w:p>
          <w:p w14:paraId="2888DA1F" w14:textId="77777777" w:rsidR="004442D5" w:rsidRPr="003E14C0" w:rsidRDefault="004442D5" w:rsidP="0006094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p>
          <w:p w14:paraId="2524A7A9" w14:textId="77777777" w:rsidR="004442D5" w:rsidRPr="003E14C0" w:rsidRDefault="004442D5" w:rsidP="0006094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By contrast, there is a consensus regarding invasive fungal infections, which constitutes a strict contraindication to LT.</w:t>
            </w:r>
          </w:p>
          <w:p w14:paraId="0A40D46A" w14:textId="77777777" w:rsidR="004442D5" w:rsidRPr="003E14C0" w:rsidRDefault="004442D5" w:rsidP="0006094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p>
        </w:tc>
      </w:tr>
      <w:tr w:rsidR="00383A0F" w:rsidRPr="003E14C0" w14:paraId="2FB0A070" w14:textId="77777777" w:rsidTr="0006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1F878F"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13A05A95"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09BFD39C"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r w:rsidRPr="003E14C0">
              <w:rPr>
                <w:rFonts w:ascii="Book Antiqua" w:hAnsi="Book Antiqua" w:cs="Arial"/>
                <w:color w:val="000000" w:themeColor="text1"/>
                <w:lang w:val="en-US"/>
              </w:rPr>
              <w:t>General medical condition and risk factors of patients</w:t>
            </w:r>
          </w:p>
          <w:p w14:paraId="1F25B41B"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tc>
        <w:tc>
          <w:tcPr>
            <w:tcW w:w="0" w:type="auto"/>
            <w:shd w:val="clear" w:color="auto" w:fill="auto"/>
          </w:tcPr>
          <w:p w14:paraId="071EA9FE" w14:textId="77777777"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There is little data on the effect of age, comorbidities and alcohol abuse history on the post-transplant prognosis of patients with severe ACLF, in part because different transplant teams apply center-specific selection criteria on patients prior to listing.</w:t>
            </w:r>
          </w:p>
          <w:p w14:paraId="3E6C2048" w14:textId="77777777"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p>
          <w:p w14:paraId="2D018DFB" w14:textId="48FF3E0E"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 xml:space="preserve">The attitude described in the literature on LT in alcoholic hepatitis is, to date, the best guide to decide as early as possible whether to (de)list patients admitted </w:t>
            </w:r>
            <w:r w:rsidRPr="003E14C0">
              <w:rPr>
                <w:rFonts w:ascii="Book Antiqua" w:hAnsi="Book Antiqua" w:cs="Arial"/>
                <w:color w:val="000000" w:themeColor="text1"/>
                <w:lang w:val="en-US"/>
              </w:rPr>
              <w:lastRenderedPageBreak/>
              <w:t>for severe ACLF or not.</w:t>
            </w:r>
          </w:p>
        </w:tc>
      </w:tr>
    </w:tbl>
    <w:p w14:paraId="7D16318A" w14:textId="64C5E916" w:rsidR="004442D5" w:rsidRPr="003E14C0" w:rsidRDefault="0006094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lastRenderedPageBreak/>
        <w:t>LT:</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L</w:t>
      </w:r>
      <w:r w:rsidR="004442D5" w:rsidRPr="003E14C0">
        <w:rPr>
          <w:rFonts w:ascii="Book Antiqua" w:hAnsi="Book Antiqua" w:cs="Arial"/>
          <w:color w:val="000000" w:themeColor="text1"/>
          <w:lang w:val="en-US"/>
        </w:rPr>
        <w:t xml:space="preserve">iver </w:t>
      </w:r>
      <w:r w:rsidR="00680087" w:rsidRPr="003E14C0">
        <w:rPr>
          <w:rFonts w:ascii="Book Antiqua" w:hAnsi="Book Antiqua" w:cs="Arial"/>
          <w:color w:val="000000" w:themeColor="text1"/>
          <w:lang w:val="en-US"/>
        </w:rPr>
        <w:t>t</w:t>
      </w:r>
      <w:r>
        <w:rPr>
          <w:rFonts w:ascii="Book Antiqua" w:hAnsi="Book Antiqua" w:cs="Arial"/>
          <w:color w:val="000000" w:themeColor="text1"/>
          <w:lang w:val="en-US"/>
        </w:rPr>
        <w:t>ranslantation; MELD:</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M</w:t>
      </w:r>
      <w:r w:rsidR="004442D5" w:rsidRPr="003E14C0">
        <w:rPr>
          <w:rFonts w:ascii="Book Antiqua" w:hAnsi="Book Antiqua" w:cs="Arial"/>
          <w:color w:val="000000" w:themeColor="text1"/>
          <w:lang w:val="en-US"/>
        </w:rPr>
        <w:t xml:space="preserve">odel </w:t>
      </w:r>
      <w:r w:rsidR="009505CA" w:rsidRPr="003E14C0">
        <w:rPr>
          <w:rFonts w:ascii="Book Antiqua" w:hAnsi="Book Antiqua" w:cs="Arial"/>
          <w:color w:val="000000" w:themeColor="text1"/>
          <w:lang w:val="en-US"/>
        </w:rPr>
        <w:t>for</w:t>
      </w:r>
      <w:r w:rsidR="004442D5" w:rsidRPr="003E14C0">
        <w:rPr>
          <w:rFonts w:ascii="Book Antiqua" w:hAnsi="Book Antiqua" w:cs="Arial"/>
          <w:color w:val="000000" w:themeColor="text1"/>
          <w:lang w:val="en-US"/>
        </w:rPr>
        <w:t xml:space="preserve"> </w:t>
      </w:r>
      <w:r w:rsidR="00680087" w:rsidRPr="003E14C0">
        <w:rPr>
          <w:rFonts w:ascii="Book Antiqua" w:hAnsi="Book Antiqua" w:cs="Arial"/>
          <w:color w:val="000000" w:themeColor="text1"/>
          <w:lang w:val="en-US"/>
        </w:rPr>
        <w:t>e</w:t>
      </w:r>
      <w:r w:rsidR="004442D5" w:rsidRPr="003E14C0">
        <w:rPr>
          <w:rFonts w:ascii="Book Antiqua" w:hAnsi="Book Antiqua" w:cs="Arial"/>
          <w:color w:val="000000" w:themeColor="text1"/>
          <w:lang w:val="en-US"/>
        </w:rPr>
        <w:t>nd</w:t>
      </w:r>
      <w:r w:rsidR="009505CA" w:rsidRPr="003E14C0">
        <w:rPr>
          <w:rFonts w:ascii="Book Antiqua" w:hAnsi="Book Antiqua" w:cs="Arial"/>
          <w:color w:val="000000" w:themeColor="text1"/>
          <w:lang w:val="en-US"/>
        </w:rPr>
        <w:t>-</w:t>
      </w:r>
      <w:r w:rsidR="004442D5" w:rsidRPr="003E14C0">
        <w:rPr>
          <w:rFonts w:ascii="Book Antiqua" w:hAnsi="Book Antiqua" w:cs="Arial"/>
          <w:color w:val="000000" w:themeColor="text1"/>
          <w:lang w:val="en-US"/>
        </w:rPr>
        <w:t xml:space="preserve">stage </w:t>
      </w:r>
      <w:r w:rsidR="00680087" w:rsidRPr="003E14C0">
        <w:rPr>
          <w:rFonts w:ascii="Book Antiqua" w:hAnsi="Book Antiqua" w:cs="Arial"/>
          <w:color w:val="000000" w:themeColor="text1"/>
          <w:lang w:val="en-US"/>
        </w:rPr>
        <w:t>l</w:t>
      </w:r>
      <w:r w:rsidR="004442D5" w:rsidRPr="003E14C0">
        <w:rPr>
          <w:rFonts w:ascii="Book Antiqua" w:hAnsi="Book Antiqua" w:cs="Arial"/>
          <w:color w:val="000000" w:themeColor="text1"/>
          <w:lang w:val="en-US"/>
        </w:rPr>
        <w:t xml:space="preserve">iver </w:t>
      </w:r>
      <w:r w:rsidR="00680087" w:rsidRPr="003E14C0">
        <w:rPr>
          <w:rFonts w:ascii="Book Antiqua" w:hAnsi="Book Antiqua" w:cs="Arial"/>
          <w:color w:val="000000" w:themeColor="text1"/>
          <w:lang w:val="en-US"/>
        </w:rPr>
        <w:t>d</w:t>
      </w:r>
      <w:r>
        <w:rPr>
          <w:rFonts w:ascii="Book Antiqua" w:hAnsi="Book Antiqua" w:cs="Arial"/>
          <w:color w:val="000000" w:themeColor="text1"/>
          <w:lang w:val="en-US"/>
        </w:rPr>
        <w:t>isease; BAR:</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B</w:t>
      </w:r>
      <w:r w:rsidR="004442D5" w:rsidRPr="003E14C0">
        <w:rPr>
          <w:rFonts w:ascii="Book Antiqua" w:hAnsi="Book Antiqua" w:cs="Arial"/>
          <w:color w:val="000000" w:themeColor="text1"/>
          <w:lang w:val="en-US"/>
        </w:rPr>
        <w:t xml:space="preserve">alance of </w:t>
      </w:r>
      <w:r w:rsidR="00680087" w:rsidRPr="003E14C0">
        <w:rPr>
          <w:rFonts w:ascii="Book Antiqua" w:hAnsi="Book Antiqua" w:cs="Arial"/>
          <w:color w:val="000000" w:themeColor="text1"/>
          <w:lang w:val="en-US"/>
        </w:rPr>
        <w:t>r</w:t>
      </w:r>
      <w:r>
        <w:rPr>
          <w:rFonts w:ascii="Book Antiqua" w:hAnsi="Book Antiqua" w:cs="Arial"/>
          <w:color w:val="000000" w:themeColor="text1"/>
          <w:lang w:val="en-US"/>
        </w:rPr>
        <w:t>isk; SOFT:</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S</w:t>
      </w:r>
      <w:r w:rsidR="004442D5" w:rsidRPr="003E14C0">
        <w:rPr>
          <w:rFonts w:ascii="Book Antiqua" w:hAnsi="Book Antiqua" w:cs="Arial"/>
          <w:color w:val="000000" w:themeColor="text1"/>
          <w:lang w:val="en-US"/>
        </w:rPr>
        <w:t xml:space="preserve">urvival </w:t>
      </w:r>
      <w:r w:rsidR="00680087" w:rsidRPr="003E14C0">
        <w:rPr>
          <w:rFonts w:ascii="Book Antiqua" w:hAnsi="Book Antiqua" w:cs="Arial"/>
          <w:color w:val="000000" w:themeColor="text1"/>
          <w:lang w:val="en-US"/>
        </w:rPr>
        <w:t>o</w:t>
      </w:r>
      <w:r w:rsidR="004442D5" w:rsidRPr="003E14C0">
        <w:rPr>
          <w:rFonts w:ascii="Book Antiqua" w:hAnsi="Book Antiqua" w:cs="Arial"/>
          <w:color w:val="000000" w:themeColor="text1"/>
          <w:lang w:val="en-US"/>
        </w:rPr>
        <w:t xml:space="preserve">utcome </w:t>
      </w:r>
      <w:r w:rsidR="00680087" w:rsidRPr="003E14C0">
        <w:rPr>
          <w:rFonts w:ascii="Book Antiqua" w:hAnsi="Book Antiqua" w:cs="Arial"/>
          <w:color w:val="000000" w:themeColor="text1"/>
          <w:lang w:val="en-US"/>
        </w:rPr>
        <w:t>f</w:t>
      </w:r>
      <w:r w:rsidR="004442D5" w:rsidRPr="003E14C0">
        <w:rPr>
          <w:rFonts w:ascii="Book Antiqua" w:hAnsi="Book Antiqua" w:cs="Arial"/>
          <w:color w:val="000000" w:themeColor="text1"/>
          <w:lang w:val="en-US"/>
        </w:rPr>
        <w:t xml:space="preserve">ollowing </w:t>
      </w:r>
      <w:r w:rsidR="00680087" w:rsidRPr="003E14C0">
        <w:rPr>
          <w:rFonts w:ascii="Book Antiqua" w:hAnsi="Book Antiqua" w:cs="Arial"/>
          <w:color w:val="000000" w:themeColor="text1"/>
          <w:lang w:val="en-US"/>
        </w:rPr>
        <w:t>l</w:t>
      </w:r>
      <w:r w:rsidR="004442D5" w:rsidRPr="003E14C0">
        <w:rPr>
          <w:rFonts w:ascii="Book Antiqua" w:hAnsi="Book Antiqua" w:cs="Arial"/>
          <w:color w:val="000000" w:themeColor="text1"/>
          <w:lang w:val="en-US"/>
        </w:rPr>
        <w:t xml:space="preserve">iver </w:t>
      </w:r>
      <w:r w:rsidR="00680087" w:rsidRPr="003E14C0">
        <w:rPr>
          <w:rFonts w:ascii="Book Antiqua" w:hAnsi="Book Antiqua" w:cs="Arial"/>
          <w:color w:val="000000" w:themeColor="text1"/>
          <w:lang w:val="en-US"/>
        </w:rPr>
        <w:t>t</w:t>
      </w:r>
      <w:r w:rsidR="004442D5" w:rsidRPr="003E14C0">
        <w:rPr>
          <w:rFonts w:ascii="Book Antiqua" w:hAnsi="Book Antiqua" w:cs="Arial"/>
          <w:color w:val="000000" w:themeColor="text1"/>
          <w:lang w:val="en-US"/>
        </w:rPr>
        <w:t>ransplantation;</w:t>
      </w:r>
      <w:r>
        <w:rPr>
          <w:rFonts w:ascii="Book Antiqua" w:hAnsi="Book Antiqua" w:cs="Arial"/>
          <w:color w:val="000000" w:themeColor="text1"/>
          <w:lang w:val="en-US"/>
        </w:rPr>
        <w:t xml:space="preserve"> UCLA: U</w:t>
      </w:r>
      <w:r w:rsidR="00680087" w:rsidRPr="003E14C0">
        <w:rPr>
          <w:rFonts w:ascii="Book Antiqua" w:hAnsi="Book Antiqua" w:cs="Arial"/>
          <w:color w:val="000000" w:themeColor="text1"/>
          <w:lang w:val="en-US"/>
        </w:rPr>
        <w:t>niversity of California, Los Angeles;</w:t>
      </w:r>
      <w:r w:rsidR="004442D5" w:rsidRPr="003E14C0">
        <w:rPr>
          <w:rFonts w:ascii="Book Antiqua" w:hAnsi="Book Antiqua" w:cs="Arial"/>
          <w:color w:val="000000" w:themeColor="text1"/>
          <w:lang w:val="en-US"/>
        </w:rPr>
        <w:t xml:space="preserve"> </w:t>
      </w:r>
      <w:r>
        <w:rPr>
          <w:rFonts w:ascii="Book Antiqua" w:eastAsia="Times New Roman" w:hAnsi="Book Antiqua" w:cs="Arial"/>
          <w:color w:val="000000" w:themeColor="text1"/>
          <w:lang w:val="en-US"/>
        </w:rPr>
        <w:t>ICU:</w:t>
      </w:r>
      <w:r w:rsidR="004442D5" w:rsidRPr="003E14C0">
        <w:rPr>
          <w:rFonts w:ascii="Book Antiqua" w:eastAsia="Times New Roman" w:hAnsi="Book Antiqua" w:cs="Arial"/>
          <w:color w:val="000000" w:themeColor="text1"/>
          <w:lang w:val="en-US"/>
        </w:rPr>
        <w:t xml:space="preserve"> </w:t>
      </w:r>
      <w:r>
        <w:rPr>
          <w:rFonts w:ascii="Book Antiqua" w:eastAsia="Times New Roman" w:hAnsi="Book Antiqua" w:cs="Arial"/>
          <w:color w:val="000000" w:themeColor="text1"/>
          <w:lang w:val="en-US"/>
        </w:rPr>
        <w:t>I</w:t>
      </w:r>
      <w:r w:rsidR="004442D5" w:rsidRPr="003E14C0">
        <w:rPr>
          <w:rFonts w:ascii="Book Antiqua" w:eastAsia="Times New Roman" w:hAnsi="Book Antiqua" w:cs="Arial"/>
          <w:color w:val="000000" w:themeColor="text1"/>
          <w:lang w:val="en-US"/>
        </w:rPr>
        <w:t xml:space="preserve">ntensive </w:t>
      </w:r>
      <w:r w:rsidR="00680087" w:rsidRPr="003E14C0">
        <w:rPr>
          <w:rFonts w:ascii="Book Antiqua" w:eastAsia="Times New Roman" w:hAnsi="Book Antiqua" w:cs="Arial"/>
          <w:color w:val="000000" w:themeColor="text1"/>
          <w:lang w:val="en-US"/>
        </w:rPr>
        <w:t>c</w:t>
      </w:r>
      <w:r w:rsidR="004442D5" w:rsidRPr="003E14C0">
        <w:rPr>
          <w:rFonts w:ascii="Book Antiqua" w:eastAsia="Times New Roman" w:hAnsi="Book Antiqua" w:cs="Arial"/>
          <w:color w:val="000000" w:themeColor="text1"/>
          <w:lang w:val="en-US"/>
        </w:rPr>
        <w:t xml:space="preserve">are </w:t>
      </w:r>
      <w:r w:rsidR="00680087" w:rsidRPr="003E14C0">
        <w:rPr>
          <w:rFonts w:ascii="Book Antiqua" w:eastAsia="Times New Roman" w:hAnsi="Book Antiqua" w:cs="Arial"/>
          <w:color w:val="000000" w:themeColor="text1"/>
          <w:lang w:val="en-US"/>
        </w:rPr>
        <w:t>u</w:t>
      </w:r>
      <w:r w:rsidR="004442D5" w:rsidRPr="003E14C0">
        <w:rPr>
          <w:rFonts w:ascii="Book Antiqua" w:eastAsia="Times New Roman" w:hAnsi="Book Antiqua" w:cs="Arial"/>
          <w:color w:val="000000" w:themeColor="text1"/>
          <w:lang w:val="en-US"/>
        </w:rPr>
        <w:t xml:space="preserve">nit; </w:t>
      </w:r>
      <w:r>
        <w:rPr>
          <w:rFonts w:ascii="Book Antiqua" w:hAnsi="Book Antiqua" w:cs="Arial"/>
          <w:color w:val="000000" w:themeColor="text1"/>
          <w:lang w:val="en-US"/>
        </w:rPr>
        <w:t>SOFA:</w:t>
      </w:r>
      <w:r w:rsidR="004442D5" w:rsidRPr="003E14C0">
        <w:rPr>
          <w:rFonts w:ascii="Book Antiqua" w:hAnsi="Book Antiqua" w:cs="Arial"/>
          <w:color w:val="000000" w:themeColor="text1"/>
          <w:lang w:val="en-US"/>
        </w:rPr>
        <w:t xml:space="preserve"> </w:t>
      </w:r>
      <w:r>
        <w:rPr>
          <w:rFonts w:ascii="Book Antiqua" w:eastAsia="Times New Roman" w:hAnsi="Book Antiqua" w:cs="Arial"/>
          <w:bCs/>
          <w:color w:val="000000" w:themeColor="text1"/>
          <w:lang w:val="en-US"/>
        </w:rPr>
        <w:t>S</w:t>
      </w:r>
      <w:r w:rsidR="004442D5" w:rsidRPr="003E14C0">
        <w:rPr>
          <w:rFonts w:ascii="Book Antiqua" w:eastAsia="Times New Roman" w:hAnsi="Book Antiqua" w:cs="Arial"/>
          <w:bCs/>
          <w:color w:val="000000" w:themeColor="text1"/>
          <w:lang w:val="en-US"/>
        </w:rPr>
        <w:t xml:space="preserve">equential </w:t>
      </w:r>
      <w:r w:rsidR="00680087" w:rsidRPr="003E14C0">
        <w:rPr>
          <w:rFonts w:ascii="Book Antiqua" w:eastAsia="Times New Roman" w:hAnsi="Book Antiqua" w:cs="Arial"/>
          <w:bCs/>
          <w:color w:val="000000" w:themeColor="text1"/>
          <w:lang w:val="en-US"/>
        </w:rPr>
        <w:t>o</w:t>
      </w:r>
      <w:r w:rsidR="004442D5" w:rsidRPr="003E14C0">
        <w:rPr>
          <w:rFonts w:ascii="Book Antiqua" w:eastAsia="Times New Roman" w:hAnsi="Book Antiqua" w:cs="Arial"/>
          <w:bCs/>
          <w:color w:val="000000" w:themeColor="text1"/>
          <w:lang w:val="en-US"/>
        </w:rPr>
        <w:t xml:space="preserve">rgan </w:t>
      </w:r>
      <w:r w:rsidR="00680087" w:rsidRPr="003E14C0">
        <w:rPr>
          <w:rFonts w:ascii="Book Antiqua" w:eastAsia="Times New Roman" w:hAnsi="Book Antiqua" w:cs="Arial"/>
          <w:bCs/>
          <w:color w:val="000000" w:themeColor="text1"/>
          <w:lang w:val="en-US"/>
        </w:rPr>
        <w:t>f</w:t>
      </w:r>
      <w:r w:rsidR="004442D5" w:rsidRPr="003E14C0">
        <w:rPr>
          <w:rFonts w:ascii="Book Antiqua" w:eastAsia="Times New Roman" w:hAnsi="Book Antiqua" w:cs="Arial"/>
          <w:bCs/>
          <w:color w:val="000000" w:themeColor="text1"/>
          <w:lang w:val="en-US"/>
        </w:rPr>
        <w:t xml:space="preserve">ailure </w:t>
      </w:r>
      <w:r w:rsidR="00680087" w:rsidRPr="003E14C0">
        <w:rPr>
          <w:rFonts w:ascii="Book Antiqua" w:eastAsia="Times New Roman" w:hAnsi="Book Antiqua" w:cs="Arial"/>
          <w:bCs/>
          <w:color w:val="000000" w:themeColor="text1"/>
          <w:lang w:val="en-US"/>
        </w:rPr>
        <w:t>a</w:t>
      </w:r>
      <w:r w:rsidR="004442D5" w:rsidRPr="003E14C0">
        <w:rPr>
          <w:rFonts w:ascii="Book Antiqua" w:eastAsia="Times New Roman" w:hAnsi="Book Antiqua" w:cs="Arial"/>
          <w:bCs/>
          <w:color w:val="000000" w:themeColor="text1"/>
          <w:lang w:val="en-US"/>
        </w:rPr>
        <w:t>ssessment</w:t>
      </w:r>
      <w:r w:rsidR="009505CA" w:rsidRPr="003E14C0">
        <w:rPr>
          <w:rFonts w:ascii="Book Antiqua" w:eastAsia="Times New Roman" w:hAnsi="Book Antiqua" w:cs="Arial"/>
          <w:bCs/>
          <w:color w:val="000000" w:themeColor="text1"/>
          <w:lang w:val="en-US"/>
        </w:rPr>
        <w:t>;</w:t>
      </w:r>
      <w:r>
        <w:rPr>
          <w:rFonts w:ascii="Book Antiqua" w:eastAsia="Times New Roman" w:hAnsi="Book Antiqua" w:cs="Arial"/>
          <w:bCs/>
          <w:color w:val="000000" w:themeColor="text1"/>
          <w:lang w:val="en-US"/>
        </w:rPr>
        <w:t xml:space="preserve"> ACLF:</w:t>
      </w:r>
      <w:r w:rsidR="004442D5" w:rsidRPr="003E14C0">
        <w:rPr>
          <w:rFonts w:ascii="Book Antiqua" w:eastAsia="Times New Roman" w:hAnsi="Book Antiqua" w:cs="Arial"/>
          <w:bCs/>
          <w:color w:val="000000" w:themeColor="text1"/>
          <w:lang w:val="en-US"/>
        </w:rPr>
        <w:t xml:space="preserve"> </w:t>
      </w:r>
      <w:r>
        <w:rPr>
          <w:rFonts w:ascii="Book Antiqua" w:eastAsia="Times New Roman" w:hAnsi="Book Antiqua" w:cs="Arial"/>
          <w:bCs/>
          <w:color w:val="000000" w:themeColor="text1"/>
          <w:lang w:val="en-US"/>
        </w:rPr>
        <w:t>A</w:t>
      </w:r>
      <w:r w:rsidR="004442D5" w:rsidRPr="003E14C0">
        <w:rPr>
          <w:rFonts w:ascii="Book Antiqua" w:eastAsia="Times New Roman" w:hAnsi="Book Antiqua" w:cs="Arial"/>
          <w:bCs/>
          <w:color w:val="000000" w:themeColor="text1"/>
          <w:lang w:val="en-US"/>
        </w:rPr>
        <w:t>cute</w:t>
      </w:r>
      <w:r w:rsidR="009505CA" w:rsidRPr="003E14C0">
        <w:rPr>
          <w:rFonts w:ascii="Book Antiqua" w:eastAsia="Times New Roman" w:hAnsi="Book Antiqua" w:cs="Arial"/>
          <w:bCs/>
          <w:color w:val="000000" w:themeColor="text1"/>
          <w:lang w:val="en-US"/>
        </w:rPr>
        <w:t>-</w:t>
      </w:r>
      <w:r w:rsidR="004442D5" w:rsidRPr="003E14C0">
        <w:rPr>
          <w:rFonts w:ascii="Book Antiqua" w:eastAsia="Times New Roman" w:hAnsi="Book Antiqua" w:cs="Arial"/>
          <w:bCs/>
          <w:color w:val="000000" w:themeColor="text1"/>
          <w:lang w:val="en-US"/>
        </w:rPr>
        <w:t>on</w:t>
      </w:r>
      <w:r w:rsidR="009505CA" w:rsidRPr="003E14C0">
        <w:rPr>
          <w:rFonts w:ascii="Book Antiqua" w:eastAsia="Times New Roman" w:hAnsi="Book Antiqua" w:cs="Arial"/>
          <w:bCs/>
          <w:color w:val="000000" w:themeColor="text1"/>
          <w:lang w:val="en-US"/>
        </w:rPr>
        <w:t>-</w:t>
      </w:r>
      <w:r w:rsidR="00680087" w:rsidRPr="003E14C0">
        <w:rPr>
          <w:rFonts w:ascii="Book Antiqua" w:eastAsia="Times New Roman" w:hAnsi="Book Antiqua" w:cs="Arial"/>
          <w:bCs/>
          <w:color w:val="000000" w:themeColor="text1"/>
          <w:lang w:val="en-US"/>
        </w:rPr>
        <w:t>c</w:t>
      </w:r>
      <w:r w:rsidR="004442D5" w:rsidRPr="003E14C0">
        <w:rPr>
          <w:rFonts w:ascii="Book Antiqua" w:eastAsia="Times New Roman" w:hAnsi="Book Antiqua" w:cs="Arial"/>
          <w:bCs/>
          <w:color w:val="000000" w:themeColor="text1"/>
          <w:lang w:val="en-US"/>
        </w:rPr>
        <w:t xml:space="preserve">hronic </w:t>
      </w:r>
      <w:r w:rsidR="00680087" w:rsidRPr="003E14C0">
        <w:rPr>
          <w:rFonts w:ascii="Book Antiqua" w:eastAsia="Times New Roman" w:hAnsi="Book Antiqua" w:cs="Arial"/>
          <w:bCs/>
          <w:color w:val="000000" w:themeColor="text1"/>
          <w:lang w:val="en-US"/>
        </w:rPr>
        <w:t>l</w:t>
      </w:r>
      <w:r w:rsidR="004442D5" w:rsidRPr="003E14C0">
        <w:rPr>
          <w:rFonts w:ascii="Book Antiqua" w:eastAsia="Times New Roman" w:hAnsi="Book Antiqua" w:cs="Arial"/>
          <w:bCs/>
          <w:color w:val="000000" w:themeColor="text1"/>
          <w:lang w:val="en-US"/>
        </w:rPr>
        <w:t>iver</w:t>
      </w:r>
      <w:r w:rsidR="00680087" w:rsidRPr="003E14C0">
        <w:rPr>
          <w:rFonts w:ascii="Book Antiqua" w:eastAsia="Times New Roman" w:hAnsi="Book Antiqua" w:cs="Arial"/>
          <w:bCs/>
          <w:color w:val="000000" w:themeColor="text1"/>
          <w:lang w:val="en-US"/>
        </w:rPr>
        <w:t xml:space="preserve"> failure</w:t>
      </w:r>
      <w:r>
        <w:rPr>
          <w:rFonts w:ascii="Book Antiqua" w:eastAsia="Times New Roman" w:hAnsi="Book Antiqua" w:cs="Arial"/>
          <w:bCs/>
          <w:color w:val="000000" w:themeColor="text1"/>
          <w:lang w:val="en-US"/>
        </w:rPr>
        <w:t>; SIRS:</w:t>
      </w:r>
      <w:r w:rsidR="004442D5" w:rsidRPr="003E14C0">
        <w:rPr>
          <w:rFonts w:ascii="Book Antiqua" w:eastAsia="Times New Roman" w:hAnsi="Book Antiqua" w:cs="Arial"/>
          <w:bCs/>
          <w:color w:val="000000" w:themeColor="text1"/>
          <w:lang w:val="en-US"/>
        </w:rPr>
        <w:t xml:space="preserve"> </w:t>
      </w:r>
      <w:r>
        <w:rPr>
          <w:rFonts w:ascii="Book Antiqua" w:eastAsia="Times New Roman" w:hAnsi="Book Antiqua" w:cs="Arial"/>
          <w:bCs/>
          <w:color w:val="000000" w:themeColor="text1"/>
          <w:lang w:val="en-US"/>
        </w:rPr>
        <w:t>S</w:t>
      </w:r>
      <w:r w:rsidR="004442D5" w:rsidRPr="003E14C0">
        <w:rPr>
          <w:rFonts w:ascii="Book Antiqua" w:eastAsia="Times New Roman" w:hAnsi="Book Antiqua" w:cs="Arial"/>
          <w:bCs/>
          <w:color w:val="000000" w:themeColor="text1"/>
          <w:lang w:val="en-US"/>
        </w:rPr>
        <w:t xml:space="preserve">ystemic </w:t>
      </w:r>
      <w:r w:rsidR="00680087" w:rsidRPr="003E14C0">
        <w:rPr>
          <w:rFonts w:ascii="Book Antiqua" w:eastAsia="Times New Roman" w:hAnsi="Book Antiqua" w:cs="Arial"/>
          <w:bCs/>
          <w:color w:val="000000" w:themeColor="text1"/>
          <w:lang w:val="en-US"/>
        </w:rPr>
        <w:t>i</w:t>
      </w:r>
      <w:r w:rsidR="004442D5" w:rsidRPr="003E14C0">
        <w:rPr>
          <w:rFonts w:ascii="Book Antiqua" w:eastAsia="Times New Roman" w:hAnsi="Book Antiqua" w:cs="Arial"/>
          <w:bCs/>
          <w:color w:val="000000" w:themeColor="text1"/>
          <w:lang w:val="en-US"/>
        </w:rPr>
        <w:t xml:space="preserve">nflammatory </w:t>
      </w:r>
      <w:r w:rsidR="00680087" w:rsidRPr="003E14C0">
        <w:rPr>
          <w:rFonts w:ascii="Book Antiqua" w:eastAsia="Times New Roman" w:hAnsi="Book Antiqua" w:cs="Arial"/>
          <w:bCs/>
          <w:color w:val="000000" w:themeColor="text1"/>
          <w:lang w:val="en-US"/>
        </w:rPr>
        <w:t>r</w:t>
      </w:r>
      <w:r w:rsidR="004442D5" w:rsidRPr="003E14C0">
        <w:rPr>
          <w:rFonts w:ascii="Book Antiqua" w:eastAsia="Times New Roman" w:hAnsi="Book Antiqua" w:cs="Arial"/>
          <w:bCs/>
          <w:color w:val="000000" w:themeColor="text1"/>
          <w:lang w:val="en-US"/>
        </w:rPr>
        <w:t xml:space="preserve">esponse </w:t>
      </w:r>
      <w:r w:rsidR="00680087" w:rsidRPr="003E14C0">
        <w:rPr>
          <w:rFonts w:ascii="Book Antiqua" w:eastAsia="Times New Roman" w:hAnsi="Book Antiqua" w:cs="Arial"/>
          <w:bCs/>
          <w:color w:val="000000" w:themeColor="text1"/>
          <w:lang w:val="en-US"/>
        </w:rPr>
        <w:t>s</w:t>
      </w:r>
      <w:r w:rsidR="004442D5" w:rsidRPr="003E14C0">
        <w:rPr>
          <w:rFonts w:ascii="Book Antiqua" w:eastAsia="Times New Roman" w:hAnsi="Book Antiqua" w:cs="Arial"/>
          <w:bCs/>
          <w:color w:val="000000" w:themeColor="text1"/>
          <w:lang w:val="en-US"/>
        </w:rPr>
        <w:t xml:space="preserve">yndrome. </w:t>
      </w:r>
    </w:p>
    <w:p w14:paraId="1BC18DEE" w14:textId="77777777" w:rsidR="0006094A" w:rsidRDefault="0006094A">
      <w:pPr>
        <w:rPr>
          <w:rFonts w:ascii="Book Antiqua" w:hAnsi="Book Antiqua" w:cs="Arial"/>
          <w:b/>
          <w:color w:val="000000" w:themeColor="text1"/>
          <w:lang w:val="en-US"/>
        </w:rPr>
      </w:pPr>
      <w:r>
        <w:rPr>
          <w:rFonts w:ascii="Book Antiqua" w:hAnsi="Book Antiqua" w:cs="Arial"/>
          <w:b/>
          <w:color w:val="000000" w:themeColor="text1"/>
          <w:lang w:val="en-US"/>
        </w:rPr>
        <w:br w:type="page"/>
      </w:r>
    </w:p>
    <w:p w14:paraId="5DC71249" w14:textId="46535116" w:rsidR="00145A81" w:rsidRPr="003E14C0" w:rsidRDefault="0006094A" w:rsidP="00907F73">
      <w:pPr>
        <w:adjustRightInd w:val="0"/>
        <w:snapToGrid w:val="0"/>
        <w:spacing w:line="360" w:lineRule="auto"/>
        <w:jc w:val="both"/>
        <w:outlineLvl w:val="0"/>
        <w:rPr>
          <w:rFonts w:ascii="Book Antiqua" w:hAnsi="Book Antiqua" w:cs="Arial"/>
          <w:b/>
          <w:color w:val="000000" w:themeColor="text1"/>
          <w:lang w:val="en-US"/>
        </w:rPr>
      </w:pPr>
      <w:r w:rsidRPr="003E14C0">
        <w:rPr>
          <w:rFonts w:ascii="Book Antiqua" w:hAnsi="Book Antiqua" w:cs="Arial"/>
          <w:b/>
          <w:noProof/>
          <w:color w:val="000000" w:themeColor="text1"/>
          <w:lang w:val="en-US" w:eastAsia="zh-CN"/>
        </w:rPr>
        <w:lastRenderedPageBreak/>
        <w:drawing>
          <wp:anchor distT="0" distB="0" distL="114300" distR="114300" simplePos="0" relativeHeight="251658240" behindDoc="0" locked="0" layoutInCell="1" allowOverlap="1" wp14:anchorId="312EEF44" wp14:editId="46899BC1">
            <wp:simplePos x="0" y="0"/>
            <wp:positionH relativeFrom="column">
              <wp:posOffset>-899795</wp:posOffset>
            </wp:positionH>
            <wp:positionV relativeFrom="paragraph">
              <wp:posOffset>127000</wp:posOffset>
            </wp:positionV>
            <wp:extent cx="8368665" cy="3959225"/>
            <wp:effectExtent l="0" t="0" r="0" b="3175"/>
            <wp:wrapTopAndBottom/>
            <wp:docPr id="36" name="Image 36" descr="Macintosh HD:Users:ta:Desktop:Screen Shot 2018-11-10 at 06.4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Desktop:Screen Shot 2018-11-10 at 06.41.2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68665" cy="395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2D5" w:rsidRPr="003E14C0">
        <w:rPr>
          <w:rFonts w:ascii="Book Antiqua" w:hAnsi="Book Antiqua" w:cs="Arial"/>
          <w:b/>
          <w:color w:val="000000" w:themeColor="text1"/>
          <w:lang w:val="en-US"/>
        </w:rPr>
        <w:t>Figure 1</w:t>
      </w:r>
      <w:r>
        <w:rPr>
          <w:rFonts w:ascii="Book Antiqua" w:hAnsi="Book Antiqua" w:cs="Arial"/>
          <w:b/>
          <w:color w:val="000000" w:themeColor="text1"/>
          <w:lang w:val="en-US"/>
        </w:rPr>
        <w:t xml:space="preserve"> </w:t>
      </w:r>
      <w:r w:rsidR="004442D5" w:rsidRPr="0006094A">
        <w:rPr>
          <w:rFonts w:ascii="Book Antiqua" w:hAnsi="Book Antiqua" w:cs="Arial"/>
          <w:b/>
          <w:color w:val="000000" w:themeColor="text1"/>
          <w:lang w:val="en-US"/>
        </w:rPr>
        <w:t>Algorithm proposal for liver transplantation cri</w:t>
      </w:r>
      <w:r w:rsidR="009C5658" w:rsidRPr="0006094A">
        <w:rPr>
          <w:rFonts w:ascii="Book Antiqua" w:hAnsi="Book Antiqua" w:cs="Arial"/>
          <w:b/>
          <w:color w:val="000000" w:themeColor="text1"/>
          <w:lang w:val="en-US"/>
        </w:rPr>
        <w:t>tically ill cirrhotic patients.</w:t>
      </w:r>
      <w:r w:rsidR="00907F73">
        <w:rPr>
          <w:rFonts w:ascii="Book Antiqua" w:hAnsi="Book Antiqua" w:cs="Arial"/>
          <w:b/>
          <w:color w:val="000000" w:themeColor="text1"/>
          <w:lang w:val="en-US"/>
        </w:rPr>
        <w:t xml:space="preserve"> </w:t>
      </w:r>
      <w:r w:rsidRPr="0006094A">
        <w:rPr>
          <w:rFonts w:ascii="Book Antiqua" w:hAnsi="Book Antiqua" w:cs="Arial"/>
          <w:color w:val="000000" w:themeColor="text1"/>
          <w:lang w:val="en-US"/>
        </w:rPr>
        <w:t>CT: Computed tomography; ICU: Intensive care unit; LT: Liver transplantation.</w:t>
      </w:r>
      <w:r w:rsidR="00DD05A0" w:rsidRPr="003E14C0">
        <w:rPr>
          <w:rFonts w:ascii="Book Antiqua" w:hAnsi="Book Antiqua" w:cs="Arial"/>
          <w:color w:val="000000" w:themeColor="text1"/>
          <w:lang w:val="en-US"/>
        </w:rPr>
        <w:fldChar w:fldCharType="end"/>
      </w:r>
      <w:r w:rsidRPr="003E14C0">
        <w:rPr>
          <w:rFonts w:ascii="Book Antiqua" w:hAnsi="Book Antiqua" w:cs="Arial"/>
          <w:b/>
          <w:color w:val="000000" w:themeColor="text1"/>
          <w:lang w:val="en-US"/>
        </w:rPr>
        <w:t xml:space="preserve"> </w:t>
      </w:r>
    </w:p>
    <w:sectPr w:rsidR="00145A81" w:rsidRPr="003E14C0" w:rsidSect="003D4E56">
      <w:pgSz w:w="14175" w:h="16817"/>
      <w:pgMar w:top="1418" w:right="1418" w:bottom="851" w:left="15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0413B" w14:textId="77777777" w:rsidR="00B223A8" w:rsidRDefault="00B223A8" w:rsidP="003A2A38">
      <w:r>
        <w:separator/>
      </w:r>
    </w:p>
  </w:endnote>
  <w:endnote w:type="continuationSeparator" w:id="0">
    <w:p w14:paraId="7CA9216C" w14:textId="77777777" w:rsidR="00B223A8" w:rsidRDefault="00B223A8" w:rsidP="003A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FBDE1" w14:textId="77777777" w:rsidR="00B223A8" w:rsidRDefault="00B223A8" w:rsidP="003A2A38">
      <w:r>
        <w:separator/>
      </w:r>
    </w:p>
  </w:footnote>
  <w:footnote w:type="continuationSeparator" w:id="0">
    <w:p w14:paraId="017739CB" w14:textId="77777777" w:rsidR="00B223A8" w:rsidRDefault="00B223A8" w:rsidP="003A2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5EA"/>
    <w:multiLevelType w:val="hybridMultilevel"/>
    <w:tmpl w:val="8C1CB5B0"/>
    <w:lvl w:ilvl="0" w:tplc="30F20704">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nsid w:val="0B5E48BA"/>
    <w:multiLevelType w:val="hybridMultilevel"/>
    <w:tmpl w:val="5386A28E"/>
    <w:lvl w:ilvl="0" w:tplc="1B2226F8">
      <w:start w:val="4"/>
      <w:numFmt w:val="upperRoman"/>
      <w:lvlText w:val="%1."/>
      <w:lvlJc w:val="left"/>
      <w:pPr>
        <w:ind w:left="153" w:hanging="720"/>
      </w:pPr>
      <w:rPr>
        <w:rFonts w:hint="default"/>
      </w:rPr>
    </w:lvl>
    <w:lvl w:ilvl="1" w:tplc="040C0019">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
    <w:nsid w:val="17B52B34"/>
    <w:multiLevelType w:val="hybridMultilevel"/>
    <w:tmpl w:val="12A48058"/>
    <w:lvl w:ilvl="0" w:tplc="C71AB2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B94A68"/>
    <w:multiLevelType w:val="hybridMultilevel"/>
    <w:tmpl w:val="B2F26134"/>
    <w:lvl w:ilvl="0" w:tplc="21A0747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4E5D16"/>
    <w:multiLevelType w:val="hybridMultilevel"/>
    <w:tmpl w:val="0BA05C22"/>
    <w:lvl w:ilvl="0" w:tplc="89866F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11579A"/>
    <w:multiLevelType w:val="hybridMultilevel"/>
    <w:tmpl w:val="CFF0B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CF2CB7"/>
    <w:multiLevelType w:val="hybridMultilevel"/>
    <w:tmpl w:val="6798ADEE"/>
    <w:lvl w:ilvl="0" w:tplc="C1DEDC48">
      <w:numFmt w:val="bullet"/>
      <w:lvlText w:val="-"/>
      <w:lvlJc w:val="left"/>
      <w:pPr>
        <w:ind w:left="-207" w:hanging="360"/>
      </w:pPr>
      <w:rPr>
        <w:rFonts w:ascii="Cambria" w:eastAsiaTheme="minorEastAsia" w:hAnsi="Cambria" w:cstheme="minorBidi"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nsid w:val="2E0704DF"/>
    <w:multiLevelType w:val="hybridMultilevel"/>
    <w:tmpl w:val="4DFC42AA"/>
    <w:lvl w:ilvl="0" w:tplc="2F96D4D4">
      <w:start w:val="5"/>
      <w:numFmt w:val="bullet"/>
      <w:lvlText w:val=""/>
      <w:lvlJc w:val="left"/>
      <w:pPr>
        <w:ind w:left="-207" w:hanging="360"/>
      </w:pPr>
      <w:rPr>
        <w:rFonts w:ascii="Wingdings" w:eastAsiaTheme="minorEastAsia" w:hAnsi="Wingdings" w:cs="Arial"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8">
    <w:nsid w:val="2F824563"/>
    <w:multiLevelType w:val="hybridMultilevel"/>
    <w:tmpl w:val="9C8E8270"/>
    <w:lvl w:ilvl="0" w:tplc="AEFA485E">
      <w:start w:val="3"/>
      <w:numFmt w:val="upperRoman"/>
      <w:lvlText w:val="%1."/>
      <w:lvlJc w:val="left"/>
      <w:pPr>
        <w:ind w:left="153" w:hanging="72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nsid w:val="322028F1"/>
    <w:multiLevelType w:val="hybridMultilevel"/>
    <w:tmpl w:val="A00EC74E"/>
    <w:lvl w:ilvl="0" w:tplc="3F8E8666">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0">
    <w:nsid w:val="3DF775FA"/>
    <w:multiLevelType w:val="hybridMultilevel"/>
    <w:tmpl w:val="8D6AB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0E5949"/>
    <w:multiLevelType w:val="hybridMultilevel"/>
    <w:tmpl w:val="CFBC0FD2"/>
    <w:lvl w:ilvl="0" w:tplc="25488C24">
      <w:start w:val="1411"/>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DE5A5A"/>
    <w:multiLevelType w:val="hybridMultilevel"/>
    <w:tmpl w:val="E56A9FC8"/>
    <w:lvl w:ilvl="0" w:tplc="22AA1616">
      <w:start w:val="1"/>
      <w:numFmt w:val="bullet"/>
      <w:lvlText w:val="•"/>
      <w:lvlJc w:val="left"/>
      <w:pPr>
        <w:tabs>
          <w:tab w:val="num" w:pos="720"/>
        </w:tabs>
        <w:ind w:left="720" w:hanging="360"/>
      </w:pPr>
      <w:rPr>
        <w:rFonts w:ascii="Times New Roman" w:hAnsi="Times New Roman" w:hint="default"/>
      </w:rPr>
    </w:lvl>
    <w:lvl w:ilvl="1" w:tplc="884EB790">
      <w:start w:val="1"/>
      <w:numFmt w:val="bullet"/>
      <w:lvlText w:val="•"/>
      <w:lvlJc w:val="left"/>
      <w:pPr>
        <w:tabs>
          <w:tab w:val="num" w:pos="1440"/>
        </w:tabs>
        <w:ind w:left="1440" w:hanging="360"/>
      </w:pPr>
      <w:rPr>
        <w:rFonts w:ascii="Times New Roman" w:hAnsi="Times New Roman" w:hint="default"/>
      </w:rPr>
    </w:lvl>
    <w:lvl w:ilvl="2" w:tplc="B6B6E2CC" w:tentative="1">
      <w:start w:val="1"/>
      <w:numFmt w:val="bullet"/>
      <w:lvlText w:val="•"/>
      <w:lvlJc w:val="left"/>
      <w:pPr>
        <w:tabs>
          <w:tab w:val="num" w:pos="2160"/>
        </w:tabs>
        <w:ind w:left="2160" w:hanging="360"/>
      </w:pPr>
      <w:rPr>
        <w:rFonts w:ascii="Times New Roman" w:hAnsi="Times New Roman" w:hint="default"/>
      </w:rPr>
    </w:lvl>
    <w:lvl w:ilvl="3" w:tplc="5CA6CE20" w:tentative="1">
      <w:start w:val="1"/>
      <w:numFmt w:val="bullet"/>
      <w:lvlText w:val="•"/>
      <w:lvlJc w:val="left"/>
      <w:pPr>
        <w:tabs>
          <w:tab w:val="num" w:pos="2880"/>
        </w:tabs>
        <w:ind w:left="2880" w:hanging="360"/>
      </w:pPr>
      <w:rPr>
        <w:rFonts w:ascii="Times New Roman" w:hAnsi="Times New Roman" w:hint="default"/>
      </w:rPr>
    </w:lvl>
    <w:lvl w:ilvl="4" w:tplc="19CADF80" w:tentative="1">
      <w:start w:val="1"/>
      <w:numFmt w:val="bullet"/>
      <w:lvlText w:val="•"/>
      <w:lvlJc w:val="left"/>
      <w:pPr>
        <w:tabs>
          <w:tab w:val="num" w:pos="3600"/>
        </w:tabs>
        <w:ind w:left="3600" w:hanging="360"/>
      </w:pPr>
      <w:rPr>
        <w:rFonts w:ascii="Times New Roman" w:hAnsi="Times New Roman" w:hint="default"/>
      </w:rPr>
    </w:lvl>
    <w:lvl w:ilvl="5" w:tplc="E98C209A" w:tentative="1">
      <w:start w:val="1"/>
      <w:numFmt w:val="bullet"/>
      <w:lvlText w:val="•"/>
      <w:lvlJc w:val="left"/>
      <w:pPr>
        <w:tabs>
          <w:tab w:val="num" w:pos="4320"/>
        </w:tabs>
        <w:ind w:left="4320" w:hanging="360"/>
      </w:pPr>
      <w:rPr>
        <w:rFonts w:ascii="Times New Roman" w:hAnsi="Times New Roman" w:hint="default"/>
      </w:rPr>
    </w:lvl>
    <w:lvl w:ilvl="6" w:tplc="3CD66792" w:tentative="1">
      <w:start w:val="1"/>
      <w:numFmt w:val="bullet"/>
      <w:lvlText w:val="•"/>
      <w:lvlJc w:val="left"/>
      <w:pPr>
        <w:tabs>
          <w:tab w:val="num" w:pos="5040"/>
        </w:tabs>
        <w:ind w:left="5040" w:hanging="360"/>
      </w:pPr>
      <w:rPr>
        <w:rFonts w:ascii="Times New Roman" w:hAnsi="Times New Roman" w:hint="default"/>
      </w:rPr>
    </w:lvl>
    <w:lvl w:ilvl="7" w:tplc="EA3CA1A2" w:tentative="1">
      <w:start w:val="1"/>
      <w:numFmt w:val="bullet"/>
      <w:lvlText w:val="•"/>
      <w:lvlJc w:val="left"/>
      <w:pPr>
        <w:tabs>
          <w:tab w:val="num" w:pos="5760"/>
        </w:tabs>
        <w:ind w:left="5760" w:hanging="360"/>
      </w:pPr>
      <w:rPr>
        <w:rFonts w:ascii="Times New Roman" w:hAnsi="Times New Roman" w:hint="default"/>
      </w:rPr>
    </w:lvl>
    <w:lvl w:ilvl="8" w:tplc="359C319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765E9D"/>
    <w:multiLevelType w:val="hybridMultilevel"/>
    <w:tmpl w:val="08C6EF7C"/>
    <w:lvl w:ilvl="0" w:tplc="E774D332">
      <w:start w:val="1"/>
      <w:numFmt w:val="bullet"/>
      <w:lvlText w:val="•"/>
      <w:lvlJc w:val="left"/>
      <w:pPr>
        <w:tabs>
          <w:tab w:val="num" w:pos="720"/>
        </w:tabs>
        <w:ind w:left="720" w:hanging="360"/>
      </w:pPr>
      <w:rPr>
        <w:rFonts w:ascii="Times New Roman" w:hAnsi="Times New Roman" w:hint="default"/>
      </w:rPr>
    </w:lvl>
    <w:lvl w:ilvl="1" w:tplc="A24834BE">
      <w:start w:val="1"/>
      <w:numFmt w:val="bullet"/>
      <w:lvlText w:val="•"/>
      <w:lvlJc w:val="left"/>
      <w:pPr>
        <w:tabs>
          <w:tab w:val="num" w:pos="1440"/>
        </w:tabs>
        <w:ind w:left="1440" w:hanging="360"/>
      </w:pPr>
      <w:rPr>
        <w:rFonts w:ascii="Times New Roman" w:hAnsi="Times New Roman" w:hint="default"/>
      </w:rPr>
    </w:lvl>
    <w:lvl w:ilvl="2" w:tplc="CEF4E2DE" w:tentative="1">
      <w:start w:val="1"/>
      <w:numFmt w:val="bullet"/>
      <w:lvlText w:val="•"/>
      <w:lvlJc w:val="left"/>
      <w:pPr>
        <w:tabs>
          <w:tab w:val="num" w:pos="2160"/>
        </w:tabs>
        <w:ind w:left="2160" w:hanging="360"/>
      </w:pPr>
      <w:rPr>
        <w:rFonts w:ascii="Times New Roman" w:hAnsi="Times New Roman" w:hint="default"/>
      </w:rPr>
    </w:lvl>
    <w:lvl w:ilvl="3" w:tplc="10828E5C" w:tentative="1">
      <w:start w:val="1"/>
      <w:numFmt w:val="bullet"/>
      <w:lvlText w:val="•"/>
      <w:lvlJc w:val="left"/>
      <w:pPr>
        <w:tabs>
          <w:tab w:val="num" w:pos="2880"/>
        </w:tabs>
        <w:ind w:left="2880" w:hanging="360"/>
      </w:pPr>
      <w:rPr>
        <w:rFonts w:ascii="Times New Roman" w:hAnsi="Times New Roman" w:hint="default"/>
      </w:rPr>
    </w:lvl>
    <w:lvl w:ilvl="4" w:tplc="D50CE7AE" w:tentative="1">
      <w:start w:val="1"/>
      <w:numFmt w:val="bullet"/>
      <w:lvlText w:val="•"/>
      <w:lvlJc w:val="left"/>
      <w:pPr>
        <w:tabs>
          <w:tab w:val="num" w:pos="3600"/>
        </w:tabs>
        <w:ind w:left="3600" w:hanging="360"/>
      </w:pPr>
      <w:rPr>
        <w:rFonts w:ascii="Times New Roman" w:hAnsi="Times New Roman" w:hint="default"/>
      </w:rPr>
    </w:lvl>
    <w:lvl w:ilvl="5" w:tplc="B6625F26" w:tentative="1">
      <w:start w:val="1"/>
      <w:numFmt w:val="bullet"/>
      <w:lvlText w:val="•"/>
      <w:lvlJc w:val="left"/>
      <w:pPr>
        <w:tabs>
          <w:tab w:val="num" w:pos="4320"/>
        </w:tabs>
        <w:ind w:left="4320" w:hanging="360"/>
      </w:pPr>
      <w:rPr>
        <w:rFonts w:ascii="Times New Roman" w:hAnsi="Times New Roman" w:hint="default"/>
      </w:rPr>
    </w:lvl>
    <w:lvl w:ilvl="6" w:tplc="D14AAFB2" w:tentative="1">
      <w:start w:val="1"/>
      <w:numFmt w:val="bullet"/>
      <w:lvlText w:val="•"/>
      <w:lvlJc w:val="left"/>
      <w:pPr>
        <w:tabs>
          <w:tab w:val="num" w:pos="5040"/>
        </w:tabs>
        <w:ind w:left="5040" w:hanging="360"/>
      </w:pPr>
      <w:rPr>
        <w:rFonts w:ascii="Times New Roman" w:hAnsi="Times New Roman" w:hint="default"/>
      </w:rPr>
    </w:lvl>
    <w:lvl w:ilvl="7" w:tplc="E2CAFC30" w:tentative="1">
      <w:start w:val="1"/>
      <w:numFmt w:val="bullet"/>
      <w:lvlText w:val="•"/>
      <w:lvlJc w:val="left"/>
      <w:pPr>
        <w:tabs>
          <w:tab w:val="num" w:pos="5760"/>
        </w:tabs>
        <w:ind w:left="5760" w:hanging="360"/>
      </w:pPr>
      <w:rPr>
        <w:rFonts w:ascii="Times New Roman" w:hAnsi="Times New Roman" w:hint="default"/>
      </w:rPr>
    </w:lvl>
    <w:lvl w:ilvl="8" w:tplc="5FEC4FA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BAE74E0"/>
    <w:multiLevelType w:val="hybridMultilevel"/>
    <w:tmpl w:val="9202DF64"/>
    <w:lvl w:ilvl="0" w:tplc="42AC0F34">
      <w:start w:val="3"/>
      <w:numFmt w:val="bullet"/>
      <w:lvlText w:val="-"/>
      <w:lvlJc w:val="left"/>
      <w:pPr>
        <w:ind w:left="-207" w:hanging="360"/>
      </w:pPr>
      <w:rPr>
        <w:rFonts w:ascii="Arial" w:eastAsiaTheme="minorEastAsia" w:hAnsi="Arial" w:cs="Arial"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5">
    <w:nsid w:val="62744C29"/>
    <w:multiLevelType w:val="hybridMultilevel"/>
    <w:tmpl w:val="18060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F442B4"/>
    <w:multiLevelType w:val="multilevel"/>
    <w:tmpl w:val="562EB25A"/>
    <w:lvl w:ilvl="0">
      <w:start w:val="1"/>
      <w:numFmt w:val="decimal"/>
      <w:lvlText w:val="%1"/>
      <w:lvlJc w:val="left"/>
      <w:pPr>
        <w:ind w:left="460" w:hanging="460"/>
      </w:pPr>
      <w:rPr>
        <w:rFonts w:hint="default"/>
      </w:rPr>
    </w:lvl>
    <w:lvl w:ilvl="1">
      <w:start w:val="1"/>
      <w:numFmt w:val="decimal"/>
      <w:lvlText w:val="%1.%2"/>
      <w:lvlJc w:val="left"/>
      <w:pPr>
        <w:ind w:left="-107" w:hanging="4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7">
    <w:nsid w:val="650F3F78"/>
    <w:multiLevelType w:val="hybridMultilevel"/>
    <w:tmpl w:val="E640DF9E"/>
    <w:lvl w:ilvl="0" w:tplc="FFDC35F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8">
    <w:nsid w:val="715C3318"/>
    <w:multiLevelType w:val="hybridMultilevel"/>
    <w:tmpl w:val="C034354A"/>
    <w:lvl w:ilvl="0" w:tplc="03F4E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6E288A"/>
    <w:multiLevelType w:val="hybridMultilevel"/>
    <w:tmpl w:val="FAFC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DC7A3F"/>
    <w:multiLevelType w:val="hybridMultilevel"/>
    <w:tmpl w:val="327E5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19"/>
  </w:num>
  <w:num w:numId="5">
    <w:abstractNumId w:val="10"/>
  </w:num>
  <w:num w:numId="6">
    <w:abstractNumId w:val="18"/>
  </w:num>
  <w:num w:numId="7">
    <w:abstractNumId w:val="4"/>
  </w:num>
  <w:num w:numId="8">
    <w:abstractNumId w:val="14"/>
  </w:num>
  <w:num w:numId="9">
    <w:abstractNumId w:val="7"/>
  </w:num>
  <w:num w:numId="10">
    <w:abstractNumId w:val="12"/>
  </w:num>
  <w:num w:numId="11">
    <w:abstractNumId w:val="9"/>
  </w:num>
  <w:num w:numId="12">
    <w:abstractNumId w:val="16"/>
  </w:num>
  <w:num w:numId="13">
    <w:abstractNumId w:val="17"/>
  </w:num>
  <w:num w:numId="14">
    <w:abstractNumId w:val="0"/>
  </w:num>
  <w:num w:numId="15">
    <w:abstractNumId w:val="6"/>
  </w:num>
  <w:num w:numId="16">
    <w:abstractNumId w:val="8"/>
  </w:num>
  <w:num w:numId="17">
    <w:abstractNumId w:val="1"/>
  </w:num>
  <w:num w:numId="18">
    <w:abstractNumId w:val="15"/>
  </w:num>
  <w:num w:numId="19">
    <w:abstractNumId w:val="5"/>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pl-PL"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74"/>
    <w:rsid w:val="00001468"/>
    <w:rsid w:val="00001F02"/>
    <w:rsid w:val="00002D1D"/>
    <w:rsid w:val="0000360A"/>
    <w:rsid w:val="000042BF"/>
    <w:rsid w:val="0000526F"/>
    <w:rsid w:val="0000597D"/>
    <w:rsid w:val="000062B1"/>
    <w:rsid w:val="00006B8F"/>
    <w:rsid w:val="00010116"/>
    <w:rsid w:val="000107B3"/>
    <w:rsid w:val="000108E2"/>
    <w:rsid w:val="000111F5"/>
    <w:rsid w:val="000116BC"/>
    <w:rsid w:val="0001260B"/>
    <w:rsid w:val="00014289"/>
    <w:rsid w:val="00015CB6"/>
    <w:rsid w:val="00016278"/>
    <w:rsid w:val="0002249D"/>
    <w:rsid w:val="00022ABE"/>
    <w:rsid w:val="00022FF7"/>
    <w:rsid w:val="00023166"/>
    <w:rsid w:val="00023443"/>
    <w:rsid w:val="000255C0"/>
    <w:rsid w:val="0002788C"/>
    <w:rsid w:val="00027EC2"/>
    <w:rsid w:val="00030C57"/>
    <w:rsid w:val="00030C9C"/>
    <w:rsid w:val="000328D5"/>
    <w:rsid w:val="0003482A"/>
    <w:rsid w:val="000353C0"/>
    <w:rsid w:val="0003577E"/>
    <w:rsid w:val="0003683B"/>
    <w:rsid w:val="0004135A"/>
    <w:rsid w:val="000418FD"/>
    <w:rsid w:val="000433C9"/>
    <w:rsid w:val="0004547F"/>
    <w:rsid w:val="00045828"/>
    <w:rsid w:val="00046DEF"/>
    <w:rsid w:val="0005086C"/>
    <w:rsid w:val="00051326"/>
    <w:rsid w:val="000527DA"/>
    <w:rsid w:val="000536CE"/>
    <w:rsid w:val="00053AB6"/>
    <w:rsid w:val="00055FF2"/>
    <w:rsid w:val="0005723A"/>
    <w:rsid w:val="0006094A"/>
    <w:rsid w:val="00060EEA"/>
    <w:rsid w:val="000621AD"/>
    <w:rsid w:val="0006256F"/>
    <w:rsid w:val="00062A13"/>
    <w:rsid w:val="000631D8"/>
    <w:rsid w:val="0006393C"/>
    <w:rsid w:val="00065D74"/>
    <w:rsid w:val="000662B7"/>
    <w:rsid w:val="000703EF"/>
    <w:rsid w:val="00070557"/>
    <w:rsid w:val="00070670"/>
    <w:rsid w:val="00074148"/>
    <w:rsid w:val="000743AD"/>
    <w:rsid w:val="0007584A"/>
    <w:rsid w:val="00076F41"/>
    <w:rsid w:val="00077111"/>
    <w:rsid w:val="000802F0"/>
    <w:rsid w:val="00080A26"/>
    <w:rsid w:val="00081E17"/>
    <w:rsid w:val="00083D47"/>
    <w:rsid w:val="00085465"/>
    <w:rsid w:val="00085612"/>
    <w:rsid w:val="000863D4"/>
    <w:rsid w:val="000902F7"/>
    <w:rsid w:val="000920B6"/>
    <w:rsid w:val="000A0328"/>
    <w:rsid w:val="000A0C14"/>
    <w:rsid w:val="000A103A"/>
    <w:rsid w:val="000A35EC"/>
    <w:rsid w:val="000A429D"/>
    <w:rsid w:val="000A48FE"/>
    <w:rsid w:val="000A52B3"/>
    <w:rsid w:val="000B1D6F"/>
    <w:rsid w:val="000B34F3"/>
    <w:rsid w:val="000B354C"/>
    <w:rsid w:val="000B601D"/>
    <w:rsid w:val="000B74E7"/>
    <w:rsid w:val="000C08C0"/>
    <w:rsid w:val="000C1139"/>
    <w:rsid w:val="000C49EB"/>
    <w:rsid w:val="000C5028"/>
    <w:rsid w:val="000C7593"/>
    <w:rsid w:val="000D1848"/>
    <w:rsid w:val="000D2F02"/>
    <w:rsid w:val="000D3885"/>
    <w:rsid w:val="000D3A28"/>
    <w:rsid w:val="000D67A2"/>
    <w:rsid w:val="000E0DCA"/>
    <w:rsid w:val="000E0ED2"/>
    <w:rsid w:val="000E1322"/>
    <w:rsid w:val="000E1498"/>
    <w:rsid w:val="000E198B"/>
    <w:rsid w:val="000F109D"/>
    <w:rsid w:val="000F1A83"/>
    <w:rsid w:val="000F4408"/>
    <w:rsid w:val="00101CF3"/>
    <w:rsid w:val="001028CB"/>
    <w:rsid w:val="00103BC7"/>
    <w:rsid w:val="00104060"/>
    <w:rsid w:val="00105357"/>
    <w:rsid w:val="00107183"/>
    <w:rsid w:val="0010737F"/>
    <w:rsid w:val="00110133"/>
    <w:rsid w:val="00110642"/>
    <w:rsid w:val="00110790"/>
    <w:rsid w:val="001107AD"/>
    <w:rsid w:val="00111200"/>
    <w:rsid w:val="00111210"/>
    <w:rsid w:val="00111EA7"/>
    <w:rsid w:val="00112072"/>
    <w:rsid w:val="00112963"/>
    <w:rsid w:val="00114541"/>
    <w:rsid w:val="00114656"/>
    <w:rsid w:val="00114E68"/>
    <w:rsid w:val="00115D42"/>
    <w:rsid w:val="00116CD9"/>
    <w:rsid w:val="00116FB3"/>
    <w:rsid w:val="00117AD9"/>
    <w:rsid w:val="0012413B"/>
    <w:rsid w:val="00126324"/>
    <w:rsid w:val="00131ED3"/>
    <w:rsid w:val="0013216F"/>
    <w:rsid w:val="001322C3"/>
    <w:rsid w:val="00133074"/>
    <w:rsid w:val="001334C4"/>
    <w:rsid w:val="0013585F"/>
    <w:rsid w:val="00135BFD"/>
    <w:rsid w:val="00136B94"/>
    <w:rsid w:val="00140DFB"/>
    <w:rsid w:val="00144FB6"/>
    <w:rsid w:val="00145A81"/>
    <w:rsid w:val="00145ECC"/>
    <w:rsid w:val="001533E4"/>
    <w:rsid w:val="001546C2"/>
    <w:rsid w:val="001566F6"/>
    <w:rsid w:val="00157287"/>
    <w:rsid w:val="00157347"/>
    <w:rsid w:val="00160F0C"/>
    <w:rsid w:val="00163AB3"/>
    <w:rsid w:val="00163C7B"/>
    <w:rsid w:val="00165A4B"/>
    <w:rsid w:val="00167102"/>
    <w:rsid w:val="001709E3"/>
    <w:rsid w:val="00170E48"/>
    <w:rsid w:val="00171368"/>
    <w:rsid w:val="001742A8"/>
    <w:rsid w:val="001766AB"/>
    <w:rsid w:val="0018076E"/>
    <w:rsid w:val="001825FA"/>
    <w:rsid w:val="00182764"/>
    <w:rsid w:val="00190A30"/>
    <w:rsid w:val="00190EBD"/>
    <w:rsid w:val="001913A3"/>
    <w:rsid w:val="00191A08"/>
    <w:rsid w:val="00192152"/>
    <w:rsid w:val="001924CE"/>
    <w:rsid w:val="00192B92"/>
    <w:rsid w:val="001944D1"/>
    <w:rsid w:val="001951B3"/>
    <w:rsid w:val="001A0805"/>
    <w:rsid w:val="001A0E5D"/>
    <w:rsid w:val="001A0F4B"/>
    <w:rsid w:val="001A48C8"/>
    <w:rsid w:val="001A4ED3"/>
    <w:rsid w:val="001A6BA2"/>
    <w:rsid w:val="001B6C76"/>
    <w:rsid w:val="001C08E4"/>
    <w:rsid w:val="001C20AC"/>
    <w:rsid w:val="001C256B"/>
    <w:rsid w:val="001C3CA9"/>
    <w:rsid w:val="001C54E8"/>
    <w:rsid w:val="001C6ED5"/>
    <w:rsid w:val="001C6F0F"/>
    <w:rsid w:val="001D0322"/>
    <w:rsid w:val="001D268F"/>
    <w:rsid w:val="001D41FF"/>
    <w:rsid w:val="001D49FE"/>
    <w:rsid w:val="001D4A3B"/>
    <w:rsid w:val="001D785E"/>
    <w:rsid w:val="001E1A14"/>
    <w:rsid w:val="001E1A4B"/>
    <w:rsid w:val="001E25D0"/>
    <w:rsid w:val="001E27F7"/>
    <w:rsid w:val="001E3328"/>
    <w:rsid w:val="001E4D4A"/>
    <w:rsid w:val="001E6CA4"/>
    <w:rsid w:val="001E7823"/>
    <w:rsid w:val="001F1F49"/>
    <w:rsid w:val="001F2238"/>
    <w:rsid w:val="001F261F"/>
    <w:rsid w:val="001F44D9"/>
    <w:rsid w:val="001F7281"/>
    <w:rsid w:val="001F779D"/>
    <w:rsid w:val="001F7F36"/>
    <w:rsid w:val="00200266"/>
    <w:rsid w:val="00201615"/>
    <w:rsid w:val="002030A1"/>
    <w:rsid w:val="002035D5"/>
    <w:rsid w:val="00204824"/>
    <w:rsid w:val="00205AEB"/>
    <w:rsid w:val="00205C66"/>
    <w:rsid w:val="0020767B"/>
    <w:rsid w:val="002102B0"/>
    <w:rsid w:val="002104B0"/>
    <w:rsid w:val="00210AC3"/>
    <w:rsid w:val="002110B1"/>
    <w:rsid w:val="00211754"/>
    <w:rsid w:val="00211869"/>
    <w:rsid w:val="00213C8C"/>
    <w:rsid w:val="00214279"/>
    <w:rsid w:val="0021652E"/>
    <w:rsid w:val="002168E2"/>
    <w:rsid w:val="002178A9"/>
    <w:rsid w:val="00220260"/>
    <w:rsid w:val="0022133D"/>
    <w:rsid w:val="00222DAE"/>
    <w:rsid w:val="00224375"/>
    <w:rsid w:val="00225265"/>
    <w:rsid w:val="0022625A"/>
    <w:rsid w:val="002270DA"/>
    <w:rsid w:val="002274E1"/>
    <w:rsid w:val="002351D1"/>
    <w:rsid w:val="002354AB"/>
    <w:rsid w:val="002364E9"/>
    <w:rsid w:val="00237B81"/>
    <w:rsid w:val="0024138E"/>
    <w:rsid w:val="00242181"/>
    <w:rsid w:val="0024283C"/>
    <w:rsid w:val="0024518C"/>
    <w:rsid w:val="00245670"/>
    <w:rsid w:val="00250736"/>
    <w:rsid w:val="0025204D"/>
    <w:rsid w:val="00252354"/>
    <w:rsid w:val="0025253D"/>
    <w:rsid w:val="00252D63"/>
    <w:rsid w:val="00253A84"/>
    <w:rsid w:val="00254413"/>
    <w:rsid w:val="00254F06"/>
    <w:rsid w:val="002554FD"/>
    <w:rsid w:val="00257D0F"/>
    <w:rsid w:val="002623C1"/>
    <w:rsid w:val="002643F3"/>
    <w:rsid w:val="002655D5"/>
    <w:rsid w:val="0026656A"/>
    <w:rsid w:val="00266906"/>
    <w:rsid w:val="00267452"/>
    <w:rsid w:val="002677E4"/>
    <w:rsid w:val="00272281"/>
    <w:rsid w:val="0027253F"/>
    <w:rsid w:val="00272D3B"/>
    <w:rsid w:val="00273641"/>
    <w:rsid w:val="002742DC"/>
    <w:rsid w:val="00274305"/>
    <w:rsid w:val="0027761F"/>
    <w:rsid w:val="00277A42"/>
    <w:rsid w:val="002811C2"/>
    <w:rsid w:val="00282220"/>
    <w:rsid w:val="00282654"/>
    <w:rsid w:val="002851A3"/>
    <w:rsid w:val="00286339"/>
    <w:rsid w:val="00287B1F"/>
    <w:rsid w:val="00287E51"/>
    <w:rsid w:val="00292F8A"/>
    <w:rsid w:val="00293C06"/>
    <w:rsid w:val="002967E5"/>
    <w:rsid w:val="00297E6D"/>
    <w:rsid w:val="002A1393"/>
    <w:rsid w:val="002A144F"/>
    <w:rsid w:val="002A1891"/>
    <w:rsid w:val="002A1D04"/>
    <w:rsid w:val="002A4873"/>
    <w:rsid w:val="002A4DAD"/>
    <w:rsid w:val="002A564D"/>
    <w:rsid w:val="002B27FA"/>
    <w:rsid w:val="002B5981"/>
    <w:rsid w:val="002B6EEC"/>
    <w:rsid w:val="002B7A4A"/>
    <w:rsid w:val="002C07A5"/>
    <w:rsid w:val="002C398B"/>
    <w:rsid w:val="002C442E"/>
    <w:rsid w:val="002C4E04"/>
    <w:rsid w:val="002C5FD1"/>
    <w:rsid w:val="002D3899"/>
    <w:rsid w:val="002D39DE"/>
    <w:rsid w:val="002D46B7"/>
    <w:rsid w:val="002D5658"/>
    <w:rsid w:val="002D5A73"/>
    <w:rsid w:val="002D6D14"/>
    <w:rsid w:val="002E04B9"/>
    <w:rsid w:val="002E37C0"/>
    <w:rsid w:val="002E4C88"/>
    <w:rsid w:val="002E73FE"/>
    <w:rsid w:val="002F14DF"/>
    <w:rsid w:val="002F2244"/>
    <w:rsid w:val="002F28DA"/>
    <w:rsid w:val="002F3355"/>
    <w:rsid w:val="002F34A3"/>
    <w:rsid w:val="002F3868"/>
    <w:rsid w:val="002F47A1"/>
    <w:rsid w:val="002F4974"/>
    <w:rsid w:val="002F4C60"/>
    <w:rsid w:val="002F5262"/>
    <w:rsid w:val="002F5A2D"/>
    <w:rsid w:val="002F6CDC"/>
    <w:rsid w:val="002F7C0C"/>
    <w:rsid w:val="0030027A"/>
    <w:rsid w:val="003009E4"/>
    <w:rsid w:val="003049D0"/>
    <w:rsid w:val="00305046"/>
    <w:rsid w:val="00305C55"/>
    <w:rsid w:val="00311DC8"/>
    <w:rsid w:val="00315166"/>
    <w:rsid w:val="00315A8A"/>
    <w:rsid w:val="00315BB5"/>
    <w:rsid w:val="00315F95"/>
    <w:rsid w:val="00316159"/>
    <w:rsid w:val="003215D3"/>
    <w:rsid w:val="00322244"/>
    <w:rsid w:val="00323453"/>
    <w:rsid w:val="00324020"/>
    <w:rsid w:val="00327388"/>
    <w:rsid w:val="00332680"/>
    <w:rsid w:val="003326B9"/>
    <w:rsid w:val="00332AB6"/>
    <w:rsid w:val="00332E5A"/>
    <w:rsid w:val="00332EB3"/>
    <w:rsid w:val="0033426F"/>
    <w:rsid w:val="00334388"/>
    <w:rsid w:val="00335A81"/>
    <w:rsid w:val="00336F37"/>
    <w:rsid w:val="00337495"/>
    <w:rsid w:val="00337D5E"/>
    <w:rsid w:val="00337E3D"/>
    <w:rsid w:val="003423A0"/>
    <w:rsid w:val="00343B1B"/>
    <w:rsid w:val="00343B9D"/>
    <w:rsid w:val="00344860"/>
    <w:rsid w:val="00350C5B"/>
    <w:rsid w:val="00353026"/>
    <w:rsid w:val="0035332E"/>
    <w:rsid w:val="00354232"/>
    <w:rsid w:val="00354AE6"/>
    <w:rsid w:val="00355079"/>
    <w:rsid w:val="00355664"/>
    <w:rsid w:val="00357977"/>
    <w:rsid w:val="00360B14"/>
    <w:rsid w:val="003616E3"/>
    <w:rsid w:val="003626AA"/>
    <w:rsid w:val="00362F82"/>
    <w:rsid w:val="00362FAD"/>
    <w:rsid w:val="00363BDF"/>
    <w:rsid w:val="00364881"/>
    <w:rsid w:val="00365775"/>
    <w:rsid w:val="00366060"/>
    <w:rsid w:val="003661D9"/>
    <w:rsid w:val="003662EA"/>
    <w:rsid w:val="00366779"/>
    <w:rsid w:val="00366985"/>
    <w:rsid w:val="003711B5"/>
    <w:rsid w:val="00371B51"/>
    <w:rsid w:val="00372B34"/>
    <w:rsid w:val="00372D75"/>
    <w:rsid w:val="003741FE"/>
    <w:rsid w:val="003803B4"/>
    <w:rsid w:val="003805EA"/>
    <w:rsid w:val="00380AE4"/>
    <w:rsid w:val="003820A3"/>
    <w:rsid w:val="00382701"/>
    <w:rsid w:val="00382D1D"/>
    <w:rsid w:val="00383A0F"/>
    <w:rsid w:val="00384D06"/>
    <w:rsid w:val="00385A09"/>
    <w:rsid w:val="00385ED7"/>
    <w:rsid w:val="00386A58"/>
    <w:rsid w:val="00386E43"/>
    <w:rsid w:val="00387EF4"/>
    <w:rsid w:val="00390AA3"/>
    <w:rsid w:val="0039165C"/>
    <w:rsid w:val="0039259B"/>
    <w:rsid w:val="00393687"/>
    <w:rsid w:val="00393810"/>
    <w:rsid w:val="0039596A"/>
    <w:rsid w:val="003A15F8"/>
    <w:rsid w:val="003A22B2"/>
    <w:rsid w:val="003A2A38"/>
    <w:rsid w:val="003A2F43"/>
    <w:rsid w:val="003A2F5E"/>
    <w:rsid w:val="003A39B1"/>
    <w:rsid w:val="003A3A1E"/>
    <w:rsid w:val="003A3EB3"/>
    <w:rsid w:val="003A433A"/>
    <w:rsid w:val="003A50DB"/>
    <w:rsid w:val="003A5A9C"/>
    <w:rsid w:val="003A6F53"/>
    <w:rsid w:val="003A7347"/>
    <w:rsid w:val="003A78D6"/>
    <w:rsid w:val="003A7D9B"/>
    <w:rsid w:val="003B2172"/>
    <w:rsid w:val="003B25AA"/>
    <w:rsid w:val="003C2D3B"/>
    <w:rsid w:val="003C3B5B"/>
    <w:rsid w:val="003C6368"/>
    <w:rsid w:val="003D2826"/>
    <w:rsid w:val="003D2CAA"/>
    <w:rsid w:val="003D2E22"/>
    <w:rsid w:val="003D3BC9"/>
    <w:rsid w:val="003D4091"/>
    <w:rsid w:val="003D46AF"/>
    <w:rsid w:val="003D4E56"/>
    <w:rsid w:val="003D68BD"/>
    <w:rsid w:val="003D6D20"/>
    <w:rsid w:val="003E00FB"/>
    <w:rsid w:val="003E123E"/>
    <w:rsid w:val="003E14C0"/>
    <w:rsid w:val="003E1592"/>
    <w:rsid w:val="003E2EDA"/>
    <w:rsid w:val="003E3730"/>
    <w:rsid w:val="003E5C3F"/>
    <w:rsid w:val="003E79E3"/>
    <w:rsid w:val="003F1C19"/>
    <w:rsid w:val="003F2091"/>
    <w:rsid w:val="003F3FD6"/>
    <w:rsid w:val="003F4772"/>
    <w:rsid w:val="003F5D0B"/>
    <w:rsid w:val="003F76B7"/>
    <w:rsid w:val="0040568C"/>
    <w:rsid w:val="00406DA6"/>
    <w:rsid w:val="00407BB5"/>
    <w:rsid w:val="00412379"/>
    <w:rsid w:val="00414C20"/>
    <w:rsid w:val="0041500E"/>
    <w:rsid w:val="004158F7"/>
    <w:rsid w:val="004172F9"/>
    <w:rsid w:val="004176B2"/>
    <w:rsid w:val="00417805"/>
    <w:rsid w:val="0042052E"/>
    <w:rsid w:val="00421333"/>
    <w:rsid w:val="0042226C"/>
    <w:rsid w:val="00422536"/>
    <w:rsid w:val="00423320"/>
    <w:rsid w:val="00425048"/>
    <w:rsid w:val="00425271"/>
    <w:rsid w:val="00425914"/>
    <w:rsid w:val="00427B34"/>
    <w:rsid w:val="00427E07"/>
    <w:rsid w:val="004306F5"/>
    <w:rsid w:val="00430831"/>
    <w:rsid w:val="00431ECD"/>
    <w:rsid w:val="004345F7"/>
    <w:rsid w:val="004353F1"/>
    <w:rsid w:val="0043549C"/>
    <w:rsid w:val="004404DF"/>
    <w:rsid w:val="00441B6C"/>
    <w:rsid w:val="004442D5"/>
    <w:rsid w:val="00444619"/>
    <w:rsid w:val="00444E25"/>
    <w:rsid w:val="00447430"/>
    <w:rsid w:val="0045178B"/>
    <w:rsid w:val="00451EE8"/>
    <w:rsid w:val="00453496"/>
    <w:rsid w:val="00454092"/>
    <w:rsid w:val="004577BF"/>
    <w:rsid w:val="00460136"/>
    <w:rsid w:val="0046094E"/>
    <w:rsid w:val="004611EC"/>
    <w:rsid w:val="00462917"/>
    <w:rsid w:val="00463A73"/>
    <w:rsid w:val="00465642"/>
    <w:rsid w:val="0046695E"/>
    <w:rsid w:val="00470D9B"/>
    <w:rsid w:val="00472011"/>
    <w:rsid w:val="0047314D"/>
    <w:rsid w:val="00476737"/>
    <w:rsid w:val="00476792"/>
    <w:rsid w:val="004830EE"/>
    <w:rsid w:val="00485FBC"/>
    <w:rsid w:val="00487654"/>
    <w:rsid w:val="0048775F"/>
    <w:rsid w:val="004902B7"/>
    <w:rsid w:val="00492615"/>
    <w:rsid w:val="00493D0D"/>
    <w:rsid w:val="00495F59"/>
    <w:rsid w:val="00496281"/>
    <w:rsid w:val="004A2F92"/>
    <w:rsid w:val="004A3CF5"/>
    <w:rsid w:val="004A4366"/>
    <w:rsid w:val="004A55C6"/>
    <w:rsid w:val="004B03EE"/>
    <w:rsid w:val="004B0716"/>
    <w:rsid w:val="004B276E"/>
    <w:rsid w:val="004B4128"/>
    <w:rsid w:val="004B54F9"/>
    <w:rsid w:val="004B6BF2"/>
    <w:rsid w:val="004B7DB2"/>
    <w:rsid w:val="004B7FBE"/>
    <w:rsid w:val="004C4ACF"/>
    <w:rsid w:val="004C4C00"/>
    <w:rsid w:val="004C5571"/>
    <w:rsid w:val="004C6AA9"/>
    <w:rsid w:val="004C7128"/>
    <w:rsid w:val="004C7CDE"/>
    <w:rsid w:val="004D24CF"/>
    <w:rsid w:val="004D2CA9"/>
    <w:rsid w:val="004D57BA"/>
    <w:rsid w:val="004D6359"/>
    <w:rsid w:val="004E0359"/>
    <w:rsid w:val="004E362A"/>
    <w:rsid w:val="004E3E31"/>
    <w:rsid w:val="004E6469"/>
    <w:rsid w:val="004E7037"/>
    <w:rsid w:val="004E749A"/>
    <w:rsid w:val="004E7AEB"/>
    <w:rsid w:val="004F0014"/>
    <w:rsid w:val="004F04F6"/>
    <w:rsid w:val="004F0600"/>
    <w:rsid w:val="004F14E4"/>
    <w:rsid w:val="004F1911"/>
    <w:rsid w:val="004F30AF"/>
    <w:rsid w:val="004F3B75"/>
    <w:rsid w:val="004F4576"/>
    <w:rsid w:val="004F62EE"/>
    <w:rsid w:val="004F6F77"/>
    <w:rsid w:val="004F743E"/>
    <w:rsid w:val="00503E8B"/>
    <w:rsid w:val="005041A3"/>
    <w:rsid w:val="00504732"/>
    <w:rsid w:val="00504B8C"/>
    <w:rsid w:val="005068A2"/>
    <w:rsid w:val="005100C4"/>
    <w:rsid w:val="0051131F"/>
    <w:rsid w:val="005127E8"/>
    <w:rsid w:val="005158D3"/>
    <w:rsid w:val="00516052"/>
    <w:rsid w:val="00516315"/>
    <w:rsid w:val="0052451F"/>
    <w:rsid w:val="005259E2"/>
    <w:rsid w:val="00525CFC"/>
    <w:rsid w:val="00525EB6"/>
    <w:rsid w:val="00530B95"/>
    <w:rsid w:val="00531C41"/>
    <w:rsid w:val="00533DF0"/>
    <w:rsid w:val="00534205"/>
    <w:rsid w:val="00537DA8"/>
    <w:rsid w:val="00540834"/>
    <w:rsid w:val="00540DA7"/>
    <w:rsid w:val="0054164F"/>
    <w:rsid w:val="0054171B"/>
    <w:rsid w:val="00541C83"/>
    <w:rsid w:val="0054278C"/>
    <w:rsid w:val="00543570"/>
    <w:rsid w:val="005463DE"/>
    <w:rsid w:val="00546F4E"/>
    <w:rsid w:val="005475AB"/>
    <w:rsid w:val="0055006C"/>
    <w:rsid w:val="00552B97"/>
    <w:rsid w:val="00553940"/>
    <w:rsid w:val="0055443B"/>
    <w:rsid w:val="0055544F"/>
    <w:rsid w:val="0055558F"/>
    <w:rsid w:val="00556BA4"/>
    <w:rsid w:val="005570F9"/>
    <w:rsid w:val="00557DE7"/>
    <w:rsid w:val="00561333"/>
    <w:rsid w:val="005634CA"/>
    <w:rsid w:val="00564AFD"/>
    <w:rsid w:val="005656C1"/>
    <w:rsid w:val="00567899"/>
    <w:rsid w:val="005707A7"/>
    <w:rsid w:val="00571C83"/>
    <w:rsid w:val="0057329E"/>
    <w:rsid w:val="00573A45"/>
    <w:rsid w:val="00575217"/>
    <w:rsid w:val="00580197"/>
    <w:rsid w:val="00581FEE"/>
    <w:rsid w:val="00584485"/>
    <w:rsid w:val="005865A9"/>
    <w:rsid w:val="005921C8"/>
    <w:rsid w:val="0059376D"/>
    <w:rsid w:val="00593BA7"/>
    <w:rsid w:val="005A4127"/>
    <w:rsid w:val="005A5F31"/>
    <w:rsid w:val="005A76C2"/>
    <w:rsid w:val="005A7F9B"/>
    <w:rsid w:val="005B29BD"/>
    <w:rsid w:val="005B362A"/>
    <w:rsid w:val="005B51B5"/>
    <w:rsid w:val="005B5A1B"/>
    <w:rsid w:val="005B5F16"/>
    <w:rsid w:val="005B7565"/>
    <w:rsid w:val="005B779B"/>
    <w:rsid w:val="005C1305"/>
    <w:rsid w:val="005C1946"/>
    <w:rsid w:val="005C2834"/>
    <w:rsid w:val="005C3337"/>
    <w:rsid w:val="005C55DE"/>
    <w:rsid w:val="005C702E"/>
    <w:rsid w:val="005D004B"/>
    <w:rsid w:val="005D0858"/>
    <w:rsid w:val="005D1FE5"/>
    <w:rsid w:val="005D37F4"/>
    <w:rsid w:val="005D5709"/>
    <w:rsid w:val="005D61B9"/>
    <w:rsid w:val="005D7246"/>
    <w:rsid w:val="005E3A32"/>
    <w:rsid w:val="005E3B84"/>
    <w:rsid w:val="005F0812"/>
    <w:rsid w:val="005F188D"/>
    <w:rsid w:val="005F4D34"/>
    <w:rsid w:val="005F756A"/>
    <w:rsid w:val="005F79A7"/>
    <w:rsid w:val="00601B2F"/>
    <w:rsid w:val="00602D33"/>
    <w:rsid w:val="006034CF"/>
    <w:rsid w:val="0060479F"/>
    <w:rsid w:val="00604CDE"/>
    <w:rsid w:val="0060585B"/>
    <w:rsid w:val="00605E30"/>
    <w:rsid w:val="006064C8"/>
    <w:rsid w:val="0060764C"/>
    <w:rsid w:val="00607664"/>
    <w:rsid w:val="0061001E"/>
    <w:rsid w:val="00610655"/>
    <w:rsid w:val="00612CEC"/>
    <w:rsid w:val="00612CF6"/>
    <w:rsid w:val="006135EA"/>
    <w:rsid w:val="006136B9"/>
    <w:rsid w:val="006149D7"/>
    <w:rsid w:val="00617A43"/>
    <w:rsid w:val="006235C6"/>
    <w:rsid w:val="0062379A"/>
    <w:rsid w:val="00624FE7"/>
    <w:rsid w:val="00626238"/>
    <w:rsid w:val="00627910"/>
    <w:rsid w:val="00630781"/>
    <w:rsid w:val="00630999"/>
    <w:rsid w:val="00632E21"/>
    <w:rsid w:val="0063535F"/>
    <w:rsid w:val="0063549A"/>
    <w:rsid w:val="00637AB8"/>
    <w:rsid w:val="00640673"/>
    <w:rsid w:val="006416F4"/>
    <w:rsid w:val="0064519D"/>
    <w:rsid w:val="006461DD"/>
    <w:rsid w:val="00647E35"/>
    <w:rsid w:val="00651E4A"/>
    <w:rsid w:val="00652247"/>
    <w:rsid w:val="006524E9"/>
    <w:rsid w:val="0065378F"/>
    <w:rsid w:val="00654D94"/>
    <w:rsid w:val="0066214B"/>
    <w:rsid w:val="006622FC"/>
    <w:rsid w:val="00662560"/>
    <w:rsid w:val="00666D35"/>
    <w:rsid w:val="00666DA3"/>
    <w:rsid w:val="006701D5"/>
    <w:rsid w:val="00670597"/>
    <w:rsid w:val="00672348"/>
    <w:rsid w:val="00674755"/>
    <w:rsid w:val="00676798"/>
    <w:rsid w:val="00680087"/>
    <w:rsid w:val="006821A3"/>
    <w:rsid w:val="00683547"/>
    <w:rsid w:val="006846FE"/>
    <w:rsid w:val="00687C47"/>
    <w:rsid w:val="00693CBD"/>
    <w:rsid w:val="006958A3"/>
    <w:rsid w:val="0069643C"/>
    <w:rsid w:val="00697CB0"/>
    <w:rsid w:val="00697E26"/>
    <w:rsid w:val="006A23D9"/>
    <w:rsid w:val="006A7903"/>
    <w:rsid w:val="006A7C85"/>
    <w:rsid w:val="006B02A0"/>
    <w:rsid w:val="006B1307"/>
    <w:rsid w:val="006B207A"/>
    <w:rsid w:val="006B495C"/>
    <w:rsid w:val="006B74D3"/>
    <w:rsid w:val="006B793F"/>
    <w:rsid w:val="006C02F2"/>
    <w:rsid w:val="006C13CE"/>
    <w:rsid w:val="006C267A"/>
    <w:rsid w:val="006C33E8"/>
    <w:rsid w:val="006C37CC"/>
    <w:rsid w:val="006C38C8"/>
    <w:rsid w:val="006C46C7"/>
    <w:rsid w:val="006C4B1D"/>
    <w:rsid w:val="006C51EE"/>
    <w:rsid w:val="006C5300"/>
    <w:rsid w:val="006C5756"/>
    <w:rsid w:val="006C5CAD"/>
    <w:rsid w:val="006C65B0"/>
    <w:rsid w:val="006C7F44"/>
    <w:rsid w:val="006D22F1"/>
    <w:rsid w:val="006D2BFA"/>
    <w:rsid w:val="006D6961"/>
    <w:rsid w:val="006D72C2"/>
    <w:rsid w:val="006E108C"/>
    <w:rsid w:val="006E152A"/>
    <w:rsid w:val="006E34E2"/>
    <w:rsid w:val="006E4B8A"/>
    <w:rsid w:val="006E4FF3"/>
    <w:rsid w:val="006E509E"/>
    <w:rsid w:val="006E571C"/>
    <w:rsid w:val="006E7698"/>
    <w:rsid w:val="006F0E06"/>
    <w:rsid w:val="006F26EA"/>
    <w:rsid w:val="006F45BE"/>
    <w:rsid w:val="006F4781"/>
    <w:rsid w:val="006F4D47"/>
    <w:rsid w:val="006F7363"/>
    <w:rsid w:val="006F7D74"/>
    <w:rsid w:val="007002FB"/>
    <w:rsid w:val="00701288"/>
    <w:rsid w:val="00701E05"/>
    <w:rsid w:val="00704E8B"/>
    <w:rsid w:val="007057B5"/>
    <w:rsid w:val="00707081"/>
    <w:rsid w:val="0071080C"/>
    <w:rsid w:val="00710A60"/>
    <w:rsid w:val="007115FF"/>
    <w:rsid w:val="007133EB"/>
    <w:rsid w:val="007148BC"/>
    <w:rsid w:val="00715F6D"/>
    <w:rsid w:val="0072114B"/>
    <w:rsid w:val="00721E1A"/>
    <w:rsid w:val="00724667"/>
    <w:rsid w:val="007273AA"/>
    <w:rsid w:val="00727C92"/>
    <w:rsid w:val="00730C52"/>
    <w:rsid w:val="00730E5A"/>
    <w:rsid w:val="007335E1"/>
    <w:rsid w:val="00734D42"/>
    <w:rsid w:val="00734D86"/>
    <w:rsid w:val="0074093D"/>
    <w:rsid w:val="0074148B"/>
    <w:rsid w:val="00742E16"/>
    <w:rsid w:val="007440CA"/>
    <w:rsid w:val="00747429"/>
    <w:rsid w:val="00750A10"/>
    <w:rsid w:val="00750A1C"/>
    <w:rsid w:val="00751296"/>
    <w:rsid w:val="00751B32"/>
    <w:rsid w:val="00752E45"/>
    <w:rsid w:val="00753CC9"/>
    <w:rsid w:val="00757962"/>
    <w:rsid w:val="00760387"/>
    <w:rsid w:val="0076226D"/>
    <w:rsid w:val="007624BB"/>
    <w:rsid w:val="007631F4"/>
    <w:rsid w:val="00763AD9"/>
    <w:rsid w:val="00764F08"/>
    <w:rsid w:val="007654A2"/>
    <w:rsid w:val="007700E0"/>
    <w:rsid w:val="00771531"/>
    <w:rsid w:val="00771FC4"/>
    <w:rsid w:val="007744EE"/>
    <w:rsid w:val="007748E1"/>
    <w:rsid w:val="00774EF5"/>
    <w:rsid w:val="00775BB9"/>
    <w:rsid w:val="00776799"/>
    <w:rsid w:val="007800D1"/>
    <w:rsid w:val="00781FB0"/>
    <w:rsid w:val="00783A5E"/>
    <w:rsid w:val="0078482B"/>
    <w:rsid w:val="00793DC9"/>
    <w:rsid w:val="00794B38"/>
    <w:rsid w:val="00795A6B"/>
    <w:rsid w:val="007961FD"/>
    <w:rsid w:val="007A04F6"/>
    <w:rsid w:val="007A3D25"/>
    <w:rsid w:val="007A73C5"/>
    <w:rsid w:val="007B022F"/>
    <w:rsid w:val="007B1AEE"/>
    <w:rsid w:val="007B1C25"/>
    <w:rsid w:val="007B4349"/>
    <w:rsid w:val="007B59E4"/>
    <w:rsid w:val="007B5FA4"/>
    <w:rsid w:val="007B7F20"/>
    <w:rsid w:val="007C2B9A"/>
    <w:rsid w:val="007C2C53"/>
    <w:rsid w:val="007D1CCA"/>
    <w:rsid w:val="007D33D2"/>
    <w:rsid w:val="007D37B0"/>
    <w:rsid w:val="007D5545"/>
    <w:rsid w:val="007D67D8"/>
    <w:rsid w:val="007E0983"/>
    <w:rsid w:val="007E23ED"/>
    <w:rsid w:val="007E401F"/>
    <w:rsid w:val="007E4F62"/>
    <w:rsid w:val="007E61E3"/>
    <w:rsid w:val="007E73F3"/>
    <w:rsid w:val="007E7A14"/>
    <w:rsid w:val="007F3128"/>
    <w:rsid w:val="007F550B"/>
    <w:rsid w:val="00801945"/>
    <w:rsid w:val="00802E61"/>
    <w:rsid w:val="00806511"/>
    <w:rsid w:val="008079FA"/>
    <w:rsid w:val="00810E4C"/>
    <w:rsid w:val="00811C8A"/>
    <w:rsid w:val="00812DD6"/>
    <w:rsid w:val="0081363B"/>
    <w:rsid w:val="00813B12"/>
    <w:rsid w:val="00815C29"/>
    <w:rsid w:val="00816480"/>
    <w:rsid w:val="008201E6"/>
    <w:rsid w:val="00820667"/>
    <w:rsid w:val="00820F86"/>
    <w:rsid w:val="00821268"/>
    <w:rsid w:val="00822595"/>
    <w:rsid w:val="00823B68"/>
    <w:rsid w:val="00823FE1"/>
    <w:rsid w:val="00826332"/>
    <w:rsid w:val="0083090A"/>
    <w:rsid w:val="00831605"/>
    <w:rsid w:val="00833357"/>
    <w:rsid w:val="00833E75"/>
    <w:rsid w:val="008342DB"/>
    <w:rsid w:val="008358DE"/>
    <w:rsid w:val="008432BB"/>
    <w:rsid w:val="00843CEB"/>
    <w:rsid w:val="0085034D"/>
    <w:rsid w:val="008532CE"/>
    <w:rsid w:val="00854117"/>
    <w:rsid w:val="00855225"/>
    <w:rsid w:val="00855A2C"/>
    <w:rsid w:val="008619B3"/>
    <w:rsid w:val="008625D6"/>
    <w:rsid w:val="00862E7E"/>
    <w:rsid w:val="0086528C"/>
    <w:rsid w:val="00866AE2"/>
    <w:rsid w:val="00867533"/>
    <w:rsid w:val="00870ACD"/>
    <w:rsid w:val="00871E9B"/>
    <w:rsid w:val="00872477"/>
    <w:rsid w:val="008747CC"/>
    <w:rsid w:val="00874EA3"/>
    <w:rsid w:val="00875F4E"/>
    <w:rsid w:val="0087634A"/>
    <w:rsid w:val="008768EA"/>
    <w:rsid w:val="00876DBE"/>
    <w:rsid w:val="008819B4"/>
    <w:rsid w:val="00885DF2"/>
    <w:rsid w:val="00894C4D"/>
    <w:rsid w:val="008A07A9"/>
    <w:rsid w:val="008A0BEF"/>
    <w:rsid w:val="008A0E09"/>
    <w:rsid w:val="008A1585"/>
    <w:rsid w:val="008A239F"/>
    <w:rsid w:val="008A2EAC"/>
    <w:rsid w:val="008A7128"/>
    <w:rsid w:val="008B0379"/>
    <w:rsid w:val="008B2384"/>
    <w:rsid w:val="008B24BA"/>
    <w:rsid w:val="008B253F"/>
    <w:rsid w:val="008B58EE"/>
    <w:rsid w:val="008B777F"/>
    <w:rsid w:val="008B7CDA"/>
    <w:rsid w:val="008C0C7F"/>
    <w:rsid w:val="008C2033"/>
    <w:rsid w:val="008C38CF"/>
    <w:rsid w:val="008C50DE"/>
    <w:rsid w:val="008D0A3E"/>
    <w:rsid w:val="008D2C92"/>
    <w:rsid w:val="008D36AD"/>
    <w:rsid w:val="008D53D1"/>
    <w:rsid w:val="008E1D78"/>
    <w:rsid w:val="008E3B8C"/>
    <w:rsid w:val="008E3C6C"/>
    <w:rsid w:val="008E4D59"/>
    <w:rsid w:val="008E4D67"/>
    <w:rsid w:val="008E797D"/>
    <w:rsid w:val="008F27A9"/>
    <w:rsid w:val="008F624E"/>
    <w:rsid w:val="008F7E75"/>
    <w:rsid w:val="00903582"/>
    <w:rsid w:val="009061A4"/>
    <w:rsid w:val="00906CF7"/>
    <w:rsid w:val="00907F73"/>
    <w:rsid w:val="00910CF2"/>
    <w:rsid w:val="00911884"/>
    <w:rsid w:val="00911F01"/>
    <w:rsid w:val="00912706"/>
    <w:rsid w:val="00913663"/>
    <w:rsid w:val="009140DA"/>
    <w:rsid w:val="0091417D"/>
    <w:rsid w:val="00915E17"/>
    <w:rsid w:val="00916FCD"/>
    <w:rsid w:val="0092081E"/>
    <w:rsid w:val="009222E6"/>
    <w:rsid w:val="00922646"/>
    <w:rsid w:val="00922D2F"/>
    <w:rsid w:val="00925FF3"/>
    <w:rsid w:val="009269CC"/>
    <w:rsid w:val="009277F5"/>
    <w:rsid w:val="009310CD"/>
    <w:rsid w:val="00931A5A"/>
    <w:rsid w:val="009333C5"/>
    <w:rsid w:val="00936A01"/>
    <w:rsid w:val="0093787B"/>
    <w:rsid w:val="00937D5F"/>
    <w:rsid w:val="009408DC"/>
    <w:rsid w:val="0094095E"/>
    <w:rsid w:val="009428B2"/>
    <w:rsid w:val="00943E70"/>
    <w:rsid w:val="00945715"/>
    <w:rsid w:val="00945E93"/>
    <w:rsid w:val="0094630B"/>
    <w:rsid w:val="00946884"/>
    <w:rsid w:val="009505CA"/>
    <w:rsid w:val="00950770"/>
    <w:rsid w:val="00951B38"/>
    <w:rsid w:val="00953928"/>
    <w:rsid w:val="00954514"/>
    <w:rsid w:val="00956AFB"/>
    <w:rsid w:val="00957950"/>
    <w:rsid w:val="0096169E"/>
    <w:rsid w:val="00962F3A"/>
    <w:rsid w:val="00964452"/>
    <w:rsid w:val="0096475E"/>
    <w:rsid w:val="00964E43"/>
    <w:rsid w:val="009661FD"/>
    <w:rsid w:val="009663A5"/>
    <w:rsid w:val="00966C0E"/>
    <w:rsid w:val="00966DFC"/>
    <w:rsid w:val="0097130D"/>
    <w:rsid w:val="009718C5"/>
    <w:rsid w:val="00972EF4"/>
    <w:rsid w:val="00973D07"/>
    <w:rsid w:val="00973E4E"/>
    <w:rsid w:val="00975077"/>
    <w:rsid w:val="00976964"/>
    <w:rsid w:val="00976D5C"/>
    <w:rsid w:val="0098079F"/>
    <w:rsid w:val="00980B3B"/>
    <w:rsid w:val="00980CB6"/>
    <w:rsid w:val="00980F31"/>
    <w:rsid w:val="00981374"/>
    <w:rsid w:val="009830B9"/>
    <w:rsid w:val="00983A30"/>
    <w:rsid w:val="00983F17"/>
    <w:rsid w:val="009851A7"/>
    <w:rsid w:val="00985924"/>
    <w:rsid w:val="00990BE8"/>
    <w:rsid w:val="009922E6"/>
    <w:rsid w:val="00993691"/>
    <w:rsid w:val="00993ED1"/>
    <w:rsid w:val="009954A7"/>
    <w:rsid w:val="00996E5A"/>
    <w:rsid w:val="00996F3A"/>
    <w:rsid w:val="009A038C"/>
    <w:rsid w:val="009A0CE6"/>
    <w:rsid w:val="009A7802"/>
    <w:rsid w:val="009B0707"/>
    <w:rsid w:val="009B1AEE"/>
    <w:rsid w:val="009B44B8"/>
    <w:rsid w:val="009B4FD2"/>
    <w:rsid w:val="009B529C"/>
    <w:rsid w:val="009B65A8"/>
    <w:rsid w:val="009B7128"/>
    <w:rsid w:val="009B7688"/>
    <w:rsid w:val="009B778A"/>
    <w:rsid w:val="009C1EC9"/>
    <w:rsid w:val="009C2DFB"/>
    <w:rsid w:val="009C5658"/>
    <w:rsid w:val="009C5EC9"/>
    <w:rsid w:val="009C7AB1"/>
    <w:rsid w:val="009D2F8F"/>
    <w:rsid w:val="009D30DA"/>
    <w:rsid w:val="009D3C62"/>
    <w:rsid w:val="009D524D"/>
    <w:rsid w:val="009E1AFE"/>
    <w:rsid w:val="009E2498"/>
    <w:rsid w:val="009E25A2"/>
    <w:rsid w:val="009E273B"/>
    <w:rsid w:val="009E3767"/>
    <w:rsid w:val="009E448F"/>
    <w:rsid w:val="009E459F"/>
    <w:rsid w:val="009E4B77"/>
    <w:rsid w:val="009E639A"/>
    <w:rsid w:val="009E7320"/>
    <w:rsid w:val="009E7879"/>
    <w:rsid w:val="009F0B25"/>
    <w:rsid w:val="009F133D"/>
    <w:rsid w:val="009F1569"/>
    <w:rsid w:val="009F2349"/>
    <w:rsid w:val="009F383F"/>
    <w:rsid w:val="009F4A36"/>
    <w:rsid w:val="009F6BDD"/>
    <w:rsid w:val="009F7BCB"/>
    <w:rsid w:val="00A003A1"/>
    <w:rsid w:val="00A008C4"/>
    <w:rsid w:val="00A01036"/>
    <w:rsid w:val="00A01449"/>
    <w:rsid w:val="00A0194E"/>
    <w:rsid w:val="00A019EC"/>
    <w:rsid w:val="00A01EC1"/>
    <w:rsid w:val="00A02BEA"/>
    <w:rsid w:val="00A04582"/>
    <w:rsid w:val="00A055FA"/>
    <w:rsid w:val="00A1138E"/>
    <w:rsid w:val="00A114E5"/>
    <w:rsid w:val="00A11825"/>
    <w:rsid w:val="00A121E7"/>
    <w:rsid w:val="00A132E3"/>
    <w:rsid w:val="00A13344"/>
    <w:rsid w:val="00A1387C"/>
    <w:rsid w:val="00A1519B"/>
    <w:rsid w:val="00A1577D"/>
    <w:rsid w:val="00A157CF"/>
    <w:rsid w:val="00A165E2"/>
    <w:rsid w:val="00A175A1"/>
    <w:rsid w:val="00A20464"/>
    <w:rsid w:val="00A204B4"/>
    <w:rsid w:val="00A22E92"/>
    <w:rsid w:val="00A23006"/>
    <w:rsid w:val="00A2556B"/>
    <w:rsid w:val="00A25E4F"/>
    <w:rsid w:val="00A3040C"/>
    <w:rsid w:val="00A307CD"/>
    <w:rsid w:val="00A30989"/>
    <w:rsid w:val="00A31071"/>
    <w:rsid w:val="00A31E85"/>
    <w:rsid w:val="00A33A18"/>
    <w:rsid w:val="00A34DA5"/>
    <w:rsid w:val="00A36110"/>
    <w:rsid w:val="00A364F9"/>
    <w:rsid w:val="00A42FEB"/>
    <w:rsid w:val="00A43B67"/>
    <w:rsid w:val="00A43D67"/>
    <w:rsid w:val="00A44081"/>
    <w:rsid w:val="00A44BA7"/>
    <w:rsid w:val="00A44D8F"/>
    <w:rsid w:val="00A45094"/>
    <w:rsid w:val="00A45881"/>
    <w:rsid w:val="00A46577"/>
    <w:rsid w:val="00A471E3"/>
    <w:rsid w:val="00A47CF8"/>
    <w:rsid w:val="00A52DAC"/>
    <w:rsid w:val="00A53315"/>
    <w:rsid w:val="00A54932"/>
    <w:rsid w:val="00A56EF6"/>
    <w:rsid w:val="00A577B2"/>
    <w:rsid w:val="00A602A2"/>
    <w:rsid w:val="00A61FFD"/>
    <w:rsid w:val="00A65C47"/>
    <w:rsid w:val="00A65C89"/>
    <w:rsid w:val="00A7121F"/>
    <w:rsid w:val="00A718A1"/>
    <w:rsid w:val="00A7287E"/>
    <w:rsid w:val="00A74946"/>
    <w:rsid w:val="00A76086"/>
    <w:rsid w:val="00A76176"/>
    <w:rsid w:val="00A81DD4"/>
    <w:rsid w:val="00A824BF"/>
    <w:rsid w:val="00A857CA"/>
    <w:rsid w:val="00A90F33"/>
    <w:rsid w:val="00A916BA"/>
    <w:rsid w:val="00A94E37"/>
    <w:rsid w:val="00A960D5"/>
    <w:rsid w:val="00A96984"/>
    <w:rsid w:val="00AA02D5"/>
    <w:rsid w:val="00AA139F"/>
    <w:rsid w:val="00AA59B0"/>
    <w:rsid w:val="00AB0FA9"/>
    <w:rsid w:val="00AB15EE"/>
    <w:rsid w:val="00AB51AF"/>
    <w:rsid w:val="00AB53D8"/>
    <w:rsid w:val="00AB6C2B"/>
    <w:rsid w:val="00AB7318"/>
    <w:rsid w:val="00AB7FE3"/>
    <w:rsid w:val="00AC0CA2"/>
    <w:rsid w:val="00AC4B35"/>
    <w:rsid w:val="00AC64B5"/>
    <w:rsid w:val="00AC6BD6"/>
    <w:rsid w:val="00AD0A61"/>
    <w:rsid w:val="00AD181B"/>
    <w:rsid w:val="00AD5569"/>
    <w:rsid w:val="00AD599F"/>
    <w:rsid w:val="00AE14AF"/>
    <w:rsid w:val="00AE1780"/>
    <w:rsid w:val="00AE1839"/>
    <w:rsid w:val="00AE33C6"/>
    <w:rsid w:val="00AE6337"/>
    <w:rsid w:val="00AE7FAE"/>
    <w:rsid w:val="00AF19CC"/>
    <w:rsid w:val="00AF2AE0"/>
    <w:rsid w:val="00AF32C7"/>
    <w:rsid w:val="00AF490B"/>
    <w:rsid w:val="00AF56C5"/>
    <w:rsid w:val="00AF6264"/>
    <w:rsid w:val="00AF68A2"/>
    <w:rsid w:val="00B00678"/>
    <w:rsid w:val="00B01345"/>
    <w:rsid w:val="00B01872"/>
    <w:rsid w:val="00B01E6E"/>
    <w:rsid w:val="00B01EF7"/>
    <w:rsid w:val="00B025B2"/>
    <w:rsid w:val="00B02C0C"/>
    <w:rsid w:val="00B05F17"/>
    <w:rsid w:val="00B07A39"/>
    <w:rsid w:val="00B1070C"/>
    <w:rsid w:val="00B11AD6"/>
    <w:rsid w:val="00B149D2"/>
    <w:rsid w:val="00B16A81"/>
    <w:rsid w:val="00B16E01"/>
    <w:rsid w:val="00B207FB"/>
    <w:rsid w:val="00B21F0E"/>
    <w:rsid w:val="00B21F4D"/>
    <w:rsid w:val="00B223A8"/>
    <w:rsid w:val="00B22F9F"/>
    <w:rsid w:val="00B249C7"/>
    <w:rsid w:val="00B27F7B"/>
    <w:rsid w:val="00B304DC"/>
    <w:rsid w:val="00B309C9"/>
    <w:rsid w:val="00B3319A"/>
    <w:rsid w:val="00B346CC"/>
    <w:rsid w:val="00B35740"/>
    <w:rsid w:val="00B36E64"/>
    <w:rsid w:val="00B432B7"/>
    <w:rsid w:val="00B450F9"/>
    <w:rsid w:val="00B4549E"/>
    <w:rsid w:val="00B45954"/>
    <w:rsid w:val="00B459EB"/>
    <w:rsid w:val="00B45A83"/>
    <w:rsid w:val="00B50D12"/>
    <w:rsid w:val="00B525A1"/>
    <w:rsid w:val="00B55C49"/>
    <w:rsid w:val="00B60C31"/>
    <w:rsid w:val="00B64A89"/>
    <w:rsid w:val="00B65967"/>
    <w:rsid w:val="00B66A29"/>
    <w:rsid w:val="00B700F1"/>
    <w:rsid w:val="00B7013F"/>
    <w:rsid w:val="00B709E6"/>
    <w:rsid w:val="00B7105C"/>
    <w:rsid w:val="00B711E9"/>
    <w:rsid w:val="00B72F4A"/>
    <w:rsid w:val="00B74081"/>
    <w:rsid w:val="00B802B6"/>
    <w:rsid w:val="00B80C22"/>
    <w:rsid w:val="00B83791"/>
    <w:rsid w:val="00B83930"/>
    <w:rsid w:val="00B83EC6"/>
    <w:rsid w:val="00B84577"/>
    <w:rsid w:val="00B854BB"/>
    <w:rsid w:val="00B85917"/>
    <w:rsid w:val="00B86746"/>
    <w:rsid w:val="00B87E2A"/>
    <w:rsid w:val="00B919A1"/>
    <w:rsid w:val="00B92A6B"/>
    <w:rsid w:val="00B933E5"/>
    <w:rsid w:val="00B94412"/>
    <w:rsid w:val="00B9721F"/>
    <w:rsid w:val="00BA16B0"/>
    <w:rsid w:val="00BA1995"/>
    <w:rsid w:val="00BA25F3"/>
    <w:rsid w:val="00BA4343"/>
    <w:rsid w:val="00BB2328"/>
    <w:rsid w:val="00BB2D7B"/>
    <w:rsid w:val="00BB3807"/>
    <w:rsid w:val="00BB5142"/>
    <w:rsid w:val="00BB667C"/>
    <w:rsid w:val="00BB7536"/>
    <w:rsid w:val="00BB7CD9"/>
    <w:rsid w:val="00BC06AE"/>
    <w:rsid w:val="00BC1914"/>
    <w:rsid w:val="00BC4417"/>
    <w:rsid w:val="00BD1AC9"/>
    <w:rsid w:val="00BD2602"/>
    <w:rsid w:val="00BD5C5A"/>
    <w:rsid w:val="00BD6737"/>
    <w:rsid w:val="00BE1C1B"/>
    <w:rsid w:val="00BE5E47"/>
    <w:rsid w:val="00BF25EF"/>
    <w:rsid w:val="00BF48AF"/>
    <w:rsid w:val="00BF6FCC"/>
    <w:rsid w:val="00C0113A"/>
    <w:rsid w:val="00C01715"/>
    <w:rsid w:val="00C017DF"/>
    <w:rsid w:val="00C02B74"/>
    <w:rsid w:val="00C02DF2"/>
    <w:rsid w:val="00C0345D"/>
    <w:rsid w:val="00C04F78"/>
    <w:rsid w:val="00C069CC"/>
    <w:rsid w:val="00C15252"/>
    <w:rsid w:val="00C15635"/>
    <w:rsid w:val="00C16A16"/>
    <w:rsid w:val="00C22EFD"/>
    <w:rsid w:val="00C2387D"/>
    <w:rsid w:val="00C23F63"/>
    <w:rsid w:val="00C24B7A"/>
    <w:rsid w:val="00C261B5"/>
    <w:rsid w:val="00C26918"/>
    <w:rsid w:val="00C27416"/>
    <w:rsid w:val="00C27584"/>
    <w:rsid w:val="00C27679"/>
    <w:rsid w:val="00C27EBB"/>
    <w:rsid w:val="00C30C4F"/>
    <w:rsid w:val="00C33855"/>
    <w:rsid w:val="00C33890"/>
    <w:rsid w:val="00C3422B"/>
    <w:rsid w:val="00C34937"/>
    <w:rsid w:val="00C403CB"/>
    <w:rsid w:val="00C41E76"/>
    <w:rsid w:val="00C43630"/>
    <w:rsid w:val="00C44160"/>
    <w:rsid w:val="00C4432A"/>
    <w:rsid w:val="00C4486A"/>
    <w:rsid w:val="00C45BCF"/>
    <w:rsid w:val="00C461F6"/>
    <w:rsid w:val="00C50320"/>
    <w:rsid w:val="00C506AE"/>
    <w:rsid w:val="00C508FE"/>
    <w:rsid w:val="00C5245A"/>
    <w:rsid w:val="00C53AC7"/>
    <w:rsid w:val="00C54C34"/>
    <w:rsid w:val="00C56CDB"/>
    <w:rsid w:val="00C57A62"/>
    <w:rsid w:val="00C6173D"/>
    <w:rsid w:val="00C62089"/>
    <w:rsid w:val="00C66869"/>
    <w:rsid w:val="00C67D2E"/>
    <w:rsid w:val="00C723AF"/>
    <w:rsid w:val="00C77D53"/>
    <w:rsid w:val="00C81CB0"/>
    <w:rsid w:val="00C828B2"/>
    <w:rsid w:val="00C82E19"/>
    <w:rsid w:val="00C8337D"/>
    <w:rsid w:val="00C84137"/>
    <w:rsid w:val="00C84F7E"/>
    <w:rsid w:val="00C85FAC"/>
    <w:rsid w:val="00C86727"/>
    <w:rsid w:val="00C8690D"/>
    <w:rsid w:val="00C86F64"/>
    <w:rsid w:val="00C92DCC"/>
    <w:rsid w:val="00C92DFD"/>
    <w:rsid w:val="00C945E9"/>
    <w:rsid w:val="00C9662E"/>
    <w:rsid w:val="00C97112"/>
    <w:rsid w:val="00CA0D16"/>
    <w:rsid w:val="00CA0DB6"/>
    <w:rsid w:val="00CA0FBE"/>
    <w:rsid w:val="00CA0FEC"/>
    <w:rsid w:val="00CA1770"/>
    <w:rsid w:val="00CA2DAB"/>
    <w:rsid w:val="00CA33DD"/>
    <w:rsid w:val="00CA3F55"/>
    <w:rsid w:val="00CA70DC"/>
    <w:rsid w:val="00CA72AE"/>
    <w:rsid w:val="00CA72D5"/>
    <w:rsid w:val="00CA7DC3"/>
    <w:rsid w:val="00CB19ED"/>
    <w:rsid w:val="00CB1AF4"/>
    <w:rsid w:val="00CB2F25"/>
    <w:rsid w:val="00CB3E2F"/>
    <w:rsid w:val="00CB476C"/>
    <w:rsid w:val="00CB4B70"/>
    <w:rsid w:val="00CB4BAE"/>
    <w:rsid w:val="00CB7C44"/>
    <w:rsid w:val="00CB7F94"/>
    <w:rsid w:val="00CC02B8"/>
    <w:rsid w:val="00CC0440"/>
    <w:rsid w:val="00CC2891"/>
    <w:rsid w:val="00CC4C8B"/>
    <w:rsid w:val="00CD0D43"/>
    <w:rsid w:val="00CD15DD"/>
    <w:rsid w:val="00CD16E6"/>
    <w:rsid w:val="00CD332A"/>
    <w:rsid w:val="00CD4333"/>
    <w:rsid w:val="00CD4FBC"/>
    <w:rsid w:val="00CD502C"/>
    <w:rsid w:val="00CD6798"/>
    <w:rsid w:val="00CD6ACB"/>
    <w:rsid w:val="00CD6D37"/>
    <w:rsid w:val="00CE009D"/>
    <w:rsid w:val="00CE0B5A"/>
    <w:rsid w:val="00CE1570"/>
    <w:rsid w:val="00CE1BF0"/>
    <w:rsid w:val="00CE1C6B"/>
    <w:rsid w:val="00CE3D24"/>
    <w:rsid w:val="00CE45D1"/>
    <w:rsid w:val="00CE5E9D"/>
    <w:rsid w:val="00CF17D4"/>
    <w:rsid w:val="00CF2CF2"/>
    <w:rsid w:val="00CF32EC"/>
    <w:rsid w:val="00CF4DF7"/>
    <w:rsid w:val="00CF5407"/>
    <w:rsid w:val="00CF72C8"/>
    <w:rsid w:val="00D055F9"/>
    <w:rsid w:val="00D075BC"/>
    <w:rsid w:val="00D07BE9"/>
    <w:rsid w:val="00D107E8"/>
    <w:rsid w:val="00D10AEF"/>
    <w:rsid w:val="00D11A9A"/>
    <w:rsid w:val="00D11DDE"/>
    <w:rsid w:val="00D1298F"/>
    <w:rsid w:val="00D1386E"/>
    <w:rsid w:val="00D20000"/>
    <w:rsid w:val="00D200F2"/>
    <w:rsid w:val="00D20EA7"/>
    <w:rsid w:val="00D2176C"/>
    <w:rsid w:val="00D21B54"/>
    <w:rsid w:val="00D22BB5"/>
    <w:rsid w:val="00D2473B"/>
    <w:rsid w:val="00D250C5"/>
    <w:rsid w:val="00D2547A"/>
    <w:rsid w:val="00D26F8F"/>
    <w:rsid w:val="00D34E45"/>
    <w:rsid w:val="00D355A4"/>
    <w:rsid w:val="00D359C4"/>
    <w:rsid w:val="00D35EB9"/>
    <w:rsid w:val="00D36225"/>
    <w:rsid w:val="00D36637"/>
    <w:rsid w:val="00D36B8E"/>
    <w:rsid w:val="00D3760D"/>
    <w:rsid w:val="00D37F5C"/>
    <w:rsid w:val="00D40E57"/>
    <w:rsid w:val="00D4104A"/>
    <w:rsid w:val="00D41310"/>
    <w:rsid w:val="00D45766"/>
    <w:rsid w:val="00D458CF"/>
    <w:rsid w:val="00D4731E"/>
    <w:rsid w:val="00D523DE"/>
    <w:rsid w:val="00D53085"/>
    <w:rsid w:val="00D530DD"/>
    <w:rsid w:val="00D53277"/>
    <w:rsid w:val="00D53DFF"/>
    <w:rsid w:val="00D54352"/>
    <w:rsid w:val="00D6006A"/>
    <w:rsid w:val="00D622F1"/>
    <w:rsid w:val="00D63122"/>
    <w:rsid w:val="00D642B0"/>
    <w:rsid w:val="00D64846"/>
    <w:rsid w:val="00D64BC8"/>
    <w:rsid w:val="00D65E19"/>
    <w:rsid w:val="00D72490"/>
    <w:rsid w:val="00D740B3"/>
    <w:rsid w:val="00D745EE"/>
    <w:rsid w:val="00D74C1F"/>
    <w:rsid w:val="00D76D57"/>
    <w:rsid w:val="00D82CFD"/>
    <w:rsid w:val="00D832E2"/>
    <w:rsid w:val="00D846FE"/>
    <w:rsid w:val="00D85520"/>
    <w:rsid w:val="00D943F6"/>
    <w:rsid w:val="00DA0AAA"/>
    <w:rsid w:val="00DA26FB"/>
    <w:rsid w:val="00DA3087"/>
    <w:rsid w:val="00DA48FA"/>
    <w:rsid w:val="00DA6D3B"/>
    <w:rsid w:val="00DB0118"/>
    <w:rsid w:val="00DB32E9"/>
    <w:rsid w:val="00DB426B"/>
    <w:rsid w:val="00DB4FE3"/>
    <w:rsid w:val="00DB5FB6"/>
    <w:rsid w:val="00DC2DA1"/>
    <w:rsid w:val="00DC37D4"/>
    <w:rsid w:val="00DC5733"/>
    <w:rsid w:val="00DC64F1"/>
    <w:rsid w:val="00DC6961"/>
    <w:rsid w:val="00DC71DB"/>
    <w:rsid w:val="00DD05A0"/>
    <w:rsid w:val="00DD068F"/>
    <w:rsid w:val="00DD0AFE"/>
    <w:rsid w:val="00DD0D54"/>
    <w:rsid w:val="00DD1786"/>
    <w:rsid w:val="00DD42A0"/>
    <w:rsid w:val="00DD475B"/>
    <w:rsid w:val="00DD4A58"/>
    <w:rsid w:val="00DD6CB6"/>
    <w:rsid w:val="00DD70BE"/>
    <w:rsid w:val="00DE386D"/>
    <w:rsid w:val="00DE75F2"/>
    <w:rsid w:val="00DF2BB1"/>
    <w:rsid w:val="00DF4795"/>
    <w:rsid w:val="00DF76D8"/>
    <w:rsid w:val="00DF7FB3"/>
    <w:rsid w:val="00E035B8"/>
    <w:rsid w:val="00E0400E"/>
    <w:rsid w:val="00E04B7C"/>
    <w:rsid w:val="00E05CE3"/>
    <w:rsid w:val="00E064C4"/>
    <w:rsid w:val="00E065A7"/>
    <w:rsid w:val="00E10683"/>
    <w:rsid w:val="00E12265"/>
    <w:rsid w:val="00E1489F"/>
    <w:rsid w:val="00E14AB1"/>
    <w:rsid w:val="00E15A1E"/>
    <w:rsid w:val="00E20332"/>
    <w:rsid w:val="00E21372"/>
    <w:rsid w:val="00E21B05"/>
    <w:rsid w:val="00E22459"/>
    <w:rsid w:val="00E22509"/>
    <w:rsid w:val="00E22AB2"/>
    <w:rsid w:val="00E23C1A"/>
    <w:rsid w:val="00E23F86"/>
    <w:rsid w:val="00E24821"/>
    <w:rsid w:val="00E24E5F"/>
    <w:rsid w:val="00E27724"/>
    <w:rsid w:val="00E304AF"/>
    <w:rsid w:val="00E323C5"/>
    <w:rsid w:val="00E3335E"/>
    <w:rsid w:val="00E344F2"/>
    <w:rsid w:val="00E369EE"/>
    <w:rsid w:val="00E36CF6"/>
    <w:rsid w:val="00E4027B"/>
    <w:rsid w:val="00E41EC3"/>
    <w:rsid w:val="00E42C72"/>
    <w:rsid w:val="00E45585"/>
    <w:rsid w:val="00E465E9"/>
    <w:rsid w:val="00E47224"/>
    <w:rsid w:val="00E55AE7"/>
    <w:rsid w:val="00E57BA4"/>
    <w:rsid w:val="00E57F4F"/>
    <w:rsid w:val="00E60F0E"/>
    <w:rsid w:val="00E618D4"/>
    <w:rsid w:val="00E638A2"/>
    <w:rsid w:val="00E65F69"/>
    <w:rsid w:val="00E70E46"/>
    <w:rsid w:val="00E72190"/>
    <w:rsid w:val="00E72BFC"/>
    <w:rsid w:val="00E73116"/>
    <w:rsid w:val="00E73233"/>
    <w:rsid w:val="00E73323"/>
    <w:rsid w:val="00E7727B"/>
    <w:rsid w:val="00E81687"/>
    <w:rsid w:val="00E8234B"/>
    <w:rsid w:val="00E841C1"/>
    <w:rsid w:val="00E864DA"/>
    <w:rsid w:val="00E86BB5"/>
    <w:rsid w:val="00E86C50"/>
    <w:rsid w:val="00E91553"/>
    <w:rsid w:val="00E92412"/>
    <w:rsid w:val="00E9374B"/>
    <w:rsid w:val="00E937E9"/>
    <w:rsid w:val="00E94739"/>
    <w:rsid w:val="00E95F93"/>
    <w:rsid w:val="00E9632C"/>
    <w:rsid w:val="00E96809"/>
    <w:rsid w:val="00E977DA"/>
    <w:rsid w:val="00E97B7A"/>
    <w:rsid w:val="00E97E73"/>
    <w:rsid w:val="00EA0AD6"/>
    <w:rsid w:val="00EA1D67"/>
    <w:rsid w:val="00EA2B26"/>
    <w:rsid w:val="00EA3CFD"/>
    <w:rsid w:val="00EA5B64"/>
    <w:rsid w:val="00EA7160"/>
    <w:rsid w:val="00EA77EE"/>
    <w:rsid w:val="00EB0C31"/>
    <w:rsid w:val="00EB1EC2"/>
    <w:rsid w:val="00EB4195"/>
    <w:rsid w:val="00EB4C81"/>
    <w:rsid w:val="00EB716A"/>
    <w:rsid w:val="00EC0719"/>
    <w:rsid w:val="00EC0DA4"/>
    <w:rsid w:val="00EC1F65"/>
    <w:rsid w:val="00EC52FC"/>
    <w:rsid w:val="00EC799E"/>
    <w:rsid w:val="00ED0BD9"/>
    <w:rsid w:val="00ED1A87"/>
    <w:rsid w:val="00ED2277"/>
    <w:rsid w:val="00ED35D2"/>
    <w:rsid w:val="00ED43C7"/>
    <w:rsid w:val="00ED4DB0"/>
    <w:rsid w:val="00ED75E7"/>
    <w:rsid w:val="00EE110B"/>
    <w:rsid w:val="00EE113A"/>
    <w:rsid w:val="00EE1B03"/>
    <w:rsid w:val="00EE238C"/>
    <w:rsid w:val="00EE2A08"/>
    <w:rsid w:val="00EE30ED"/>
    <w:rsid w:val="00EE5618"/>
    <w:rsid w:val="00EE5A4B"/>
    <w:rsid w:val="00EE75FD"/>
    <w:rsid w:val="00EE77ED"/>
    <w:rsid w:val="00EE7C7C"/>
    <w:rsid w:val="00EE7EBC"/>
    <w:rsid w:val="00EF273A"/>
    <w:rsid w:val="00EF3D63"/>
    <w:rsid w:val="00EF4D4E"/>
    <w:rsid w:val="00EF4F29"/>
    <w:rsid w:val="00EF6A95"/>
    <w:rsid w:val="00EF6F84"/>
    <w:rsid w:val="00EF7607"/>
    <w:rsid w:val="00EF78E3"/>
    <w:rsid w:val="00EF7DF9"/>
    <w:rsid w:val="00F0050A"/>
    <w:rsid w:val="00F00F57"/>
    <w:rsid w:val="00F0209D"/>
    <w:rsid w:val="00F03008"/>
    <w:rsid w:val="00F05182"/>
    <w:rsid w:val="00F05426"/>
    <w:rsid w:val="00F10631"/>
    <w:rsid w:val="00F11789"/>
    <w:rsid w:val="00F11F40"/>
    <w:rsid w:val="00F1397C"/>
    <w:rsid w:val="00F13BFB"/>
    <w:rsid w:val="00F1533A"/>
    <w:rsid w:val="00F20F4F"/>
    <w:rsid w:val="00F21711"/>
    <w:rsid w:val="00F22AA7"/>
    <w:rsid w:val="00F23838"/>
    <w:rsid w:val="00F2527C"/>
    <w:rsid w:val="00F27B1F"/>
    <w:rsid w:val="00F307FD"/>
    <w:rsid w:val="00F30AF0"/>
    <w:rsid w:val="00F313F4"/>
    <w:rsid w:val="00F3176A"/>
    <w:rsid w:val="00F31C8F"/>
    <w:rsid w:val="00F33F48"/>
    <w:rsid w:val="00F36A0D"/>
    <w:rsid w:val="00F40672"/>
    <w:rsid w:val="00F46A00"/>
    <w:rsid w:val="00F47139"/>
    <w:rsid w:val="00F47BEE"/>
    <w:rsid w:val="00F50F54"/>
    <w:rsid w:val="00F52CC9"/>
    <w:rsid w:val="00F54237"/>
    <w:rsid w:val="00F550AB"/>
    <w:rsid w:val="00F57435"/>
    <w:rsid w:val="00F6096D"/>
    <w:rsid w:val="00F60D8A"/>
    <w:rsid w:val="00F60FD8"/>
    <w:rsid w:val="00F6655C"/>
    <w:rsid w:val="00F70923"/>
    <w:rsid w:val="00F72B23"/>
    <w:rsid w:val="00F77233"/>
    <w:rsid w:val="00F7734D"/>
    <w:rsid w:val="00F81266"/>
    <w:rsid w:val="00F81E2A"/>
    <w:rsid w:val="00F84B35"/>
    <w:rsid w:val="00F8535F"/>
    <w:rsid w:val="00F85DB2"/>
    <w:rsid w:val="00F86AC1"/>
    <w:rsid w:val="00F87CF8"/>
    <w:rsid w:val="00F911AD"/>
    <w:rsid w:val="00F922F1"/>
    <w:rsid w:val="00F9249C"/>
    <w:rsid w:val="00F96A25"/>
    <w:rsid w:val="00F96DC7"/>
    <w:rsid w:val="00F96FCD"/>
    <w:rsid w:val="00FA0264"/>
    <w:rsid w:val="00FA0F1B"/>
    <w:rsid w:val="00FA3865"/>
    <w:rsid w:val="00FA7588"/>
    <w:rsid w:val="00FA7633"/>
    <w:rsid w:val="00FB065D"/>
    <w:rsid w:val="00FB2211"/>
    <w:rsid w:val="00FB248A"/>
    <w:rsid w:val="00FB2BD8"/>
    <w:rsid w:val="00FB465C"/>
    <w:rsid w:val="00FB5057"/>
    <w:rsid w:val="00FB6B0A"/>
    <w:rsid w:val="00FB7971"/>
    <w:rsid w:val="00FC084E"/>
    <w:rsid w:val="00FC1A8E"/>
    <w:rsid w:val="00FC41D8"/>
    <w:rsid w:val="00FC5AEF"/>
    <w:rsid w:val="00FC64B9"/>
    <w:rsid w:val="00FC6A52"/>
    <w:rsid w:val="00FC7FAF"/>
    <w:rsid w:val="00FD7C84"/>
    <w:rsid w:val="00FE0E52"/>
    <w:rsid w:val="00FE156A"/>
    <w:rsid w:val="00FE1C4C"/>
    <w:rsid w:val="00FE4650"/>
    <w:rsid w:val="00FE4B3E"/>
    <w:rsid w:val="00FE57FE"/>
    <w:rsid w:val="00FE6A99"/>
    <w:rsid w:val="00FE6CAD"/>
    <w:rsid w:val="00FE7B98"/>
    <w:rsid w:val="00FF107B"/>
    <w:rsid w:val="00FF2E9C"/>
    <w:rsid w:val="00FF3579"/>
    <w:rsid w:val="00FF4A1A"/>
    <w:rsid w:val="00FF63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3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D67"/>
    <w:pPr>
      <w:ind w:left="720"/>
      <w:contextualSpacing/>
    </w:pPr>
  </w:style>
  <w:style w:type="paragraph" w:styleId="a4">
    <w:name w:val="Normal (Web)"/>
    <w:basedOn w:val="a"/>
    <w:uiPriority w:val="99"/>
    <w:unhideWhenUsed/>
    <w:rsid w:val="00FC64B9"/>
    <w:pPr>
      <w:spacing w:before="100" w:beforeAutospacing="1" w:after="100" w:afterAutospacing="1"/>
    </w:pPr>
    <w:rPr>
      <w:rFonts w:ascii="Times" w:hAnsi="Times" w:cs="Times New Roman"/>
      <w:sz w:val="20"/>
      <w:szCs w:val="20"/>
    </w:rPr>
  </w:style>
  <w:style w:type="character" w:styleId="a5">
    <w:name w:val="Hyperlink"/>
    <w:basedOn w:val="a0"/>
    <w:unhideWhenUsed/>
    <w:rsid w:val="00CE1570"/>
    <w:rPr>
      <w:color w:val="0000FF"/>
      <w:u w:val="single"/>
    </w:rPr>
  </w:style>
  <w:style w:type="paragraph" w:styleId="a6">
    <w:name w:val="Balloon Text"/>
    <w:basedOn w:val="a"/>
    <w:link w:val="Char"/>
    <w:uiPriority w:val="99"/>
    <w:semiHidden/>
    <w:unhideWhenUsed/>
    <w:rsid w:val="007115FF"/>
    <w:rPr>
      <w:rFonts w:ascii="Lucida Grande" w:hAnsi="Lucida Grande" w:cs="Lucida Grande"/>
      <w:sz w:val="18"/>
      <w:szCs w:val="18"/>
    </w:rPr>
  </w:style>
  <w:style w:type="character" w:customStyle="1" w:styleId="Char">
    <w:name w:val="批注框文本 Char"/>
    <w:basedOn w:val="a0"/>
    <w:link w:val="a6"/>
    <w:uiPriority w:val="99"/>
    <w:semiHidden/>
    <w:rsid w:val="007115FF"/>
    <w:rPr>
      <w:rFonts w:ascii="Lucida Grande" w:hAnsi="Lucida Grande" w:cs="Lucida Grande"/>
      <w:sz w:val="18"/>
      <w:szCs w:val="18"/>
      <w:lang w:val="fr-FR"/>
    </w:rPr>
  </w:style>
  <w:style w:type="paragraph" w:styleId="a7">
    <w:name w:val="footnote text"/>
    <w:basedOn w:val="a"/>
    <w:link w:val="Char0"/>
    <w:uiPriority w:val="99"/>
    <w:unhideWhenUsed/>
    <w:rsid w:val="003A2A38"/>
  </w:style>
  <w:style w:type="character" w:customStyle="1" w:styleId="Char0">
    <w:name w:val="脚注文本 Char"/>
    <w:basedOn w:val="a0"/>
    <w:link w:val="a7"/>
    <w:uiPriority w:val="99"/>
    <w:rsid w:val="003A2A38"/>
    <w:rPr>
      <w:lang w:val="fr-FR"/>
    </w:rPr>
  </w:style>
  <w:style w:type="character" w:styleId="a8">
    <w:name w:val="footnote reference"/>
    <w:basedOn w:val="a0"/>
    <w:uiPriority w:val="99"/>
    <w:unhideWhenUsed/>
    <w:rsid w:val="003A2A38"/>
    <w:rPr>
      <w:vertAlign w:val="superscript"/>
    </w:rPr>
  </w:style>
  <w:style w:type="paragraph" w:customStyle="1" w:styleId="Bibliographie1">
    <w:name w:val="Bibliographie1"/>
    <w:basedOn w:val="a"/>
    <w:rsid w:val="00421333"/>
    <w:pPr>
      <w:spacing w:after="240"/>
      <w:ind w:right="-141"/>
      <w:jc w:val="both"/>
    </w:pPr>
    <w:rPr>
      <w:rFonts w:ascii="Arial" w:hAnsi="Arial" w:cs="Arial"/>
      <w:lang w:val="en-US"/>
    </w:rPr>
  </w:style>
  <w:style w:type="character" w:styleId="a9">
    <w:name w:val="annotation reference"/>
    <w:basedOn w:val="a0"/>
    <w:uiPriority w:val="99"/>
    <w:semiHidden/>
    <w:unhideWhenUsed/>
    <w:rsid w:val="00D76D57"/>
    <w:rPr>
      <w:sz w:val="18"/>
      <w:szCs w:val="18"/>
    </w:rPr>
  </w:style>
  <w:style w:type="paragraph" w:styleId="aa">
    <w:name w:val="annotation text"/>
    <w:basedOn w:val="a"/>
    <w:link w:val="Char1"/>
    <w:uiPriority w:val="99"/>
    <w:unhideWhenUsed/>
    <w:rsid w:val="00D76D57"/>
  </w:style>
  <w:style w:type="character" w:customStyle="1" w:styleId="Char1">
    <w:name w:val="批注文字 Char"/>
    <w:basedOn w:val="a0"/>
    <w:link w:val="aa"/>
    <w:uiPriority w:val="99"/>
    <w:rsid w:val="00D76D57"/>
    <w:rPr>
      <w:lang w:val="fr-FR"/>
    </w:rPr>
  </w:style>
  <w:style w:type="paragraph" w:styleId="ab">
    <w:name w:val="annotation subject"/>
    <w:basedOn w:val="aa"/>
    <w:next w:val="aa"/>
    <w:link w:val="Char2"/>
    <w:uiPriority w:val="99"/>
    <w:semiHidden/>
    <w:unhideWhenUsed/>
    <w:rsid w:val="00D76D57"/>
    <w:rPr>
      <w:b/>
      <w:bCs/>
      <w:sz w:val="20"/>
      <w:szCs w:val="20"/>
    </w:rPr>
  </w:style>
  <w:style w:type="character" w:customStyle="1" w:styleId="Char2">
    <w:name w:val="批注主题 Char"/>
    <w:basedOn w:val="Char1"/>
    <w:link w:val="ab"/>
    <w:uiPriority w:val="99"/>
    <w:semiHidden/>
    <w:rsid w:val="00D76D57"/>
    <w:rPr>
      <w:b/>
      <w:bCs/>
      <w:sz w:val="20"/>
      <w:szCs w:val="20"/>
      <w:lang w:val="fr-FR"/>
    </w:rPr>
  </w:style>
  <w:style w:type="character" w:customStyle="1" w:styleId="Numrodepage1">
    <w:name w:val="Numéro de page1"/>
    <w:rsid w:val="00651E4A"/>
  </w:style>
  <w:style w:type="paragraph" w:styleId="ac">
    <w:name w:val="Revision"/>
    <w:hidden/>
    <w:uiPriority w:val="99"/>
    <w:semiHidden/>
    <w:rsid w:val="00A43B67"/>
    <w:rPr>
      <w:lang w:val="fr-FR"/>
    </w:rPr>
  </w:style>
  <w:style w:type="paragraph" w:customStyle="1" w:styleId="Bibliographie2">
    <w:name w:val="Bibliographie2"/>
    <w:basedOn w:val="a"/>
    <w:rsid w:val="00A7287E"/>
    <w:pPr>
      <w:widowControl w:val="0"/>
      <w:tabs>
        <w:tab w:val="left" w:pos="500"/>
      </w:tabs>
      <w:autoSpaceDE w:val="0"/>
      <w:autoSpaceDN w:val="0"/>
      <w:adjustRightInd w:val="0"/>
      <w:spacing w:after="240"/>
      <w:ind w:left="504" w:hanging="504"/>
    </w:pPr>
    <w:rPr>
      <w:sz w:val="20"/>
      <w:szCs w:val="20"/>
      <w:lang w:val="en-US"/>
    </w:rPr>
  </w:style>
  <w:style w:type="character" w:customStyle="1" w:styleId="apple-converted-space">
    <w:name w:val="apple-converted-space"/>
    <w:basedOn w:val="a0"/>
    <w:rsid w:val="009E4B77"/>
  </w:style>
  <w:style w:type="character" w:customStyle="1" w:styleId="orcid-id-https">
    <w:name w:val="orcid-id-https"/>
    <w:basedOn w:val="a0"/>
    <w:rsid w:val="009E4B77"/>
  </w:style>
  <w:style w:type="paragraph" w:customStyle="1" w:styleId="Bibliographie3">
    <w:name w:val="Bibliographie3"/>
    <w:basedOn w:val="a"/>
    <w:rsid w:val="00A1519B"/>
    <w:pPr>
      <w:tabs>
        <w:tab w:val="left" w:pos="500"/>
      </w:tabs>
      <w:spacing w:after="240"/>
      <w:ind w:left="504" w:hanging="504"/>
    </w:pPr>
    <w:rPr>
      <w:rFonts w:ascii="Book Antiqua" w:hAnsi="Book Antiqua" w:cs="Arial"/>
      <w:b/>
    </w:rPr>
  </w:style>
  <w:style w:type="paragraph" w:customStyle="1" w:styleId="Default">
    <w:name w:val="Default"/>
    <w:rsid w:val="002A4873"/>
    <w:pPr>
      <w:widowControl w:val="0"/>
      <w:autoSpaceDE w:val="0"/>
      <w:autoSpaceDN w:val="0"/>
      <w:adjustRightInd w:val="0"/>
    </w:pPr>
    <w:rPr>
      <w:rFonts w:ascii="Book Antiqua" w:hAnsi="Book Antiqua" w:cs="Book Antiqua"/>
      <w:color w:val="000000"/>
      <w:lang w:val="fr-FR"/>
    </w:rPr>
  </w:style>
  <w:style w:type="table" w:styleId="ad">
    <w:name w:val="Light Shading"/>
    <w:basedOn w:val="a1"/>
    <w:uiPriority w:val="60"/>
    <w:rsid w:val="004442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footer"/>
    <w:basedOn w:val="a"/>
    <w:link w:val="Char3"/>
    <w:uiPriority w:val="99"/>
    <w:unhideWhenUsed/>
    <w:rsid w:val="004442D5"/>
    <w:pPr>
      <w:tabs>
        <w:tab w:val="center" w:pos="4703"/>
        <w:tab w:val="right" w:pos="9406"/>
      </w:tabs>
    </w:pPr>
    <w:rPr>
      <w:lang w:val="en-GB"/>
    </w:rPr>
  </w:style>
  <w:style w:type="character" w:customStyle="1" w:styleId="Char3">
    <w:name w:val="页脚 Char"/>
    <w:basedOn w:val="a0"/>
    <w:link w:val="ae"/>
    <w:uiPriority w:val="99"/>
    <w:rsid w:val="004442D5"/>
  </w:style>
  <w:style w:type="paragraph" w:customStyle="1" w:styleId="1">
    <w:name w:val="正文1"/>
    <w:uiPriority w:val="99"/>
    <w:rsid w:val="00707081"/>
    <w:pPr>
      <w:spacing w:line="276" w:lineRule="auto"/>
    </w:pPr>
    <w:rPr>
      <w:rFonts w:ascii="Arial" w:eastAsia="宋体" w:hAnsi="Arial" w:cs="Arial"/>
      <w:color w:val="000000"/>
      <w:sz w:val="22"/>
      <w:szCs w:val="20"/>
      <w:lang w:val="pl-PL" w:eastAsia="pl-PL"/>
    </w:rPr>
  </w:style>
  <w:style w:type="paragraph" w:customStyle="1" w:styleId="p1">
    <w:name w:val="p1"/>
    <w:basedOn w:val="a"/>
    <w:rsid w:val="00707081"/>
    <w:rPr>
      <w:rFonts w:ascii="Helvetica" w:hAnsi="Helvetica" w:cs="Times New Roman"/>
      <w:sz w:val="18"/>
      <w:szCs w:val="18"/>
      <w:lang w:val="en-US" w:eastAsia="zh-CN"/>
    </w:rPr>
  </w:style>
  <w:style w:type="character" w:styleId="af">
    <w:name w:val="FollowedHyperlink"/>
    <w:basedOn w:val="a0"/>
    <w:uiPriority w:val="99"/>
    <w:semiHidden/>
    <w:unhideWhenUsed/>
    <w:rsid w:val="002D39DE"/>
    <w:rPr>
      <w:color w:val="800080" w:themeColor="followedHyperlink"/>
      <w:u w:val="single"/>
    </w:rPr>
  </w:style>
  <w:style w:type="paragraph" w:styleId="af0">
    <w:name w:val="header"/>
    <w:basedOn w:val="a"/>
    <w:link w:val="Char4"/>
    <w:uiPriority w:val="99"/>
    <w:unhideWhenUsed/>
    <w:rsid w:val="00B346CC"/>
    <w:pPr>
      <w:tabs>
        <w:tab w:val="center" w:pos="4536"/>
        <w:tab w:val="right" w:pos="9072"/>
      </w:tabs>
    </w:pPr>
  </w:style>
  <w:style w:type="character" w:customStyle="1" w:styleId="Char4">
    <w:name w:val="页眉 Char"/>
    <w:basedOn w:val="a0"/>
    <w:link w:val="af0"/>
    <w:uiPriority w:val="99"/>
    <w:rsid w:val="00B346CC"/>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D67"/>
    <w:pPr>
      <w:ind w:left="720"/>
      <w:contextualSpacing/>
    </w:pPr>
  </w:style>
  <w:style w:type="paragraph" w:styleId="a4">
    <w:name w:val="Normal (Web)"/>
    <w:basedOn w:val="a"/>
    <w:uiPriority w:val="99"/>
    <w:unhideWhenUsed/>
    <w:rsid w:val="00FC64B9"/>
    <w:pPr>
      <w:spacing w:before="100" w:beforeAutospacing="1" w:after="100" w:afterAutospacing="1"/>
    </w:pPr>
    <w:rPr>
      <w:rFonts w:ascii="Times" w:hAnsi="Times" w:cs="Times New Roman"/>
      <w:sz w:val="20"/>
      <w:szCs w:val="20"/>
    </w:rPr>
  </w:style>
  <w:style w:type="character" w:styleId="a5">
    <w:name w:val="Hyperlink"/>
    <w:basedOn w:val="a0"/>
    <w:unhideWhenUsed/>
    <w:rsid w:val="00CE1570"/>
    <w:rPr>
      <w:color w:val="0000FF"/>
      <w:u w:val="single"/>
    </w:rPr>
  </w:style>
  <w:style w:type="paragraph" w:styleId="a6">
    <w:name w:val="Balloon Text"/>
    <w:basedOn w:val="a"/>
    <w:link w:val="Char"/>
    <w:uiPriority w:val="99"/>
    <w:semiHidden/>
    <w:unhideWhenUsed/>
    <w:rsid w:val="007115FF"/>
    <w:rPr>
      <w:rFonts w:ascii="Lucida Grande" w:hAnsi="Lucida Grande" w:cs="Lucida Grande"/>
      <w:sz w:val="18"/>
      <w:szCs w:val="18"/>
    </w:rPr>
  </w:style>
  <w:style w:type="character" w:customStyle="1" w:styleId="Char">
    <w:name w:val="批注框文本 Char"/>
    <w:basedOn w:val="a0"/>
    <w:link w:val="a6"/>
    <w:uiPriority w:val="99"/>
    <w:semiHidden/>
    <w:rsid w:val="007115FF"/>
    <w:rPr>
      <w:rFonts w:ascii="Lucida Grande" w:hAnsi="Lucida Grande" w:cs="Lucida Grande"/>
      <w:sz w:val="18"/>
      <w:szCs w:val="18"/>
      <w:lang w:val="fr-FR"/>
    </w:rPr>
  </w:style>
  <w:style w:type="paragraph" w:styleId="a7">
    <w:name w:val="footnote text"/>
    <w:basedOn w:val="a"/>
    <w:link w:val="Char0"/>
    <w:uiPriority w:val="99"/>
    <w:unhideWhenUsed/>
    <w:rsid w:val="003A2A38"/>
  </w:style>
  <w:style w:type="character" w:customStyle="1" w:styleId="Char0">
    <w:name w:val="脚注文本 Char"/>
    <w:basedOn w:val="a0"/>
    <w:link w:val="a7"/>
    <w:uiPriority w:val="99"/>
    <w:rsid w:val="003A2A38"/>
    <w:rPr>
      <w:lang w:val="fr-FR"/>
    </w:rPr>
  </w:style>
  <w:style w:type="character" w:styleId="a8">
    <w:name w:val="footnote reference"/>
    <w:basedOn w:val="a0"/>
    <w:uiPriority w:val="99"/>
    <w:unhideWhenUsed/>
    <w:rsid w:val="003A2A38"/>
    <w:rPr>
      <w:vertAlign w:val="superscript"/>
    </w:rPr>
  </w:style>
  <w:style w:type="paragraph" w:customStyle="1" w:styleId="Bibliographie1">
    <w:name w:val="Bibliographie1"/>
    <w:basedOn w:val="a"/>
    <w:rsid w:val="00421333"/>
    <w:pPr>
      <w:spacing w:after="240"/>
      <w:ind w:right="-141"/>
      <w:jc w:val="both"/>
    </w:pPr>
    <w:rPr>
      <w:rFonts w:ascii="Arial" w:hAnsi="Arial" w:cs="Arial"/>
      <w:lang w:val="en-US"/>
    </w:rPr>
  </w:style>
  <w:style w:type="character" w:styleId="a9">
    <w:name w:val="annotation reference"/>
    <w:basedOn w:val="a0"/>
    <w:uiPriority w:val="99"/>
    <w:semiHidden/>
    <w:unhideWhenUsed/>
    <w:rsid w:val="00D76D57"/>
    <w:rPr>
      <w:sz w:val="18"/>
      <w:szCs w:val="18"/>
    </w:rPr>
  </w:style>
  <w:style w:type="paragraph" w:styleId="aa">
    <w:name w:val="annotation text"/>
    <w:basedOn w:val="a"/>
    <w:link w:val="Char1"/>
    <w:uiPriority w:val="99"/>
    <w:unhideWhenUsed/>
    <w:rsid w:val="00D76D57"/>
  </w:style>
  <w:style w:type="character" w:customStyle="1" w:styleId="Char1">
    <w:name w:val="批注文字 Char"/>
    <w:basedOn w:val="a0"/>
    <w:link w:val="aa"/>
    <w:uiPriority w:val="99"/>
    <w:rsid w:val="00D76D57"/>
    <w:rPr>
      <w:lang w:val="fr-FR"/>
    </w:rPr>
  </w:style>
  <w:style w:type="paragraph" w:styleId="ab">
    <w:name w:val="annotation subject"/>
    <w:basedOn w:val="aa"/>
    <w:next w:val="aa"/>
    <w:link w:val="Char2"/>
    <w:uiPriority w:val="99"/>
    <w:semiHidden/>
    <w:unhideWhenUsed/>
    <w:rsid w:val="00D76D57"/>
    <w:rPr>
      <w:b/>
      <w:bCs/>
      <w:sz w:val="20"/>
      <w:szCs w:val="20"/>
    </w:rPr>
  </w:style>
  <w:style w:type="character" w:customStyle="1" w:styleId="Char2">
    <w:name w:val="批注主题 Char"/>
    <w:basedOn w:val="Char1"/>
    <w:link w:val="ab"/>
    <w:uiPriority w:val="99"/>
    <w:semiHidden/>
    <w:rsid w:val="00D76D57"/>
    <w:rPr>
      <w:b/>
      <w:bCs/>
      <w:sz w:val="20"/>
      <w:szCs w:val="20"/>
      <w:lang w:val="fr-FR"/>
    </w:rPr>
  </w:style>
  <w:style w:type="character" w:customStyle="1" w:styleId="Numrodepage1">
    <w:name w:val="Numéro de page1"/>
    <w:rsid w:val="00651E4A"/>
  </w:style>
  <w:style w:type="paragraph" w:styleId="ac">
    <w:name w:val="Revision"/>
    <w:hidden/>
    <w:uiPriority w:val="99"/>
    <w:semiHidden/>
    <w:rsid w:val="00A43B67"/>
    <w:rPr>
      <w:lang w:val="fr-FR"/>
    </w:rPr>
  </w:style>
  <w:style w:type="paragraph" w:customStyle="1" w:styleId="Bibliographie2">
    <w:name w:val="Bibliographie2"/>
    <w:basedOn w:val="a"/>
    <w:rsid w:val="00A7287E"/>
    <w:pPr>
      <w:widowControl w:val="0"/>
      <w:tabs>
        <w:tab w:val="left" w:pos="500"/>
      </w:tabs>
      <w:autoSpaceDE w:val="0"/>
      <w:autoSpaceDN w:val="0"/>
      <w:adjustRightInd w:val="0"/>
      <w:spacing w:after="240"/>
      <w:ind w:left="504" w:hanging="504"/>
    </w:pPr>
    <w:rPr>
      <w:sz w:val="20"/>
      <w:szCs w:val="20"/>
      <w:lang w:val="en-US"/>
    </w:rPr>
  </w:style>
  <w:style w:type="character" w:customStyle="1" w:styleId="apple-converted-space">
    <w:name w:val="apple-converted-space"/>
    <w:basedOn w:val="a0"/>
    <w:rsid w:val="009E4B77"/>
  </w:style>
  <w:style w:type="character" w:customStyle="1" w:styleId="orcid-id-https">
    <w:name w:val="orcid-id-https"/>
    <w:basedOn w:val="a0"/>
    <w:rsid w:val="009E4B77"/>
  </w:style>
  <w:style w:type="paragraph" w:customStyle="1" w:styleId="Bibliographie3">
    <w:name w:val="Bibliographie3"/>
    <w:basedOn w:val="a"/>
    <w:rsid w:val="00A1519B"/>
    <w:pPr>
      <w:tabs>
        <w:tab w:val="left" w:pos="500"/>
      </w:tabs>
      <w:spacing w:after="240"/>
      <w:ind w:left="504" w:hanging="504"/>
    </w:pPr>
    <w:rPr>
      <w:rFonts w:ascii="Book Antiqua" w:hAnsi="Book Antiqua" w:cs="Arial"/>
      <w:b/>
    </w:rPr>
  </w:style>
  <w:style w:type="paragraph" w:customStyle="1" w:styleId="Default">
    <w:name w:val="Default"/>
    <w:rsid w:val="002A4873"/>
    <w:pPr>
      <w:widowControl w:val="0"/>
      <w:autoSpaceDE w:val="0"/>
      <w:autoSpaceDN w:val="0"/>
      <w:adjustRightInd w:val="0"/>
    </w:pPr>
    <w:rPr>
      <w:rFonts w:ascii="Book Antiqua" w:hAnsi="Book Antiqua" w:cs="Book Antiqua"/>
      <w:color w:val="000000"/>
      <w:lang w:val="fr-FR"/>
    </w:rPr>
  </w:style>
  <w:style w:type="table" w:styleId="ad">
    <w:name w:val="Light Shading"/>
    <w:basedOn w:val="a1"/>
    <w:uiPriority w:val="60"/>
    <w:rsid w:val="004442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footer"/>
    <w:basedOn w:val="a"/>
    <w:link w:val="Char3"/>
    <w:uiPriority w:val="99"/>
    <w:unhideWhenUsed/>
    <w:rsid w:val="004442D5"/>
    <w:pPr>
      <w:tabs>
        <w:tab w:val="center" w:pos="4703"/>
        <w:tab w:val="right" w:pos="9406"/>
      </w:tabs>
    </w:pPr>
    <w:rPr>
      <w:lang w:val="en-GB"/>
    </w:rPr>
  </w:style>
  <w:style w:type="character" w:customStyle="1" w:styleId="Char3">
    <w:name w:val="页脚 Char"/>
    <w:basedOn w:val="a0"/>
    <w:link w:val="ae"/>
    <w:uiPriority w:val="99"/>
    <w:rsid w:val="004442D5"/>
  </w:style>
  <w:style w:type="paragraph" w:customStyle="1" w:styleId="1">
    <w:name w:val="正文1"/>
    <w:uiPriority w:val="99"/>
    <w:rsid w:val="00707081"/>
    <w:pPr>
      <w:spacing w:line="276" w:lineRule="auto"/>
    </w:pPr>
    <w:rPr>
      <w:rFonts w:ascii="Arial" w:eastAsia="宋体" w:hAnsi="Arial" w:cs="Arial"/>
      <w:color w:val="000000"/>
      <w:sz w:val="22"/>
      <w:szCs w:val="20"/>
      <w:lang w:val="pl-PL" w:eastAsia="pl-PL"/>
    </w:rPr>
  </w:style>
  <w:style w:type="paragraph" w:customStyle="1" w:styleId="p1">
    <w:name w:val="p1"/>
    <w:basedOn w:val="a"/>
    <w:rsid w:val="00707081"/>
    <w:rPr>
      <w:rFonts w:ascii="Helvetica" w:hAnsi="Helvetica" w:cs="Times New Roman"/>
      <w:sz w:val="18"/>
      <w:szCs w:val="18"/>
      <w:lang w:val="en-US" w:eastAsia="zh-CN"/>
    </w:rPr>
  </w:style>
  <w:style w:type="character" w:styleId="af">
    <w:name w:val="FollowedHyperlink"/>
    <w:basedOn w:val="a0"/>
    <w:uiPriority w:val="99"/>
    <w:semiHidden/>
    <w:unhideWhenUsed/>
    <w:rsid w:val="002D39DE"/>
    <w:rPr>
      <w:color w:val="800080" w:themeColor="followedHyperlink"/>
      <w:u w:val="single"/>
    </w:rPr>
  </w:style>
  <w:style w:type="paragraph" w:styleId="af0">
    <w:name w:val="header"/>
    <w:basedOn w:val="a"/>
    <w:link w:val="Char4"/>
    <w:uiPriority w:val="99"/>
    <w:unhideWhenUsed/>
    <w:rsid w:val="00B346CC"/>
    <w:pPr>
      <w:tabs>
        <w:tab w:val="center" w:pos="4536"/>
        <w:tab w:val="right" w:pos="9072"/>
      </w:tabs>
    </w:pPr>
  </w:style>
  <w:style w:type="character" w:customStyle="1" w:styleId="Char4">
    <w:name w:val="页眉 Char"/>
    <w:basedOn w:val="a0"/>
    <w:link w:val="af0"/>
    <w:uiPriority w:val="99"/>
    <w:rsid w:val="00B346C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082">
      <w:bodyDiv w:val="1"/>
      <w:marLeft w:val="0"/>
      <w:marRight w:val="0"/>
      <w:marTop w:val="0"/>
      <w:marBottom w:val="0"/>
      <w:divBdr>
        <w:top w:val="none" w:sz="0" w:space="0" w:color="auto"/>
        <w:left w:val="none" w:sz="0" w:space="0" w:color="auto"/>
        <w:bottom w:val="none" w:sz="0" w:space="0" w:color="auto"/>
        <w:right w:val="none" w:sz="0" w:space="0" w:color="auto"/>
      </w:divBdr>
    </w:div>
    <w:div w:id="83765289">
      <w:bodyDiv w:val="1"/>
      <w:marLeft w:val="0"/>
      <w:marRight w:val="0"/>
      <w:marTop w:val="0"/>
      <w:marBottom w:val="0"/>
      <w:divBdr>
        <w:top w:val="none" w:sz="0" w:space="0" w:color="auto"/>
        <w:left w:val="none" w:sz="0" w:space="0" w:color="auto"/>
        <w:bottom w:val="none" w:sz="0" w:space="0" w:color="auto"/>
        <w:right w:val="none" w:sz="0" w:space="0" w:color="auto"/>
      </w:divBdr>
    </w:div>
    <w:div w:id="187918353">
      <w:bodyDiv w:val="1"/>
      <w:marLeft w:val="0"/>
      <w:marRight w:val="0"/>
      <w:marTop w:val="0"/>
      <w:marBottom w:val="0"/>
      <w:divBdr>
        <w:top w:val="none" w:sz="0" w:space="0" w:color="auto"/>
        <w:left w:val="none" w:sz="0" w:space="0" w:color="auto"/>
        <w:bottom w:val="none" w:sz="0" w:space="0" w:color="auto"/>
        <w:right w:val="none" w:sz="0" w:space="0" w:color="auto"/>
      </w:divBdr>
      <w:divsChild>
        <w:div w:id="221715969">
          <w:marLeft w:val="480"/>
          <w:marRight w:val="0"/>
          <w:marTop w:val="0"/>
          <w:marBottom w:val="0"/>
          <w:divBdr>
            <w:top w:val="none" w:sz="0" w:space="0" w:color="auto"/>
            <w:left w:val="none" w:sz="0" w:space="0" w:color="auto"/>
            <w:bottom w:val="none" w:sz="0" w:space="0" w:color="auto"/>
            <w:right w:val="none" w:sz="0" w:space="0" w:color="auto"/>
          </w:divBdr>
          <w:divsChild>
            <w:div w:id="109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188">
      <w:bodyDiv w:val="1"/>
      <w:marLeft w:val="0"/>
      <w:marRight w:val="0"/>
      <w:marTop w:val="0"/>
      <w:marBottom w:val="0"/>
      <w:divBdr>
        <w:top w:val="none" w:sz="0" w:space="0" w:color="auto"/>
        <w:left w:val="none" w:sz="0" w:space="0" w:color="auto"/>
        <w:bottom w:val="none" w:sz="0" w:space="0" w:color="auto"/>
        <w:right w:val="none" w:sz="0" w:space="0" w:color="auto"/>
      </w:divBdr>
    </w:div>
    <w:div w:id="225796739">
      <w:bodyDiv w:val="1"/>
      <w:marLeft w:val="0"/>
      <w:marRight w:val="0"/>
      <w:marTop w:val="0"/>
      <w:marBottom w:val="0"/>
      <w:divBdr>
        <w:top w:val="none" w:sz="0" w:space="0" w:color="auto"/>
        <w:left w:val="none" w:sz="0" w:space="0" w:color="auto"/>
        <w:bottom w:val="none" w:sz="0" w:space="0" w:color="auto"/>
        <w:right w:val="none" w:sz="0" w:space="0" w:color="auto"/>
      </w:divBdr>
    </w:div>
    <w:div w:id="544172385">
      <w:bodyDiv w:val="1"/>
      <w:marLeft w:val="0"/>
      <w:marRight w:val="0"/>
      <w:marTop w:val="0"/>
      <w:marBottom w:val="0"/>
      <w:divBdr>
        <w:top w:val="none" w:sz="0" w:space="0" w:color="auto"/>
        <w:left w:val="none" w:sz="0" w:space="0" w:color="auto"/>
        <w:bottom w:val="none" w:sz="0" w:space="0" w:color="auto"/>
        <w:right w:val="none" w:sz="0" w:space="0" w:color="auto"/>
      </w:divBdr>
    </w:div>
    <w:div w:id="616260133">
      <w:bodyDiv w:val="1"/>
      <w:marLeft w:val="0"/>
      <w:marRight w:val="0"/>
      <w:marTop w:val="0"/>
      <w:marBottom w:val="0"/>
      <w:divBdr>
        <w:top w:val="none" w:sz="0" w:space="0" w:color="auto"/>
        <w:left w:val="none" w:sz="0" w:space="0" w:color="auto"/>
        <w:bottom w:val="none" w:sz="0" w:space="0" w:color="auto"/>
        <w:right w:val="none" w:sz="0" w:space="0" w:color="auto"/>
      </w:divBdr>
    </w:div>
    <w:div w:id="624385511">
      <w:bodyDiv w:val="1"/>
      <w:marLeft w:val="0"/>
      <w:marRight w:val="0"/>
      <w:marTop w:val="0"/>
      <w:marBottom w:val="0"/>
      <w:divBdr>
        <w:top w:val="none" w:sz="0" w:space="0" w:color="auto"/>
        <w:left w:val="none" w:sz="0" w:space="0" w:color="auto"/>
        <w:bottom w:val="none" w:sz="0" w:space="0" w:color="auto"/>
        <w:right w:val="none" w:sz="0" w:space="0" w:color="auto"/>
      </w:divBdr>
    </w:div>
    <w:div w:id="752433905">
      <w:bodyDiv w:val="1"/>
      <w:marLeft w:val="0"/>
      <w:marRight w:val="0"/>
      <w:marTop w:val="0"/>
      <w:marBottom w:val="0"/>
      <w:divBdr>
        <w:top w:val="none" w:sz="0" w:space="0" w:color="auto"/>
        <w:left w:val="none" w:sz="0" w:space="0" w:color="auto"/>
        <w:bottom w:val="none" w:sz="0" w:space="0" w:color="auto"/>
        <w:right w:val="none" w:sz="0" w:space="0" w:color="auto"/>
      </w:divBdr>
    </w:div>
    <w:div w:id="798567412">
      <w:bodyDiv w:val="1"/>
      <w:marLeft w:val="0"/>
      <w:marRight w:val="0"/>
      <w:marTop w:val="0"/>
      <w:marBottom w:val="0"/>
      <w:divBdr>
        <w:top w:val="none" w:sz="0" w:space="0" w:color="auto"/>
        <w:left w:val="none" w:sz="0" w:space="0" w:color="auto"/>
        <w:bottom w:val="none" w:sz="0" w:space="0" w:color="auto"/>
        <w:right w:val="none" w:sz="0" w:space="0" w:color="auto"/>
      </w:divBdr>
    </w:div>
    <w:div w:id="842360196">
      <w:bodyDiv w:val="1"/>
      <w:marLeft w:val="0"/>
      <w:marRight w:val="0"/>
      <w:marTop w:val="0"/>
      <w:marBottom w:val="0"/>
      <w:divBdr>
        <w:top w:val="none" w:sz="0" w:space="0" w:color="auto"/>
        <w:left w:val="none" w:sz="0" w:space="0" w:color="auto"/>
        <w:bottom w:val="none" w:sz="0" w:space="0" w:color="auto"/>
        <w:right w:val="none" w:sz="0" w:space="0" w:color="auto"/>
      </w:divBdr>
    </w:div>
    <w:div w:id="1060247195">
      <w:bodyDiv w:val="1"/>
      <w:marLeft w:val="0"/>
      <w:marRight w:val="0"/>
      <w:marTop w:val="0"/>
      <w:marBottom w:val="0"/>
      <w:divBdr>
        <w:top w:val="none" w:sz="0" w:space="0" w:color="auto"/>
        <w:left w:val="none" w:sz="0" w:space="0" w:color="auto"/>
        <w:bottom w:val="none" w:sz="0" w:space="0" w:color="auto"/>
        <w:right w:val="none" w:sz="0" w:space="0" w:color="auto"/>
      </w:divBdr>
    </w:div>
    <w:div w:id="1251617328">
      <w:bodyDiv w:val="1"/>
      <w:marLeft w:val="0"/>
      <w:marRight w:val="0"/>
      <w:marTop w:val="0"/>
      <w:marBottom w:val="0"/>
      <w:divBdr>
        <w:top w:val="none" w:sz="0" w:space="0" w:color="auto"/>
        <w:left w:val="none" w:sz="0" w:space="0" w:color="auto"/>
        <w:bottom w:val="none" w:sz="0" w:space="0" w:color="auto"/>
        <w:right w:val="none" w:sz="0" w:space="0" w:color="auto"/>
      </w:divBdr>
      <w:divsChild>
        <w:div w:id="1260521732">
          <w:marLeft w:val="0"/>
          <w:marRight w:val="0"/>
          <w:marTop w:val="0"/>
          <w:marBottom w:val="0"/>
          <w:divBdr>
            <w:top w:val="none" w:sz="0" w:space="0" w:color="auto"/>
            <w:left w:val="none" w:sz="0" w:space="0" w:color="auto"/>
            <w:bottom w:val="none" w:sz="0" w:space="0" w:color="auto"/>
            <w:right w:val="none" w:sz="0" w:space="0" w:color="auto"/>
          </w:divBdr>
        </w:div>
        <w:div w:id="1611012533">
          <w:marLeft w:val="0"/>
          <w:marRight w:val="0"/>
          <w:marTop w:val="0"/>
          <w:marBottom w:val="0"/>
          <w:divBdr>
            <w:top w:val="none" w:sz="0" w:space="0" w:color="auto"/>
            <w:left w:val="none" w:sz="0" w:space="0" w:color="auto"/>
            <w:bottom w:val="none" w:sz="0" w:space="0" w:color="auto"/>
            <w:right w:val="none" w:sz="0" w:space="0" w:color="auto"/>
          </w:divBdr>
        </w:div>
      </w:divsChild>
    </w:div>
    <w:div w:id="1311599142">
      <w:bodyDiv w:val="1"/>
      <w:marLeft w:val="0"/>
      <w:marRight w:val="0"/>
      <w:marTop w:val="0"/>
      <w:marBottom w:val="0"/>
      <w:divBdr>
        <w:top w:val="none" w:sz="0" w:space="0" w:color="auto"/>
        <w:left w:val="none" w:sz="0" w:space="0" w:color="auto"/>
        <w:bottom w:val="none" w:sz="0" w:space="0" w:color="auto"/>
        <w:right w:val="none" w:sz="0" w:space="0" w:color="auto"/>
      </w:divBdr>
      <w:divsChild>
        <w:div w:id="1018853648">
          <w:marLeft w:val="0"/>
          <w:marRight w:val="0"/>
          <w:marTop w:val="0"/>
          <w:marBottom w:val="0"/>
          <w:divBdr>
            <w:top w:val="none" w:sz="0" w:space="0" w:color="auto"/>
            <w:left w:val="none" w:sz="0" w:space="0" w:color="auto"/>
            <w:bottom w:val="none" w:sz="0" w:space="0" w:color="auto"/>
            <w:right w:val="none" w:sz="0" w:space="0" w:color="auto"/>
          </w:divBdr>
        </w:div>
        <w:div w:id="2015839252">
          <w:marLeft w:val="0"/>
          <w:marRight w:val="0"/>
          <w:marTop w:val="0"/>
          <w:marBottom w:val="0"/>
          <w:divBdr>
            <w:top w:val="none" w:sz="0" w:space="0" w:color="auto"/>
            <w:left w:val="none" w:sz="0" w:space="0" w:color="auto"/>
            <w:bottom w:val="none" w:sz="0" w:space="0" w:color="auto"/>
            <w:right w:val="none" w:sz="0" w:space="0" w:color="auto"/>
          </w:divBdr>
        </w:div>
      </w:divsChild>
    </w:div>
    <w:div w:id="1374188965">
      <w:bodyDiv w:val="1"/>
      <w:marLeft w:val="0"/>
      <w:marRight w:val="0"/>
      <w:marTop w:val="0"/>
      <w:marBottom w:val="0"/>
      <w:divBdr>
        <w:top w:val="none" w:sz="0" w:space="0" w:color="auto"/>
        <w:left w:val="none" w:sz="0" w:space="0" w:color="auto"/>
        <w:bottom w:val="none" w:sz="0" w:space="0" w:color="auto"/>
        <w:right w:val="none" w:sz="0" w:space="0" w:color="auto"/>
      </w:divBdr>
      <w:divsChild>
        <w:div w:id="478694651">
          <w:marLeft w:val="0"/>
          <w:marRight w:val="0"/>
          <w:marTop w:val="0"/>
          <w:marBottom w:val="0"/>
          <w:divBdr>
            <w:top w:val="none" w:sz="0" w:space="0" w:color="auto"/>
            <w:left w:val="none" w:sz="0" w:space="0" w:color="auto"/>
            <w:bottom w:val="none" w:sz="0" w:space="0" w:color="auto"/>
            <w:right w:val="none" w:sz="0" w:space="0" w:color="auto"/>
          </w:divBdr>
        </w:div>
        <w:div w:id="1635330166">
          <w:marLeft w:val="0"/>
          <w:marRight w:val="0"/>
          <w:marTop w:val="0"/>
          <w:marBottom w:val="0"/>
          <w:divBdr>
            <w:top w:val="none" w:sz="0" w:space="0" w:color="auto"/>
            <w:left w:val="none" w:sz="0" w:space="0" w:color="auto"/>
            <w:bottom w:val="none" w:sz="0" w:space="0" w:color="auto"/>
            <w:right w:val="none" w:sz="0" w:space="0" w:color="auto"/>
          </w:divBdr>
        </w:div>
      </w:divsChild>
    </w:div>
    <w:div w:id="1445222997">
      <w:bodyDiv w:val="1"/>
      <w:marLeft w:val="0"/>
      <w:marRight w:val="0"/>
      <w:marTop w:val="0"/>
      <w:marBottom w:val="0"/>
      <w:divBdr>
        <w:top w:val="none" w:sz="0" w:space="0" w:color="auto"/>
        <w:left w:val="none" w:sz="0" w:space="0" w:color="auto"/>
        <w:bottom w:val="none" w:sz="0" w:space="0" w:color="auto"/>
        <w:right w:val="none" w:sz="0" w:space="0" w:color="auto"/>
      </w:divBdr>
    </w:div>
    <w:div w:id="1547790356">
      <w:bodyDiv w:val="1"/>
      <w:marLeft w:val="0"/>
      <w:marRight w:val="0"/>
      <w:marTop w:val="0"/>
      <w:marBottom w:val="0"/>
      <w:divBdr>
        <w:top w:val="none" w:sz="0" w:space="0" w:color="auto"/>
        <w:left w:val="none" w:sz="0" w:space="0" w:color="auto"/>
        <w:bottom w:val="none" w:sz="0" w:space="0" w:color="auto"/>
        <w:right w:val="none" w:sz="0" w:space="0" w:color="auto"/>
      </w:divBdr>
    </w:div>
    <w:div w:id="1549028636">
      <w:bodyDiv w:val="1"/>
      <w:marLeft w:val="0"/>
      <w:marRight w:val="0"/>
      <w:marTop w:val="0"/>
      <w:marBottom w:val="0"/>
      <w:divBdr>
        <w:top w:val="none" w:sz="0" w:space="0" w:color="auto"/>
        <w:left w:val="none" w:sz="0" w:space="0" w:color="auto"/>
        <w:bottom w:val="none" w:sz="0" w:space="0" w:color="auto"/>
        <w:right w:val="none" w:sz="0" w:space="0" w:color="auto"/>
      </w:divBdr>
    </w:div>
    <w:div w:id="1681812615">
      <w:bodyDiv w:val="1"/>
      <w:marLeft w:val="0"/>
      <w:marRight w:val="0"/>
      <w:marTop w:val="0"/>
      <w:marBottom w:val="0"/>
      <w:divBdr>
        <w:top w:val="none" w:sz="0" w:space="0" w:color="auto"/>
        <w:left w:val="none" w:sz="0" w:space="0" w:color="auto"/>
        <w:bottom w:val="none" w:sz="0" w:space="0" w:color="auto"/>
        <w:right w:val="none" w:sz="0" w:space="0" w:color="auto"/>
      </w:divBdr>
    </w:div>
    <w:div w:id="1827161043">
      <w:bodyDiv w:val="1"/>
      <w:marLeft w:val="0"/>
      <w:marRight w:val="0"/>
      <w:marTop w:val="0"/>
      <w:marBottom w:val="0"/>
      <w:divBdr>
        <w:top w:val="none" w:sz="0" w:space="0" w:color="auto"/>
        <w:left w:val="none" w:sz="0" w:space="0" w:color="auto"/>
        <w:bottom w:val="none" w:sz="0" w:space="0" w:color="auto"/>
        <w:right w:val="none" w:sz="0" w:space="0" w:color="auto"/>
      </w:divBdr>
    </w:div>
    <w:div w:id="2071726305">
      <w:bodyDiv w:val="1"/>
      <w:marLeft w:val="0"/>
      <w:marRight w:val="0"/>
      <w:marTop w:val="0"/>
      <w:marBottom w:val="0"/>
      <w:divBdr>
        <w:top w:val="none" w:sz="0" w:space="0" w:color="auto"/>
        <w:left w:val="none" w:sz="0" w:space="0" w:color="auto"/>
        <w:bottom w:val="none" w:sz="0" w:space="0" w:color="auto"/>
        <w:right w:val="none" w:sz="0" w:space="0" w:color="auto"/>
      </w:divBdr>
    </w:div>
    <w:div w:id="2118675548">
      <w:bodyDiv w:val="1"/>
      <w:marLeft w:val="0"/>
      <w:marRight w:val="0"/>
      <w:marTop w:val="0"/>
      <w:marBottom w:val="0"/>
      <w:divBdr>
        <w:top w:val="none" w:sz="0" w:space="0" w:color="auto"/>
        <w:left w:val="none" w:sz="0" w:space="0" w:color="auto"/>
        <w:bottom w:val="none" w:sz="0" w:space="0" w:color="auto"/>
        <w:right w:val="none" w:sz="0" w:space="0" w:color="auto"/>
      </w:divBdr>
    </w:div>
    <w:div w:id="2119249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ptiste.michard@chru-strasbourg.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9026-77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mille.besch@chru-strasbourg.fr" TargetMode="External"/><Relationship Id="rId4" Type="http://schemas.microsoft.com/office/2007/relationships/stylesWithEffects" Target="stylesWithEffects.xml"/><Relationship Id="rId9" Type="http://schemas.openxmlformats.org/officeDocument/2006/relationships/hyperlink" Target="https://orcid.org/0000-0001-5605-9229?lang=en"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F7E7-AF7F-42A6-8F64-5D1EDC00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74805</Words>
  <Characters>426391</Characters>
  <Application>Microsoft Office Word</Application>
  <DocSecurity>0</DocSecurity>
  <Lines>3553</Lines>
  <Paragraphs>1000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HUS</Company>
  <LinksUpToDate>false</LinksUpToDate>
  <CharactersWithSpaces>500196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 Michard</dc:creator>
  <cp:lastModifiedBy>Administrator</cp:lastModifiedBy>
  <cp:revision>4</cp:revision>
  <dcterms:created xsi:type="dcterms:W3CDTF">2018-11-13T21:42:00Z</dcterms:created>
  <dcterms:modified xsi:type="dcterms:W3CDTF">2019-01-08T07:25:00Z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id="vSHowEcB"/&gt;&lt;style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