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B0" w:rsidRDefault="00371BB0" w:rsidP="00371BB0">
      <w:pPr>
        <w:rPr>
          <w:rFonts w:ascii="Book Antiqua" w:hAnsi="Book Antiqua"/>
          <w:b/>
          <w:noProof/>
          <w:color w:val="0000FF"/>
          <w:sz w:val="28"/>
          <w:szCs w:val="28"/>
          <w:shd w:val="clear" w:color="auto" w:fill="FFFFFF"/>
        </w:rPr>
      </w:pPr>
    </w:p>
    <w:p w:rsidR="00371BB0" w:rsidRDefault="00371BB0" w:rsidP="00371BB0">
      <w:pPr>
        <w:rPr>
          <w:rFonts w:ascii="Book Antiqua" w:hAnsi="Book Antiqua"/>
          <w:b/>
          <w:color w:val="0000FF"/>
          <w:sz w:val="32"/>
          <w:szCs w:val="32"/>
        </w:rPr>
      </w:pPr>
      <w:r>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5"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7"/>
        <w:gridCol w:w="6748"/>
      </w:tblGrid>
      <w:tr w:rsidR="00371BB0" w:rsidTr="00371BB0">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spacing w:line="360" w:lineRule="auto"/>
              <w:jc w:val="left"/>
              <w:rPr>
                <w:rFonts w:ascii="Book Antiqua" w:hAnsi="Book Antiqua"/>
                <w:b/>
                <w:color w:val="000000"/>
                <w:sz w:val="24"/>
                <w:szCs w:val="24"/>
              </w:rPr>
            </w:pPr>
            <w:r>
              <w:rPr>
                <w:rFonts w:ascii="Book Antiqua" w:hAnsi="Book Antiqua"/>
                <w:b/>
                <w:color w:val="000000"/>
                <w:sz w:val="24"/>
                <w:szCs w:val="24"/>
              </w:rPr>
              <w:t>TITLE</w:t>
            </w:r>
          </w:p>
        </w:tc>
        <w:tc>
          <w:tcPr>
            <w:tcW w:w="6750"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spacing w:line="360" w:lineRule="auto"/>
              <w:rPr>
                <w:rFonts w:ascii="Book Antiqua" w:hAnsi="Book Antiqua"/>
                <w:color w:val="000000"/>
                <w:sz w:val="24"/>
                <w:szCs w:val="24"/>
              </w:rPr>
            </w:pPr>
            <w:r>
              <w:rPr>
                <w:rFonts w:ascii="Book Antiqua" w:hAnsi="Book Antiqua"/>
                <w:color w:val="000000"/>
                <w:sz w:val="24"/>
                <w:szCs w:val="24"/>
              </w:rPr>
              <w:t>Hepatitis C: From inflammatory pathogenesis to anti-inflammatory/hepatoprotective therapy</w:t>
            </w:r>
          </w:p>
        </w:tc>
      </w:tr>
      <w:tr w:rsidR="00371BB0" w:rsidTr="00371BB0">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Pr>
                <w:rFonts w:ascii="Book Antiqua" w:hAnsi="Book Antiqua"/>
                <w:b/>
                <w:color w:val="000000"/>
                <w:sz w:val="24"/>
                <w:szCs w:val="24"/>
              </w:rPr>
              <w:t>AUTHOR(s)</w:t>
            </w:r>
          </w:p>
        </w:tc>
        <w:tc>
          <w:tcPr>
            <w:tcW w:w="6750"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Pr>
                <w:rFonts w:ascii="Book Antiqua" w:hAnsi="Book Antiqua" w:cs="Book Antiqua"/>
                <w:color w:val="000000"/>
                <w:sz w:val="24"/>
                <w:szCs w:val="24"/>
              </w:rPr>
              <w:t>Hu Li, Meng-Hao Huang, JD Jiang and Zong-Gen Peng</w:t>
            </w:r>
          </w:p>
        </w:tc>
      </w:tr>
      <w:tr w:rsidR="00371BB0" w:rsidTr="00371BB0">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pStyle w:val="af1"/>
              <w:spacing w:line="360" w:lineRule="auto"/>
              <w:rPr>
                <w:rFonts w:ascii="Book Antiqua" w:hAnsi="Book Antiqua"/>
                <w:sz w:val="24"/>
                <w:szCs w:val="24"/>
                <w:lang w:val="en-US"/>
              </w:rPr>
            </w:pPr>
            <w:r>
              <w:rPr>
                <w:rFonts w:ascii="Book Antiqua" w:hAnsi="Book Antiqua" w:cs="Times-Bold"/>
                <w:bCs w:val="0"/>
                <w:sz w:val="24"/>
                <w:szCs w:val="24"/>
              </w:rPr>
              <w:t>CITATION</w:t>
            </w:r>
          </w:p>
        </w:tc>
        <w:tc>
          <w:tcPr>
            <w:tcW w:w="6750"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pStyle w:val="af2"/>
              <w:spacing w:line="360" w:lineRule="auto"/>
              <w:rPr>
                <w:rFonts w:ascii="Book Antiqua" w:hAnsi="Book Antiqua"/>
                <w:sz w:val="24"/>
                <w:szCs w:val="24"/>
                <w:lang w:val="zh-CN"/>
              </w:rPr>
            </w:pPr>
            <w:r>
              <w:rPr>
                <w:rFonts w:ascii="Book Antiqua" w:hAnsi="Book Antiqua"/>
                <w:sz w:val="24"/>
                <w:szCs w:val="24"/>
              </w:rPr>
              <w:t xml:space="preserve">Li H, Huang MH, Jiang JD, Peng ZG. Hepatitis C: From inflammatory pathogenesis to anti-inflammatory/hepatoprotective therapy. </w:t>
            </w:r>
            <w:r>
              <w:rPr>
                <w:rFonts w:ascii="Book Antiqua" w:hAnsi="Book Antiqua"/>
                <w:sz w:val="24"/>
                <w:szCs w:val="24"/>
                <w:lang w:val="zh-CN"/>
              </w:rPr>
              <w:t>World J Gastroenterol 2018; 24(47): 5297-5311</w:t>
            </w:r>
          </w:p>
        </w:tc>
      </w:tr>
      <w:tr w:rsidR="00371BB0" w:rsidTr="00371BB0">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pStyle w:val="af1"/>
              <w:spacing w:line="360" w:lineRule="auto"/>
              <w:rPr>
                <w:rFonts w:ascii="Book Antiqua" w:hAnsi="Book Antiqua"/>
                <w:sz w:val="24"/>
                <w:szCs w:val="24"/>
                <w:lang w:val="en-US"/>
              </w:rPr>
            </w:pPr>
            <w:r>
              <w:rPr>
                <w:rFonts w:ascii="Book Antiqua" w:hAnsi="Book Antiqua"/>
                <w:spacing w:val="-1"/>
                <w:sz w:val="24"/>
                <w:szCs w:val="24"/>
                <w:lang w:val="en-US"/>
              </w:rPr>
              <w:t>URL</w:t>
            </w:r>
          </w:p>
        </w:tc>
        <w:tc>
          <w:tcPr>
            <w:tcW w:w="6750"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pStyle w:val="af1"/>
              <w:spacing w:line="360" w:lineRule="auto"/>
              <w:rPr>
                <w:rFonts w:ascii="Book Antiqua" w:hAnsi="Book Antiqua"/>
                <w:b w:val="0"/>
                <w:bCs w:val="0"/>
                <w:sz w:val="24"/>
                <w:szCs w:val="24"/>
                <w:lang w:val="en-US"/>
              </w:rPr>
            </w:pPr>
            <w:r>
              <w:rPr>
                <w:rFonts w:ascii="Book Antiqua" w:hAnsi="Book Antiqua"/>
                <w:b w:val="0"/>
                <w:sz w:val="24"/>
                <w:szCs w:val="24"/>
                <w:lang w:val="en-US"/>
              </w:rPr>
              <w:t>https://www.wjgnet.com/1007-9327/full/v24/i47/5297.htm</w:t>
            </w:r>
          </w:p>
        </w:tc>
      </w:tr>
      <w:tr w:rsidR="00371BB0" w:rsidTr="00371BB0">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pStyle w:val="af1"/>
              <w:spacing w:line="360" w:lineRule="auto"/>
              <w:rPr>
                <w:rFonts w:ascii="Book Antiqua" w:hAnsi="Book Antiqua"/>
                <w:sz w:val="24"/>
                <w:szCs w:val="24"/>
                <w:lang w:val="en-US"/>
              </w:rPr>
            </w:pPr>
            <w:r>
              <w:rPr>
                <w:rFonts w:ascii="Book Antiqua" w:hAnsi="Book Antiqua"/>
                <w:sz w:val="24"/>
                <w:szCs w:val="24"/>
                <w:lang w:val="en-US"/>
              </w:rPr>
              <w:t>DOI</w:t>
            </w:r>
          </w:p>
        </w:tc>
        <w:tc>
          <w:tcPr>
            <w:tcW w:w="6750"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pStyle w:val="af1"/>
              <w:spacing w:line="360" w:lineRule="auto"/>
              <w:rPr>
                <w:rFonts w:ascii="Book Antiqua" w:hAnsi="Book Antiqua"/>
                <w:b w:val="0"/>
                <w:bCs w:val="0"/>
                <w:sz w:val="24"/>
                <w:szCs w:val="24"/>
                <w:lang w:val="en-US"/>
              </w:rPr>
            </w:pPr>
            <w:r>
              <w:rPr>
                <w:rFonts w:ascii="Book Antiqua" w:hAnsi="Book Antiqua"/>
                <w:b w:val="0"/>
                <w:sz w:val="24"/>
                <w:szCs w:val="24"/>
                <w:lang w:val="en-US"/>
              </w:rPr>
              <w:t>https://dx.doi.org/10.3748/wjg.v24.i47.5297</w:t>
            </w:r>
          </w:p>
        </w:tc>
      </w:tr>
      <w:tr w:rsidR="00371BB0" w:rsidTr="00371BB0">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pStyle w:val="af1"/>
              <w:spacing w:line="360" w:lineRule="auto"/>
              <w:rPr>
                <w:rFonts w:ascii="Book Antiqua" w:hAnsi="Book Antiqua"/>
                <w:sz w:val="24"/>
                <w:szCs w:val="24"/>
                <w:lang w:val="en-US"/>
              </w:rPr>
            </w:pPr>
            <w:r>
              <w:rPr>
                <w:rFonts w:ascii="Book Antiqua" w:hAnsi="Book Antiqua"/>
                <w:sz w:val="24"/>
                <w:szCs w:val="24"/>
                <w:lang w:val="en-US"/>
              </w:rPr>
              <w:t>OPEN ACCESS</w:t>
            </w:r>
          </w:p>
        </w:tc>
        <w:tc>
          <w:tcPr>
            <w:tcW w:w="6750"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pStyle w:val="af"/>
              <w:spacing w:line="360" w:lineRule="auto"/>
              <w:rPr>
                <w:rFonts w:ascii="Book Antiqua" w:hAnsi="Book Antiqua"/>
                <w:color w:val="000000"/>
                <w:sz w:val="24"/>
                <w:szCs w:val="24"/>
                <w:lang w:val="zh-CN"/>
              </w:rPr>
            </w:pPr>
            <w:r>
              <w:rPr>
                <w:rFonts w:ascii="Book Antiqua" w:hAnsi="Book Antiqua"/>
                <w:color w:val="000000"/>
                <w:sz w:val="24"/>
                <w:szCs w:val="24"/>
              </w:rPr>
              <w:t xml:space="preserve">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371BB0" w:rsidTr="00371BB0">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pStyle w:val="af1"/>
              <w:spacing w:line="360" w:lineRule="auto"/>
              <w:rPr>
                <w:rFonts w:ascii="Book Antiqua" w:hAnsi="Book Antiqua"/>
                <w:sz w:val="24"/>
                <w:szCs w:val="24"/>
                <w:lang w:val="en-US"/>
              </w:rPr>
            </w:pPr>
            <w:r>
              <w:rPr>
                <w:rFonts w:ascii="Book Antiqua" w:hAnsi="Book Antiqua" w:cs="Times New Roman"/>
                <w:bCs w:val="0"/>
                <w:spacing w:val="-3"/>
                <w:sz w:val="24"/>
                <w:szCs w:val="24"/>
              </w:rPr>
              <w:t>CORE TIP</w:t>
            </w:r>
          </w:p>
        </w:tc>
        <w:tc>
          <w:tcPr>
            <w:tcW w:w="6750"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pStyle w:val="E-1"/>
              <w:spacing w:line="360" w:lineRule="auto"/>
              <w:rPr>
                <w:rFonts w:ascii="Book Antiqua" w:hAnsi="Book Antiqua"/>
                <w:bCs/>
                <w:sz w:val="24"/>
                <w:szCs w:val="24"/>
              </w:rPr>
            </w:pPr>
            <w:r>
              <w:rPr>
                <w:rFonts w:ascii="Book Antiqua" w:hAnsi="Book Antiqua"/>
                <w:sz w:val="24"/>
                <w:szCs w:val="24"/>
              </w:rPr>
              <w:t xml:space="preserve">Inflammatory responses triggered by hepatitis C virus (HCV) infection lead to severe progressive liver diseases. Some inflammatory cytokines and chemokines may serve as biomarkers for the disease progression and therapeutic effect in chronic hepatitis C (CHC) patients. The inflammatory pathogenesis in HCV-infected patients is complicated, </w:t>
            </w:r>
            <w:r>
              <w:rPr>
                <w:rFonts w:ascii="Book Antiqua" w:hAnsi="Book Antiqua"/>
                <w:sz w:val="24"/>
                <w:szCs w:val="24"/>
              </w:rPr>
              <w:lastRenderedPageBreak/>
              <w:t>including classic pathogen pattern recognition, inflammasome activation, intrahepatic inflammatory cascade response, and oxidative and endoplasmic reticulum stress. Direct-acting antivirals (DAAs) are not sufficient to block the uncontrolled inflammation and disease progression in severe CHC patients. Therefore, coupling with anti-inflammatory/hepatoprotective agents with anti-HCV effects is a promising therapeutic regimen for advanced HCV-infected patients during or after treatment with DAAs.</w:t>
            </w:r>
          </w:p>
        </w:tc>
      </w:tr>
      <w:tr w:rsidR="00371BB0" w:rsidTr="00371BB0">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pStyle w:val="af1"/>
              <w:spacing w:line="360" w:lineRule="auto"/>
              <w:rPr>
                <w:rFonts w:ascii="Book Antiqua" w:hAnsi="Book Antiqua" w:cs="Times New Roman"/>
                <w:bCs w:val="0"/>
                <w:spacing w:val="-3"/>
                <w:sz w:val="24"/>
                <w:szCs w:val="24"/>
              </w:rPr>
            </w:pPr>
            <w:r>
              <w:rPr>
                <w:rFonts w:ascii="Book Antiqua" w:hAnsi="Book Antiqua" w:cs="Times New Roman"/>
                <w:bCs w:val="0"/>
                <w:sz w:val="24"/>
                <w:szCs w:val="24"/>
              </w:rPr>
              <w:lastRenderedPageBreak/>
              <w:t>KEY WORDS</w:t>
            </w:r>
          </w:p>
        </w:tc>
        <w:tc>
          <w:tcPr>
            <w:tcW w:w="6750"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pStyle w:val="E-1"/>
              <w:spacing w:line="360" w:lineRule="auto"/>
              <w:rPr>
                <w:rFonts w:ascii="Book Antiqua" w:hAnsi="Book Antiqua"/>
                <w:spacing w:val="-4"/>
                <w:sz w:val="24"/>
                <w:szCs w:val="24"/>
              </w:rPr>
            </w:pPr>
            <w:r>
              <w:rPr>
                <w:rFonts w:ascii="Book Antiqua" w:hAnsi="Book Antiqua"/>
                <w:sz w:val="24"/>
                <w:szCs w:val="24"/>
              </w:rPr>
              <w:t>Hepatitis C virus infection, Liver disease, Inflammatory pathogenesis,  and Anti-inflammatory and hepatoprotective therapy</w:t>
            </w:r>
          </w:p>
        </w:tc>
      </w:tr>
      <w:tr w:rsidR="00371BB0" w:rsidTr="00371BB0">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pStyle w:val="af1"/>
              <w:spacing w:line="360" w:lineRule="auto"/>
              <w:rPr>
                <w:rFonts w:ascii="Book Antiqua" w:hAnsi="Book Antiqua"/>
                <w:sz w:val="24"/>
                <w:szCs w:val="24"/>
                <w:lang w:val="en-US"/>
              </w:rPr>
            </w:pPr>
            <w:r>
              <w:rPr>
                <w:rFonts w:ascii="Book Antiqua" w:hAnsi="Book Antiqua"/>
                <w:sz w:val="24"/>
                <w:szCs w:val="24"/>
                <w:lang w:val="en-US"/>
              </w:rPr>
              <w:t xml:space="preserve">COPYRIGHT </w:t>
            </w:r>
          </w:p>
        </w:tc>
        <w:tc>
          <w:tcPr>
            <w:tcW w:w="6750"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pStyle w:val="af1"/>
              <w:spacing w:line="360" w:lineRule="auto"/>
              <w:rPr>
                <w:rFonts w:ascii="Book Antiqua" w:hAnsi="Book Antiqua"/>
                <w:b w:val="0"/>
                <w:sz w:val="24"/>
                <w:szCs w:val="24"/>
                <w:lang w:val="en-US"/>
              </w:rPr>
            </w:pPr>
            <w:r>
              <w:rPr>
                <w:rFonts w:ascii="Book Antiqua" w:hAnsi="Book Antiqua"/>
                <w:b w:val="0"/>
                <w:sz w:val="24"/>
                <w:szCs w:val="24"/>
                <w:lang w:val="en-US"/>
              </w:rPr>
              <w:t>© The Author(s) 2018. Published by Baishideng Publishing Group Inc. All rights reserved.</w:t>
            </w:r>
          </w:p>
        </w:tc>
      </w:tr>
      <w:tr w:rsidR="00371BB0" w:rsidTr="00371BB0">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pStyle w:val="af1"/>
              <w:spacing w:line="360" w:lineRule="auto"/>
              <w:rPr>
                <w:rStyle w:val="hps"/>
                <w:rFonts w:ascii="Book Antiqua" w:hAnsi="Book Antiqua" w:cs="Arial"/>
                <w:sz w:val="24"/>
                <w:szCs w:val="24"/>
                <w:lang w:val="en-US"/>
              </w:rPr>
            </w:pPr>
            <w:r>
              <w:rPr>
                <w:rStyle w:val="hps"/>
                <w:rFonts w:ascii="Book Antiqua" w:hAnsi="Book Antiqua" w:cs="Arial"/>
                <w:sz w:val="24"/>
                <w:szCs w:val="24"/>
                <w:lang w:val="en"/>
              </w:rPr>
              <w:t>NAME OF JOURNAL</w:t>
            </w:r>
          </w:p>
        </w:tc>
        <w:tc>
          <w:tcPr>
            <w:tcW w:w="6750"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pStyle w:val="af1"/>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371BB0" w:rsidTr="00371BB0">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pStyle w:val="af1"/>
              <w:spacing w:line="360" w:lineRule="auto"/>
              <w:rPr>
                <w:rStyle w:val="hps"/>
                <w:rFonts w:ascii="Book Antiqua" w:hAnsi="Book Antiqua" w:cs="Arial"/>
                <w:sz w:val="24"/>
                <w:szCs w:val="24"/>
                <w:lang w:val="en-US"/>
              </w:rPr>
            </w:pPr>
            <w:r>
              <w:rPr>
                <w:rStyle w:val="hps"/>
                <w:rFonts w:ascii="Book Antiqua" w:hAnsi="Book Antiqua" w:cs="Arial"/>
                <w:sz w:val="24"/>
                <w:szCs w:val="24"/>
                <w:lang w:val="en-US"/>
              </w:rPr>
              <w:t>ISSN</w:t>
            </w:r>
          </w:p>
        </w:tc>
        <w:tc>
          <w:tcPr>
            <w:tcW w:w="6750"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pStyle w:val="af1"/>
              <w:spacing w:line="360" w:lineRule="auto"/>
              <w:rPr>
                <w:rFonts w:ascii="Book Antiqua" w:hAnsi="Book Antiqua"/>
                <w:b w:val="0"/>
                <w:sz w:val="24"/>
                <w:szCs w:val="24"/>
                <w:lang w:val="en-US"/>
              </w:rPr>
            </w:pPr>
            <w:r>
              <w:rPr>
                <w:rFonts w:ascii="Book Antiqua" w:hAnsi="Book Antiqua"/>
                <w:b w:val="0"/>
                <w:sz w:val="24"/>
                <w:szCs w:val="24"/>
              </w:rPr>
              <w:t>1007-9327</w:t>
            </w:r>
          </w:p>
        </w:tc>
      </w:tr>
      <w:tr w:rsidR="00371BB0" w:rsidTr="00371BB0">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pStyle w:val="af1"/>
              <w:spacing w:line="360" w:lineRule="auto"/>
              <w:rPr>
                <w:rStyle w:val="hps"/>
                <w:rFonts w:ascii="Book Antiqua" w:hAnsi="Book Antiqua" w:cs="Arial"/>
                <w:sz w:val="24"/>
                <w:szCs w:val="24"/>
                <w:lang w:val="en-US"/>
              </w:rPr>
            </w:pPr>
            <w:r>
              <w:rPr>
                <w:rStyle w:val="hps"/>
                <w:rFonts w:ascii="Book Antiqua" w:hAnsi="Book Antiqua" w:cs="Arial"/>
                <w:sz w:val="24"/>
                <w:szCs w:val="24"/>
                <w:lang w:val="en-US"/>
              </w:rPr>
              <w:t>PUBLISHER</w:t>
            </w:r>
          </w:p>
        </w:tc>
        <w:tc>
          <w:tcPr>
            <w:tcW w:w="6750"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spacing w:line="360" w:lineRule="auto"/>
              <w:rPr>
                <w:rFonts w:ascii="Book Antiqua" w:hAnsi="Book Antiqua"/>
                <w:color w:val="000000"/>
                <w:sz w:val="24"/>
                <w:szCs w:val="24"/>
              </w:rPr>
            </w:pPr>
            <w:r>
              <w:rPr>
                <w:rFonts w:ascii="Book Antiqua" w:hAnsi="Book Antiqua"/>
                <w:color w:val="000000"/>
                <w:sz w:val="24"/>
                <w:szCs w:val="24"/>
              </w:rPr>
              <w:t>Baishideng Publishing Group Inc, 7901 Stoneridge Drive, Suite 501, Pleasanton, CA 94588, USA</w:t>
            </w:r>
          </w:p>
        </w:tc>
      </w:tr>
      <w:tr w:rsidR="00371BB0" w:rsidTr="00371BB0">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pStyle w:val="af1"/>
              <w:spacing w:line="360" w:lineRule="auto"/>
              <w:rPr>
                <w:rStyle w:val="hps"/>
                <w:rFonts w:ascii="Book Antiqua" w:hAnsi="Book Antiqua" w:cs="Arial"/>
                <w:sz w:val="24"/>
                <w:szCs w:val="24"/>
                <w:lang w:val="en-US"/>
              </w:rPr>
            </w:pPr>
            <w:r>
              <w:rPr>
                <w:rFonts w:ascii="Book Antiqua" w:hAnsi="Book Antiqua"/>
                <w:sz w:val="24"/>
                <w:szCs w:val="24"/>
              </w:rPr>
              <w:t>WEBSITE</w:t>
            </w:r>
          </w:p>
        </w:tc>
        <w:tc>
          <w:tcPr>
            <w:tcW w:w="6750" w:type="dxa"/>
            <w:tcBorders>
              <w:top w:val="single" w:sz="6" w:space="0" w:color="E36C0A"/>
              <w:left w:val="single" w:sz="6" w:space="0" w:color="E36C0A"/>
              <w:bottom w:val="single" w:sz="6" w:space="0" w:color="E36C0A"/>
              <w:right w:val="single" w:sz="6" w:space="0" w:color="E36C0A"/>
            </w:tcBorders>
            <w:vAlign w:val="center"/>
            <w:hideMark/>
          </w:tcPr>
          <w:p w:rsidR="00371BB0" w:rsidRDefault="00371BB0">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371BB0" w:rsidRDefault="00371BB0" w:rsidP="00371BB0"/>
    <w:p w:rsidR="00526B13" w:rsidRDefault="00526B13" w:rsidP="00371BB0">
      <w:pPr>
        <w:adjustRightInd w:val="0"/>
        <w:snapToGrid w:val="0"/>
        <w:spacing w:line="360" w:lineRule="auto"/>
        <w:rPr>
          <w:rFonts w:ascii="Book Antiqua" w:eastAsiaTheme="minorEastAsia" w:hAnsi="Book Antiqua" w:hint="eastAsia"/>
          <w:b/>
          <w:color w:val="000000"/>
          <w:sz w:val="24"/>
        </w:rPr>
      </w:pPr>
    </w:p>
    <w:p w:rsidR="00526B13" w:rsidRDefault="00526B13" w:rsidP="00371BB0">
      <w:pPr>
        <w:adjustRightInd w:val="0"/>
        <w:snapToGrid w:val="0"/>
        <w:spacing w:line="360" w:lineRule="auto"/>
        <w:rPr>
          <w:rFonts w:ascii="Book Antiqua" w:eastAsiaTheme="minorEastAsia" w:hAnsi="Book Antiqua" w:hint="eastAsia"/>
          <w:b/>
          <w:color w:val="000000"/>
          <w:sz w:val="24"/>
        </w:rPr>
      </w:pPr>
    </w:p>
    <w:p w:rsidR="00526B13" w:rsidRDefault="00526B13" w:rsidP="00371BB0">
      <w:pPr>
        <w:adjustRightInd w:val="0"/>
        <w:snapToGrid w:val="0"/>
        <w:spacing w:line="360" w:lineRule="auto"/>
        <w:rPr>
          <w:rFonts w:ascii="Book Antiqua" w:eastAsiaTheme="minorEastAsia" w:hAnsi="Book Antiqua" w:hint="eastAsia"/>
          <w:b/>
          <w:color w:val="000000"/>
          <w:sz w:val="24"/>
        </w:rPr>
      </w:pPr>
    </w:p>
    <w:p w:rsidR="00526B13" w:rsidRDefault="00526B13" w:rsidP="00371BB0">
      <w:pPr>
        <w:adjustRightInd w:val="0"/>
        <w:snapToGrid w:val="0"/>
        <w:spacing w:line="360" w:lineRule="auto"/>
        <w:rPr>
          <w:rFonts w:ascii="Book Antiqua" w:eastAsiaTheme="minorEastAsia" w:hAnsi="Book Antiqua" w:hint="eastAsia"/>
          <w:b/>
          <w:color w:val="000000"/>
          <w:sz w:val="24"/>
        </w:rPr>
      </w:pPr>
    </w:p>
    <w:p w:rsidR="00526B13" w:rsidRDefault="00526B13" w:rsidP="00371BB0">
      <w:pPr>
        <w:adjustRightInd w:val="0"/>
        <w:snapToGrid w:val="0"/>
        <w:spacing w:line="360" w:lineRule="auto"/>
        <w:rPr>
          <w:rFonts w:ascii="Book Antiqua" w:eastAsiaTheme="minorEastAsia" w:hAnsi="Book Antiqua" w:hint="eastAsia"/>
          <w:b/>
          <w:color w:val="000000"/>
          <w:sz w:val="24"/>
        </w:rPr>
      </w:pPr>
    </w:p>
    <w:p w:rsidR="00526B13" w:rsidRDefault="00526B13" w:rsidP="00371BB0">
      <w:pPr>
        <w:adjustRightInd w:val="0"/>
        <w:snapToGrid w:val="0"/>
        <w:spacing w:line="360" w:lineRule="auto"/>
        <w:rPr>
          <w:rFonts w:ascii="Book Antiqua" w:eastAsiaTheme="minorEastAsia" w:hAnsi="Book Antiqua" w:hint="eastAsia"/>
          <w:b/>
          <w:color w:val="000000"/>
          <w:sz w:val="24"/>
        </w:rPr>
      </w:pPr>
    </w:p>
    <w:p w:rsidR="00526B13" w:rsidRDefault="00526B13" w:rsidP="00371BB0">
      <w:pPr>
        <w:adjustRightInd w:val="0"/>
        <w:snapToGrid w:val="0"/>
        <w:spacing w:line="360" w:lineRule="auto"/>
        <w:rPr>
          <w:rFonts w:ascii="Book Antiqua" w:eastAsiaTheme="minorEastAsia" w:hAnsi="Book Antiqua" w:hint="eastAsia"/>
          <w:b/>
          <w:color w:val="000000"/>
          <w:sz w:val="24"/>
        </w:rPr>
      </w:pPr>
    </w:p>
    <w:p w:rsidR="00526B13" w:rsidRDefault="00526B13" w:rsidP="00371BB0">
      <w:pPr>
        <w:adjustRightInd w:val="0"/>
        <w:snapToGrid w:val="0"/>
        <w:spacing w:line="360" w:lineRule="auto"/>
        <w:rPr>
          <w:rFonts w:ascii="Book Antiqua" w:eastAsiaTheme="minorEastAsia" w:hAnsi="Book Antiqua" w:hint="eastAsia"/>
          <w:b/>
          <w:color w:val="000000"/>
          <w:sz w:val="24"/>
        </w:rPr>
      </w:pPr>
    </w:p>
    <w:p w:rsidR="00526B13" w:rsidRDefault="00526B13" w:rsidP="00371BB0">
      <w:pPr>
        <w:adjustRightInd w:val="0"/>
        <w:snapToGrid w:val="0"/>
        <w:spacing w:line="360" w:lineRule="auto"/>
        <w:rPr>
          <w:rFonts w:ascii="Book Antiqua" w:eastAsiaTheme="minorEastAsia" w:hAnsi="Book Antiqua" w:hint="eastAsia"/>
          <w:b/>
          <w:color w:val="000000"/>
          <w:sz w:val="24"/>
        </w:rPr>
      </w:pPr>
    </w:p>
    <w:p w:rsidR="00371BB0" w:rsidRDefault="00371BB0" w:rsidP="00371BB0">
      <w:pPr>
        <w:adjustRightInd w:val="0"/>
        <w:snapToGrid w:val="0"/>
        <w:spacing w:line="360" w:lineRule="auto"/>
        <w:rPr>
          <w:rFonts w:ascii="Book Antiqua" w:eastAsia="Times New Roman" w:hAnsi="Book Antiqua"/>
          <w:b/>
          <w:i/>
          <w:color w:val="000000"/>
          <w:sz w:val="24"/>
        </w:rPr>
      </w:pPr>
      <w:bookmarkStart w:id="0" w:name="_GoBack"/>
      <w:bookmarkEnd w:id="0"/>
      <w:r>
        <w:rPr>
          <w:rFonts w:ascii="Book Antiqua" w:eastAsia="Times New Roman" w:hAnsi="Book Antiqua"/>
          <w:b/>
          <w:color w:val="000000"/>
          <w:sz w:val="24"/>
        </w:rPr>
        <w:lastRenderedPageBreak/>
        <w:t xml:space="preserve">Name of Journal: </w:t>
      </w:r>
      <w:r>
        <w:rPr>
          <w:rFonts w:ascii="Book Antiqua" w:eastAsia="Times New Roman" w:hAnsi="Book Antiqua"/>
          <w:b/>
          <w:i/>
          <w:color w:val="000000"/>
          <w:sz w:val="24"/>
        </w:rPr>
        <w:t>World Journal of Gastroenterology</w:t>
      </w:r>
    </w:p>
    <w:p w:rsidR="00371BB0" w:rsidRDefault="00371BB0" w:rsidP="00371BB0">
      <w:pPr>
        <w:adjustRightInd w:val="0"/>
        <w:snapToGrid w:val="0"/>
        <w:spacing w:line="360" w:lineRule="auto"/>
        <w:rPr>
          <w:rFonts w:ascii="Book Antiqua" w:eastAsia="Times New Roman" w:hAnsi="Book Antiqua"/>
          <w:b/>
          <w:color w:val="000000"/>
          <w:sz w:val="24"/>
        </w:rPr>
      </w:pPr>
      <w:bookmarkStart w:id="1" w:name="OLE_LINK768"/>
      <w:bookmarkStart w:id="2" w:name="OLE_LINK661"/>
      <w:bookmarkStart w:id="3" w:name="OLE_LINK486"/>
      <w:bookmarkStart w:id="4" w:name="OLE_LINK485"/>
      <w:r>
        <w:rPr>
          <w:rFonts w:ascii="Book Antiqua" w:hAnsi="Book Antiqua"/>
          <w:b/>
          <w:color w:val="000000"/>
          <w:sz w:val="24"/>
          <w:highlight w:val="white"/>
        </w:rPr>
        <w:t>Manuscript NO:</w:t>
      </w:r>
      <w:bookmarkEnd w:id="1"/>
      <w:bookmarkEnd w:id="2"/>
      <w:bookmarkEnd w:id="3"/>
      <w:bookmarkEnd w:id="4"/>
      <w:r>
        <w:rPr>
          <w:rFonts w:ascii="Book Antiqua" w:hAnsi="Book Antiqua"/>
          <w:b/>
          <w:color w:val="000000"/>
          <w:sz w:val="24"/>
          <w:highlight w:val="white"/>
        </w:rPr>
        <w:t xml:space="preserve"> 42953</w:t>
      </w:r>
    </w:p>
    <w:p w:rsidR="00371BB0" w:rsidRDefault="00371BB0" w:rsidP="00371BB0">
      <w:pPr>
        <w:adjustRightInd w:val="0"/>
        <w:snapToGrid w:val="0"/>
        <w:spacing w:line="360" w:lineRule="auto"/>
        <w:rPr>
          <w:rFonts w:ascii="Book Antiqua" w:eastAsia="Times New Roman" w:hAnsi="Book Antiqua"/>
          <w:b/>
          <w:color w:val="000000"/>
          <w:sz w:val="24"/>
        </w:rPr>
      </w:pPr>
      <w:r>
        <w:rPr>
          <w:rFonts w:ascii="Book Antiqua" w:eastAsia="Times New Roman" w:hAnsi="Book Antiqua"/>
          <w:b/>
          <w:color w:val="000000"/>
          <w:sz w:val="24"/>
        </w:rPr>
        <w:t>Manuscript Type: REVIEW</w:t>
      </w:r>
    </w:p>
    <w:p w:rsidR="00371BB0" w:rsidRDefault="00371BB0" w:rsidP="00371BB0">
      <w:pPr>
        <w:adjustRightInd w:val="0"/>
        <w:snapToGrid w:val="0"/>
        <w:spacing w:line="360" w:lineRule="auto"/>
        <w:rPr>
          <w:rFonts w:ascii="Book Antiqua" w:hAnsi="Book Antiqua"/>
          <w:b/>
          <w:color w:val="000000"/>
          <w:sz w:val="24"/>
        </w:rPr>
      </w:pPr>
    </w:p>
    <w:p w:rsidR="00371BB0" w:rsidRDefault="00371BB0" w:rsidP="00371BB0">
      <w:pPr>
        <w:adjustRightInd w:val="0"/>
        <w:snapToGrid w:val="0"/>
        <w:spacing w:line="360" w:lineRule="auto"/>
        <w:rPr>
          <w:rFonts w:ascii="Book Antiqua" w:eastAsia="Times New Roman" w:hAnsi="Book Antiqua"/>
          <w:b/>
          <w:color w:val="000000"/>
          <w:sz w:val="24"/>
        </w:rPr>
      </w:pPr>
      <w:bookmarkStart w:id="5" w:name="_Hlk527057866"/>
      <w:bookmarkStart w:id="6" w:name="_Hlk527059631"/>
      <w:r>
        <w:rPr>
          <w:rFonts w:ascii="Book Antiqua" w:eastAsia="Times New Roman" w:hAnsi="Book Antiqua"/>
          <w:b/>
          <w:color w:val="000000"/>
          <w:sz w:val="24"/>
        </w:rPr>
        <w:t>Hepatitis C: From inflammatory pathogenesis to anti-inflammatory/hepatoprotective therapy</w:t>
      </w:r>
      <w:bookmarkEnd w:id="5"/>
    </w:p>
    <w:p w:rsidR="00371BB0" w:rsidRDefault="00371BB0" w:rsidP="00371BB0">
      <w:pPr>
        <w:adjustRightInd w:val="0"/>
        <w:snapToGrid w:val="0"/>
        <w:spacing w:line="360" w:lineRule="auto"/>
        <w:rPr>
          <w:rFonts w:ascii="Book Antiqua" w:hAnsi="Book Antiqua"/>
          <w:b/>
          <w:color w:val="000000"/>
          <w:sz w:val="24"/>
        </w:rPr>
      </w:pPr>
    </w:p>
    <w:bookmarkEnd w:id="6"/>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 xml:space="preserve">Li H </w:t>
      </w:r>
      <w:r>
        <w:rPr>
          <w:rFonts w:ascii="Book Antiqua" w:hAnsi="Book Antiqua"/>
          <w:i/>
          <w:color w:val="000000"/>
          <w:sz w:val="24"/>
        </w:rPr>
        <w:t>et al.</w:t>
      </w:r>
      <w:r>
        <w:rPr>
          <w:rFonts w:ascii="Book Antiqua" w:hAnsi="Book Antiqua"/>
          <w:color w:val="000000"/>
          <w:sz w:val="24"/>
        </w:rPr>
        <w:t xml:space="preserve"> Anti-inflammatory/hepatoprotective therapy of HCV</w:t>
      </w:r>
    </w:p>
    <w:p w:rsidR="00371BB0" w:rsidRDefault="00371BB0" w:rsidP="00371BB0">
      <w:pPr>
        <w:adjustRightInd w:val="0"/>
        <w:snapToGrid w:val="0"/>
        <w:spacing w:line="360" w:lineRule="auto"/>
        <w:rPr>
          <w:rFonts w:ascii="Book Antiqua" w:hAnsi="Book Antiqua"/>
          <w:color w:val="000000"/>
          <w:sz w:val="24"/>
        </w:rPr>
      </w:pPr>
    </w:p>
    <w:p w:rsidR="00371BB0" w:rsidRDefault="00371BB0" w:rsidP="00371BB0">
      <w:pPr>
        <w:adjustRightInd w:val="0"/>
        <w:snapToGrid w:val="0"/>
        <w:spacing w:line="360" w:lineRule="auto"/>
        <w:rPr>
          <w:rFonts w:ascii="Book Antiqua" w:eastAsia="Times New Roman" w:hAnsi="Book Antiqua"/>
          <w:color w:val="000000"/>
          <w:sz w:val="24"/>
        </w:rPr>
      </w:pPr>
      <w:r>
        <w:rPr>
          <w:rFonts w:ascii="Book Antiqua" w:eastAsia="Times New Roman" w:hAnsi="Book Antiqua"/>
          <w:color w:val="000000"/>
          <w:sz w:val="24"/>
        </w:rPr>
        <w:t>Hu Li, Meng-Hao Huang, Jian-Dong Jiang, Zong-Gen Peng</w:t>
      </w:r>
    </w:p>
    <w:p w:rsidR="00371BB0" w:rsidRDefault="00371BB0" w:rsidP="00371BB0">
      <w:pPr>
        <w:adjustRightInd w:val="0"/>
        <w:snapToGrid w:val="0"/>
        <w:spacing w:line="360" w:lineRule="auto"/>
        <w:rPr>
          <w:rFonts w:ascii="Book Antiqua" w:hAnsi="Book Antiqua"/>
          <w:color w:val="000000"/>
          <w:sz w:val="24"/>
        </w:rPr>
      </w:pP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b/>
          <w:color w:val="000000"/>
          <w:sz w:val="24"/>
        </w:rPr>
        <w:t>Hu Li, Jian-Dong Jiang, Zong-Gen Peng,</w:t>
      </w:r>
      <w:r>
        <w:rPr>
          <w:rFonts w:ascii="Book Antiqua" w:hAnsi="Book Antiqua"/>
          <w:color w:val="000000"/>
          <w:sz w:val="24"/>
        </w:rPr>
        <w:t xml:space="preserve"> Institute of Medicinal Biotechnology, Chinese Academy of Medical Sciences and Peking Union Medical College, Beijing 100050, China</w:t>
      </w:r>
    </w:p>
    <w:p w:rsidR="00371BB0" w:rsidRDefault="00371BB0" w:rsidP="00371BB0">
      <w:pPr>
        <w:adjustRightInd w:val="0"/>
        <w:snapToGrid w:val="0"/>
        <w:spacing w:line="360" w:lineRule="auto"/>
        <w:rPr>
          <w:rFonts w:ascii="Book Antiqua" w:hAnsi="Book Antiqua"/>
          <w:color w:val="000000"/>
          <w:sz w:val="24"/>
        </w:rPr>
      </w:pP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b/>
          <w:color w:val="000000"/>
          <w:sz w:val="24"/>
        </w:rPr>
        <w:t>Meng-Hao Huang,</w:t>
      </w:r>
      <w:r>
        <w:rPr>
          <w:rFonts w:ascii="Book Antiqua" w:hAnsi="Book Antiqua"/>
          <w:color w:val="000000"/>
          <w:sz w:val="24"/>
        </w:rPr>
        <w:t xml:space="preserve"> Division of Gastroenterology and Hepatology, Department of Medicine, Indiana University School of Medicine,</w:t>
      </w:r>
      <w:r>
        <w:rPr>
          <w:rFonts w:ascii="Book Antiqua" w:hAnsi="Book Antiqua"/>
          <w:color w:val="000000"/>
          <w:sz w:val="24"/>
        </w:rPr>
        <w:tab/>
        <w:t>Indianapolis, IN 46202, United States</w:t>
      </w:r>
    </w:p>
    <w:p w:rsidR="00371BB0" w:rsidRDefault="00371BB0" w:rsidP="00371BB0">
      <w:pPr>
        <w:adjustRightInd w:val="0"/>
        <w:snapToGrid w:val="0"/>
        <w:spacing w:line="360" w:lineRule="auto"/>
        <w:rPr>
          <w:rFonts w:ascii="Book Antiqua" w:hAnsi="Book Antiqua"/>
          <w:i/>
          <w:color w:val="000000"/>
          <w:sz w:val="24"/>
        </w:rPr>
      </w:pP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b/>
          <w:color w:val="000000"/>
          <w:sz w:val="24"/>
        </w:rPr>
        <w:t>Jian-Dong Jiang,</w:t>
      </w:r>
      <w:r>
        <w:rPr>
          <w:rFonts w:ascii="Book Antiqua" w:hAnsi="Book Antiqua"/>
          <w:color w:val="000000"/>
          <w:sz w:val="24"/>
        </w:rPr>
        <w:t xml:space="preserve"> </w:t>
      </w:r>
      <w:bookmarkStart w:id="7" w:name="OLE_LINK28"/>
      <w:bookmarkStart w:id="8" w:name="OLE_LINK26"/>
      <w:r>
        <w:rPr>
          <w:rFonts w:ascii="Book Antiqua" w:hAnsi="Book Antiqua"/>
          <w:color w:val="000000"/>
          <w:sz w:val="24"/>
        </w:rPr>
        <w:t>Institute of Materia Medic</w:t>
      </w:r>
      <w:bookmarkEnd w:id="7"/>
      <w:bookmarkEnd w:id="8"/>
      <w:r>
        <w:rPr>
          <w:rFonts w:ascii="Book Antiqua" w:hAnsi="Book Antiqua"/>
          <w:color w:val="000000"/>
          <w:sz w:val="24"/>
        </w:rPr>
        <w:t>a, Chinese Academy of Medical Sciences and Peking Union Medical College, Beijing 100050, China</w:t>
      </w:r>
    </w:p>
    <w:p w:rsidR="00371BB0" w:rsidRDefault="00371BB0" w:rsidP="00371BB0">
      <w:pPr>
        <w:adjustRightInd w:val="0"/>
        <w:snapToGrid w:val="0"/>
        <w:spacing w:line="360" w:lineRule="auto"/>
        <w:rPr>
          <w:rFonts w:ascii="Book Antiqua" w:hAnsi="Book Antiqua"/>
          <w:b/>
          <w:color w:val="000000"/>
          <w:sz w:val="24"/>
        </w:rPr>
      </w:pP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b/>
          <w:color w:val="000000"/>
          <w:sz w:val="24"/>
        </w:rPr>
        <w:t>ORCID number:</w:t>
      </w:r>
      <w:r>
        <w:rPr>
          <w:rFonts w:ascii="Book Antiqua" w:hAnsi="Book Antiqua"/>
          <w:color w:val="000000"/>
          <w:sz w:val="24"/>
        </w:rPr>
        <w:t xml:space="preserve"> Hu Li (0000-0002-7609-9399); Meng-Hao Huang (</w:t>
      </w:r>
      <w:bookmarkStart w:id="9" w:name="OLE_LINK137"/>
      <w:bookmarkStart w:id="10" w:name="OLE_LINK115"/>
      <w:r>
        <w:rPr>
          <w:rFonts w:ascii="Book Antiqua" w:hAnsi="Book Antiqua"/>
          <w:color w:val="000000"/>
          <w:sz w:val="24"/>
        </w:rPr>
        <w:t>0000-0002-2389-8680</w:t>
      </w:r>
      <w:bookmarkEnd w:id="9"/>
      <w:bookmarkEnd w:id="10"/>
      <w:r>
        <w:rPr>
          <w:rFonts w:ascii="Book Antiqua" w:hAnsi="Book Antiqua"/>
          <w:color w:val="000000"/>
          <w:sz w:val="24"/>
        </w:rPr>
        <w:t>); Jian-Dong Jiang (</w:t>
      </w:r>
      <w:bookmarkStart w:id="11" w:name="OLE_LINK151"/>
      <w:bookmarkStart w:id="12" w:name="OLE_LINK149"/>
      <w:r>
        <w:rPr>
          <w:rFonts w:ascii="Book Antiqua" w:hAnsi="Book Antiqua"/>
          <w:color w:val="000000"/>
          <w:sz w:val="24"/>
        </w:rPr>
        <w:t>0000-0002-1138-2943</w:t>
      </w:r>
      <w:bookmarkEnd w:id="11"/>
      <w:bookmarkEnd w:id="12"/>
      <w:r>
        <w:rPr>
          <w:rFonts w:ascii="Book Antiqua" w:hAnsi="Book Antiqua"/>
          <w:color w:val="000000"/>
          <w:sz w:val="24"/>
        </w:rPr>
        <w:t>); Zong-Gen Peng (</w:t>
      </w:r>
      <w:bookmarkStart w:id="13" w:name="OLE_LINK162"/>
      <w:bookmarkStart w:id="14" w:name="OLE_LINK161"/>
      <w:r>
        <w:rPr>
          <w:rFonts w:ascii="Book Antiqua" w:hAnsi="Book Antiqua"/>
          <w:color w:val="000000"/>
          <w:sz w:val="24"/>
        </w:rPr>
        <w:t>0000-0001-7662-6892</w:t>
      </w:r>
      <w:bookmarkEnd w:id="13"/>
      <w:bookmarkEnd w:id="14"/>
      <w:r>
        <w:rPr>
          <w:rFonts w:ascii="Book Antiqua" w:hAnsi="Book Antiqua"/>
          <w:color w:val="000000"/>
          <w:sz w:val="24"/>
        </w:rPr>
        <w:t>).</w:t>
      </w:r>
    </w:p>
    <w:p w:rsidR="00371BB0" w:rsidRDefault="00371BB0" w:rsidP="00371BB0">
      <w:pPr>
        <w:adjustRightInd w:val="0"/>
        <w:snapToGrid w:val="0"/>
        <w:spacing w:line="360" w:lineRule="auto"/>
        <w:rPr>
          <w:rFonts w:ascii="Book Antiqua" w:hAnsi="Book Antiqua"/>
          <w:b/>
          <w:color w:val="000000"/>
          <w:sz w:val="24"/>
        </w:rPr>
      </w:pPr>
    </w:p>
    <w:p w:rsidR="00371BB0" w:rsidRDefault="00371BB0" w:rsidP="00371BB0">
      <w:pPr>
        <w:adjustRightInd w:val="0"/>
        <w:snapToGrid w:val="0"/>
        <w:spacing w:line="360" w:lineRule="auto"/>
        <w:rPr>
          <w:rFonts w:ascii="Book Antiqua" w:hAnsi="Book Antiqua"/>
          <w:color w:val="000000"/>
          <w:spacing w:val="-5"/>
          <w:sz w:val="24"/>
        </w:rPr>
      </w:pPr>
      <w:r>
        <w:rPr>
          <w:rFonts w:ascii="Book Antiqua" w:hAnsi="Book Antiqua"/>
          <w:b/>
          <w:color w:val="000000"/>
          <w:sz w:val="24"/>
        </w:rPr>
        <w:t xml:space="preserve">Author contributions: </w:t>
      </w:r>
      <w:r>
        <w:rPr>
          <w:rFonts w:ascii="Book Antiqua" w:hAnsi="Book Antiqua"/>
          <w:color w:val="000000"/>
          <w:spacing w:val="-5"/>
          <w:sz w:val="24"/>
        </w:rPr>
        <w:t>All the authors contributed to the search and analysis of the literature and to the writing of the paper.</w:t>
      </w:r>
    </w:p>
    <w:p w:rsidR="00371BB0" w:rsidRDefault="00371BB0" w:rsidP="00371BB0">
      <w:pPr>
        <w:adjustRightInd w:val="0"/>
        <w:snapToGrid w:val="0"/>
        <w:spacing w:line="360" w:lineRule="auto"/>
        <w:rPr>
          <w:rFonts w:ascii="Book Antiqua" w:hAnsi="Book Antiqua"/>
          <w:color w:val="000000"/>
          <w:spacing w:val="-5"/>
          <w:sz w:val="24"/>
        </w:rPr>
      </w:pP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b/>
          <w:bCs/>
          <w:color w:val="000000"/>
          <w:sz w:val="24"/>
        </w:rPr>
        <w:t>Supported by</w:t>
      </w:r>
      <w:r>
        <w:rPr>
          <w:rFonts w:ascii="Book Antiqua" w:hAnsi="Book Antiqua"/>
          <w:color w:val="000000"/>
          <w:sz w:val="24"/>
        </w:rPr>
        <w:t xml:space="preserve"> </w:t>
      </w:r>
      <w:bookmarkStart w:id="15" w:name="OLE_LINK287"/>
      <w:bookmarkStart w:id="16" w:name="OLE_LINK288"/>
      <w:r>
        <w:rPr>
          <w:rFonts w:ascii="Book Antiqua" w:hAnsi="Book Antiqua"/>
          <w:color w:val="000000"/>
          <w:sz w:val="24"/>
        </w:rPr>
        <w:t>CAMS Innovation Fund for Medical Sciences</w:t>
      </w:r>
      <w:bookmarkStart w:id="17" w:name="OLE_LINK291"/>
      <w:bookmarkStart w:id="18" w:name="OLE_LINK292"/>
      <w:bookmarkEnd w:id="15"/>
      <w:bookmarkEnd w:id="16"/>
      <w:r>
        <w:rPr>
          <w:rFonts w:ascii="Book Antiqua" w:hAnsi="Book Antiqua"/>
          <w:color w:val="000000"/>
          <w:sz w:val="24"/>
        </w:rPr>
        <w:t>, No. 2017-I2M-3-012</w:t>
      </w:r>
      <w:bookmarkEnd w:id="17"/>
      <w:bookmarkEnd w:id="18"/>
      <w:r>
        <w:rPr>
          <w:rFonts w:ascii="Book Antiqua" w:hAnsi="Book Antiqua"/>
          <w:color w:val="000000"/>
          <w:sz w:val="24"/>
        </w:rPr>
        <w:t xml:space="preserve">; </w:t>
      </w:r>
      <w:bookmarkStart w:id="19" w:name="OLE_LINK293"/>
      <w:bookmarkStart w:id="20" w:name="OLE_LINK294"/>
      <w:r>
        <w:rPr>
          <w:rFonts w:ascii="Book Antiqua" w:hAnsi="Book Antiqua"/>
          <w:color w:val="000000"/>
          <w:sz w:val="24"/>
        </w:rPr>
        <w:t>National Natural Science Foundation of China</w:t>
      </w:r>
      <w:bookmarkStart w:id="21" w:name="OLE_LINK296"/>
      <w:bookmarkStart w:id="22" w:name="OLE_LINK295"/>
      <w:bookmarkEnd w:id="19"/>
      <w:bookmarkEnd w:id="20"/>
      <w:r>
        <w:rPr>
          <w:rFonts w:ascii="Book Antiqua" w:hAnsi="Book Antiqua"/>
          <w:color w:val="000000"/>
          <w:sz w:val="24"/>
        </w:rPr>
        <w:t>, No. 81773788</w:t>
      </w:r>
      <w:bookmarkStart w:id="23" w:name="OLE_LINK298"/>
      <w:bookmarkStart w:id="24" w:name="OLE_LINK297"/>
      <w:bookmarkEnd w:id="21"/>
      <w:bookmarkEnd w:id="22"/>
      <w:r>
        <w:rPr>
          <w:rFonts w:ascii="Book Antiqua" w:hAnsi="Book Antiqua"/>
          <w:color w:val="000000"/>
          <w:sz w:val="24"/>
        </w:rPr>
        <w:t xml:space="preserve"> and 81621064</w:t>
      </w:r>
      <w:bookmarkEnd w:id="23"/>
      <w:bookmarkEnd w:id="24"/>
      <w:r>
        <w:rPr>
          <w:rFonts w:ascii="Book Antiqua" w:hAnsi="Book Antiqua"/>
          <w:color w:val="000000"/>
          <w:sz w:val="24"/>
        </w:rPr>
        <w:t xml:space="preserve">; and </w:t>
      </w:r>
      <w:bookmarkStart w:id="25" w:name="OLE_LINK300"/>
      <w:bookmarkStart w:id="26" w:name="OLE_LINK299"/>
      <w:r>
        <w:rPr>
          <w:rFonts w:ascii="Book Antiqua" w:hAnsi="Book Antiqua"/>
          <w:color w:val="000000"/>
          <w:sz w:val="24"/>
        </w:rPr>
        <w:lastRenderedPageBreak/>
        <w:t>National Mega-Project for “R&amp;D for Innovative Drugs”, Ministry of Science and Technology, China</w:t>
      </w:r>
      <w:bookmarkStart w:id="27" w:name="OLE_LINK302"/>
      <w:bookmarkStart w:id="28" w:name="OLE_LINK301"/>
      <w:bookmarkEnd w:id="25"/>
      <w:bookmarkEnd w:id="26"/>
      <w:r>
        <w:rPr>
          <w:rFonts w:ascii="Book Antiqua" w:hAnsi="Book Antiqua"/>
          <w:color w:val="000000"/>
          <w:sz w:val="24"/>
        </w:rPr>
        <w:t>, No. 2018ZX09711001-003-010</w:t>
      </w:r>
      <w:bookmarkEnd w:id="27"/>
      <w:bookmarkEnd w:id="28"/>
      <w:r>
        <w:rPr>
          <w:rFonts w:ascii="Book Antiqua" w:hAnsi="Book Antiqua"/>
          <w:color w:val="000000"/>
          <w:sz w:val="24"/>
        </w:rPr>
        <w:t>.</w:t>
      </w:r>
    </w:p>
    <w:p w:rsidR="00371BB0" w:rsidRDefault="00371BB0" w:rsidP="00371BB0">
      <w:pPr>
        <w:adjustRightInd w:val="0"/>
        <w:snapToGrid w:val="0"/>
        <w:spacing w:line="360" w:lineRule="auto"/>
        <w:rPr>
          <w:rFonts w:ascii="Book Antiqua" w:hAnsi="Book Antiqua"/>
          <w:color w:val="000000"/>
          <w:sz w:val="24"/>
        </w:rPr>
      </w:pPr>
    </w:p>
    <w:p w:rsidR="00371BB0" w:rsidRDefault="00371BB0" w:rsidP="00371BB0">
      <w:pPr>
        <w:adjustRightInd w:val="0"/>
        <w:snapToGrid w:val="0"/>
        <w:spacing w:line="360" w:lineRule="auto"/>
        <w:rPr>
          <w:rFonts w:ascii="Book Antiqua" w:hAnsi="Book Antiqua"/>
          <w:color w:val="000000"/>
          <w:spacing w:val="-5"/>
          <w:sz w:val="24"/>
        </w:rPr>
      </w:pPr>
      <w:r>
        <w:rPr>
          <w:rFonts w:ascii="Book Antiqua" w:hAnsi="Book Antiqua"/>
          <w:b/>
          <w:bCs/>
          <w:color w:val="000000"/>
          <w:sz w:val="24"/>
        </w:rPr>
        <w:t xml:space="preserve">Conflict-of-interest statement: </w:t>
      </w:r>
      <w:r>
        <w:rPr>
          <w:rFonts w:ascii="Book Antiqua" w:hAnsi="Book Antiqua"/>
          <w:color w:val="000000"/>
          <w:spacing w:val="-5"/>
          <w:sz w:val="24"/>
        </w:rPr>
        <w:t>No potential conflicts of interest.</w:t>
      </w:r>
    </w:p>
    <w:p w:rsidR="00371BB0" w:rsidRDefault="00371BB0" w:rsidP="00371BB0">
      <w:pPr>
        <w:adjustRightInd w:val="0"/>
        <w:snapToGrid w:val="0"/>
        <w:spacing w:line="360" w:lineRule="auto"/>
        <w:rPr>
          <w:rFonts w:ascii="Book Antiqua" w:hAnsi="Book Antiqua"/>
          <w:color w:val="000000"/>
          <w:spacing w:val="-5"/>
          <w:sz w:val="24"/>
        </w:rPr>
      </w:pPr>
    </w:p>
    <w:p w:rsidR="00371BB0" w:rsidRDefault="00371BB0" w:rsidP="00371BB0">
      <w:pPr>
        <w:adjustRightInd w:val="0"/>
        <w:snapToGrid w:val="0"/>
        <w:spacing w:line="360" w:lineRule="auto"/>
        <w:rPr>
          <w:rFonts w:ascii="Book Antiqua" w:hAnsi="Book Antiqua"/>
          <w:sz w:val="24"/>
        </w:rPr>
      </w:pPr>
      <w:bookmarkStart w:id="29" w:name="OLE_LINK375"/>
      <w:r>
        <w:rPr>
          <w:rFonts w:ascii="Book Antiqua" w:hAnsi="Book Antiqua"/>
          <w:b/>
          <w:color w:val="000000"/>
          <w:sz w:val="24"/>
        </w:rPr>
        <w:t xml:space="preserve">Open-Access: </w:t>
      </w:r>
      <w:r>
        <w:rPr>
          <w:rFonts w:ascii="Book Antiqua" w:hAnsi="Book Antiqua"/>
          <w:color w:val="000000"/>
          <w:sz w:val="24"/>
        </w:rPr>
        <w:t xml:space="preserve">This is an </w:t>
      </w:r>
      <w:r>
        <w:rPr>
          <w:rFonts w:ascii="Book Antiqua" w:hAnsi="Book Antiqua" w:cs="宋体"/>
          <w:sz w:val="24"/>
        </w:rPr>
        <w:t xml:space="preserve">open-access article that was </w:t>
      </w:r>
      <w:r>
        <w:rPr>
          <w:rFonts w:ascii="Book Antiqua" w:hAnsi="Book Antiqua"/>
          <w:sz w:val="24"/>
        </w:rPr>
        <w:t xml:space="preserve">selected by an in-house editor and fully peer-reviewed by external reviewers. It is </w:t>
      </w:r>
      <w:r>
        <w:rPr>
          <w:rFonts w:ascii="Book Antiqua" w:hAnsi="Book Antiqua" w:cs="宋体"/>
          <w:sz w:val="24"/>
        </w:rPr>
        <w:t xml:space="preserve">distributed in accordance with </w:t>
      </w:r>
      <w:r>
        <w:rPr>
          <w:rFonts w:ascii="Book Antiqua" w:hAnsi="Book Antiqua"/>
          <w:sz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Pr>
            <w:rStyle w:val="a3"/>
            <w:rFonts w:ascii="Book Antiqua" w:hAnsi="Book Antiqua"/>
            <w:sz w:val="24"/>
          </w:rPr>
          <w:t>http://creativecommons.org/licenses/by-nc/4.0/</w:t>
        </w:r>
      </w:hyperlink>
    </w:p>
    <w:p w:rsidR="00371BB0" w:rsidRDefault="00371BB0" w:rsidP="00371BB0">
      <w:pPr>
        <w:adjustRightInd w:val="0"/>
        <w:snapToGrid w:val="0"/>
        <w:spacing w:line="360" w:lineRule="auto"/>
        <w:rPr>
          <w:rFonts w:ascii="Book Antiqua" w:hAnsi="Book Antiqua"/>
          <w:sz w:val="24"/>
        </w:rPr>
      </w:pPr>
    </w:p>
    <w:p w:rsidR="00371BB0" w:rsidRDefault="00371BB0" w:rsidP="00371BB0">
      <w:pPr>
        <w:adjustRightInd w:val="0"/>
        <w:snapToGrid w:val="0"/>
        <w:spacing w:line="360" w:lineRule="auto"/>
        <w:rPr>
          <w:rFonts w:ascii="Book Antiqua" w:hAnsi="Book Antiqua"/>
          <w:bCs/>
          <w:sz w:val="24"/>
        </w:rPr>
      </w:pPr>
      <w:r>
        <w:rPr>
          <w:rFonts w:ascii="Book Antiqua" w:hAnsi="Book Antiqua"/>
          <w:b/>
          <w:bCs/>
          <w:sz w:val="24"/>
          <w:highlight w:val="white"/>
        </w:rPr>
        <w:t xml:space="preserve">Manuscript source: </w:t>
      </w:r>
      <w:r>
        <w:rPr>
          <w:rFonts w:ascii="Book Antiqua" w:hAnsi="Book Antiqua"/>
          <w:bCs/>
          <w:sz w:val="24"/>
          <w:highlight w:val="white"/>
        </w:rPr>
        <w:t>Unsolicited manuscript</w:t>
      </w:r>
      <w:bookmarkEnd w:id="29"/>
    </w:p>
    <w:p w:rsidR="00371BB0" w:rsidRDefault="00371BB0" w:rsidP="00371BB0">
      <w:pPr>
        <w:adjustRightInd w:val="0"/>
        <w:snapToGrid w:val="0"/>
        <w:spacing w:line="360" w:lineRule="auto"/>
        <w:rPr>
          <w:rFonts w:ascii="Book Antiqua" w:hAnsi="Book Antiqua"/>
          <w:color w:val="000000"/>
          <w:spacing w:val="-5"/>
          <w:sz w:val="24"/>
        </w:rPr>
      </w:pP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b/>
          <w:bCs/>
          <w:color w:val="000000"/>
          <w:sz w:val="24"/>
        </w:rPr>
        <w:t xml:space="preserve">Corresponding author to: Zong-Gen Peng, PhD, Professor, </w:t>
      </w:r>
      <w:r>
        <w:rPr>
          <w:rFonts w:ascii="Book Antiqua" w:hAnsi="Book Antiqua"/>
          <w:color w:val="000000"/>
          <w:sz w:val="24"/>
        </w:rPr>
        <w:t>Institute of Medicinal Biotechnology, Chinese Academy of Medical Sciences and Peking Union Medical College, No. 1, Tiantan Xili, Beijing 100050, China. pengzonggen@imb.pumc.edu.cn</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b/>
          <w:color w:val="000000"/>
          <w:sz w:val="24"/>
        </w:rPr>
        <w:t xml:space="preserve">Telephone: </w:t>
      </w:r>
      <w:r>
        <w:rPr>
          <w:rFonts w:ascii="Book Antiqua" w:hAnsi="Book Antiqua"/>
          <w:color w:val="000000"/>
          <w:sz w:val="24"/>
        </w:rPr>
        <w:t>+86-10-63166129</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b/>
          <w:color w:val="000000"/>
          <w:sz w:val="24"/>
        </w:rPr>
        <w:t xml:space="preserve">Fax: </w:t>
      </w:r>
      <w:r>
        <w:rPr>
          <w:rFonts w:ascii="Book Antiqua" w:hAnsi="Book Antiqua"/>
          <w:color w:val="000000"/>
          <w:sz w:val="24"/>
        </w:rPr>
        <w:t>+86-10-63017302</w:t>
      </w:r>
    </w:p>
    <w:p w:rsidR="00371BB0" w:rsidRDefault="00371BB0" w:rsidP="00371BB0">
      <w:pPr>
        <w:adjustRightInd w:val="0"/>
        <w:snapToGrid w:val="0"/>
        <w:spacing w:line="360" w:lineRule="auto"/>
        <w:rPr>
          <w:rFonts w:ascii="Book Antiqua" w:hAnsi="Book Antiqua"/>
          <w:color w:val="000000"/>
          <w:sz w:val="24"/>
        </w:rPr>
      </w:pPr>
    </w:p>
    <w:p w:rsidR="00371BB0" w:rsidRDefault="00371BB0" w:rsidP="00371BB0">
      <w:pPr>
        <w:adjustRightInd w:val="0"/>
        <w:snapToGrid w:val="0"/>
        <w:spacing w:line="360" w:lineRule="auto"/>
        <w:rPr>
          <w:rFonts w:ascii="Book Antiqua" w:hAnsi="Book Antiqua"/>
          <w:b/>
          <w:sz w:val="24"/>
        </w:rPr>
      </w:pPr>
      <w:r>
        <w:rPr>
          <w:rFonts w:ascii="Book Antiqua" w:hAnsi="Book Antiqua"/>
          <w:b/>
          <w:sz w:val="24"/>
        </w:rPr>
        <w:t xml:space="preserve">Received: </w:t>
      </w:r>
      <w:r>
        <w:rPr>
          <w:rFonts w:ascii="Book Antiqua" w:hAnsi="Book Antiqua"/>
          <w:sz w:val="24"/>
        </w:rPr>
        <w:t>October</w:t>
      </w:r>
      <w:r>
        <w:rPr>
          <w:rFonts w:ascii="Book Antiqua" w:eastAsia="等线" w:hAnsi="Book Antiqua"/>
          <w:sz w:val="24"/>
        </w:rPr>
        <w:t xml:space="preserve"> 19, 2018</w:t>
      </w:r>
    </w:p>
    <w:p w:rsidR="00371BB0" w:rsidRDefault="00371BB0" w:rsidP="00371BB0">
      <w:pPr>
        <w:adjustRightInd w:val="0"/>
        <w:snapToGrid w:val="0"/>
        <w:spacing w:line="360" w:lineRule="auto"/>
        <w:rPr>
          <w:rFonts w:ascii="Book Antiqua" w:eastAsia="等线" w:hAnsi="Book Antiqua"/>
          <w:b/>
          <w:sz w:val="24"/>
        </w:rPr>
      </w:pPr>
      <w:r>
        <w:rPr>
          <w:rFonts w:ascii="Book Antiqua" w:hAnsi="Book Antiqua"/>
          <w:b/>
          <w:sz w:val="24"/>
        </w:rPr>
        <w:t>Peer-review started:</w:t>
      </w:r>
      <w:r>
        <w:rPr>
          <w:rFonts w:ascii="Book Antiqua" w:eastAsia="等线" w:hAnsi="Book Antiqua"/>
          <w:b/>
          <w:sz w:val="24"/>
        </w:rPr>
        <w:t xml:space="preserve"> </w:t>
      </w:r>
      <w:r>
        <w:rPr>
          <w:rFonts w:ascii="Book Antiqua" w:hAnsi="Book Antiqua"/>
          <w:sz w:val="24"/>
        </w:rPr>
        <w:t>October</w:t>
      </w:r>
      <w:r>
        <w:rPr>
          <w:rFonts w:ascii="Book Antiqua" w:eastAsia="等线" w:hAnsi="Book Antiqua"/>
          <w:sz w:val="24"/>
        </w:rPr>
        <w:t xml:space="preserve"> 19, 2018</w:t>
      </w:r>
    </w:p>
    <w:p w:rsidR="00371BB0" w:rsidRDefault="00371BB0" w:rsidP="00371BB0">
      <w:pPr>
        <w:adjustRightInd w:val="0"/>
        <w:snapToGrid w:val="0"/>
        <w:spacing w:line="360" w:lineRule="auto"/>
        <w:rPr>
          <w:rFonts w:ascii="Book Antiqua" w:eastAsia="等线" w:hAnsi="Book Antiqua"/>
          <w:b/>
          <w:sz w:val="24"/>
        </w:rPr>
      </w:pPr>
      <w:r>
        <w:rPr>
          <w:rFonts w:ascii="Book Antiqua" w:hAnsi="Book Antiqua"/>
          <w:b/>
          <w:sz w:val="24"/>
        </w:rPr>
        <w:t>First decision:</w:t>
      </w:r>
      <w:r>
        <w:rPr>
          <w:rFonts w:ascii="Book Antiqua" w:eastAsia="等线" w:hAnsi="Book Antiqua"/>
          <w:b/>
          <w:sz w:val="24"/>
        </w:rPr>
        <w:t xml:space="preserve"> </w:t>
      </w:r>
      <w:bookmarkStart w:id="30" w:name="OLE_LINK31"/>
      <w:r>
        <w:rPr>
          <w:rFonts w:ascii="Book Antiqua" w:hAnsi="Book Antiqua"/>
          <w:sz w:val="24"/>
        </w:rPr>
        <w:t>November</w:t>
      </w:r>
      <w:r>
        <w:rPr>
          <w:rFonts w:ascii="Book Antiqua" w:eastAsia="等线" w:hAnsi="Book Antiqua"/>
          <w:sz w:val="24"/>
        </w:rPr>
        <w:t xml:space="preserve"> 22</w:t>
      </w:r>
      <w:bookmarkEnd w:id="30"/>
      <w:r>
        <w:rPr>
          <w:rFonts w:ascii="Book Antiqua" w:eastAsia="等线" w:hAnsi="Book Antiqua"/>
          <w:sz w:val="24"/>
        </w:rPr>
        <w:t>, 2018</w:t>
      </w:r>
    </w:p>
    <w:p w:rsidR="00371BB0" w:rsidRDefault="00371BB0" w:rsidP="00371BB0">
      <w:pPr>
        <w:adjustRightInd w:val="0"/>
        <w:snapToGrid w:val="0"/>
        <w:spacing w:line="360" w:lineRule="auto"/>
        <w:rPr>
          <w:rFonts w:ascii="Book Antiqua" w:hAnsi="Book Antiqua"/>
          <w:b/>
          <w:sz w:val="24"/>
        </w:rPr>
      </w:pPr>
      <w:r>
        <w:rPr>
          <w:rFonts w:ascii="Book Antiqua" w:hAnsi="Book Antiqua"/>
          <w:b/>
          <w:sz w:val="24"/>
        </w:rPr>
        <w:t xml:space="preserve">Revised: </w:t>
      </w:r>
      <w:r>
        <w:rPr>
          <w:rFonts w:ascii="Book Antiqua" w:hAnsi="Book Antiqua"/>
          <w:sz w:val="24"/>
        </w:rPr>
        <w:t>November</w:t>
      </w:r>
      <w:r>
        <w:rPr>
          <w:rFonts w:ascii="Book Antiqua" w:eastAsia="等线" w:hAnsi="Book Antiqua"/>
          <w:sz w:val="24"/>
        </w:rPr>
        <w:t xml:space="preserve"> 27</w:t>
      </w:r>
      <w:r>
        <w:rPr>
          <w:rFonts w:ascii="Book Antiqua" w:hAnsi="Book Antiqua"/>
          <w:sz w:val="24"/>
        </w:rPr>
        <w:t xml:space="preserve">, 2018 </w:t>
      </w:r>
    </w:p>
    <w:p w:rsidR="00371BB0" w:rsidRDefault="00371BB0" w:rsidP="00371BB0">
      <w:pPr>
        <w:adjustRightInd w:val="0"/>
        <w:snapToGrid w:val="0"/>
        <w:spacing w:line="360" w:lineRule="auto"/>
        <w:rPr>
          <w:rFonts w:ascii="Book Antiqua" w:hAnsi="Book Antiqua"/>
          <w:sz w:val="24"/>
        </w:rPr>
      </w:pPr>
      <w:r>
        <w:rPr>
          <w:rFonts w:ascii="Book Antiqua" w:hAnsi="Book Antiqua"/>
          <w:b/>
          <w:sz w:val="24"/>
        </w:rPr>
        <w:t>Accepted:</w:t>
      </w:r>
      <w:r>
        <w:t xml:space="preserve"> </w:t>
      </w:r>
      <w:r>
        <w:rPr>
          <w:rFonts w:ascii="Book Antiqua" w:hAnsi="Book Antiqua"/>
          <w:sz w:val="24"/>
        </w:rPr>
        <w:t xml:space="preserve">November 30, 2018   </w:t>
      </w:r>
    </w:p>
    <w:p w:rsidR="00371BB0" w:rsidRDefault="00371BB0" w:rsidP="00371BB0">
      <w:pPr>
        <w:adjustRightInd w:val="0"/>
        <w:snapToGrid w:val="0"/>
        <w:spacing w:line="360" w:lineRule="auto"/>
        <w:rPr>
          <w:rFonts w:ascii="Book Antiqua" w:hAnsi="Book Antiqua"/>
          <w:b/>
          <w:sz w:val="24"/>
        </w:rPr>
      </w:pPr>
      <w:r>
        <w:rPr>
          <w:rFonts w:ascii="Book Antiqua" w:hAnsi="Book Antiqua"/>
          <w:b/>
          <w:sz w:val="24"/>
        </w:rPr>
        <w:t>Article in press:</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b/>
          <w:sz w:val="24"/>
        </w:rPr>
        <w:t>Published online:</w:t>
      </w:r>
    </w:p>
    <w:p w:rsidR="00371BB0" w:rsidRDefault="00371BB0" w:rsidP="00371BB0">
      <w:pPr>
        <w:widowControl/>
        <w:adjustRightInd w:val="0"/>
        <w:snapToGrid w:val="0"/>
        <w:spacing w:line="360" w:lineRule="auto"/>
        <w:rPr>
          <w:rFonts w:ascii="Book Antiqua" w:hAnsi="Book Antiqua"/>
          <w:b/>
          <w:color w:val="000000"/>
          <w:sz w:val="24"/>
        </w:rPr>
      </w:pPr>
      <w:r>
        <w:rPr>
          <w:rFonts w:ascii="Book Antiqua" w:hAnsi="Book Antiqua"/>
          <w:b/>
          <w:color w:val="000000"/>
          <w:sz w:val="24"/>
        </w:rPr>
        <w:br w:type="page"/>
      </w:r>
    </w:p>
    <w:p w:rsidR="00371BB0" w:rsidRDefault="00371BB0" w:rsidP="00371BB0">
      <w:pPr>
        <w:adjustRightInd w:val="0"/>
        <w:snapToGrid w:val="0"/>
        <w:spacing w:line="360" w:lineRule="auto"/>
        <w:rPr>
          <w:rFonts w:ascii="Book Antiqua" w:hAnsi="Book Antiqua"/>
          <w:b/>
          <w:color w:val="000000"/>
          <w:sz w:val="24"/>
        </w:rPr>
      </w:pPr>
      <w:bookmarkStart w:id="31" w:name="OLE_LINK123"/>
      <w:bookmarkStart w:id="32" w:name="OLE_LINK122"/>
      <w:bookmarkStart w:id="33" w:name="OLE_LINK147"/>
      <w:bookmarkStart w:id="34" w:name="OLE_LINK146"/>
      <w:r>
        <w:rPr>
          <w:rFonts w:ascii="Book Antiqua" w:hAnsi="Book Antiqua"/>
          <w:b/>
          <w:color w:val="000000"/>
          <w:sz w:val="24"/>
        </w:rPr>
        <w:lastRenderedPageBreak/>
        <w:t>Abstract</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Hepatitis C virus (HCV)</w:t>
      </w:r>
      <w:bookmarkEnd w:id="31"/>
      <w:bookmarkEnd w:id="32"/>
      <w:r>
        <w:rPr>
          <w:rFonts w:ascii="Book Antiqua" w:hAnsi="Book Antiqua"/>
          <w:color w:val="000000"/>
          <w:sz w:val="24"/>
        </w:rPr>
        <w:t xml:space="preserve"> infection commonly causes progressive liver diseases that deteriorate from chronic inflammation to fibrosis, cirrhosis and even </w:t>
      </w:r>
      <w:bookmarkStart w:id="35" w:name="OLE_LINK51"/>
      <w:r>
        <w:rPr>
          <w:rFonts w:ascii="Book Antiqua" w:hAnsi="Book Antiqua"/>
          <w:color w:val="000000"/>
          <w:sz w:val="24"/>
        </w:rPr>
        <w:t>to hepatocellular carcinoma</w:t>
      </w:r>
      <w:bookmarkEnd w:id="35"/>
      <w:r>
        <w:rPr>
          <w:rFonts w:ascii="Book Antiqua" w:hAnsi="Book Antiqua"/>
          <w:color w:val="000000"/>
          <w:sz w:val="24"/>
        </w:rPr>
        <w:t>.</w:t>
      </w:r>
      <w:bookmarkEnd w:id="33"/>
      <w:bookmarkEnd w:id="34"/>
      <w:r>
        <w:rPr>
          <w:rFonts w:ascii="Book Antiqua" w:hAnsi="Book Antiqua"/>
          <w:color w:val="000000"/>
          <w:sz w:val="24"/>
        </w:rPr>
        <w:t xml:space="preserve"> </w:t>
      </w:r>
      <w:bookmarkStart w:id="36" w:name="OLE_LINK101"/>
      <w:r>
        <w:rPr>
          <w:rFonts w:ascii="Book Antiqua" w:hAnsi="Book Antiqua"/>
          <w:color w:val="000000"/>
          <w:sz w:val="24"/>
        </w:rPr>
        <w:t>A long-term</w:t>
      </w:r>
      <w:bookmarkStart w:id="37" w:name="OLE_LINK43"/>
      <w:r>
        <w:rPr>
          <w:rFonts w:ascii="Book Antiqua" w:hAnsi="Book Antiqua"/>
          <w:color w:val="000000"/>
          <w:sz w:val="24"/>
        </w:rPr>
        <w:t>, persist</w:t>
      </w:r>
      <w:bookmarkEnd w:id="37"/>
      <w:r>
        <w:rPr>
          <w:rFonts w:ascii="Book Antiqua" w:hAnsi="Book Antiqua"/>
          <w:color w:val="000000"/>
          <w:sz w:val="24"/>
        </w:rPr>
        <w:t xml:space="preserve">ent and uncontrolled inflammatory response is a hallmark of these diseases and further leads to hepatic injury and more severe disease progression. </w:t>
      </w:r>
      <w:bookmarkEnd w:id="36"/>
      <w:r>
        <w:rPr>
          <w:rFonts w:ascii="Book Antiqua" w:hAnsi="Book Antiqua"/>
          <w:color w:val="000000"/>
          <w:sz w:val="24"/>
        </w:rPr>
        <w:t xml:space="preserve">The levels of inflammatory </w:t>
      </w:r>
      <w:bookmarkStart w:id="38" w:name="OLE_LINK121"/>
      <w:bookmarkStart w:id="39" w:name="OLE_LINK120"/>
      <w:r>
        <w:rPr>
          <w:rFonts w:ascii="Book Antiqua" w:hAnsi="Book Antiqua"/>
          <w:color w:val="000000"/>
          <w:sz w:val="24"/>
        </w:rPr>
        <w:t>cytokines and chemokine</w:t>
      </w:r>
      <w:bookmarkEnd w:id="38"/>
      <w:bookmarkEnd w:id="39"/>
      <w:r>
        <w:rPr>
          <w:rFonts w:ascii="Book Antiqua" w:hAnsi="Book Antiqua"/>
          <w:color w:val="000000"/>
          <w:sz w:val="24"/>
        </w:rPr>
        <w:t xml:space="preserve">s change with the states of infection and treatment, and therefore, they may serve as candidate </w:t>
      </w:r>
      <w:bookmarkStart w:id="40" w:name="OLE_LINK117"/>
      <w:bookmarkStart w:id="41" w:name="OLE_LINK116"/>
      <w:r>
        <w:rPr>
          <w:rFonts w:ascii="Book Antiqua" w:hAnsi="Book Antiqua"/>
          <w:color w:val="000000"/>
          <w:sz w:val="24"/>
        </w:rPr>
        <w:t>biomarkers for disease progression and therapeutic effects.</w:t>
      </w:r>
      <w:bookmarkEnd w:id="40"/>
      <w:bookmarkEnd w:id="41"/>
      <w:r>
        <w:rPr>
          <w:rFonts w:ascii="Book Antiqua" w:hAnsi="Book Antiqua"/>
          <w:color w:val="000000"/>
          <w:sz w:val="24"/>
        </w:rPr>
        <w:t xml:space="preserve"> The mechanisms of HCV-induced inflammation involve classic pathogen pattern recognition, inflammasome activation, intrahepatic inflammatory cascade response, and oxidative and endoplasmic reticulum stress. </w:t>
      </w:r>
      <w:bookmarkStart w:id="42" w:name="OLE_LINK156"/>
      <w:bookmarkStart w:id="43" w:name="OLE_LINK155"/>
      <w:r>
        <w:rPr>
          <w:rFonts w:ascii="Book Antiqua" w:hAnsi="Book Antiqua"/>
          <w:color w:val="000000"/>
          <w:sz w:val="24"/>
        </w:rPr>
        <w:t>Direct-acting antivirals (DAAs)</w:t>
      </w:r>
      <w:bookmarkEnd w:id="42"/>
      <w:bookmarkEnd w:id="43"/>
      <w:r>
        <w:rPr>
          <w:rFonts w:ascii="Book Antiqua" w:hAnsi="Book Antiqua"/>
          <w:color w:val="000000"/>
          <w:sz w:val="24"/>
        </w:rPr>
        <w:t xml:space="preserve"> are the first-choice therapy for effectively eliminating HCV, but DAAs alone are not sufficient to block the uncontrolled inflammation and severe liver injury in HCV-infected individuals. Some patients who achieve a sustained virologic response after DAA therapy are still at a long-term risk for progression to liver cirrhosis and hepatocellular carcinoma. Therefore, </w:t>
      </w:r>
      <w:bookmarkStart w:id="44" w:name="OLE_LINK20"/>
      <w:bookmarkStart w:id="45" w:name="OLE_LINK3"/>
      <w:bookmarkStart w:id="46" w:name="OLE_LINK1"/>
      <w:r>
        <w:rPr>
          <w:rFonts w:ascii="Book Antiqua" w:hAnsi="Book Antiqua"/>
          <w:color w:val="000000"/>
          <w:sz w:val="24"/>
        </w:rPr>
        <w:t>coupling with</w:t>
      </w:r>
      <w:bookmarkEnd w:id="44"/>
      <w:r>
        <w:rPr>
          <w:rFonts w:ascii="Book Antiqua" w:hAnsi="Book Antiqua"/>
          <w:color w:val="000000"/>
          <w:sz w:val="24"/>
        </w:rPr>
        <w:t xml:space="preserve"> anti-inflammatory/hepatoprotective agents with anti-HCV effects is a promising therapeutic regimen for these patients during or after treatment with DAAs. </w:t>
      </w:r>
      <w:bookmarkEnd w:id="45"/>
      <w:bookmarkEnd w:id="46"/>
      <w:r>
        <w:rPr>
          <w:rFonts w:ascii="Book Antiqua" w:hAnsi="Book Antiqua"/>
          <w:color w:val="000000"/>
          <w:sz w:val="24"/>
        </w:rPr>
        <w:t>In this review, we discuss the relationship between inflammatory mediators and HCV infection, summarize the mechanisms of HCV-induced inflammation, and describe the potential roles of anti-inflammatory/hepatoprotective drugs with anti-HCV activity in the treatment of</w:t>
      </w:r>
      <w:bookmarkStart w:id="47" w:name="OLE_LINK102"/>
      <w:r>
        <w:rPr>
          <w:rFonts w:ascii="Book Antiqua" w:hAnsi="Book Antiqua"/>
          <w:color w:val="000000"/>
          <w:sz w:val="24"/>
        </w:rPr>
        <w:t xml:space="preserve"> advanced </w:t>
      </w:r>
      <w:bookmarkEnd w:id="47"/>
      <w:r>
        <w:rPr>
          <w:rFonts w:ascii="Book Antiqua" w:hAnsi="Book Antiqua"/>
          <w:color w:val="000000"/>
          <w:sz w:val="24"/>
        </w:rPr>
        <w:t>HCV infection.</w:t>
      </w:r>
    </w:p>
    <w:p w:rsidR="00371BB0" w:rsidRDefault="00371BB0" w:rsidP="00371BB0">
      <w:pPr>
        <w:adjustRightInd w:val="0"/>
        <w:snapToGrid w:val="0"/>
        <w:spacing w:line="360" w:lineRule="auto"/>
        <w:rPr>
          <w:rFonts w:ascii="Book Antiqua" w:hAnsi="Book Antiqua"/>
          <w:color w:val="000000"/>
          <w:sz w:val="24"/>
        </w:rPr>
      </w:pPr>
    </w:p>
    <w:p w:rsidR="00371BB0" w:rsidRDefault="00371BB0" w:rsidP="00371BB0">
      <w:pPr>
        <w:adjustRightInd w:val="0"/>
        <w:snapToGrid w:val="0"/>
        <w:spacing w:line="360" w:lineRule="auto"/>
        <w:rPr>
          <w:rFonts w:ascii="Book Antiqua" w:hAnsi="Book Antiqua"/>
          <w:b/>
          <w:color w:val="000000"/>
          <w:sz w:val="24"/>
        </w:rPr>
      </w:pPr>
      <w:r>
        <w:rPr>
          <w:rFonts w:ascii="Book Antiqua" w:hAnsi="Book Antiqua"/>
          <w:b/>
          <w:color w:val="000000"/>
          <w:sz w:val="24"/>
        </w:rPr>
        <w:t xml:space="preserve">Key words: </w:t>
      </w:r>
      <w:r>
        <w:rPr>
          <w:rFonts w:ascii="Book Antiqua" w:hAnsi="Book Antiqua"/>
          <w:color w:val="000000"/>
          <w:sz w:val="24"/>
        </w:rPr>
        <w:t>Hepatitis C virus infection; Liver disease; Inflammatory pathogenesis; Anti-inflammatory and hepatoprotective therapy</w:t>
      </w:r>
    </w:p>
    <w:p w:rsidR="00371BB0" w:rsidRDefault="00371BB0" w:rsidP="00371BB0">
      <w:pPr>
        <w:adjustRightInd w:val="0"/>
        <w:snapToGrid w:val="0"/>
        <w:spacing w:line="360" w:lineRule="auto"/>
        <w:rPr>
          <w:rFonts w:ascii="Book Antiqua" w:hAnsi="Book Antiqua"/>
          <w:b/>
          <w:color w:val="000000"/>
          <w:sz w:val="24"/>
        </w:rPr>
      </w:pPr>
    </w:p>
    <w:p w:rsidR="00371BB0" w:rsidRDefault="00371BB0" w:rsidP="00371BB0">
      <w:pPr>
        <w:adjustRightInd w:val="0"/>
        <w:snapToGrid w:val="0"/>
        <w:spacing w:line="360" w:lineRule="auto"/>
        <w:rPr>
          <w:rFonts w:ascii="Book Antiqua" w:hAnsi="Book Antiqua"/>
          <w:b/>
          <w:color w:val="000000"/>
          <w:sz w:val="24"/>
        </w:rPr>
      </w:pPr>
      <w:r>
        <w:rPr>
          <w:rFonts w:ascii="Book Antiqua" w:hAnsi="Book Antiqua"/>
          <w:b/>
          <w:sz w:val="24"/>
        </w:rPr>
        <w:t xml:space="preserve">© The Author(s) 2018. </w:t>
      </w:r>
      <w:r>
        <w:rPr>
          <w:rFonts w:ascii="Book Antiqua" w:hAnsi="Book Antiqua"/>
          <w:sz w:val="24"/>
        </w:rPr>
        <w:t>Published by Baishideng Publishing Group Inc. All rights reserved.</w:t>
      </w:r>
    </w:p>
    <w:p w:rsidR="00371BB0" w:rsidRDefault="00371BB0" w:rsidP="00371BB0">
      <w:pPr>
        <w:adjustRightInd w:val="0"/>
        <w:snapToGrid w:val="0"/>
        <w:spacing w:line="360" w:lineRule="auto"/>
        <w:rPr>
          <w:rFonts w:ascii="Book Antiqua" w:hAnsi="Book Antiqua"/>
          <w:b/>
          <w:color w:val="000000"/>
          <w:sz w:val="24"/>
        </w:rPr>
      </w:pP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b/>
          <w:color w:val="000000"/>
          <w:sz w:val="24"/>
        </w:rPr>
        <w:t>Core tip:</w:t>
      </w:r>
      <w:r>
        <w:rPr>
          <w:rFonts w:ascii="Book Antiqua" w:hAnsi="Book Antiqua"/>
          <w:color w:val="000000"/>
          <w:sz w:val="24"/>
        </w:rPr>
        <w:t xml:space="preserve"> Inflammatory responses triggered by hepatitis C virus (HCV) infection lead to severe progressive liver diseases. Some inflammatory cytokines and chemokines </w:t>
      </w:r>
      <w:r>
        <w:rPr>
          <w:rFonts w:ascii="Book Antiqua" w:hAnsi="Book Antiqua"/>
          <w:color w:val="000000"/>
          <w:sz w:val="24"/>
        </w:rPr>
        <w:lastRenderedPageBreak/>
        <w:t>may serve as biomarkers for the disease progression and therapeutic effect in chronic hepatitis C (CHC) patients. The inflammatory pathogenesis in HCV-infected patients is complicated, including classic pathogen pattern recognition, inflammasome activation, intrahepatic inflammatory cascade response, and oxidative and endoplasmic reticulum stress. Direct-acting antivirals (DAAs) are not sufficient to block the uncontrolled inflammation and disease progression in severe CHC patients. Therefore, coupling with anti-inflammatory/hepatoprotective agents with anti-HCV effects is a promising therapeutic regimen for advanced HCV-infected patients during or after treatment with DAAs.</w:t>
      </w:r>
    </w:p>
    <w:p w:rsidR="00371BB0" w:rsidRDefault="00371BB0" w:rsidP="00371BB0">
      <w:pPr>
        <w:adjustRightInd w:val="0"/>
        <w:snapToGrid w:val="0"/>
        <w:spacing w:line="360" w:lineRule="auto"/>
        <w:rPr>
          <w:rFonts w:ascii="Book Antiqua" w:hAnsi="Book Antiqua"/>
          <w:color w:val="000000"/>
          <w:sz w:val="24"/>
        </w:rPr>
      </w:pP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Li</w:t>
      </w:r>
      <w:r>
        <w:rPr>
          <w:rFonts w:ascii="Book Antiqua" w:hAnsi="Book Antiqua"/>
          <w:color w:val="000000"/>
          <w:sz w:val="24"/>
          <w:vertAlign w:val="superscript"/>
        </w:rPr>
        <w:t xml:space="preserve"> </w:t>
      </w:r>
      <w:r>
        <w:rPr>
          <w:rFonts w:ascii="Book Antiqua" w:hAnsi="Book Antiqua"/>
          <w:color w:val="000000"/>
          <w:sz w:val="24"/>
        </w:rPr>
        <w:t xml:space="preserve">H, Huang MH, Jiang JD, Peng ZG. Hepatitis C: From inflammatory pathogenesis to anti-inflammatory/hepatoprotective therapy. </w:t>
      </w:r>
      <w:bookmarkStart w:id="48" w:name="OLE_LINK380"/>
      <w:bookmarkStart w:id="49" w:name="OLE_LINK1107"/>
      <w:bookmarkStart w:id="50" w:name="OLE_LINK1105"/>
      <w:r>
        <w:rPr>
          <w:rFonts w:ascii="Book Antiqua" w:hAnsi="Book Antiqua"/>
          <w:i/>
          <w:color w:val="000000"/>
          <w:sz w:val="24"/>
        </w:rPr>
        <w:t xml:space="preserve">World J Gastroenterol </w:t>
      </w:r>
      <w:r>
        <w:rPr>
          <w:rFonts w:ascii="Book Antiqua" w:hAnsi="Book Antiqua"/>
          <w:color w:val="000000"/>
          <w:sz w:val="24"/>
        </w:rPr>
        <w:t>2018; In press</w:t>
      </w:r>
      <w:bookmarkEnd w:id="48"/>
      <w:bookmarkEnd w:id="49"/>
      <w:bookmarkEnd w:id="50"/>
    </w:p>
    <w:p w:rsidR="00371BB0" w:rsidRDefault="00371BB0" w:rsidP="00371BB0">
      <w:pPr>
        <w:widowControl/>
        <w:spacing w:line="360" w:lineRule="auto"/>
        <w:jc w:val="left"/>
        <w:rPr>
          <w:rFonts w:ascii="Book Antiqua" w:hAnsi="Book Antiqua"/>
          <w:color w:val="000000"/>
          <w:sz w:val="24"/>
        </w:rPr>
        <w:sectPr w:rsidR="00371BB0">
          <w:pgSz w:w="11906" w:h="16838"/>
          <w:pgMar w:top="1418" w:right="1418" w:bottom="1418" w:left="1418" w:header="851" w:footer="992" w:gutter="0"/>
          <w:pgNumType w:fmt="numberInDash"/>
          <w:cols w:space="720"/>
          <w:docGrid w:type="linesAndChars" w:linePitch="312"/>
        </w:sectPr>
      </w:pPr>
    </w:p>
    <w:p w:rsidR="00371BB0" w:rsidRDefault="00371BB0" w:rsidP="00371BB0">
      <w:pPr>
        <w:adjustRightInd w:val="0"/>
        <w:snapToGrid w:val="0"/>
        <w:spacing w:line="360" w:lineRule="auto"/>
        <w:rPr>
          <w:rFonts w:ascii="Book Antiqua" w:hAnsi="Book Antiqua"/>
          <w:b/>
          <w:color w:val="000000"/>
          <w:sz w:val="24"/>
        </w:rPr>
      </w:pPr>
      <w:r>
        <w:rPr>
          <w:rFonts w:ascii="Book Antiqua" w:hAnsi="Book Antiqua"/>
          <w:b/>
          <w:color w:val="000000"/>
          <w:sz w:val="24"/>
        </w:rPr>
        <w:lastRenderedPageBreak/>
        <w:t>INTRODUCTION</w:t>
      </w:r>
    </w:p>
    <w:p w:rsidR="00371BB0" w:rsidRDefault="00371BB0" w:rsidP="00371BB0">
      <w:pPr>
        <w:adjustRightInd w:val="0"/>
        <w:snapToGrid w:val="0"/>
        <w:spacing w:line="360" w:lineRule="auto"/>
        <w:rPr>
          <w:rFonts w:ascii="Book Antiqua" w:hAnsi="Book Antiqua"/>
          <w:b/>
          <w:color w:val="000000"/>
          <w:sz w:val="24"/>
        </w:rPr>
      </w:pPr>
      <w:r>
        <w:rPr>
          <w:rFonts w:ascii="Book Antiqua" w:hAnsi="Book Antiqua"/>
          <w:color w:val="000000"/>
          <w:sz w:val="24"/>
        </w:rPr>
        <w:t xml:space="preserve">Hepatitis C virus (HCV) belongs to </w:t>
      </w:r>
      <w:bookmarkStart w:id="51" w:name="OLE_LINK59"/>
      <w:r>
        <w:rPr>
          <w:rFonts w:ascii="Book Antiqua" w:hAnsi="Book Antiqua"/>
          <w:color w:val="000000"/>
          <w:sz w:val="24"/>
        </w:rPr>
        <w:t>the genus</w:t>
      </w:r>
      <w:r>
        <w:rPr>
          <w:rFonts w:ascii="Book Antiqua" w:hAnsi="Book Antiqua"/>
          <w:i/>
          <w:color w:val="000000"/>
          <w:sz w:val="24"/>
        </w:rPr>
        <w:t xml:space="preserve"> Hepacivirus </w:t>
      </w:r>
      <w:r>
        <w:rPr>
          <w:rFonts w:ascii="Book Antiqua" w:hAnsi="Book Antiqua"/>
          <w:color w:val="000000"/>
          <w:sz w:val="24"/>
        </w:rPr>
        <w:t>in the family</w:t>
      </w:r>
      <w:r>
        <w:rPr>
          <w:rFonts w:ascii="Book Antiqua" w:hAnsi="Book Antiqua"/>
          <w:i/>
          <w:color w:val="000000"/>
          <w:sz w:val="24"/>
        </w:rPr>
        <w:t xml:space="preserve"> Flaviviridae</w:t>
      </w:r>
      <w:bookmarkEnd w:id="51"/>
      <w:r>
        <w:rPr>
          <w:rFonts w:ascii="Book Antiqua" w:hAnsi="Book Antiqua"/>
          <w:color w:val="000000"/>
          <w:sz w:val="24"/>
        </w:rPr>
        <w:t xml:space="preserve"> and is a positive single-stranded RNA virus that is approximately 9.6 kb. The HCV genome encodes three structural (Core, E1 and E2) and seven </w:t>
      </w:r>
      <w:bookmarkStart w:id="52" w:name="OLE_LINK33"/>
      <w:r>
        <w:rPr>
          <w:rFonts w:ascii="Book Antiqua" w:hAnsi="Book Antiqua"/>
          <w:color w:val="000000"/>
          <w:sz w:val="24"/>
        </w:rPr>
        <w:t>non-structural</w:t>
      </w:r>
      <w:bookmarkEnd w:id="52"/>
      <w:r>
        <w:rPr>
          <w:rFonts w:ascii="Book Antiqua" w:hAnsi="Book Antiqua"/>
          <w:color w:val="000000"/>
          <w:sz w:val="24"/>
        </w:rPr>
        <w:t xml:space="preserve"> (NS) proteins (NS1 or P7, NS2, NS3, NS4A, NS4B, NS5A and NS5B)</w:t>
      </w:r>
      <w:r>
        <w:rPr>
          <w:rFonts w:ascii="Book Antiqua" w:hAnsi="Book Antiqua"/>
          <w:color w:val="000000"/>
          <w:sz w:val="24"/>
          <w:vertAlign w:val="superscript"/>
        </w:rPr>
        <w:t>[1]</w:t>
      </w:r>
      <w:r>
        <w:rPr>
          <w:rFonts w:ascii="Book Antiqua" w:hAnsi="Book Antiqua"/>
          <w:color w:val="000000"/>
          <w:sz w:val="24"/>
        </w:rPr>
        <w:t>. As a kind of hepatic tropism virus, HCV mainly replicates in the hepatocyte cytoplasm and frequently causes acute or chronic hepatitis C (CHC), which has an estimated prevalence of 71 million people and is responsible for approximately 399000 deaths annually</w:t>
      </w:r>
      <w:r>
        <w:rPr>
          <w:rFonts w:ascii="Book Antiqua" w:hAnsi="Book Antiqua"/>
          <w:color w:val="000000"/>
          <w:sz w:val="24"/>
          <w:vertAlign w:val="superscript"/>
        </w:rPr>
        <w:t>[1,2]</w:t>
      </w:r>
      <w:r>
        <w:rPr>
          <w:rFonts w:ascii="Book Antiqua" w:hAnsi="Book Antiqua"/>
          <w:color w:val="000000"/>
          <w:sz w:val="24"/>
        </w:rPr>
        <w:t xml:space="preserve">. CHC patients generally experience liver diseases ranging from liver fibrosis and cirrhosis to </w:t>
      </w:r>
      <w:bookmarkStart w:id="53" w:name="OLE_LINK39"/>
      <w:bookmarkStart w:id="54" w:name="OLE_LINK37"/>
      <w:r>
        <w:rPr>
          <w:rFonts w:ascii="Book Antiqua" w:hAnsi="Book Antiqua"/>
          <w:color w:val="000000"/>
          <w:sz w:val="24"/>
        </w:rPr>
        <w:t>hepatocellular carcinoma</w:t>
      </w:r>
      <w:bookmarkEnd w:id="53"/>
      <w:bookmarkEnd w:id="54"/>
      <w:r>
        <w:rPr>
          <w:rFonts w:ascii="Book Antiqua" w:hAnsi="Book Antiqua"/>
          <w:color w:val="000000"/>
          <w:sz w:val="24"/>
        </w:rPr>
        <w:t xml:space="preserve"> (HCC) and </w:t>
      </w:r>
      <w:bookmarkStart w:id="55" w:name="OLE_LINK154"/>
      <w:bookmarkStart w:id="56" w:name="OLE_LINK153"/>
      <w:r>
        <w:rPr>
          <w:rFonts w:ascii="Book Antiqua" w:hAnsi="Book Antiqua"/>
          <w:color w:val="000000"/>
          <w:sz w:val="24"/>
        </w:rPr>
        <w:t>suffer from</w:t>
      </w:r>
      <w:bookmarkEnd w:id="55"/>
      <w:bookmarkEnd w:id="56"/>
      <w:r>
        <w:rPr>
          <w:rFonts w:ascii="Book Antiqua" w:hAnsi="Book Antiqua"/>
          <w:color w:val="000000"/>
          <w:sz w:val="24"/>
        </w:rPr>
        <w:t xml:space="preserve"> metabolic disorders such as lipid abnormalities, steatosis, insulin resistance, and iron load dysregulation</w:t>
      </w:r>
      <w:r>
        <w:rPr>
          <w:rFonts w:ascii="Book Antiqua" w:hAnsi="Book Antiqua"/>
          <w:color w:val="000000"/>
          <w:sz w:val="24"/>
          <w:vertAlign w:val="superscript"/>
        </w:rPr>
        <w:t>[3]</w:t>
      </w:r>
      <w:r>
        <w:rPr>
          <w:rFonts w:ascii="Book Antiqua" w:hAnsi="Book Antiqua"/>
          <w:color w:val="000000"/>
          <w:sz w:val="24"/>
        </w:rPr>
        <w:t xml:space="preserve">. These abnormalities are aggravated by long-term hepatic inflammatory responses. Upon HCV infection, the immune responses in the liver are initiated by </w:t>
      </w:r>
      <w:bookmarkStart w:id="57" w:name="OLE_LINK98"/>
      <w:bookmarkStart w:id="58" w:name="OLE_LINK99"/>
      <w:r>
        <w:rPr>
          <w:rFonts w:ascii="Book Antiqua" w:hAnsi="Book Antiqua"/>
          <w:color w:val="000000"/>
          <w:sz w:val="24"/>
        </w:rPr>
        <w:t xml:space="preserve">parenchymal cells (hepatocytes), non-parenchymal liver cells </w:t>
      </w:r>
      <w:bookmarkStart w:id="59" w:name="OLE_LINK76"/>
      <w:r>
        <w:rPr>
          <w:rFonts w:ascii="Book Antiqua" w:hAnsi="Book Antiqua"/>
          <w:color w:val="000000"/>
          <w:sz w:val="24"/>
        </w:rPr>
        <w:t>[Kupffer cells</w:t>
      </w:r>
      <w:bookmarkEnd w:id="59"/>
      <w:r>
        <w:rPr>
          <w:rFonts w:ascii="Book Antiqua" w:hAnsi="Book Antiqua"/>
          <w:color w:val="000000"/>
          <w:sz w:val="24"/>
        </w:rPr>
        <w:t xml:space="preserve"> (KCs) and hepatic stellate cells (HSCs)] and immune cells (</w:t>
      </w:r>
      <w:bookmarkStart w:id="60" w:name="OLE_LINK62"/>
      <w:r>
        <w:rPr>
          <w:rFonts w:ascii="Book Antiqua" w:hAnsi="Book Antiqua"/>
          <w:color w:val="000000"/>
          <w:sz w:val="24"/>
        </w:rPr>
        <w:t>macrophages, mast cells, dendritic cells and natural killer cells</w:t>
      </w:r>
      <w:bookmarkEnd w:id="60"/>
      <w:r>
        <w:rPr>
          <w:rFonts w:ascii="Book Antiqua" w:hAnsi="Book Antiqua"/>
          <w:color w:val="000000"/>
          <w:sz w:val="24"/>
        </w:rPr>
        <w:t>) recruited to the liver</w:t>
      </w:r>
      <w:bookmarkEnd w:id="57"/>
      <w:bookmarkEnd w:id="58"/>
      <w:r>
        <w:rPr>
          <w:rFonts w:ascii="Book Antiqua" w:hAnsi="Book Antiqua"/>
          <w:color w:val="000000"/>
          <w:sz w:val="24"/>
        </w:rPr>
        <w:t>, resulting in the spontaneous elimination of acute HCV infection</w:t>
      </w:r>
      <w:r>
        <w:rPr>
          <w:rFonts w:ascii="Book Antiqua" w:hAnsi="Book Antiqua"/>
          <w:color w:val="000000"/>
          <w:sz w:val="24"/>
          <w:vertAlign w:val="superscript"/>
        </w:rPr>
        <w:t>[4]</w:t>
      </w:r>
      <w:r>
        <w:rPr>
          <w:rFonts w:ascii="Book Antiqua" w:hAnsi="Book Antiqua"/>
          <w:color w:val="000000"/>
          <w:sz w:val="24"/>
        </w:rPr>
        <w:t>. However, in 70%–80% of cases, the immune responses fail to eliminate the virus during the acute phase, leading to chronic infection</w:t>
      </w:r>
      <w:r>
        <w:rPr>
          <w:rFonts w:ascii="Book Antiqua" w:hAnsi="Book Antiqua"/>
          <w:color w:val="000000"/>
          <w:sz w:val="24"/>
          <w:vertAlign w:val="superscript"/>
        </w:rPr>
        <w:t>[4]</w:t>
      </w:r>
      <w:r>
        <w:rPr>
          <w:rFonts w:ascii="Book Antiqua" w:hAnsi="Book Antiqua"/>
          <w:color w:val="000000"/>
          <w:sz w:val="24"/>
        </w:rPr>
        <w:t>. Persistent HCV replication in hepatocytes leads to uncontrolled inflammation and chemokine production. The excessive cytokines, as inflammatory agents, further cause inflammation in the liver, which eventually exacerbates tissue damage and liver disease progression</w:t>
      </w:r>
      <w:r>
        <w:rPr>
          <w:rFonts w:ascii="Book Antiqua" w:hAnsi="Book Antiqua"/>
          <w:color w:val="000000"/>
          <w:sz w:val="24"/>
          <w:vertAlign w:val="superscript"/>
        </w:rPr>
        <w:t>[5]</w:t>
      </w:r>
      <w:r>
        <w:rPr>
          <w:rFonts w:ascii="Book Antiqua" w:hAnsi="Book Antiqua"/>
          <w:color w:val="000000"/>
          <w:sz w:val="24"/>
        </w:rPr>
        <w:t>.</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 xml:space="preserve">  Direct antiviral treatment is undoubtedly the first choice for the treatment of HCV infection. Currently, several direct-acting antivirals (DAAs) have been approved for clinical use, including NS3/4A, NS5A and NS5B inhibitors and fixed-dose combined agents</w:t>
      </w:r>
      <w:r>
        <w:rPr>
          <w:rFonts w:ascii="Book Antiqua" w:hAnsi="Book Antiqua"/>
          <w:color w:val="000000"/>
          <w:sz w:val="24"/>
          <w:vertAlign w:val="superscript"/>
        </w:rPr>
        <w:t>[6]</w:t>
      </w:r>
      <w:r>
        <w:rPr>
          <w:rFonts w:ascii="Book Antiqua" w:hAnsi="Book Antiqua"/>
          <w:color w:val="000000"/>
          <w:sz w:val="24"/>
        </w:rPr>
        <w:t xml:space="preserve">. The combinational use of these DAAs has become the standard treatment regimen for the treatment of HCV infection, which greatly improves sustained virologic response (SVR) rates to over 90%, shortens the treatment duration and </w:t>
      </w:r>
      <w:bookmarkStart w:id="61" w:name="OLE_LINK30"/>
      <w:r>
        <w:rPr>
          <w:rFonts w:ascii="Book Antiqua" w:hAnsi="Book Antiqua"/>
          <w:color w:val="000000"/>
          <w:sz w:val="24"/>
        </w:rPr>
        <w:t>reduces adverse effect</w:t>
      </w:r>
      <w:bookmarkEnd w:id="61"/>
      <w:r>
        <w:rPr>
          <w:rFonts w:ascii="Book Antiqua" w:hAnsi="Book Antiqua"/>
          <w:color w:val="000000"/>
          <w:sz w:val="24"/>
        </w:rPr>
        <w:t>s, when compared with the traditional interferon (IFN) plus ribavirin treatment</w:t>
      </w:r>
      <w:r>
        <w:rPr>
          <w:rFonts w:ascii="Book Antiqua" w:hAnsi="Book Antiqua"/>
          <w:color w:val="000000"/>
          <w:sz w:val="24"/>
          <w:vertAlign w:val="superscript"/>
        </w:rPr>
        <w:t>[6]</w:t>
      </w:r>
      <w:r>
        <w:rPr>
          <w:rFonts w:ascii="Book Antiqua" w:hAnsi="Book Antiqua"/>
          <w:color w:val="000000"/>
          <w:sz w:val="24"/>
        </w:rPr>
        <w:t xml:space="preserve">. However, HCV is just the initiator for pathophysiological processes, while persistent inflammatory cytokine storms (known as </w:t>
      </w:r>
      <w:r>
        <w:rPr>
          <w:rFonts w:ascii="Book Antiqua" w:hAnsi="Book Antiqua"/>
          <w:color w:val="000000"/>
          <w:sz w:val="24"/>
        </w:rPr>
        <w:lastRenderedPageBreak/>
        <w:t>hypercytokinaemia) and HCV-induced hepatocyte damage exacerbate the progression of severe liver diseases</w:t>
      </w:r>
      <w:r>
        <w:rPr>
          <w:rFonts w:ascii="Book Antiqua" w:hAnsi="Book Antiqua"/>
          <w:color w:val="000000"/>
          <w:sz w:val="24"/>
          <w:vertAlign w:val="superscript"/>
        </w:rPr>
        <w:t>[7-10]</w:t>
      </w:r>
      <w:r>
        <w:rPr>
          <w:rFonts w:ascii="Book Antiqua" w:hAnsi="Book Antiqua"/>
          <w:color w:val="000000"/>
          <w:sz w:val="24"/>
        </w:rPr>
        <w:t>. DAAs primarily control viral replication but are not sufficient to restore HCV-induced liver dyshomeostasis and advanced liver diseases. Clinically, there are different conclusions about the contribution of current DAA therapy to reducing cirrhosis and HCC,</w:t>
      </w:r>
      <w:r>
        <w:rPr>
          <w:rFonts w:ascii="Book Antiqua" w:hAnsi="Book Antiqua"/>
          <w:color w:val="000000"/>
          <w:kern w:val="0"/>
          <w:sz w:val="24"/>
        </w:rPr>
        <w:t xml:space="preserve"> and </w:t>
      </w:r>
      <w:r>
        <w:rPr>
          <w:rFonts w:ascii="Book Antiqua" w:hAnsi="Book Antiqua"/>
          <w:color w:val="000000"/>
          <w:sz w:val="24"/>
        </w:rPr>
        <w:t>a subset of patients are still subjected to the risk of cirrhosis, HCC and liver failure even after achieving an SVR</w:t>
      </w:r>
      <w:r>
        <w:rPr>
          <w:rFonts w:ascii="Book Antiqua" w:hAnsi="Book Antiqua"/>
          <w:color w:val="000000"/>
          <w:sz w:val="24"/>
          <w:vertAlign w:val="superscript"/>
        </w:rPr>
        <w:t>[6,7,11]</w:t>
      </w:r>
      <w:r>
        <w:rPr>
          <w:rFonts w:ascii="Book Antiqua" w:hAnsi="Book Antiqua"/>
          <w:color w:val="000000"/>
          <w:sz w:val="24"/>
        </w:rPr>
        <w:t>. Given these limitations of DAA therapy, anti-inflammatory and hepatoprotective drugs with anti-HCV effects become a good choice for those individuals. These drugs have advantages in suppressing inflammation/oxidative stress, reducing hepatocyte injury and alanine aminotransferase (ALT)/</w:t>
      </w:r>
      <w:bookmarkStart w:id="62" w:name="OLE_LINK103"/>
      <w:bookmarkStart w:id="63" w:name="OLE_LINK84"/>
      <w:r>
        <w:rPr>
          <w:rFonts w:ascii="Book Antiqua" w:hAnsi="Book Antiqua"/>
          <w:color w:val="000000"/>
          <w:sz w:val="24"/>
        </w:rPr>
        <w:t>aspartate aminotransferase</w:t>
      </w:r>
      <w:bookmarkEnd w:id="62"/>
      <w:bookmarkEnd w:id="63"/>
      <w:r>
        <w:rPr>
          <w:rFonts w:ascii="Book Antiqua" w:hAnsi="Book Antiqua"/>
          <w:color w:val="000000"/>
          <w:sz w:val="24"/>
        </w:rPr>
        <w:t xml:space="preserve"> (AST) levels and preventing the development of liver fibrosis</w:t>
      </w:r>
      <w:r>
        <w:rPr>
          <w:rFonts w:ascii="Book Antiqua" w:hAnsi="Book Antiqua"/>
          <w:color w:val="000000"/>
          <w:sz w:val="24"/>
          <w:vertAlign w:val="superscript"/>
        </w:rPr>
        <w:t>[12]</w:t>
      </w:r>
      <w:r>
        <w:rPr>
          <w:rFonts w:ascii="Book Antiqua" w:hAnsi="Book Antiqua"/>
          <w:color w:val="000000"/>
          <w:sz w:val="24"/>
        </w:rPr>
        <w:t>. Therefore, although anti-inflammatory/hepatoprotective drugs would not replace DAAs, they can be used as a supplement to DAA therapy for preventing HCV relapse and liver disease progression during or after DAA therapy.</w:t>
      </w:r>
    </w:p>
    <w:p w:rsidR="00371BB0" w:rsidRDefault="00371BB0" w:rsidP="00371BB0">
      <w:pPr>
        <w:adjustRightInd w:val="0"/>
        <w:snapToGrid w:val="0"/>
        <w:spacing w:line="360" w:lineRule="auto"/>
        <w:rPr>
          <w:rFonts w:ascii="Book Antiqua" w:hAnsi="Book Antiqua"/>
          <w:color w:val="000000"/>
          <w:sz w:val="24"/>
        </w:rPr>
      </w:pPr>
    </w:p>
    <w:p w:rsidR="00371BB0" w:rsidRDefault="00371BB0" w:rsidP="00371BB0">
      <w:pPr>
        <w:adjustRightInd w:val="0"/>
        <w:snapToGrid w:val="0"/>
        <w:spacing w:line="360" w:lineRule="auto"/>
        <w:rPr>
          <w:rFonts w:ascii="Book Antiqua" w:hAnsi="Book Antiqua"/>
          <w:b/>
          <w:color w:val="000000"/>
          <w:sz w:val="24"/>
        </w:rPr>
      </w:pPr>
      <w:r>
        <w:rPr>
          <w:rFonts w:ascii="Book Antiqua" w:hAnsi="Book Antiqua"/>
          <w:b/>
          <w:bCs/>
          <w:color w:val="000000"/>
          <w:sz w:val="24"/>
        </w:rPr>
        <w:t>HCV INFECTION AND INFLAMMATORY MARKERS</w:t>
      </w:r>
    </w:p>
    <w:p w:rsidR="00371BB0" w:rsidRDefault="00371BB0" w:rsidP="00371BB0">
      <w:pPr>
        <w:adjustRightInd w:val="0"/>
        <w:snapToGrid w:val="0"/>
        <w:spacing w:line="360" w:lineRule="auto"/>
        <w:rPr>
          <w:rFonts w:ascii="Book Antiqua" w:hAnsi="Book Antiqua"/>
          <w:b/>
          <w:color w:val="000000"/>
          <w:sz w:val="24"/>
        </w:rPr>
      </w:pPr>
      <w:r>
        <w:rPr>
          <w:rFonts w:ascii="Book Antiqua" w:hAnsi="Book Antiqua"/>
          <w:color w:val="000000"/>
          <w:sz w:val="24"/>
        </w:rPr>
        <w:t xml:space="preserve">Most inflammatory cytokine and chemokine levels are positively correlated with the HCV load and decline after antiviral therapy. Although the role of inflammatory mediators in HCV infection after treatment with DAAs has not received much attention, previous research still reported that one or more of these inflammatory mediators might serve as inflammatory biomarkers in CHC patients (Table 1). For instance, Costantini </w:t>
      </w:r>
      <w:r>
        <w:rPr>
          <w:rFonts w:ascii="Book Antiqua" w:hAnsi="Book Antiqua"/>
          <w:i/>
          <w:color w:val="000000"/>
          <w:sz w:val="24"/>
        </w:rPr>
        <w:t>et al</w:t>
      </w:r>
      <w:r>
        <w:rPr>
          <w:rFonts w:ascii="Book Antiqua" w:hAnsi="Book Antiqua"/>
          <w:color w:val="000000"/>
          <w:sz w:val="24"/>
          <w:vertAlign w:val="superscript"/>
        </w:rPr>
        <w:t>[13,14]</w:t>
      </w:r>
      <w:r>
        <w:rPr>
          <w:rFonts w:ascii="Book Antiqua" w:hAnsi="Book Antiqua"/>
          <w:color w:val="000000"/>
          <w:sz w:val="24"/>
        </w:rPr>
        <w:t xml:space="preserve"> revealed that several serum mediators, including interleukin (IL)-6 and IL-8, C-X-C motif ligand (CXCL)-9, CXCL-10, CXCL-12 and macrophage migration inhibitory factor (MIF), might be used as potential markers for evaluating the progression of chronic hepatitis to cirrhosis. Hepatic tumor necrosis factor (TNF)-α was associated with increased inflammatory activity, hepatic fibrosis and liver injury in CHC</w:t>
      </w:r>
      <w:r>
        <w:rPr>
          <w:rFonts w:ascii="Book Antiqua" w:hAnsi="Book Antiqua"/>
          <w:color w:val="000000"/>
          <w:sz w:val="24"/>
          <w:vertAlign w:val="superscript"/>
        </w:rPr>
        <w:t>[15-17]</w:t>
      </w:r>
      <w:r>
        <w:rPr>
          <w:rFonts w:ascii="Book Antiqua" w:hAnsi="Book Antiqua"/>
          <w:color w:val="000000"/>
          <w:sz w:val="24"/>
        </w:rPr>
        <w:t>. Meanwhile, TNF-α has been identified as the key molecule promoting the development of insulin resistance and diabetes during HCV infection, and patients with severe liver disease and HCC</w:t>
      </w:r>
      <w:r>
        <w:rPr>
          <w:rFonts w:ascii="Book Antiqua" w:hAnsi="Book Antiqua"/>
          <w:color w:val="000000"/>
          <w:kern w:val="0"/>
          <w:sz w:val="24"/>
          <w:vertAlign w:val="superscript"/>
        </w:rPr>
        <w:t xml:space="preserve"> </w:t>
      </w:r>
      <w:r>
        <w:rPr>
          <w:rFonts w:ascii="Book Antiqua" w:hAnsi="Book Antiqua"/>
          <w:color w:val="000000"/>
          <w:sz w:val="24"/>
        </w:rPr>
        <w:t>have a higher TNF-α/IL-10 ratio</w:t>
      </w:r>
      <w:r>
        <w:rPr>
          <w:rFonts w:ascii="Book Antiqua" w:hAnsi="Book Antiqua"/>
          <w:color w:val="000000"/>
          <w:sz w:val="24"/>
          <w:vertAlign w:val="superscript"/>
        </w:rPr>
        <w:t>[18,19]</w:t>
      </w:r>
      <w:r>
        <w:rPr>
          <w:rFonts w:ascii="Book Antiqua" w:hAnsi="Book Antiqua"/>
          <w:color w:val="000000"/>
          <w:sz w:val="24"/>
        </w:rPr>
        <w:t xml:space="preserve">. In patients co-infected with HCV and hepatitis B virus (HBV), plasma IL-6 concentrations were positively correlated with illness duration and viral </w:t>
      </w:r>
      <w:r>
        <w:rPr>
          <w:rFonts w:ascii="Book Antiqua" w:hAnsi="Book Antiqua"/>
          <w:color w:val="000000"/>
          <w:sz w:val="24"/>
        </w:rPr>
        <w:lastRenderedPageBreak/>
        <w:t xml:space="preserve">load, whereas the IL-18 concentration was positively correlated with </w:t>
      </w:r>
      <w:bookmarkStart w:id="64" w:name="OLE_LINK158"/>
      <w:bookmarkStart w:id="65" w:name="OLE_LINK157"/>
      <w:r>
        <w:rPr>
          <w:rFonts w:ascii="Book Antiqua" w:hAnsi="Book Antiqua"/>
          <w:color w:val="000000"/>
          <w:sz w:val="24"/>
        </w:rPr>
        <w:t xml:space="preserve">ALT and AST </w:t>
      </w:r>
      <w:bookmarkEnd w:id="64"/>
      <w:bookmarkEnd w:id="65"/>
      <w:r>
        <w:rPr>
          <w:rFonts w:ascii="Book Antiqua" w:hAnsi="Book Antiqua"/>
          <w:color w:val="000000"/>
          <w:sz w:val="24"/>
        </w:rPr>
        <w:t>levels</w:t>
      </w:r>
      <w:r>
        <w:rPr>
          <w:rFonts w:ascii="Book Antiqua" w:hAnsi="Book Antiqua"/>
          <w:color w:val="000000"/>
          <w:sz w:val="24"/>
          <w:vertAlign w:val="superscript"/>
        </w:rPr>
        <w:t xml:space="preserve"> </w:t>
      </w:r>
      <w:r>
        <w:rPr>
          <w:rFonts w:ascii="Book Antiqua" w:hAnsi="Book Antiqua"/>
          <w:color w:val="000000"/>
          <w:sz w:val="24"/>
        </w:rPr>
        <w:t>and might evaluate the effect of IFN on the immune state</w:t>
      </w:r>
      <w:r>
        <w:rPr>
          <w:rFonts w:ascii="Book Antiqua" w:hAnsi="Book Antiqua"/>
          <w:color w:val="000000"/>
          <w:sz w:val="24"/>
          <w:vertAlign w:val="superscript"/>
        </w:rPr>
        <w:t>[20,21]</w:t>
      </w:r>
      <w:r>
        <w:rPr>
          <w:rFonts w:ascii="Book Antiqua" w:hAnsi="Book Antiqua"/>
          <w:color w:val="000000"/>
          <w:sz w:val="24"/>
        </w:rPr>
        <w:t>. The above results suggest that the level of inflammatory factors in hepatitis C patients might be used as a reference for disease progression during HCV infection and antiviral therapy.</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 xml:space="preserve">  Chemokines play a more extensive role in the pathogenesis of CHC-related liver diseases and are even considered markers and therapeutic targets in CHC</w:t>
      </w:r>
      <w:r>
        <w:rPr>
          <w:rFonts w:ascii="Book Antiqua" w:hAnsi="Book Antiqua"/>
          <w:color w:val="000000"/>
          <w:sz w:val="24"/>
          <w:vertAlign w:val="superscript"/>
        </w:rPr>
        <w:t>[22]</w:t>
      </w:r>
      <w:r>
        <w:rPr>
          <w:rFonts w:ascii="Book Antiqua" w:hAnsi="Book Antiqua"/>
          <w:color w:val="000000"/>
          <w:sz w:val="24"/>
        </w:rPr>
        <w:t>. Among the various chemokines, human IFN-induced protein (CXCL-10) is the most widely studied. In CHC patients, the levels of peripheral blood and liver CXCL-10, along with C-C motif ligand (CCL)-5, IFN-inducible T cell α chemo attractant (I-TAC) and macrophage inflammatory protein (MIP)-1α/1β, were increased markedly</w:t>
      </w:r>
      <w:r>
        <w:rPr>
          <w:rFonts w:ascii="Book Antiqua" w:hAnsi="Book Antiqua"/>
          <w:color w:val="000000"/>
          <w:sz w:val="24"/>
          <w:vertAlign w:val="superscript"/>
        </w:rPr>
        <w:t>[5,23]</w:t>
      </w:r>
      <w:r>
        <w:rPr>
          <w:rFonts w:ascii="Book Antiqua" w:hAnsi="Book Antiqua"/>
          <w:color w:val="000000"/>
          <w:sz w:val="24"/>
        </w:rPr>
        <w:t xml:space="preserve">, </w:t>
      </w:r>
      <w:bookmarkStart w:id="66" w:name="OLE_LINK2"/>
      <w:r>
        <w:rPr>
          <w:rFonts w:ascii="Book Antiqua" w:hAnsi="Book Antiqua"/>
          <w:color w:val="000000"/>
          <w:sz w:val="24"/>
        </w:rPr>
        <w:t xml:space="preserve">whereas the level of CXCL-10 </w:t>
      </w:r>
      <w:bookmarkEnd w:id="66"/>
      <w:r>
        <w:rPr>
          <w:rFonts w:ascii="Book Antiqua" w:hAnsi="Book Antiqua"/>
          <w:color w:val="000000"/>
          <w:sz w:val="24"/>
        </w:rPr>
        <w:t>in hepatocytes was correlated with histological severity and hepatic lobule inflammation</w:t>
      </w:r>
      <w:r>
        <w:rPr>
          <w:rFonts w:ascii="Book Antiqua" w:hAnsi="Book Antiqua"/>
          <w:color w:val="000000"/>
          <w:sz w:val="24"/>
          <w:vertAlign w:val="superscript"/>
        </w:rPr>
        <w:t>[14,24,25]</w:t>
      </w:r>
      <w:r>
        <w:rPr>
          <w:rFonts w:ascii="Book Antiqua" w:hAnsi="Book Antiqua"/>
          <w:color w:val="000000"/>
          <w:sz w:val="24"/>
        </w:rPr>
        <w:t>. CXCL-10 also serves as a marker of viral response and therapeutic outcome since a high pretreatment level of CXCL-10 indicated the inhibition of CXC chemokine receptor (CXCR) 3-expressing T cell response, which leads to therapeutic non-responses</w:t>
      </w:r>
      <w:r>
        <w:rPr>
          <w:rFonts w:ascii="Book Antiqua" w:hAnsi="Book Antiqua"/>
          <w:color w:val="000000"/>
          <w:sz w:val="24"/>
          <w:vertAlign w:val="superscript"/>
        </w:rPr>
        <w:t>[5,23]</w:t>
      </w:r>
      <w:r>
        <w:rPr>
          <w:rFonts w:ascii="Book Antiqua" w:hAnsi="Book Antiqua"/>
          <w:color w:val="000000"/>
          <w:sz w:val="24"/>
        </w:rPr>
        <w:t>. This phenomenon is also confirmed in the following cases where the virus was controlled during treatment with an increased number of CD8</w:t>
      </w:r>
      <w:r>
        <w:rPr>
          <w:rFonts w:ascii="Book Antiqua" w:hAnsi="Book Antiqua"/>
          <w:color w:val="000000"/>
          <w:sz w:val="24"/>
          <w:vertAlign w:val="superscript"/>
        </w:rPr>
        <w:t>+</w:t>
      </w:r>
      <w:r>
        <w:rPr>
          <w:rFonts w:ascii="Book Antiqua" w:hAnsi="Book Antiqua"/>
          <w:color w:val="000000"/>
          <w:sz w:val="24"/>
        </w:rPr>
        <w:t xml:space="preserve"> cells expressing high CXCR3 levels</w:t>
      </w:r>
      <w:r>
        <w:rPr>
          <w:rFonts w:ascii="Book Antiqua" w:hAnsi="Book Antiqua"/>
          <w:color w:val="000000"/>
          <w:sz w:val="24"/>
          <w:vertAlign w:val="superscript"/>
        </w:rPr>
        <w:t>[26]</w:t>
      </w:r>
      <w:r>
        <w:rPr>
          <w:rFonts w:ascii="Book Antiqua" w:hAnsi="Book Antiqua"/>
          <w:color w:val="000000"/>
          <w:sz w:val="24"/>
        </w:rPr>
        <w:t>. In addition, monocyte chemotactic protein-1 (MCP-1), soluble adhesion molecule (sAM), CCL-20 and CXCL-9 were reported to predict the outcome of antiviral therapy in CHC patients</w:t>
      </w:r>
      <w:r>
        <w:rPr>
          <w:rFonts w:ascii="Book Antiqua" w:hAnsi="Book Antiqua"/>
          <w:color w:val="000000"/>
          <w:sz w:val="24"/>
          <w:vertAlign w:val="superscript"/>
        </w:rPr>
        <w:t>[27,28]</w:t>
      </w:r>
      <w:r>
        <w:rPr>
          <w:rFonts w:ascii="Book Antiqua" w:hAnsi="Book Antiqua"/>
          <w:color w:val="000000"/>
          <w:sz w:val="24"/>
        </w:rPr>
        <w:t>. Chemokine IL-8 was also induced by HCV, and patients who were biochemical non-responders to IFN therapy had higher pretreatment levels of IL-8 or high histologic activities</w:t>
      </w:r>
      <w:r>
        <w:rPr>
          <w:rFonts w:ascii="Book Antiqua" w:hAnsi="Book Antiqua"/>
          <w:color w:val="000000"/>
          <w:sz w:val="24"/>
          <w:vertAlign w:val="superscript"/>
        </w:rPr>
        <w:t>[29,30]</w:t>
      </w:r>
      <w:r>
        <w:rPr>
          <w:rFonts w:ascii="Book Antiqua" w:hAnsi="Book Antiqua"/>
          <w:color w:val="000000"/>
          <w:sz w:val="24"/>
        </w:rPr>
        <w:t>. Therefore, chemokine levels are important reference values for monitoring the natural course and progression of HCV-related liver diseases and even identifying different treatment response rates before treatment</w:t>
      </w:r>
      <w:r>
        <w:rPr>
          <w:rFonts w:ascii="Book Antiqua" w:hAnsi="Book Antiqua"/>
          <w:color w:val="000000"/>
          <w:sz w:val="24"/>
          <w:vertAlign w:val="superscript"/>
        </w:rPr>
        <w:t>[5]</w:t>
      </w:r>
      <w:r>
        <w:rPr>
          <w:rFonts w:ascii="Book Antiqua" w:hAnsi="Book Antiqua"/>
          <w:color w:val="000000"/>
          <w:sz w:val="24"/>
        </w:rPr>
        <w:t>.</w:t>
      </w:r>
      <w:bookmarkStart w:id="67" w:name="_Hlk524906815"/>
      <w:r>
        <w:rPr>
          <w:rFonts w:ascii="Book Antiqua" w:hAnsi="Book Antiqua"/>
          <w:color w:val="000000"/>
          <w:sz w:val="24"/>
        </w:rPr>
        <w:t xml:space="preserve"> </w:t>
      </w:r>
      <w:bookmarkEnd w:id="67"/>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 xml:space="preserve">  However, these studies investigating the utility of inflammatory cytokines and chemokines for the prediction of treatment responses were based only on a small number of patients infected with limited HCV subtypes, most were based on IFN or IFN plus ribavirin therapy regimens, and the results did not preclude an epiphenomenon associated with the effects of IFN</w:t>
      </w:r>
      <w:r>
        <w:rPr>
          <w:rFonts w:ascii="Book Antiqua" w:hAnsi="Book Antiqua"/>
          <w:color w:val="000000"/>
          <w:sz w:val="24"/>
          <w:vertAlign w:val="superscript"/>
        </w:rPr>
        <w:t>[23,27]</w:t>
      </w:r>
      <w:r>
        <w:rPr>
          <w:rFonts w:ascii="Book Antiqua" w:hAnsi="Book Antiqua"/>
          <w:color w:val="000000"/>
          <w:sz w:val="24"/>
        </w:rPr>
        <w:t xml:space="preserve">. Therefore, the use of inflammatory cytokines and chemokines as indicators of the pathological </w:t>
      </w:r>
      <w:r>
        <w:rPr>
          <w:rFonts w:ascii="Book Antiqua" w:hAnsi="Book Antiqua"/>
          <w:color w:val="000000"/>
          <w:sz w:val="24"/>
        </w:rPr>
        <w:lastRenderedPageBreak/>
        <w:t>progression of HCV infection and treatment efficacy has yet to be supported by more data from larger multivariate studies of patients, especially those treated with DAAs.</w:t>
      </w:r>
    </w:p>
    <w:p w:rsidR="00371BB0" w:rsidRDefault="00371BB0" w:rsidP="00371BB0">
      <w:pPr>
        <w:adjustRightInd w:val="0"/>
        <w:snapToGrid w:val="0"/>
        <w:spacing w:line="360" w:lineRule="auto"/>
        <w:rPr>
          <w:rFonts w:ascii="Book Antiqua" w:hAnsi="Book Antiqua"/>
          <w:b/>
          <w:color w:val="000000"/>
          <w:sz w:val="24"/>
        </w:rPr>
      </w:pPr>
    </w:p>
    <w:p w:rsidR="00371BB0" w:rsidRDefault="00371BB0" w:rsidP="00371BB0">
      <w:pPr>
        <w:adjustRightInd w:val="0"/>
        <w:snapToGrid w:val="0"/>
        <w:spacing w:line="360" w:lineRule="auto"/>
        <w:rPr>
          <w:rFonts w:ascii="Book Antiqua" w:hAnsi="Book Antiqua"/>
          <w:b/>
          <w:color w:val="000000"/>
          <w:sz w:val="24"/>
        </w:rPr>
      </w:pPr>
      <w:r>
        <w:rPr>
          <w:rFonts w:ascii="Book Antiqua" w:hAnsi="Book Antiqua"/>
          <w:b/>
          <w:color w:val="000000"/>
          <w:sz w:val="24"/>
        </w:rPr>
        <w:t>MECHANISMS OF HCV-INDUCED INFLAMMATION</w:t>
      </w:r>
    </w:p>
    <w:p w:rsidR="00371BB0" w:rsidRDefault="00371BB0" w:rsidP="00371BB0">
      <w:pPr>
        <w:adjustRightInd w:val="0"/>
        <w:snapToGrid w:val="0"/>
        <w:spacing w:line="360" w:lineRule="auto"/>
        <w:rPr>
          <w:rFonts w:ascii="Book Antiqua" w:hAnsi="Book Antiqua"/>
          <w:b/>
          <w:color w:val="000000"/>
          <w:sz w:val="24"/>
        </w:rPr>
      </w:pPr>
      <w:r>
        <w:rPr>
          <w:rFonts w:ascii="Book Antiqua" w:hAnsi="Book Antiqua"/>
          <w:color w:val="000000"/>
          <w:sz w:val="24"/>
        </w:rPr>
        <w:t>Because of T-cell-mediated autologous hepatocytotoxicity, the spontaneous clearance of HCV infection is not only difficult to achieve but also increases the risk of progression to chronic hepatitis and liver injury</w:t>
      </w:r>
      <w:r>
        <w:rPr>
          <w:rFonts w:ascii="Book Antiqua" w:hAnsi="Book Antiqua"/>
          <w:color w:val="000000"/>
          <w:sz w:val="24"/>
          <w:vertAlign w:val="superscript"/>
        </w:rPr>
        <w:t>[31]</w:t>
      </w:r>
      <w:r>
        <w:rPr>
          <w:rFonts w:ascii="Book Antiqua" w:hAnsi="Book Antiqua"/>
          <w:color w:val="000000"/>
          <w:sz w:val="24"/>
        </w:rPr>
        <w:t>. In addition to this T-cell-mediated cytotoxic response, HCV infection alone also triggers inflammatory responses through a variety of strategies to aggravate the progression of liver diseases (Figure 1).</w:t>
      </w:r>
    </w:p>
    <w:p w:rsidR="00371BB0" w:rsidRDefault="00371BB0" w:rsidP="00371BB0">
      <w:pPr>
        <w:adjustRightInd w:val="0"/>
        <w:snapToGrid w:val="0"/>
        <w:spacing w:line="360" w:lineRule="auto"/>
        <w:rPr>
          <w:rFonts w:ascii="Book Antiqua" w:hAnsi="Book Antiqua"/>
          <w:color w:val="000000"/>
          <w:sz w:val="24"/>
        </w:rPr>
      </w:pPr>
    </w:p>
    <w:p w:rsidR="00371BB0" w:rsidRDefault="00371BB0" w:rsidP="00371BB0">
      <w:pPr>
        <w:adjustRightInd w:val="0"/>
        <w:snapToGrid w:val="0"/>
        <w:spacing w:line="360" w:lineRule="auto"/>
        <w:rPr>
          <w:rFonts w:ascii="Book Antiqua" w:hAnsi="Book Antiqua"/>
          <w:b/>
          <w:bCs/>
          <w:i/>
          <w:color w:val="000000"/>
          <w:sz w:val="24"/>
        </w:rPr>
      </w:pPr>
      <w:r>
        <w:rPr>
          <w:rFonts w:ascii="Book Antiqua" w:hAnsi="Book Antiqua"/>
          <w:b/>
          <w:i/>
          <w:color w:val="000000"/>
          <w:sz w:val="24"/>
        </w:rPr>
        <w:t xml:space="preserve">Inflammation </w:t>
      </w:r>
      <w:r>
        <w:rPr>
          <w:rFonts w:ascii="Book Antiqua" w:hAnsi="Book Antiqua"/>
          <w:b/>
          <w:bCs/>
          <w:i/>
          <w:color w:val="000000"/>
          <w:sz w:val="24"/>
        </w:rPr>
        <w:t xml:space="preserve">responses triggered by interactions between host and HCV </w:t>
      </w:r>
    </w:p>
    <w:p w:rsidR="00371BB0" w:rsidRDefault="00371BB0" w:rsidP="00371BB0">
      <w:pPr>
        <w:adjustRightInd w:val="0"/>
        <w:snapToGrid w:val="0"/>
        <w:spacing w:line="360" w:lineRule="auto"/>
        <w:rPr>
          <w:rFonts w:ascii="Book Antiqua" w:hAnsi="Book Antiqua"/>
          <w:b/>
          <w:bCs/>
          <w:i/>
          <w:color w:val="000000"/>
          <w:sz w:val="24"/>
        </w:rPr>
      </w:pPr>
      <w:r>
        <w:rPr>
          <w:rFonts w:ascii="Book Antiqua" w:hAnsi="Book Antiqua"/>
          <w:color w:val="000000"/>
          <w:sz w:val="24"/>
        </w:rPr>
        <w:t>Unlike receptor-mediated HCV entry processes, the occurrence of inflammation in HCV infection relies on the recognition, binding and interaction of HCV RNA and protein components with pathogen pattern recognition receptors (PRRs) or other host cellular structures, which in turn activate downstream immune- and inflammation-associated signal transduction pathways.</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 xml:space="preserve">  Cell </w:t>
      </w:r>
      <w:bookmarkStart w:id="68" w:name="OLE_LINK63"/>
      <w:r>
        <w:rPr>
          <w:rFonts w:ascii="Book Antiqua" w:hAnsi="Book Antiqua"/>
          <w:color w:val="000000"/>
          <w:sz w:val="24"/>
        </w:rPr>
        <w:t>surface</w:t>
      </w:r>
      <w:bookmarkEnd w:id="68"/>
      <w:r>
        <w:rPr>
          <w:rFonts w:ascii="Book Antiqua" w:hAnsi="Book Antiqua"/>
          <w:color w:val="000000"/>
          <w:sz w:val="24"/>
        </w:rPr>
        <w:t xml:space="preserve"> or internal PRRs, such as Toll-like receptors (TLRs) 1–10, can discern pathogens and activate canonical signalling pathways during immune and inflammatory responses. </w:t>
      </w:r>
      <w:bookmarkStart w:id="69" w:name="OLE_LINK16"/>
      <w:bookmarkStart w:id="70" w:name="OLE_LINK14"/>
      <w:r>
        <w:rPr>
          <w:rFonts w:ascii="Book Antiqua" w:hAnsi="Book Antiqua"/>
          <w:color w:val="000000"/>
          <w:sz w:val="24"/>
        </w:rPr>
        <w:t>Virus-derived pathogen-associated molecular patterns</w:t>
      </w:r>
      <w:bookmarkEnd w:id="69"/>
      <w:bookmarkEnd w:id="70"/>
      <w:r>
        <w:rPr>
          <w:rFonts w:ascii="Book Antiqua" w:hAnsi="Book Antiqua"/>
          <w:color w:val="000000"/>
          <w:sz w:val="24"/>
        </w:rPr>
        <w:t xml:space="preserve"> (</w:t>
      </w:r>
      <w:bookmarkStart w:id="71" w:name="OLE_LINK27"/>
      <w:r>
        <w:rPr>
          <w:rFonts w:ascii="Book Antiqua" w:hAnsi="Book Antiqua"/>
          <w:color w:val="000000"/>
          <w:sz w:val="24"/>
        </w:rPr>
        <w:t>PAMP</w:t>
      </w:r>
      <w:bookmarkEnd w:id="71"/>
      <w:r>
        <w:rPr>
          <w:rFonts w:ascii="Book Antiqua" w:hAnsi="Book Antiqua"/>
          <w:color w:val="000000"/>
          <w:sz w:val="24"/>
        </w:rPr>
        <w:t xml:space="preserve">s), HCV RNA and viral proteins could induce pro-inflammatory cytokine and chemokine production </w:t>
      </w:r>
      <w:r>
        <w:rPr>
          <w:rFonts w:ascii="Book Antiqua" w:hAnsi="Book Antiqua"/>
          <w:i/>
          <w:iCs/>
          <w:color w:val="000000"/>
          <w:sz w:val="24"/>
        </w:rPr>
        <w:t>via</w:t>
      </w:r>
      <w:r>
        <w:rPr>
          <w:rFonts w:ascii="Book Antiqua" w:hAnsi="Book Antiqua"/>
          <w:color w:val="000000"/>
          <w:sz w:val="24"/>
        </w:rPr>
        <w:t xml:space="preserve"> several PRRs. For example, TLR3 recognized the HCV double-stranded RNA produced during HCV replication and activated TLR3 signalling, resulting in high releases of IL-8, CCL-5, MIP-1 and CXCL-10</w:t>
      </w:r>
      <w:r>
        <w:rPr>
          <w:rFonts w:ascii="Book Antiqua" w:hAnsi="Book Antiqua"/>
          <w:color w:val="000000"/>
          <w:sz w:val="24"/>
          <w:vertAlign w:val="superscript"/>
        </w:rPr>
        <w:t>[32,33]</w:t>
      </w:r>
      <w:r>
        <w:rPr>
          <w:rFonts w:ascii="Book Antiqua" w:hAnsi="Book Antiqua"/>
          <w:color w:val="000000"/>
          <w:sz w:val="24"/>
        </w:rPr>
        <w:t xml:space="preserve">. Macrophages </w:t>
      </w:r>
      <w:bookmarkStart w:id="72" w:name="OLE_LINK125"/>
      <w:bookmarkStart w:id="73" w:name="OLE_LINK124"/>
      <w:r>
        <w:rPr>
          <w:rFonts w:ascii="Book Antiqua" w:hAnsi="Book Antiqua"/>
          <w:color w:val="000000"/>
          <w:sz w:val="24"/>
        </w:rPr>
        <w:t>uptake</w:t>
      </w:r>
      <w:bookmarkEnd w:id="72"/>
      <w:bookmarkEnd w:id="73"/>
      <w:r>
        <w:rPr>
          <w:rFonts w:ascii="Book Antiqua" w:hAnsi="Book Antiqua"/>
          <w:color w:val="000000"/>
          <w:sz w:val="24"/>
        </w:rPr>
        <w:t xml:space="preserve"> HCV RNA through clathrin-mediated endocytosis, which is independent of receptor and productive infection, and therefore trigger myeloid differentiation primary response (MyD) 88-mediated TLR7 signalling to induce pro-IL-1β mRNA expression</w:t>
      </w:r>
      <w:r>
        <w:rPr>
          <w:rFonts w:ascii="Book Antiqua" w:hAnsi="Book Antiqua"/>
          <w:color w:val="000000"/>
          <w:sz w:val="24"/>
          <w:vertAlign w:val="superscript"/>
        </w:rPr>
        <w:t>[34,35]</w:t>
      </w:r>
      <w:r>
        <w:rPr>
          <w:rFonts w:ascii="Book Antiqua" w:hAnsi="Book Antiqua"/>
          <w:color w:val="000000"/>
          <w:sz w:val="24"/>
        </w:rPr>
        <w:t>. In addition, a conformation-dependent interaction between the TLR2 and HCV core or NS3 proteins triggers the TLR2-specific inflammatory pathway</w:t>
      </w:r>
      <w:r>
        <w:rPr>
          <w:rFonts w:ascii="Book Antiqua" w:hAnsi="Book Antiqua"/>
          <w:color w:val="000000"/>
          <w:sz w:val="24"/>
          <w:vertAlign w:val="superscript"/>
        </w:rPr>
        <w:t>[36]</w:t>
      </w:r>
      <w:r>
        <w:rPr>
          <w:rFonts w:ascii="Book Antiqua" w:hAnsi="Book Antiqua"/>
          <w:color w:val="000000"/>
          <w:sz w:val="24"/>
        </w:rPr>
        <w:t>. NS5A specifically activated the promoter of the TLR4 gene in both hepatocytes and B cells, thereby</w:t>
      </w:r>
      <w:r>
        <w:rPr>
          <w:rFonts w:ascii="Book Antiqua" w:hAnsi="Book Antiqua"/>
          <w:color w:val="000000"/>
          <w:sz w:val="24"/>
          <w:shd w:val="clear" w:color="auto" w:fill="FFFFFF"/>
        </w:rPr>
        <w:t xml:space="preserve"> </w:t>
      </w:r>
      <w:r>
        <w:rPr>
          <w:rFonts w:ascii="Book Antiqua" w:hAnsi="Book Antiqua"/>
          <w:color w:val="000000"/>
          <w:sz w:val="24"/>
        </w:rPr>
        <w:t xml:space="preserve">activating the signal transduction cascades </w:t>
      </w:r>
      <w:r>
        <w:rPr>
          <w:rFonts w:ascii="Book Antiqua" w:hAnsi="Book Antiqua"/>
          <w:color w:val="000000"/>
          <w:sz w:val="24"/>
        </w:rPr>
        <w:lastRenderedPageBreak/>
        <w:t xml:space="preserve">from </w:t>
      </w:r>
      <w:bookmarkStart w:id="74" w:name="OLE_LINK69"/>
      <w:r>
        <w:rPr>
          <w:rFonts w:ascii="Book Antiqua" w:hAnsi="Book Antiqua"/>
          <w:color w:val="000000"/>
          <w:sz w:val="24"/>
        </w:rPr>
        <w:t>MyD88</w:t>
      </w:r>
      <w:bookmarkEnd w:id="74"/>
      <w:r>
        <w:rPr>
          <w:rFonts w:ascii="Book Antiqua" w:hAnsi="Book Antiqua"/>
          <w:color w:val="000000"/>
          <w:sz w:val="24"/>
        </w:rPr>
        <w:t xml:space="preserve"> to IFN regulatory factor (IRF)-3 and stimulating nuclear factor (NF)-κB-mediated IFN-β and IL-6 secretion</w:t>
      </w:r>
      <w:r>
        <w:rPr>
          <w:rFonts w:ascii="Book Antiqua" w:hAnsi="Book Antiqua"/>
          <w:color w:val="000000"/>
          <w:sz w:val="24"/>
          <w:vertAlign w:val="superscript"/>
        </w:rPr>
        <w:t>[37]</w:t>
      </w:r>
      <w:r>
        <w:rPr>
          <w:rFonts w:ascii="Book Antiqua" w:hAnsi="Book Antiqua"/>
          <w:color w:val="000000"/>
          <w:sz w:val="24"/>
        </w:rPr>
        <w:t>.</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 xml:space="preserve">  In addition to the host PRRs, HCV proteins can also interact with other cellular structures and activate inflammatory pathways. The binding of HCV E2 to CD81 induced CCL-5 secretion possibly through activating mitogen-activated protein kinase (MAPK)</w:t>
      </w:r>
      <w:r>
        <w:rPr>
          <w:rFonts w:ascii="Book Antiqua" w:hAnsi="Book Antiqua"/>
          <w:color w:val="000000"/>
          <w:sz w:val="24"/>
          <w:vertAlign w:val="superscript"/>
        </w:rPr>
        <w:t>[38]</w:t>
      </w:r>
      <w:r>
        <w:rPr>
          <w:rFonts w:ascii="Book Antiqua" w:hAnsi="Book Antiqua"/>
          <w:color w:val="000000"/>
          <w:sz w:val="24"/>
        </w:rPr>
        <w:t xml:space="preserve">. The transient expression of HCV NS5B in mouse liver and human hepatocytes catalysed the production of small RNA species, which activated innate immune signalling </w:t>
      </w:r>
      <w:r>
        <w:rPr>
          <w:rFonts w:ascii="Book Antiqua" w:hAnsi="Book Antiqua"/>
          <w:i/>
          <w:color w:val="000000"/>
          <w:sz w:val="24"/>
        </w:rPr>
        <w:t>via</w:t>
      </w:r>
      <w:r>
        <w:rPr>
          <w:rFonts w:ascii="Book Antiqua" w:hAnsi="Book Antiqua"/>
          <w:iCs/>
          <w:color w:val="000000"/>
          <w:sz w:val="24"/>
        </w:rPr>
        <w:t xml:space="preserve"> TANK-binding kinase (</w:t>
      </w:r>
      <w:r>
        <w:rPr>
          <w:rFonts w:ascii="Book Antiqua" w:hAnsi="Book Antiqua"/>
          <w:color w:val="000000"/>
          <w:sz w:val="24"/>
        </w:rPr>
        <w:t>TBK) 1, IRF-3 and NF-κB, and eventually induced the production of IFNs and inflammatory cytokines</w:t>
      </w:r>
      <w:r>
        <w:rPr>
          <w:rFonts w:ascii="Book Antiqua" w:hAnsi="Book Antiqua"/>
          <w:color w:val="000000"/>
          <w:sz w:val="24"/>
          <w:vertAlign w:val="superscript"/>
        </w:rPr>
        <w:t>[39]</w:t>
      </w:r>
      <w:r>
        <w:rPr>
          <w:rFonts w:ascii="Book Antiqua" w:hAnsi="Book Antiqua"/>
          <w:color w:val="000000"/>
          <w:sz w:val="24"/>
        </w:rPr>
        <w:t>. HCV core protein, which is mostly implicated in liver disorders, activated signal transducer and activator of transcription (STAT) 3 in human hepatocytes, leading to subsequent immune activation, inflammation and tumorigenesis</w:t>
      </w:r>
      <w:r>
        <w:rPr>
          <w:rFonts w:ascii="Book Antiqua" w:hAnsi="Book Antiqua"/>
          <w:color w:val="000000"/>
          <w:sz w:val="24"/>
          <w:vertAlign w:val="superscript"/>
        </w:rPr>
        <w:t>[40]</w:t>
      </w:r>
      <w:r>
        <w:rPr>
          <w:rFonts w:ascii="Book Antiqua" w:hAnsi="Book Antiqua"/>
          <w:color w:val="000000"/>
          <w:sz w:val="24"/>
        </w:rPr>
        <w:t>. In short, the over-replication of HCV in host cells is accompanied by a broad and complex interaction of host and HCV components, eventually unbalancing signal transduction pathways, causing uncontrolled excessive inflammatory responses and further exacerbating disease progression.</w:t>
      </w:r>
    </w:p>
    <w:p w:rsidR="00371BB0" w:rsidRDefault="00371BB0" w:rsidP="00371BB0">
      <w:pPr>
        <w:adjustRightInd w:val="0"/>
        <w:snapToGrid w:val="0"/>
        <w:spacing w:line="360" w:lineRule="auto"/>
        <w:rPr>
          <w:rFonts w:ascii="Book Antiqua" w:hAnsi="Book Antiqua"/>
          <w:color w:val="000000"/>
          <w:sz w:val="24"/>
        </w:rPr>
      </w:pPr>
    </w:p>
    <w:p w:rsidR="00371BB0" w:rsidRDefault="00371BB0" w:rsidP="00371BB0">
      <w:pPr>
        <w:adjustRightInd w:val="0"/>
        <w:snapToGrid w:val="0"/>
        <w:spacing w:line="360" w:lineRule="auto"/>
        <w:rPr>
          <w:rFonts w:ascii="Book Antiqua" w:hAnsi="Book Antiqua"/>
          <w:b/>
          <w:i/>
          <w:color w:val="000000"/>
          <w:sz w:val="24"/>
        </w:rPr>
      </w:pPr>
      <w:r>
        <w:rPr>
          <w:rFonts w:ascii="Book Antiqua" w:hAnsi="Book Antiqua"/>
          <w:b/>
          <w:i/>
          <w:color w:val="000000"/>
          <w:sz w:val="24"/>
        </w:rPr>
        <w:t>Inflammasome activation upon HCV infection</w:t>
      </w:r>
    </w:p>
    <w:p w:rsidR="00371BB0" w:rsidRDefault="00371BB0" w:rsidP="00371BB0">
      <w:pPr>
        <w:adjustRightInd w:val="0"/>
        <w:snapToGrid w:val="0"/>
        <w:spacing w:line="360" w:lineRule="auto"/>
        <w:rPr>
          <w:rFonts w:ascii="Book Antiqua" w:hAnsi="Book Antiqua"/>
          <w:b/>
          <w:i/>
          <w:color w:val="000000"/>
          <w:sz w:val="24"/>
        </w:rPr>
      </w:pPr>
      <w:r>
        <w:rPr>
          <w:rFonts w:ascii="Book Antiqua" w:hAnsi="Book Antiqua"/>
          <w:color w:val="000000"/>
          <w:sz w:val="24"/>
        </w:rPr>
        <w:t xml:space="preserve">An inflammasome is a large, multi-protein cytosolic complex that perceives intracellular danger signals, such as microbial pathogens, inflammatory diseases, cancers and metabolic and autoimmune disorders </w:t>
      </w:r>
      <w:r>
        <w:rPr>
          <w:rFonts w:ascii="Book Antiqua" w:hAnsi="Book Antiqua"/>
          <w:i/>
          <w:color w:val="000000"/>
          <w:sz w:val="24"/>
        </w:rPr>
        <w:t>via</w:t>
      </w:r>
      <w:r>
        <w:rPr>
          <w:rFonts w:ascii="Book Antiqua" w:hAnsi="Book Antiqua"/>
          <w:color w:val="000000"/>
          <w:sz w:val="24"/>
        </w:rPr>
        <w:t xml:space="preserve"> Nod-like receptors (NLRs) and ultimately stimulates the production of the inflammatory cytokines IL-1β and IL-18</w:t>
      </w:r>
      <w:r>
        <w:rPr>
          <w:rFonts w:ascii="Book Antiqua" w:hAnsi="Book Antiqua"/>
          <w:color w:val="000000"/>
          <w:sz w:val="24"/>
          <w:vertAlign w:val="superscript"/>
        </w:rPr>
        <w:t>[41,42]</w:t>
      </w:r>
      <w:r>
        <w:rPr>
          <w:rFonts w:ascii="Book Antiqua" w:hAnsi="Book Antiqua"/>
          <w:color w:val="000000"/>
          <w:sz w:val="24"/>
        </w:rPr>
        <w:t>. Four NLR families, NLRP1, NLRP3, NLRC4 and AIM2, have been characterized to date</w:t>
      </w:r>
      <w:bookmarkStart w:id="75" w:name="OLE_LINK64"/>
      <w:r>
        <w:rPr>
          <w:rFonts w:ascii="Book Antiqua" w:hAnsi="Book Antiqua"/>
          <w:color w:val="000000"/>
          <w:sz w:val="24"/>
        </w:rPr>
        <w:t>. Among them, NLRP3, as the most extensively studied, responded to the host- and environment-derived molecules and pathogen-associated activators</w:t>
      </w:r>
      <w:r>
        <w:rPr>
          <w:rFonts w:ascii="Book Antiqua" w:hAnsi="Book Antiqua"/>
          <w:color w:val="000000"/>
          <w:sz w:val="24"/>
          <w:vertAlign w:val="superscript"/>
        </w:rPr>
        <w:t>[41]</w:t>
      </w:r>
      <w:r>
        <w:rPr>
          <w:rFonts w:ascii="Book Antiqua" w:hAnsi="Book Antiqua"/>
          <w:color w:val="000000"/>
          <w:sz w:val="24"/>
        </w:rPr>
        <w:t xml:space="preserve">. </w:t>
      </w:r>
      <w:bookmarkEnd w:id="75"/>
      <w:r>
        <w:rPr>
          <w:rFonts w:ascii="Book Antiqua" w:hAnsi="Book Antiqua"/>
          <w:color w:val="000000"/>
          <w:sz w:val="24"/>
        </w:rPr>
        <w:t>Increased levels of plasma IL-1β and IL-18 in hepatitis C patients indicated an activation of the inflammasome during HCV infection</w:t>
      </w:r>
      <w:r>
        <w:rPr>
          <w:rFonts w:ascii="Book Antiqua" w:hAnsi="Book Antiqua"/>
          <w:color w:val="000000"/>
          <w:sz w:val="24"/>
          <w:vertAlign w:val="superscript"/>
        </w:rPr>
        <w:t>[43]</w:t>
      </w:r>
      <w:r>
        <w:rPr>
          <w:rFonts w:ascii="Book Antiqua" w:hAnsi="Book Antiqua"/>
          <w:color w:val="000000"/>
          <w:sz w:val="24"/>
        </w:rPr>
        <w:t>.</w:t>
      </w:r>
    </w:p>
    <w:p w:rsidR="00371BB0" w:rsidRDefault="00371BB0" w:rsidP="00371BB0">
      <w:pPr>
        <w:adjustRightInd w:val="0"/>
        <w:snapToGrid w:val="0"/>
        <w:spacing w:line="360" w:lineRule="auto"/>
        <w:rPr>
          <w:rFonts w:ascii="Book Antiqua" w:hAnsi="Book Antiqua"/>
          <w:color w:val="000000"/>
          <w:sz w:val="24"/>
        </w:rPr>
      </w:pPr>
      <w:bookmarkStart w:id="76" w:name="OLE_LINK4"/>
      <w:r>
        <w:rPr>
          <w:rFonts w:ascii="Book Antiqua" w:hAnsi="Book Antiqua"/>
          <w:color w:val="000000"/>
          <w:sz w:val="24"/>
        </w:rPr>
        <w:t xml:space="preserve">  Activation of the inflammasome </w:t>
      </w:r>
      <w:bookmarkEnd w:id="76"/>
      <w:r>
        <w:rPr>
          <w:rFonts w:ascii="Book Antiqua" w:hAnsi="Book Antiqua"/>
          <w:color w:val="000000"/>
          <w:sz w:val="24"/>
        </w:rPr>
        <w:t xml:space="preserve">and secretion of </w:t>
      </w:r>
      <w:bookmarkStart w:id="77" w:name="OLE_LINK5"/>
      <w:r>
        <w:rPr>
          <w:rFonts w:ascii="Book Antiqua" w:hAnsi="Book Antiqua"/>
          <w:color w:val="000000"/>
          <w:sz w:val="24"/>
        </w:rPr>
        <w:t>mature IL-1β and IL-18</w:t>
      </w:r>
      <w:bookmarkEnd w:id="77"/>
      <w:r>
        <w:rPr>
          <w:rFonts w:ascii="Book Antiqua" w:hAnsi="Book Antiqua"/>
          <w:color w:val="000000"/>
          <w:sz w:val="24"/>
        </w:rPr>
        <w:t xml:space="preserve"> during HCV infection require the integration of two signals. The first</w:t>
      </w:r>
      <w:bookmarkStart w:id="78" w:name="OLE_LINK15"/>
      <w:r>
        <w:rPr>
          <w:rFonts w:ascii="Book Antiqua" w:hAnsi="Book Antiqua"/>
          <w:color w:val="000000"/>
          <w:sz w:val="24"/>
        </w:rPr>
        <w:t xml:space="preserve"> is known as signal </w:t>
      </w:r>
      <w:bookmarkEnd w:id="78"/>
      <w:r>
        <w:rPr>
          <w:rFonts w:ascii="Book Antiqua" w:hAnsi="Book Antiqua"/>
          <w:color w:val="000000"/>
          <w:sz w:val="24"/>
        </w:rPr>
        <w:t xml:space="preserve">1, which occurs when the virus is detected by a PRR or cytokine receptor, resulting in the activation of NF-κB and consequent upregulation of pro-IL-1β and pro-IL-18 </w:t>
      </w:r>
      <w:r>
        <w:rPr>
          <w:rFonts w:ascii="Book Antiqua" w:hAnsi="Book Antiqua"/>
          <w:color w:val="000000"/>
          <w:sz w:val="24"/>
        </w:rPr>
        <w:lastRenderedPageBreak/>
        <w:t xml:space="preserve">mRNAs. </w:t>
      </w:r>
      <w:bookmarkStart w:id="79" w:name="OLE_LINK35"/>
      <w:r>
        <w:rPr>
          <w:rFonts w:ascii="Book Antiqua" w:hAnsi="Book Antiqua"/>
          <w:color w:val="000000"/>
          <w:sz w:val="24"/>
        </w:rPr>
        <w:t>Signal 2 is that NLRP3 senses HCV, recruits the adaptor protein ASC (apoptosis-associated speck-like protein containing CARD) and induces the recruitment and autocatalytic activation of caspase-1. The activated caspase-1 processes cytosolic cytokines IL-1β and IL-18 precursors into mature secretory proteins</w:t>
      </w:r>
      <w:r>
        <w:rPr>
          <w:rFonts w:ascii="Book Antiqua" w:hAnsi="Book Antiqua"/>
          <w:color w:val="000000"/>
          <w:sz w:val="24"/>
          <w:vertAlign w:val="superscript"/>
        </w:rPr>
        <w:t>[34]</w:t>
      </w:r>
      <w:r>
        <w:rPr>
          <w:rFonts w:ascii="Book Antiqua" w:hAnsi="Book Antiqua"/>
          <w:color w:val="000000"/>
          <w:sz w:val="24"/>
        </w:rPr>
        <w:t>.</w:t>
      </w:r>
      <w:bookmarkEnd w:id="79"/>
      <w:r>
        <w:rPr>
          <w:rFonts w:ascii="Book Antiqua" w:hAnsi="Book Antiqua"/>
          <w:color w:val="000000"/>
          <w:sz w:val="24"/>
        </w:rPr>
        <w:t xml:space="preserve"> Although HCV infection was reported to activate the inflammasome</w:t>
      </w:r>
      <w:r>
        <w:rPr>
          <w:rFonts w:ascii="Book Antiqua" w:hAnsi="Book Antiqua"/>
          <w:color w:val="000000"/>
          <w:sz w:val="24"/>
          <w:vertAlign w:val="superscript"/>
        </w:rPr>
        <w:t>[35]</w:t>
      </w:r>
      <w:r>
        <w:rPr>
          <w:rFonts w:ascii="Book Antiqua" w:hAnsi="Book Antiqua"/>
          <w:color w:val="000000"/>
          <w:sz w:val="24"/>
        </w:rPr>
        <w:t xml:space="preserve">, the conclusions and proposed mechanisms differ across studies. Michael </w:t>
      </w:r>
      <w:r>
        <w:rPr>
          <w:rFonts w:ascii="Book Antiqua" w:hAnsi="Book Antiqua"/>
          <w:i/>
          <w:color w:val="000000"/>
          <w:sz w:val="24"/>
        </w:rPr>
        <w:t>et al</w:t>
      </w:r>
      <w:r>
        <w:rPr>
          <w:rFonts w:ascii="Book Antiqua" w:hAnsi="Book Antiqua"/>
          <w:color w:val="000000"/>
          <w:sz w:val="24"/>
          <w:vertAlign w:val="superscript"/>
        </w:rPr>
        <w:t>[34]</w:t>
      </w:r>
      <w:r>
        <w:rPr>
          <w:rFonts w:ascii="Book Antiqua" w:hAnsi="Book Antiqua"/>
          <w:color w:val="000000"/>
          <w:sz w:val="24"/>
        </w:rPr>
        <w:t xml:space="preserve"> demonstrated that HCV infection induced inflammasome activation and </w:t>
      </w:r>
      <w:r>
        <w:rPr>
          <w:rFonts w:ascii="Book Antiqua" w:hAnsi="Book Antiqua"/>
          <w:color w:val="000000"/>
          <w:sz w:val="24"/>
          <w:shd w:val="clear" w:color="auto" w:fill="FFFFFF"/>
        </w:rPr>
        <w:t>IL-18 and IL-1</w:t>
      </w:r>
      <w:r>
        <w:rPr>
          <w:rFonts w:ascii="Book Antiqua" w:hAnsi="Book Antiqua"/>
          <w:color w:val="000000"/>
          <w:sz w:val="24"/>
        </w:rPr>
        <w:t>β secretion in monocytes and macrophages through the recognition of viral single-stranded RNA by TLR7 but failed to stimulate the inflammasome and cytokine production by lymphocytes, dendritic cells or hepatocytes. Other studies reported that no inflammasome activation was detected in HCV-infected Huh-7 cells</w:t>
      </w:r>
      <w:r>
        <w:rPr>
          <w:rFonts w:ascii="Book Antiqua" w:hAnsi="Book Antiqua"/>
          <w:color w:val="000000"/>
          <w:sz w:val="24"/>
          <w:vertAlign w:val="superscript"/>
        </w:rPr>
        <w:t>[44,45]</w:t>
      </w:r>
      <w:r>
        <w:rPr>
          <w:rFonts w:ascii="Book Antiqua" w:hAnsi="Book Antiqua"/>
          <w:color w:val="000000"/>
          <w:sz w:val="24"/>
        </w:rPr>
        <w:t xml:space="preserve">, whereas Burdette </w:t>
      </w:r>
      <w:r>
        <w:rPr>
          <w:rFonts w:ascii="Book Antiqua" w:hAnsi="Book Antiqua"/>
          <w:i/>
          <w:color w:val="000000"/>
          <w:sz w:val="24"/>
        </w:rPr>
        <w:t>et al</w:t>
      </w:r>
      <w:r>
        <w:rPr>
          <w:rFonts w:ascii="Book Antiqua" w:hAnsi="Book Antiqua"/>
          <w:color w:val="000000"/>
          <w:sz w:val="24"/>
          <w:vertAlign w:val="superscript"/>
        </w:rPr>
        <w:t>[46]</w:t>
      </w:r>
      <w:r>
        <w:rPr>
          <w:rFonts w:ascii="Book Antiqua" w:hAnsi="Book Antiqua"/>
          <w:color w:val="000000"/>
          <w:sz w:val="24"/>
        </w:rPr>
        <w:t xml:space="preserve"> reported HCV-induced secretion of IL-1β in Huh7.5 cells </w:t>
      </w:r>
      <w:r>
        <w:rPr>
          <w:rFonts w:ascii="Book Antiqua" w:hAnsi="Book Antiqua"/>
          <w:i/>
          <w:color w:val="000000"/>
          <w:sz w:val="24"/>
        </w:rPr>
        <w:t xml:space="preserve">via </w:t>
      </w:r>
      <w:r>
        <w:rPr>
          <w:rFonts w:ascii="Book Antiqua" w:hAnsi="Book Antiqua"/>
          <w:color w:val="000000"/>
          <w:sz w:val="24"/>
        </w:rPr>
        <w:t xml:space="preserve">induction of inflammasome complex assembly involving NALP3, ASC and caspase-1. In addition, although a previous report suggested that </w:t>
      </w:r>
      <w:bookmarkStart w:id="80" w:name="OLE_LINK24"/>
      <w:bookmarkStart w:id="81" w:name="OLE_LINK13"/>
      <w:r>
        <w:rPr>
          <w:rFonts w:ascii="Book Antiqua" w:hAnsi="Book Antiqua"/>
          <w:color w:val="000000"/>
          <w:sz w:val="24"/>
        </w:rPr>
        <w:t>reactive oxygen species</w:t>
      </w:r>
      <w:bookmarkEnd w:id="80"/>
      <w:bookmarkEnd w:id="81"/>
      <w:r>
        <w:rPr>
          <w:rFonts w:ascii="Book Antiqua" w:hAnsi="Book Antiqua"/>
          <w:color w:val="000000"/>
          <w:sz w:val="24"/>
        </w:rPr>
        <w:t xml:space="preserve"> (ROS) are not inflammasome effectors in HCV-infected hepatocytes</w:t>
      </w:r>
      <w:r>
        <w:rPr>
          <w:rFonts w:ascii="Book Antiqua" w:hAnsi="Book Antiqua"/>
          <w:color w:val="000000"/>
          <w:sz w:val="24"/>
          <w:vertAlign w:val="superscript"/>
        </w:rPr>
        <w:t>[45]</w:t>
      </w:r>
      <w:r>
        <w:rPr>
          <w:rFonts w:ascii="Book Antiqua" w:hAnsi="Book Antiqua"/>
          <w:color w:val="000000"/>
          <w:sz w:val="24"/>
        </w:rPr>
        <w:t xml:space="preserve">, Chen </w:t>
      </w:r>
      <w:r>
        <w:rPr>
          <w:rFonts w:ascii="Book Antiqua" w:hAnsi="Book Antiqua"/>
          <w:i/>
          <w:color w:val="000000"/>
          <w:sz w:val="24"/>
        </w:rPr>
        <w:t>et al</w:t>
      </w:r>
      <w:r>
        <w:rPr>
          <w:rFonts w:ascii="Book Antiqua" w:hAnsi="Book Antiqua"/>
          <w:color w:val="000000"/>
          <w:sz w:val="24"/>
          <w:vertAlign w:val="superscript"/>
        </w:rPr>
        <w:t>[44]</w:t>
      </w:r>
      <w:r>
        <w:rPr>
          <w:rFonts w:ascii="Book Antiqua" w:hAnsi="Book Antiqua"/>
          <w:color w:val="000000"/>
          <w:sz w:val="24"/>
        </w:rPr>
        <w:t xml:space="preserve"> demonstrated that HCV-RNA transfected monocytes and THP-1 derived macrophages could activate the NLRP3 inflammasome in a ROS-dependent manner, and the process was independent on retinoic acid-inducible gene 1 (RIG-1). Alternative mechanisms for inducing inflammasomes were also reported in HCV infection. For instance, after macrophage phagocytosis of HCV, HCV induced potassium efflux and activated the NLRP3 inflammasome for the processing and secretion of IL-1β</w:t>
      </w:r>
      <w:r>
        <w:rPr>
          <w:rFonts w:ascii="Book Antiqua" w:hAnsi="Book Antiqua"/>
          <w:color w:val="000000"/>
          <w:sz w:val="24"/>
          <w:vertAlign w:val="superscript"/>
        </w:rPr>
        <w:t>[35]</w:t>
      </w:r>
      <w:r>
        <w:rPr>
          <w:rFonts w:ascii="Book Antiqua" w:hAnsi="Book Antiqua"/>
          <w:color w:val="000000"/>
          <w:sz w:val="24"/>
        </w:rPr>
        <w:t>. The HCV P7 protein is a kind of pH-sensitive proton channel, and the decrease of extracellular pH could enhance P7 activity and then stimulate signal 2 to induce the maturation and secretion of IL-1β from RAW264.7 macrophages</w:t>
      </w:r>
      <w:r>
        <w:rPr>
          <w:rFonts w:ascii="Book Antiqua" w:hAnsi="Book Antiqua"/>
          <w:color w:val="000000"/>
          <w:sz w:val="24"/>
          <w:vertAlign w:val="superscript"/>
        </w:rPr>
        <w:t>[47]</w:t>
      </w:r>
      <w:r>
        <w:rPr>
          <w:rFonts w:ascii="Book Antiqua" w:hAnsi="Book Antiqua"/>
          <w:color w:val="000000"/>
          <w:sz w:val="24"/>
        </w:rPr>
        <w:t>, whereas a report showed that high expression of P7 protein in Huh7.5 cells failed to induce IL-1β production</w:t>
      </w:r>
      <w:r>
        <w:rPr>
          <w:rFonts w:ascii="Book Antiqua" w:hAnsi="Book Antiqua"/>
          <w:color w:val="000000"/>
          <w:sz w:val="24"/>
          <w:vertAlign w:val="superscript"/>
        </w:rPr>
        <w:t>[46]</w:t>
      </w:r>
      <w:r>
        <w:rPr>
          <w:rFonts w:ascii="Book Antiqua" w:hAnsi="Book Antiqua"/>
          <w:color w:val="000000"/>
          <w:sz w:val="24"/>
        </w:rPr>
        <w:t>.</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 xml:space="preserve">  Altogether, inflammasome activation triggered by HCV infection might depend on HCV RNA and the secondary effects during HCV replication, such as ROS generation, potassium efflux and P7 activity. However, the phenomenon of </w:t>
      </w:r>
      <w:bookmarkStart w:id="82" w:name="OLE_LINK106"/>
      <w:bookmarkStart w:id="83" w:name="OLE_LINK105"/>
      <w:r>
        <w:rPr>
          <w:rFonts w:ascii="Book Antiqua" w:hAnsi="Book Antiqua"/>
          <w:color w:val="000000"/>
          <w:sz w:val="24"/>
        </w:rPr>
        <w:t>inflammasome</w:t>
      </w:r>
      <w:bookmarkEnd w:id="82"/>
      <w:bookmarkEnd w:id="83"/>
      <w:r>
        <w:rPr>
          <w:rFonts w:ascii="Book Antiqua" w:hAnsi="Book Antiqua"/>
          <w:color w:val="000000"/>
          <w:sz w:val="24"/>
        </w:rPr>
        <w:t xml:space="preserve"> activation and detailed mechanisms in response to HCV infection might vary across different cell types, and these data suggest that monocytes and </w:t>
      </w:r>
      <w:r>
        <w:rPr>
          <w:rFonts w:ascii="Book Antiqua" w:hAnsi="Book Antiqua"/>
          <w:color w:val="000000"/>
          <w:sz w:val="24"/>
        </w:rPr>
        <w:lastRenderedPageBreak/>
        <w:t>macrophages are the main effector cells activated by the inflammasome after HCV infection.</w:t>
      </w:r>
    </w:p>
    <w:p w:rsidR="00371BB0" w:rsidRDefault="00371BB0" w:rsidP="00371BB0">
      <w:pPr>
        <w:adjustRightInd w:val="0"/>
        <w:snapToGrid w:val="0"/>
        <w:spacing w:line="360" w:lineRule="auto"/>
        <w:rPr>
          <w:rFonts w:ascii="Book Antiqua" w:hAnsi="Book Antiqua"/>
          <w:b/>
          <w:color w:val="000000"/>
          <w:sz w:val="24"/>
        </w:rPr>
      </w:pPr>
      <w:bookmarkStart w:id="84" w:name="OLE_LINK50"/>
    </w:p>
    <w:p w:rsidR="00371BB0" w:rsidRDefault="00371BB0" w:rsidP="00371BB0">
      <w:pPr>
        <w:adjustRightInd w:val="0"/>
        <w:snapToGrid w:val="0"/>
        <w:spacing w:line="360" w:lineRule="auto"/>
        <w:rPr>
          <w:rFonts w:ascii="Book Antiqua" w:hAnsi="Book Antiqua"/>
          <w:b/>
          <w:i/>
          <w:color w:val="000000"/>
          <w:sz w:val="24"/>
        </w:rPr>
      </w:pPr>
      <w:r>
        <w:rPr>
          <w:rFonts w:ascii="Book Antiqua" w:hAnsi="Book Antiqua"/>
          <w:b/>
          <w:i/>
          <w:color w:val="000000"/>
          <w:sz w:val="24"/>
        </w:rPr>
        <w:t xml:space="preserve">Inflammatory cascade response </w:t>
      </w:r>
      <w:bookmarkEnd w:id="84"/>
      <w:r>
        <w:rPr>
          <w:rFonts w:ascii="Book Antiqua" w:hAnsi="Book Antiqua"/>
          <w:b/>
          <w:i/>
          <w:color w:val="000000"/>
          <w:sz w:val="24"/>
        </w:rPr>
        <w:t>in the hepatic microenvironment</w:t>
      </w:r>
    </w:p>
    <w:p w:rsidR="00371BB0" w:rsidRDefault="00371BB0" w:rsidP="00371BB0">
      <w:pPr>
        <w:adjustRightInd w:val="0"/>
        <w:snapToGrid w:val="0"/>
        <w:spacing w:line="360" w:lineRule="auto"/>
        <w:rPr>
          <w:rFonts w:ascii="Book Antiqua" w:hAnsi="Book Antiqua"/>
          <w:b/>
          <w:i/>
          <w:color w:val="000000"/>
          <w:sz w:val="24"/>
        </w:rPr>
      </w:pPr>
      <w:r>
        <w:rPr>
          <w:rFonts w:ascii="Book Antiqua" w:hAnsi="Book Antiqua"/>
          <w:color w:val="000000"/>
          <w:sz w:val="24"/>
        </w:rPr>
        <w:t xml:space="preserve">Although hepatocytes are the major cell population in the liver and the targets of cells for HCV entry and replication, non-parenchymal cells in the liver, such as KCs and HSCs, also play key roles in HCV-induced liver diseases. KCs, which are hepatic macrophages and account for approximately </w:t>
      </w:r>
      <w:bookmarkStart w:id="85" w:name="OLE_LINK12"/>
      <w:r>
        <w:rPr>
          <w:rFonts w:ascii="Book Antiqua" w:hAnsi="Book Antiqua"/>
          <w:color w:val="000000"/>
          <w:sz w:val="24"/>
        </w:rPr>
        <w:t>15%</w:t>
      </w:r>
      <w:bookmarkEnd w:id="85"/>
      <w:r>
        <w:rPr>
          <w:rFonts w:ascii="Book Antiqua" w:hAnsi="Book Antiqua"/>
          <w:color w:val="000000"/>
          <w:sz w:val="24"/>
        </w:rPr>
        <w:t xml:space="preserve"> of the total cells in the liver</w:t>
      </w:r>
      <w:r>
        <w:rPr>
          <w:rFonts w:ascii="Book Antiqua" w:hAnsi="Book Antiqua"/>
          <w:color w:val="000000"/>
          <w:sz w:val="24"/>
          <w:vertAlign w:val="superscript"/>
        </w:rPr>
        <w:t>[48]</w:t>
      </w:r>
      <w:r>
        <w:rPr>
          <w:rFonts w:ascii="Book Antiqua" w:hAnsi="Book Antiqua"/>
          <w:color w:val="000000"/>
          <w:sz w:val="24"/>
        </w:rPr>
        <w:t xml:space="preserve">, exhibit limited </w:t>
      </w:r>
      <w:bookmarkStart w:id="86" w:name="OLE_LINK21"/>
      <w:r>
        <w:rPr>
          <w:rFonts w:ascii="Book Antiqua" w:hAnsi="Book Antiqua"/>
          <w:color w:val="000000"/>
          <w:sz w:val="24"/>
        </w:rPr>
        <w:t>internalization</w:t>
      </w:r>
      <w:bookmarkEnd w:id="86"/>
      <w:r>
        <w:rPr>
          <w:rFonts w:ascii="Book Antiqua" w:hAnsi="Book Antiqua"/>
          <w:color w:val="000000"/>
          <w:sz w:val="24"/>
        </w:rPr>
        <w:t xml:space="preserve"> of HCV </w:t>
      </w:r>
      <w:r>
        <w:rPr>
          <w:rFonts w:ascii="Book Antiqua" w:hAnsi="Book Antiqua"/>
          <w:i/>
          <w:iCs/>
          <w:color w:val="000000"/>
          <w:sz w:val="24"/>
        </w:rPr>
        <w:t>via</w:t>
      </w:r>
      <w:r>
        <w:rPr>
          <w:rFonts w:ascii="Book Antiqua" w:hAnsi="Book Antiqua"/>
          <w:color w:val="000000"/>
          <w:sz w:val="24"/>
        </w:rPr>
        <w:t xml:space="preserve"> phagocytosis, leading to the production of pro-inflammatory cytokines and chemokines</w:t>
      </w:r>
      <w:r>
        <w:rPr>
          <w:rFonts w:ascii="Book Antiqua" w:hAnsi="Book Antiqua"/>
          <w:color w:val="000000"/>
          <w:sz w:val="24"/>
          <w:vertAlign w:val="superscript"/>
        </w:rPr>
        <w:t>[35]</w:t>
      </w:r>
      <w:r>
        <w:rPr>
          <w:rFonts w:ascii="Book Antiqua" w:hAnsi="Book Antiqua"/>
          <w:color w:val="000000"/>
          <w:sz w:val="24"/>
        </w:rPr>
        <w:t>. HSCs are activated after HCV infection and are associated with liver fibrogenesis, including collagen deposition and abnormal extracellular matrix remodelling</w:t>
      </w:r>
      <w:r>
        <w:rPr>
          <w:rFonts w:ascii="Book Antiqua" w:hAnsi="Book Antiqua"/>
          <w:color w:val="000000"/>
          <w:sz w:val="24"/>
          <w:vertAlign w:val="superscript"/>
        </w:rPr>
        <w:t>[49]</w:t>
      </w:r>
      <w:r>
        <w:rPr>
          <w:rFonts w:ascii="Book Antiqua" w:hAnsi="Book Antiqua"/>
          <w:color w:val="000000"/>
          <w:sz w:val="24"/>
        </w:rPr>
        <w:t xml:space="preserve">. Crosstalk among these three kinds of liver cells plus the recruited immune cells during HCV infection in the hepatic microenvironment mediates inflammatory cascade signalling and </w:t>
      </w:r>
      <w:bookmarkStart w:id="87" w:name="OLE_LINK119"/>
      <w:bookmarkStart w:id="88" w:name="OLE_LINK118"/>
      <w:r>
        <w:rPr>
          <w:rFonts w:ascii="Book Antiqua" w:hAnsi="Book Antiqua"/>
          <w:color w:val="000000"/>
          <w:sz w:val="24"/>
        </w:rPr>
        <w:t>exacerbates disease progression</w:t>
      </w:r>
      <w:bookmarkEnd w:id="87"/>
      <w:bookmarkEnd w:id="88"/>
      <w:r>
        <w:rPr>
          <w:rFonts w:ascii="Book Antiqua" w:hAnsi="Book Antiqua"/>
          <w:color w:val="000000"/>
          <w:sz w:val="24"/>
        </w:rPr>
        <w:t xml:space="preserve"> (Figure 2). The icons in the figure are shared by Reactome</w:t>
      </w:r>
      <w:r>
        <w:rPr>
          <w:rFonts w:ascii="Book Antiqua" w:hAnsi="Book Antiqua"/>
          <w:color w:val="000000"/>
          <w:sz w:val="24"/>
          <w:vertAlign w:val="superscript"/>
        </w:rPr>
        <w:t>[50]</w:t>
      </w:r>
      <w:r>
        <w:rPr>
          <w:rFonts w:ascii="Book Antiqua" w:hAnsi="Book Antiqua"/>
          <w:color w:val="000000"/>
          <w:sz w:val="24"/>
        </w:rPr>
        <w:t>.</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 xml:space="preserve">  The interaction between HCV-infected hepatocytes and HSCs enhances the inflammatory response to HCV infection</w:t>
      </w:r>
      <w:r>
        <w:rPr>
          <w:rFonts w:ascii="Book Antiqua" w:hAnsi="Book Antiqua"/>
          <w:color w:val="000000"/>
          <w:sz w:val="24"/>
          <w:vertAlign w:val="superscript"/>
        </w:rPr>
        <w:t>[31]</w:t>
      </w:r>
      <w:r>
        <w:rPr>
          <w:rFonts w:ascii="Book Antiqua" w:hAnsi="Book Antiqua"/>
          <w:color w:val="000000"/>
          <w:sz w:val="24"/>
        </w:rPr>
        <w:t xml:space="preserve">. For example, in the HCV-infected hepatocyte and HSC </w:t>
      </w:r>
      <w:bookmarkStart w:id="89" w:name="OLE_LINK109"/>
      <w:bookmarkStart w:id="90" w:name="OLE_LINK108"/>
      <w:r>
        <w:rPr>
          <w:rFonts w:ascii="Book Antiqua" w:hAnsi="Book Antiqua"/>
          <w:color w:val="000000"/>
          <w:sz w:val="24"/>
        </w:rPr>
        <w:t>co-culture system</w:t>
      </w:r>
      <w:bookmarkEnd w:id="89"/>
      <w:bookmarkEnd w:id="90"/>
      <w:r>
        <w:rPr>
          <w:rFonts w:ascii="Book Antiqua" w:hAnsi="Book Antiqua"/>
          <w:color w:val="000000"/>
          <w:sz w:val="24"/>
        </w:rPr>
        <w:t>, IL-1α secreted by HSCs enhanced CCAAT-enhancer-binding protein β-targeted downstream gene expression, leading to enhanced expression of IL-6, IL-8 and MIP-1α/1β</w:t>
      </w:r>
      <w:r>
        <w:rPr>
          <w:rFonts w:ascii="Book Antiqua" w:hAnsi="Book Antiqua"/>
          <w:color w:val="000000"/>
          <w:sz w:val="24"/>
          <w:vertAlign w:val="superscript"/>
        </w:rPr>
        <w:t>[31]</w:t>
      </w:r>
      <w:r>
        <w:rPr>
          <w:rFonts w:ascii="Book Antiqua" w:hAnsi="Book Antiqua"/>
          <w:color w:val="000000"/>
          <w:sz w:val="24"/>
        </w:rPr>
        <w:t xml:space="preserve">. Additionally, in the co-culture system of HCV replicon cells and HSCs, HCV replicon cells released transforming growth factor (TGF)-β1 into </w:t>
      </w:r>
      <w:bookmarkStart w:id="91" w:name="OLE_LINK65"/>
      <w:r>
        <w:rPr>
          <w:rFonts w:ascii="Book Antiqua" w:hAnsi="Book Antiqua"/>
          <w:color w:val="000000"/>
          <w:sz w:val="24"/>
        </w:rPr>
        <w:t>conditioned medium</w:t>
      </w:r>
      <w:bookmarkEnd w:id="91"/>
      <w:r>
        <w:rPr>
          <w:rFonts w:ascii="Book Antiqua" w:hAnsi="Book Antiqua"/>
          <w:color w:val="000000"/>
          <w:sz w:val="24"/>
        </w:rPr>
        <w:t xml:space="preserve"> and thereby induced fibrogenesis in HSCs, which was characterized by increased production of procollagen α1 (I) and procollagen α1 (III) and decreased expression of fibrinolytic matrix metalloproteinase (MMP)</w:t>
      </w:r>
      <w:r>
        <w:rPr>
          <w:rFonts w:ascii="Book Antiqua" w:hAnsi="Book Antiqua"/>
          <w:color w:val="000000"/>
          <w:sz w:val="24"/>
          <w:vertAlign w:val="superscript"/>
        </w:rPr>
        <w:t>[51]</w:t>
      </w:r>
      <w:r>
        <w:rPr>
          <w:rFonts w:ascii="Book Antiqua" w:hAnsi="Book Antiqua"/>
          <w:color w:val="000000"/>
          <w:sz w:val="24"/>
        </w:rPr>
        <w:t xml:space="preserve">. </w:t>
      </w:r>
      <w:bookmarkStart w:id="92" w:name="OLE_LINK54"/>
      <w:r>
        <w:rPr>
          <w:rFonts w:ascii="Book Antiqua" w:hAnsi="Book Antiqua"/>
          <w:color w:val="000000"/>
          <w:sz w:val="24"/>
        </w:rPr>
        <w:t>Exosomes, which are endosomal-derived vesicles</w:t>
      </w:r>
      <w:bookmarkEnd w:id="92"/>
      <w:r>
        <w:rPr>
          <w:rFonts w:ascii="Book Antiqua" w:hAnsi="Book Antiqua"/>
          <w:color w:val="000000"/>
          <w:sz w:val="24"/>
        </w:rPr>
        <w:t>, also mediate communication between hepatocytes and HSCs. Although exosomes secreted from HCV-infected hepatocytes (HCV-exo) could transport small amounts of HCV RNA into HSCs, the quantity of HCV RNA carried into HSCs is gradually decreased because HSCs do not support HCV infection and replication</w:t>
      </w:r>
      <w:r>
        <w:rPr>
          <w:rFonts w:ascii="Book Antiqua" w:hAnsi="Book Antiqua"/>
          <w:color w:val="000000"/>
          <w:sz w:val="24"/>
          <w:vertAlign w:val="superscript"/>
        </w:rPr>
        <w:t>[52,53]</w:t>
      </w:r>
      <w:r>
        <w:rPr>
          <w:rFonts w:ascii="Book Antiqua" w:hAnsi="Book Antiqua"/>
          <w:color w:val="000000"/>
          <w:sz w:val="24"/>
        </w:rPr>
        <w:t xml:space="preserve">. However, one study found that the miR-19a carried by HCV-exo could target suppressor of cytokine signalling 3 (SOCS3) in HSCs, leading to </w:t>
      </w:r>
      <w:r>
        <w:rPr>
          <w:rFonts w:ascii="Book Antiqua" w:hAnsi="Book Antiqua"/>
          <w:color w:val="000000"/>
          <w:sz w:val="24"/>
        </w:rPr>
        <w:lastRenderedPageBreak/>
        <w:t>STAT3-mediated TGF-β signalling activation, profibrotic marker high expression and enhanced inflammatory responses</w:t>
      </w:r>
      <w:r>
        <w:rPr>
          <w:rFonts w:ascii="Book Antiqua" w:hAnsi="Book Antiqua"/>
          <w:color w:val="000000"/>
          <w:sz w:val="24"/>
          <w:vertAlign w:val="superscript"/>
        </w:rPr>
        <w:t>[52]</w:t>
      </w:r>
      <w:r>
        <w:rPr>
          <w:rFonts w:ascii="Book Antiqua" w:hAnsi="Book Antiqua"/>
          <w:color w:val="000000"/>
          <w:sz w:val="24"/>
        </w:rPr>
        <w:t>.</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 xml:space="preserve">  After HCV infection, the inflammatory cascades between HCV-stimulated macrophages and HSCs are also activated in the hepatic microenvironment. </w:t>
      </w:r>
      <w:bookmarkStart w:id="93" w:name="OLE_LINK10"/>
      <w:r>
        <w:rPr>
          <w:rFonts w:ascii="Book Antiqua" w:hAnsi="Book Antiqua"/>
          <w:color w:val="000000"/>
          <w:sz w:val="24"/>
        </w:rPr>
        <w:t xml:space="preserve">To mimic the effect of HCV in the blood circulation on hepatic non-parenchymal cells, Negash </w:t>
      </w:r>
      <w:r>
        <w:rPr>
          <w:rFonts w:ascii="Book Antiqua" w:hAnsi="Book Antiqua"/>
          <w:i/>
          <w:color w:val="000000"/>
          <w:sz w:val="24"/>
        </w:rPr>
        <w:t>et al</w:t>
      </w:r>
      <w:r>
        <w:rPr>
          <w:rFonts w:ascii="Book Antiqua" w:hAnsi="Book Antiqua"/>
          <w:color w:val="000000"/>
          <w:sz w:val="24"/>
          <w:vertAlign w:val="superscript"/>
        </w:rPr>
        <w:t>[35]</w:t>
      </w:r>
      <w:r>
        <w:rPr>
          <w:rFonts w:ascii="Book Antiqua" w:hAnsi="Book Antiqua"/>
          <w:color w:val="000000"/>
          <w:sz w:val="24"/>
        </w:rPr>
        <w:t xml:space="preserve"> exposed human THP-1 cell-derived macrophages and KCs to HCV </w:t>
      </w:r>
      <w:r>
        <w:rPr>
          <w:rFonts w:ascii="Book Antiqua" w:hAnsi="Book Antiqua"/>
          <w:i/>
          <w:iCs/>
          <w:color w:val="000000"/>
          <w:sz w:val="24"/>
        </w:rPr>
        <w:t>in vitro</w:t>
      </w:r>
      <w:r>
        <w:rPr>
          <w:rFonts w:ascii="Book Antiqua" w:hAnsi="Book Antiqua"/>
          <w:color w:val="000000"/>
          <w:sz w:val="24"/>
        </w:rPr>
        <w:t xml:space="preserve"> and showed that they activated caspase-1 expression and enhanced IL-1β/-18 secretion. Similarly, conditioned medium</w:t>
      </w:r>
      <w:bookmarkEnd w:id="93"/>
      <w:r>
        <w:rPr>
          <w:rFonts w:ascii="Book Antiqua" w:hAnsi="Book Antiqua"/>
          <w:color w:val="000000"/>
          <w:sz w:val="24"/>
        </w:rPr>
        <w:t xml:space="preserve"> derived from HCV-exposed human THP-1 macrophages and KCs increased the expression of inflammatory (NLRP3, TNF-α, IL-1</w:t>
      </w:r>
      <w:bookmarkStart w:id="94" w:name="OLE_LINK7"/>
      <w:r>
        <w:rPr>
          <w:rFonts w:ascii="Book Antiqua" w:hAnsi="Book Antiqua"/>
          <w:color w:val="000000"/>
          <w:sz w:val="24"/>
        </w:rPr>
        <w:t>β</w:t>
      </w:r>
      <w:bookmarkEnd w:id="94"/>
      <w:r>
        <w:rPr>
          <w:rFonts w:ascii="Book Antiqua" w:hAnsi="Book Antiqua"/>
          <w:color w:val="000000"/>
          <w:sz w:val="24"/>
        </w:rPr>
        <w:t>, IL-6 and CCL-5) and profibrogenic (</w:t>
      </w:r>
      <w:bookmarkStart w:id="95" w:name="OLE_LINK25"/>
      <w:r>
        <w:rPr>
          <w:rFonts w:ascii="Book Antiqua" w:hAnsi="Book Antiqua"/>
          <w:color w:val="000000"/>
          <w:sz w:val="24"/>
        </w:rPr>
        <w:t>TGF-β1</w:t>
      </w:r>
      <w:bookmarkEnd w:id="95"/>
      <w:r>
        <w:rPr>
          <w:rFonts w:ascii="Book Antiqua" w:hAnsi="Book Antiqua"/>
          <w:color w:val="000000"/>
          <w:sz w:val="24"/>
        </w:rPr>
        <w:t>, collagen 4A1, MMP2 and α-smooth muscle actin) markers in primary human and immortalized HSCs (LX2 cells)</w:t>
      </w:r>
      <w:r>
        <w:rPr>
          <w:rFonts w:ascii="Book Antiqua" w:hAnsi="Book Antiqua"/>
          <w:color w:val="000000"/>
          <w:sz w:val="24"/>
          <w:vertAlign w:val="superscript"/>
        </w:rPr>
        <w:t>[54]</w:t>
      </w:r>
      <w:r>
        <w:rPr>
          <w:rFonts w:ascii="Book Antiqua" w:hAnsi="Book Antiqua"/>
          <w:color w:val="000000"/>
          <w:sz w:val="24"/>
        </w:rPr>
        <w:t>.</w:t>
      </w:r>
      <w:r>
        <w:rPr>
          <w:rFonts w:ascii="Book Antiqua" w:hAnsi="Book Antiqua"/>
          <w:color w:val="000000"/>
          <w:sz w:val="24"/>
          <w:vertAlign w:val="superscript"/>
        </w:rPr>
        <w:t xml:space="preserve"> </w:t>
      </w:r>
      <w:r>
        <w:rPr>
          <w:rFonts w:ascii="Book Antiqua" w:hAnsi="Book Antiqua"/>
          <w:color w:val="000000"/>
          <w:sz w:val="24"/>
        </w:rPr>
        <w:t>Further study identified that the chemokine CCL-5 in this conditioned medium induced inflammasome activation and fibrotic marker expression in HSCs, whereas TNF-α but not IL-1β could only induce inflammasome markers</w:t>
      </w:r>
      <w:r>
        <w:rPr>
          <w:rFonts w:ascii="Book Antiqua" w:hAnsi="Book Antiqua"/>
          <w:color w:val="000000"/>
          <w:sz w:val="24"/>
          <w:vertAlign w:val="superscript"/>
        </w:rPr>
        <w:t>[54]</w:t>
      </w:r>
      <w:r>
        <w:rPr>
          <w:rFonts w:ascii="Book Antiqua" w:hAnsi="Book Antiqua"/>
          <w:color w:val="000000"/>
          <w:sz w:val="24"/>
        </w:rPr>
        <w:t>.</w:t>
      </w:r>
      <w:bookmarkStart w:id="96" w:name="OLE_LINK17"/>
      <w:r>
        <w:rPr>
          <w:rFonts w:ascii="Book Antiqua" w:hAnsi="Book Antiqua"/>
          <w:color w:val="000000"/>
          <w:sz w:val="24"/>
        </w:rPr>
        <w:t xml:space="preserve"> These studies emphasize that inflammatory cascade reactions could occur between macrophages and HSCs through highly expressed inflammatory mediators during HCV infection.</w:t>
      </w:r>
    </w:p>
    <w:bookmarkEnd w:id="96"/>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 xml:space="preserve">  Moreover, chemokines secreted by HCV-infected hepatocytes and HCV-internalized KCs recruit immune cells to the site of infection, leading to aggravation of the inflammatory response and even liver damage in CHC</w:t>
      </w:r>
      <w:r>
        <w:rPr>
          <w:rFonts w:ascii="Book Antiqua" w:hAnsi="Book Antiqua"/>
          <w:color w:val="000000"/>
          <w:sz w:val="24"/>
          <w:vertAlign w:val="superscript"/>
        </w:rPr>
        <w:t>[47,55]</w:t>
      </w:r>
      <w:r>
        <w:rPr>
          <w:rFonts w:ascii="Book Antiqua" w:hAnsi="Book Antiqua"/>
          <w:color w:val="000000"/>
          <w:sz w:val="24"/>
        </w:rPr>
        <w:t>. Other molecules, such as ROS and lipid peroxidation products produced by activated KCs or injured hepatocytes, could also induce the activation of quiescent HSCs</w:t>
      </w:r>
      <w:r>
        <w:rPr>
          <w:rFonts w:ascii="Book Antiqua" w:hAnsi="Book Antiqua"/>
          <w:color w:val="000000"/>
          <w:sz w:val="24"/>
          <w:vertAlign w:val="superscript"/>
        </w:rPr>
        <w:t>[49]</w:t>
      </w:r>
      <w:r>
        <w:rPr>
          <w:rFonts w:ascii="Book Antiqua" w:hAnsi="Book Antiqua"/>
          <w:color w:val="000000"/>
          <w:sz w:val="24"/>
        </w:rPr>
        <w:t>. The interactions between the HSCs and the immune cells recruited into the liver and the HCV-infected or exposed hepatocytes/macrophages mediate inflammation-related cellular signalling, together establishing a microenvironment of the liver in an excessively inflammatory state and continuing to exacerbate disease progression.</w:t>
      </w:r>
    </w:p>
    <w:p w:rsidR="00371BB0" w:rsidRDefault="00371BB0" w:rsidP="00371BB0">
      <w:pPr>
        <w:adjustRightInd w:val="0"/>
        <w:snapToGrid w:val="0"/>
        <w:spacing w:line="360" w:lineRule="auto"/>
        <w:rPr>
          <w:rFonts w:ascii="Book Antiqua" w:hAnsi="Book Antiqua"/>
          <w:b/>
          <w:color w:val="000000"/>
          <w:sz w:val="24"/>
        </w:rPr>
      </w:pPr>
      <w:bookmarkStart w:id="97" w:name="OLE_LINK32"/>
      <w:bookmarkStart w:id="98" w:name="OLE_LINK29"/>
      <w:bookmarkStart w:id="99" w:name="OLE_LINK38"/>
    </w:p>
    <w:p w:rsidR="00371BB0" w:rsidRDefault="00371BB0" w:rsidP="00371BB0">
      <w:pPr>
        <w:adjustRightInd w:val="0"/>
        <w:snapToGrid w:val="0"/>
        <w:spacing w:line="360" w:lineRule="auto"/>
        <w:rPr>
          <w:rFonts w:ascii="Book Antiqua" w:hAnsi="Book Antiqua"/>
          <w:b/>
          <w:i/>
          <w:color w:val="000000"/>
          <w:sz w:val="24"/>
        </w:rPr>
      </w:pPr>
      <w:r>
        <w:rPr>
          <w:rFonts w:ascii="Book Antiqua" w:hAnsi="Book Antiqua"/>
          <w:b/>
          <w:i/>
          <w:color w:val="000000"/>
          <w:sz w:val="24"/>
        </w:rPr>
        <w:t xml:space="preserve">Exacerbation of the inflammatory response by oxidative </w:t>
      </w:r>
      <w:bookmarkEnd w:id="97"/>
      <w:bookmarkEnd w:id="98"/>
      <w:r>
        <w:rPr>
          <w:rFonts w:ascii="Book Antiqua" w:hAnsi="Book Antiqua"/>
          <w:b/>
          <w:i/>
          <w:color w:val="000000"/>
          <w:sz w:val="24"/>
        </w:rPr>
        <w:t>and endoplasmic reticulum stress (ERS)</w:t>
      </w:r>
    </w:p>
    <w:p w:rsidR="00371BB0" w:rsidRDefault="00371BB0" w:rsidP="00371BB0">
      <w:pPr>
        <w:adjustRightInd w:val="0"/>
        <w:snapToGrid w:val="0"/>
        <w:spacing w:line="360" w:lineRule="auto"/>
        <w:rPr>
          <w:rFonts w:ascii="Book Antiqua" w:hAnsi="Book Antiqua"/>
          <w:b/>
          <w:color w:val="000000"/>
          <w:sz w:val="24"/>
        </w:rPr>
      </w:pPr>
      <w:r>
        <w:rPr>
          <w:rFonts w:ascii="Book Antiqua" w:hAnsi="Book Antiqua"/>
          <w:color w:val="000000"/>
          <w:sz w:val="24"/>
        </w:rPr>
        <w:t xml:space="preserve">Oxidative stress is characterized by excessive ROS accumulation </w:t>
      </w:r>
      <w:r>
        <w:rPr>
          <w:rFonts w:ascii="Book Antiqua" w:hAnsi="Book Antiqua"/>
          <w:i/>
          <w:color w:val="000000"/>
          <w:sz w:val="24"/>
        </w:rPr>
        <w:t>in vivo</w:t>
      </w:r>
      <w:r>
        <w:rPr>
          <w:rFonts w:ascii="Book Antiqua" w:hAnsi="Book Antiqua"/>
          <w:color w:val="000000"/>
          <w:sz w:val="24"/>
        </w:rPr>
        <w:t>. ROS includes radicals, such as superoxide anion (O</w:t>
      </w:r>
      <w:r>
        <w:rPr>
          <w:rFonts w:ascii="Book Antiqua" w:hAnsi="Book Antiqua"/>
          <w:color w:val="000000"/>
          <w:sz w:val="24"/>
          <w:vertAlign w:val="subscript"/>
        </w:rPr>
        <w:t>2</w:t>
      </w:r>
      <w:r>
        <w:rPr>
          <w:rFonts w:ascii="Book Antiqua" w:hAnsi="Book Antiqua"/>
          <w:color w:val="000000"/>
          <w:sz w:val="24"/>
          <w:vertAlign w:val="superscript"/>
        </w:rPr>
        <w:t>−</w:t>
      </w:r>
      <w:r>
        <w:rPr>
          <w:rFonts w:ascii="Book Antiqua" w:hAnsi="Book Antiqua"/>
          <w:color w:val="000000"/>
          <w:sz w:val="24"/>
        </w:rPr>
        <w:t>∙), hydroxyl radical (OH</w:t>
      </w:r>
      <w:r>
        <w:rPr>
          <w:rFonts w:ascii="Book Antiqua" w:hAnsi="Book Antiqua"/>
          <w:color w:val="000000"/>
          <w:sz w:val="24"/>
          <w:vertAlign w:val="superscript"/>
        </w:rPr>
        <w:t>•</w:t>
      </w:r>
      <w:r>
        <w:rPr>
          <w:rFonts w:ascii="Book Antiqua" w:hAnsi="Book Antiqua"/>
          <w:color w:val="000000"/>
          <w:sz w:val="24"/>
        </w:rPr>
        <w:t xml:space="preserve">) and </w:t>
      </w:r>
      <w:r>
        <w:rPr>
          <w:rFonts w:ascii="Book Antiqua" w:hAnsi="Book Antiqua"/>
          <w:color w:val="000000"/>
          <w:sz w:val="24"/>
        </w:rPr>
        <w:lastRenderedPageBreak/>
        <w:t>hydrogen peroxide (H</w:t>
      </w:r>
      <w:r>
        <w:rPr>
          <w:rFonts w:ascii="Book Antiqua" w:hAnsi="Book Antiqua"/>
          <w:color w:val="000000"/>
          <w:sz w:val="24"/>
          <w:vertAlign w:val="subscript"/>
        </w:rPr>
        <w:t>2</w:t>
      </w:r>
      <w:r>
        <w:rPr>
          <w:rFonts w:ascii="Book Antiqua" w:hAnsi="Book Antiqua"/>
          <w:color w:val="000000"/>
          <w:sz w:val="24"/>
        </w:rPr>
        <w:t>O</w:t>
      </w:r>
      <w:r>
        <w:rPr>
          <w:rFonts w:ascii="Book Antiqua" w:hAnsi="Book Antiqua"/>
          <w:color w:val="000000"/>
          <w:sz w:val="24"/>
          <w:vertAlign w:val="subscript"/>
        </w:rPr>
        <w:t>2</w:t>
      </w:r>
      <w:r>
        <w:rPr>
          <w:rFonts w:ascii="Book Antiqua" w:hAnsi="Book Antiqua"/>
          <w:color w:val="000000"/>
          <w:sz w:val="24"/>
        </w:rPr>
        <w:t>). Superoxide anions are mainly derived from the mitochondrial electron transport chain and catalysed into H</w:t>
      </w:r>
      <w:r>
        <w:rPr>
          <w:rFonts w:ascii="Book Antiqua" w:hAnsi="Book Antiqua"/>
          <w:color w:val="000000"/>
          <w:sz w:val="24"/>
          <w:vertAlign w:val="subscript"/>
        </w:rPr>
        <w:t>2</w:t>
      </w:r>
      <w:r>
        <w:rPr>
          <w:rFonts w:ascii="Book Antiqua" w:hAnsi="Book Antiqua"/>
          <w:color w:val="000000"/>
          <w:sz w:val="24"/>
        </w:rPr>
        <w:t>O</w:t>
      </w:r>
      <w:r>
        <w:rPr>
          <w:rFonts w:ascii="Book Antiqua" w:hAnsi="Book Antiqua"/>
          <w:color w:val="000000"/>
          <w:sz w:val="24"/>
          <w:vertAlign w:val="subscript"/>
        </w:rPr>
        <w:t>2</w:t>
      </w:r>
      <w:r>
        <w:rPr>
          <w:rFonts w:ascii="Book Antiqua" w:hAnsi="Book Antiqua"/>
          <w:color w:val="000000"/>
          <w:sz w:val="24"/>
        </w:rPr>
        <w:t xml:space="preserve"> and OH</w:t>
      </w:r>
      <w:r>
        <w:rPr>
          <w:rFonts w:ascii="Book Antiqua" w:hAnsi="Book Antiqua"/>
          <w:color w:val="000000"/>
          <w:sz w:val="24"/>
          <w:vertAlign w:val="superscript"/>
        </w:rPr>
        <w:t>•</w:t>
      </w:r>
      <w:r>
        <w:rPr>
          <w:rFonts w:ascii="Book Antiqua" w:hAnsi="Book Antiqua"/>
          <w:color w:val="000000"/>
          <w:sz w:val="24"/>
        </w:rPr>
        <w:t xml:space="preserve"> by superoxide dismutase</w:t>
      </w:r>
      <w:r>
        <w:rPr>
          <w:rFonts w:ascii="Book Antiqua" w:hAnsi="Book Antiqua"/>
          <w:color w:val="000000"/>
          <w:sz w:val="24"/>
          <w:vertAlign w:val="superscript"/>
        </w:rPr>
        <w:t>[56]</w:t>
      </w:r>
      <w:r>
        <w:rPr>
          <w:rFonts w:ascii="Book Antiqua" w:hAnsi="Book Antiqua"/>
          <w:color w:val="000000"/>
          <w:sz w:val="24"/>
        </w:rPr>
        <w:t>.</w:t>
      </w:r>
      <w:bookmarkStart w:id="100" w:name="OLE_LINK66"/>
      <w:r>
        <w:rPr>
          <w:rFonts w:ascii="Book Antiqua" w:hAnsi="Book Antiqua"/>
          <w:color w:val="000000"/>
          <w:sz w:val="24"/>
        </w:rPr>
        <w:t xml:space="preserve"> Hepatocytes have abundant mitochondria, which are the main source of ROS. Oxidative stress</w:t>
      </w:r>
      <w:bookmarkEnd w:id="100"/>
      <w:r>
        <w:rPr>
          <w:rFonts w:ascii="Book Antiqua" w:hAnsi="Book Antiqua"/>
          <w:color w:val="000000"/>
          <w:sz w:val="24"/>
        </w:rPr>
        <w:t xml:space="preserve"> is more severe in HCV infection than in HBV infection</w:t>
      </w:r>
      <w:r>
        <w:rPr>
          <w:rFonts w:ascii="Book Antiqua" w:hAnsi="Book Antiqua"/>
          <w:color w:val="000000"/>
          <w:sz w:val="24"/>
          <w:vertAlign w:val="superscript"/>
        </w:rPr>
        <w:t>[57]</w:t>
      </w:r>
      <w:r>
        <w:rPr>
          <w:rFonts w:ascii="Book Antiqua" w:hAnsi="Book Antiqua"/>
          <w:color w:val="000000"/>
          <w:sz w:val="24"/>
        </w:rPr>
        <w:t>. Upon HCV infection, oxidative stress is thought to occur because of the expression of viral proteins, changes in the activity of oxidative enzymes, depletions of antioxidants and the ensuing chronic inflammation</w:t>
      </w:r>
      <w:r>
        <w:rPr>
          <w:rFonts w:ascii="Book Antiqua" w:hAnsi="Book Antiqua"/>
          <w:color w:val="000000"/>
          <w:sz w:val="24"/>
          <w:vertAlign w:val="superscript"/>
        </w:rPr>
        <w:t>[58]</w:t>
      </w:r>
      <w:r>
        <w:rPr>
          <w:rFonts w:ascii="Book Antiqua" w:hAnsi="Book Antiqua"/>
          <w:color w:val="000000"/>
          <w:sz w:val="24"/>
        </w:rPr>
        <w:t>. HCV core protein interacts with the mitochondrial protein chaperone prohibitin, leading to impairment of mitochondrial respiratory chain function accompanied by ROS overproduction</w:t>
      </w:r>
      <w:r>
        <w:rPr>
          <w:rFonts w:ascii="Book Antiqua" w:hAnsi="Book Antiqua"/>
          <w:color w:val="000000"/>
          <w:sz w:val="24"/>
          <w:vertAlign w:val="superscript"/>
        </w:rPr>
        <w:t>[59]</w:t>
      </w:r>
      <w:r>
        <w:rPr>
          <w:rFonts w:ascii="Book Antiqua" w:hAnsi="Book Antiqua"/>
          <w:color w:val="000000"/>
          <w:sz w:val="24"/>
        </w:rPr>
        <w:t>. The intracellular expression of E1, E2, NS3 and NS5A also potently enhances ROS levels by increasing intracellular calcium influx and decreasing mitochondrial transmembrane potential</w:t>
      </w:r>
      <w:r>
        <w:rPr>
          <w:rFonts w:ascii="Book Antiqua" w:hAnsi="Book Antiqua"/>
          <w:color w:val="000000"/>
          <w:sz w:val="24"/>
          <w:vertAlign w:val="superscript"/>
        </w:rPr>
        <w:t>[58]</w:t>
      </w:r>
      <w:r>
        <w:rPr>
          <w:rFonts w:ascii="Book Antiqua" w:hAnsi="Book Antiqua"/>
          <w:color w:val="000000"/>
          <w:sz w:val="24"/>
        </w:rPr>
        <w:t>.</w:t>
      </w:r>
      <w:bookmarkStart w:id="101" w:name="_Hlk524907159"/>
      <w:r>
        <w:rPr>
          <w:rFonts w:ascii="Book Antiqua" w:hAnsi="Book Antiqua"/>
          <w:color w:val="000000"/>
          <w:sz w:val="24"/>
        </w:rPr>
        <w:t xml:space="preserve"> </w:t>
      </w:r>
      <w:bookmarkEnd w:id="101"/>
      <w:r>
        <w:rPr>
          <w:rFonts w:ascii="Book Antiqua" w:hAnsi="Book Antiqua"/>
          <w:color w:val="000000"/>
          <w:sz w:val="24"/>
        </w:rPr>
        <w:t>In addition to mitochondria-derived ROS, cellular nicotinamide adenine dinucleotide phosphate (NADPH) oxidase also acts as an important source of ROS, generating superoxide anions by catalysing the oxidation of NADPH</w:t>
      </w:r>
      <w:r>
        <w:rPr>
          <w:rFonts w:ascii="Book Antiqua" w:hAnsi="Book Antiqua"/>
          <w:color w:val="000000"/>
          <w:sz w:val="24"/>
          <w:vertAlign w:val="superscript"/>
        </w:rPr>
        <w:t>[60]</w:t>
      </w:r>
      <w:r>
        <w:rPr>
          <w:rFonts w:ascii="Book Antiqua" w:hAnsi="Book Antiqua"/>
          <w:color w:val="000000"/>
          <w:sz w:val="24"/>
        </w:rPr>
        <w:t>. Among the seven Nox enzymes (Nox1-5, Dual oxidase Duox1 and Duox2), Nox1 and Nox4 induced in hepatocytes by infecting with HCV phenotype 2a and 1b or expressing HCV proteins contribute to ROS production</w:t>
      </w:r>
      <w:r>
        <w:rPr>
          <w:rFonts w:ascii="Book Antiqua" w:hAnsi="Book Antiqua"/>
          <w:color w:val="000000"/>
          <w:sz w:val="24"/>
          <w:vertAlign w:val="superscript"/>
        </w:rPr>
        <w:t>[60,61]</w:t>
      </w:r>
      <w:r>
        <w:rPr>
          <w:rFonts w:ascii="Book Antiqua" w:hAnsi="Book Antiqua"/>
          <w:color w:val="000000"/>
          <w:sz w:val="24"/>
        </w:rPr>
        <w:t>. In brief, ROS accumulation caused by HCV infection in the liver further leads to activation of the signalling factors phosphoinositide 3-kinase (PI3K), Janus kinase, MAPK pathways or transcription factor NF-κB, activator protein-1 (AP-1), STAT3, HIF-1α, PPAR-γ and Nrf2, and those pathways induce downstream inflammatory and immune responses</w:t>
      </w:r>
      <w:r>
        <w:rPr>
          <w:rFonts w:ascii="Book Antiqua" w:hAnsi="Book Antiqua"/>
          <w:color w:val="000000"/>
          <w:sz w:val="24"/>
          <w:vertAlign w:val="superscript"/>
        </w:rPr>
        <w:t>[62-65]</w:t>
      </w:r>
      <w:r>
        <w:rPr>
          <w:rFonts w:ascii="Book Antiqua" w:hAnsi="Book Antiqua"/>
          <w:color w:val="000000"/>
          <w:sz w:val="24"/>
        </w:rPr>
        <w:t>.</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 xml:space="preserve">  HCV protein expression is also accompanied by strong ERS. HCV structural and NS proteins are continuously processed in ER-derived </w:t>
      </w:r>
      <w:bookmarkStart w:id="102" w:name="OLE_LINK71"/>
      <w:r>
        <w:rPr>
          <w:rFonts w:ascii="Book Antiqua" w:hAnsi="Book Antiqua"/>
          <w:color w:val="000000"/>
          <w:sz w:val="24"/>
        </w:rPr>
        <w:t>membrane structures</w:t>
      </w:r>
      <w:bookmarkEnd w:id="102"/>
      <w:r>
        <w:rPr>
          <w:rFonts w:ascii="Book Antiqua" w:hAnsi="Book Antiqua"/>
          <w:color w:val="000000"/>
          <w:sz w:val="24"/>
          <w:vertAlign w:val="superscript"/>
        </w:rPr>
        <w:t>[66,67]</w:t>
      </w:r>
      <w:r>
        <w:rPr>
          <w:rFonts w:ascii="Book Antiqua" w:hAnsi="Book Antiqua"/>
          <w:color w:val="000000"/>
          <w:sz w:val="24"/>
        </w:rPr>
        <w:t>, perturbing normal ER functions and inducing ER stress</w:t>
      </w:r>
      <w:r>
        <w:rPr>
          <w:rFonts w:ascii="Book Antiqua" w:hAnsi="Book Antiqua"/>
          <w:color w:val="000000"/>
          <w:sz w:val="24"/>
          <w:vertAlign w:val="superscript"/>
        </w:rPr>
        <w:t>[67,68]</w:t>
      </w:r>
      <w:r>
        <w:rPr>
          <w:rFonts w:ascii="Book Antiqua" w:hAnsi="Book Antiqua"/>
          <w:color w:val="000000"/>
          <w:sz w:val="24"/>
        </w:rPr>
        <w:t>. The unfolded protein response (UPR) is that cells respond to ERS by activating an adaptive cellular programme and alleviate ER stress by inducing protein folding and degradation in the ER and decreasing overall protein synthesis</w:t>
      </w:r>
      <w:r>
        <w:rPr>
          <w:rFonts w:ascii="Book Antiqua" w:hAnsi="Book Antiqua"/>
          <w:color w:val="000000"/>
          <w:sz w:val="24"/>
          <w:vertAlign w:val="superscript"/>
        </w:rPr>
        <w:t>[66]</w:t>
      </w:r>
      <w:r>
        <w:rPr>
          <w:rFonts w:ascii="Book Antiqua" w:hAnsi="Book Antiqua"/>
          <w:color w:val="000000"/>
          <w:sz w:val="24"/>
        </w:rPr>
        <w:t xml:space="preserve">. </w:t>
      </w:r>
      <w:bookmarkStart w:id="103" w:name="OLE_LINK48"/>
      <w:bookmarkStart w:id="104" w:name="OLE_LINK47"/>
      <w:r>
        <w:rPr>
          <w:rFonts w:ascii="Book Antiqua" w:hAnsi="Book Antiqua"/>
          <w:color w:val="000000"/>
          <w:sz w:val="24"/>
        </w:rPr>
        <w:t xml:space="preserve">The UPR is </w:t>
      </w:r>
      <w:bookmarkEnd w:id="103"/>
      <w:bookmarkEnd w:id="104"/>
      <w:r>
        <w:rPr>
          <w:rFonts w:ascii="Book Antiqua" w:hAnsi="Book Antiqua"/>
          <w:color w:val="000000"/>
          <w:sz w:val="24"/>
        </w:rPr>
        <w:t xml:space="preserve">mediated by three ER transmembrane proteins: cleavage of activating transcription factor 6 (ATF-6), inositol-requiring enzyme 1 (IRE1) and PKR-like endoplasmic reticulum kinase (PERK) and their downstream factors X-box binding protein 1 (XBP-1) and </w:t>
      </w:r>
      <w:r>
        <w:rPr>
          <w:rFonts w:ascii="Book Antiqua" w:hAnsi="Book Antiqua"/>
          <w:color w:val="000000"/>
          <w:sz w:val="24"/>
        </w:rPr>
        <w:lastRenderedPageBreak/>
        <w:t>eukaryotic initiation factor 2α (EIF2α)</w:t>
      </w:r>
      <w:r>
        <w:rPr>
          <w:rFonts w:ascii="Book Antiqua" w:hAnsi="Book Antiqua"/>
          <w:color w:val="000000"/>
          <w:sz w:val="24"/>
          <w:vertAlign w:val="superscript"/>
        </w:rPr>
        <w:t>[66]</w:t>
      </w:r>
      <w:r>
        <w:rPr>
          <w:rFonts w:ascii="Book Antiqua" w:hAnsi="Book Antiqua"/>
          <w:color w:val="000000"/>
          <w:sz w:val="24"/>
        </w:rPr>
        <w:t>.</w:t>
      </w:r>
      <w:r>
        <w:rPr>
          <w:rFonts w:ascii="Book Antiqua" w:hAnsi="Book Antiqua"/>
          <w:color w:val="000000"/>
          <w:sz w:val="24"/>
          <w:vertAlign w:val="superscript"/>
        </w:rPr>
        <w:t xml:space="preserve"> </w:t>
      </w:r>
      <w:r>
        <w:rPr>
          <w:rFonts w:ascii="Book Antiqua" w:hAnsi="Book Antiqua"/>
          <w:color w:val="000000"/>
          <w:sz w:val="24"/>
        </w:rPr>
        <w:t xml:space="preserve">The UPR is initially activated in HCV-infected Huh7.5.1 cells and HCV-transgenic mice, resulting in the phosphorylation of IRE1, EIF2α and ATF-6, and </w:t>
      </w:r>
      <w:bookmarkStart w:id="105" w:name="OLE_LINK46"/>
      <w:bookmarkStart w:id="106" w:name="OLE_LINK45"/>
      <w:r>
        <w:rPr>
          <w:rFonts w:ascii="Book Antiqua" w:hAnsi="Book Antiqua"/>
          <w:color w:val="000000"/>
          <w:sz w:val="24"/>
        </w:rPr>
        <w:t>splicing of XBP-1</w:t>
      </w:r>
      <w:bookmarkEnd w:id="105"/>
      <w:bookmarkEnd w:id="106"/>
      <w:r>
        <w:rPr>
          <w:rFonts w:ascii="Book Antiqua" w:hAnsi="Book Antiqua"/>
          <w:color w:val="000000"/>
          <w:sz w:val="24"/>
          <w:vertAlign w:val="superscript"/>
        </w:rPr>
        <w:t>[69]</w:t>
      </w:r>
      <w:r>
        <w:rPr>
          <w:rFonts w:ascii="Book Antiqua" w:hAnsi="Book Antiqua"/>
          <w:color w:val="000000"/>
          <w:sz w:val="24"/>
        </w:rPr>
        <w:t xml:space="preserve">. However, HCV RNA or protein </w:t>
      </w:r>
      <w:r>
        <w:rPr>
          <w:rFonts w:ascii="Book Antiqua" w:hAnsi="Book Antiqua"/>
          <w:i/>
          <w:color w:val="000000"/>
          <w:sz w:val="24"/>
        </w:rPr>
        <w:t>per se</w:t>
      </w:r>
      <w:r>
        <w:rPr>
          <w:rFonts w:ascii="Book Antiqua" w:hAnsi="Book Antiqua"/>
          <w:color w:val="000000"/>
          <w:sz w:val="24"/>
        </w:rPr>
        <w:t xml:space="preserve"> also exerts the resistance for UPR, such as XBP-1 activity downregulation in HCV-expressing cells and PERK activity inhibition by HCV E2, leading to a reduction in ER-associated protein degradation and UPR-associated translational attenuation, respectively</w:t>
      </w:r>
      <w:r>
        <w:rPr>
          <w:rFonts w:ascii="Book Antiqua" w:hAnsi="Book Antiqua"/>
          <w:color w:val="000000"/>
          <w:sz w:val="24"/>
          <w:vertAlign w:val="superscript"/>
        </w:rPr>
        <w:t>[66]</w:t>
      </w:r>
      <w:r>
        <w:rPr>
          <w:rFonts w:ascii="Book Antiqua" w:hAnsi="Book Antiqua"/>
          <w:color w:val="000000"/>
          <w:sz w:val="24"/>
        </w:rPr>
        <w:t>. Virtually, there is an interaction between ERS and inflammation, and ERS might be both a trigger and a consequence of chronic inflammation</w:t>
      </w:r>
      <w:r>
        <w:rPr>
          <w:rFonts w:ascii="Book Antiqua" w:hAnsi="Book Antiqua"/>
          <w:color w:val="000000"/>
          <w:sz w:val="24"/>
          <w:vertAlign w:val="superscript"/>
        </w:rPr>
        <w:t>[70]</w:t>
      </w:r>
      <w:r>
        <w:rPr>
          <w:rFonts w:ascii="Book Antiqua" w:hAnsi="Book Antiqua"/>
          <w:color w:val="000000"/>
          <w:sz w:val="24"/>
        </w:rPr>
        <w:t xml:space="preserve">. NS5A expression in the ER triggers ERS and ultimately leads to the activation of STAT3 and NF-κB, and this pathway is sensitive to mitochondrial calcium uptake inhibitors, calcium chelators and antioxidants, therefore providing evidence for the role of ERS and </w:t>
      </w:r>
      <w:bookmarkStart w:id="107" w:name="OLE_LINK9"/>
      <w:r>
        <w:rPr>
          <w:rFonts w:ascii="Book Antiqua" w:hAnsi="Book Antiqua"/>
          <w:color w:val="000000"/>
          <w:sz w:val="24"/>
        </w:rPr>
        <w:t>oxidative stress</w:t>
      </w:r>
      <w:bookmarkEnd w:id="107"/>
      <w:r>
        <w:rPr>
          <w:rFonts w:ascii="Book Antiqua" w:hAnsi="Book Antiqua"/>
          <w:color w:val="000000"/>
          <w:sz w:val="24"/>
        </w:rPr>
        <w:t xml:space="preserve"> in the activation of the inflammatory response during HCV infection</w:t>
      </w:r>
      <w:r>
        <w:rPr>
          <w:rFonts w:ascii="Book Antiqua" w:hAnsi="Book Antiqua"/>
          <w:color w:val="000000"/>
          <w:sz w:val="24"/>
          <w:vertAlign w:val="superscript"/>
        </w:rPr>
        <w:t>[71]</w:t>
      </w:r>
      <w:r>
        <w:rPr>
          <w:rFonts w:ascii="Book Antiqua" w:hAnsi="Book Antiqua"/>
          <w:color w:val="000000"/>
          <w:sz w:val="24"/>
        </w:rPr>
        <w:t>. Under severe ERS, the UPR activates the JNK/AKT pathway and phosphorylates NF-</w:t>
      </w:r>
      <w:bookmarkStart w:id="108" w:name="OLE_LINK104"/>
      <w:r>
        <w:rPr>
          <w:rFonts w:ascii="Book Antiqua" w:hAnsi="Book Antiqua"/>
          <w:color w:val="000000"/>
          <w:sz w:val="24"/>
        </w:rPr>
        <w:t>κB</w:t>
      </w:r>
      <w:bookmarkEnd w:id="108"/>
      <w:r>
        <w:rPr>
          <w:rFonts w:ascii="Book Antiqua" w:hAnsi="Book Antiqua"/>
          <w:color w:val="000000"/>
          <w:sz w:val="24"/>
        </w:rPr>
        <w:t xml:space="preserve"> protein IκB kinase (IKK), leading to cleavage of IκBα and activation of NF-κB</w:t>
      </w:r>
      <w:r>
        <w:rPr>
          <w:rFonts w:ascii="Book Antiqua" w:hAnsi="Book Antiqua"/>
          <w:color w:val="000000"/>
          <w:sz w:val="24"/>
          <w:vertAlign w:val="superscript"/>
        </w:rPr>
        <w:t>[70]</w:t>
      </w:r>
      <w:r>
        <w:rPr>
          <w:rFonts w:ascii="Book Antiqua" w:hAnsi="Book Antiqua"/>
          <w:color w:val="000000"/>
          <w:sz w:val="24"/>
        </w:rPr>
        <w:t>. UPR-independent Ca</w:t>
      </w:r>
      <w:r>
        <w:rPr>
          <w:rFonts w:ascii="Book Antiqua" w:hAnsi="Book Antiqua"/>
          <w:color w:val="000000"/>
          <w:sz w:val="24"/>
          <w:vertAlign w:val="superscript"/>
        </w:rPr>
        <w:t xml:space="preserve">2+ </w:t>
      </w:r>
      <w:r>
        <w:rPr>
          <w:rFonts w:ascii="Book Antiqua" w:hAnsi="Book Antiqua"/>
          <w:color w:val="000000"/>
          <w:sz w:val="24"/>
        </w:rPr>
        <w:t>release and excessive ROS and ER chaperone GRP78 that leak into the cytosol were also proposed to activate NF-κB to induce inflammation</w:t>
      </w:r>
      <w:r>
        <w:rPr>
          <w:rFonts w:ascii="Book Antiqua" w:hAnsi="Book Antiqua"/>
          <w:color w:val="000000"/>
          <w:sz w:val="24"/>
          <w:vertAlign w:val="superscript"/>
        </w:rPr>
        <w:t>[70]</w:t>
      </w:r>
      <w:r>
        <w:rPr>
          <w:rFonts w:ascii="Book Antiqua" w:hAnsi="Book Antiqua"/>
          <w:color w:val="000000"/>
          <w:sz w:val="24"/>
        </w:rPr>
        <w:t>. In turn, inflammatory factors also exacerbate ERS and oxidative stress. For example, TNF-α induced intracellular excessive generation of ROS, which in turn induced ERS, whereas IL-1β and TNF-α also increased ERS in a nitric oxide dependent manner</w:t>
      </w:r>
      <w:r>
        <w:rPr>
          <w:rFonts w:ascii="Book Antiqua" w:hAnsi="Book Antiqua"/>
          <w:color w:val="000000"/>
          <w:sz w:val="24"/>
          <w:vertAlign w:val="superscript"/>
        </w:rPr>
        <w:t>[72,73]</w:t>
      </w:r>
      <w:r>
        <w:rPr>
          <w:rFonts w:ascii="Book Antiqua" w:hAnsi="Book Antiqua"/>
          <w:color w:val="000000"/>
          <w:sz w:val="24"/>
        </w:rPr>
        <w:t>.</w:t>
      </w:r>
    </w:p>
    <w:p w:rsidR="00371BB0" w:rsidRDefault="00371BB0" w:rsidP="00371BB0">
      <w:pPr>
        <w:adjustRightInd w:val="0"/>
        <w:snapToGrid w:val="0"/>
        <w:spacing w:line="360" w:lineRule="auto"/>
        <w:rPr>
          <w:rFonts w:ascii="Book Antiqua" w:hAnsi="Book Antiqua"/>
          <w:color w:val="000000"/>
          <w:sz w:val="24"/>
        </w:rPr>
      </w:pPr>
      <w:bookmarkStart w:id="109" w:name="OLE_LINK126"/>
      <w:bookmarkStart w:id="110" w:name="OLE_LINK127"/>
      <w:r>
        <w:rPr>
          <w:rFonts w:ascii="Book Antiqua" w:hAnsi="Book Antiqua"/>
          <w:color w:val="000000"/>
          <w:sz w:val="24"/>
        </w:rPr>
        <w:t xml:space="preserve">  The ERS and oxidative stress networks interact with each other and therefore play a key role in local and systemic inflammatory responses. HCV infection triggers ERS and disrupts mitochondrial signalling and cytosolic redox homeostasis, thereby inducing oxidative stress and inflammation. ERS and oxidative stress might individually or concurrently stimulate or exacerbate inflammatory responses, and </w:t>
      </w:r>
      <w:bookmarkStart w:id="111" w:name="OLE_LINK72"/>
      <w:r>
        <w:rPr>
          <w:rFonts w:ascii="Book Antiqua" w:hAnsi="Book Antiqua"/>
          <w:i/>
          <w:color w:val="000000"/>
          <w:sz w:val="24"/>
        </w:rPr>
        <w:t>vice versa</w:t>
      </w:r>
      <w:r>
        <w:rPr>
          <w:rFonts w:ascii="Book Antiqua" w:hAnsi="Book Antiqua"/>
          <w:color w:val="000000"/>
          <w:sz w:val="24"/>
        </w:rPr>
        <w:t>.</w:t>
      </w:r>
      <w:bookmarkEnd w:id="99"/>
      <w:bookmarkEnd w:id="111"/>
    </w:p>
    <w:p w:rsidR="00371BB0" w:rsidRDefault="00371BB0" w:rsidP="00371BB0">
      <w:pPr>
        <w:adjustRightInd w:val="0"/>
        <w:snapToGrid w:val="0"/>
        <w:spacing w:line="360" w:lineRule="auto"/>
        <w:rPr>
          <w:rFonts w:ascii="Book Antiqua" w:hAnsi="Book Antiqua"/>
          <w:color w:val="000000"/>
          <w:sz w:val="24"/>
        </w:rPr>
      </w:pPr>
    </w:p>
    <w:p w:rsidR="00371BB0" w:rsidRDefault="00371BB0" w:rsidP="00371BB0">
      <w:pPr>
        <w:adjustRightInd w:val="0"/>
        <w:snapToGrid w:val="0"/>
        <w:spacing w:line="360" w:lineRule="auto"/>
        <w:rPr>
          <w:rFonts w:ascii="Book Antiqua" w:hAnsi="Book Antiqua"/>
          <w:b/>
          <w:bCs/>
          <w:color w:val="000000"/>
          <w:sz w:val="24"/>
        </w:rPr>
      </w:pPr>
      <w:bookmarkStart w:id="112" w:name="OLE_LINK42"/>
      <w:bookmarkEnd w:id="109"/>
      <w:bookmarkEnd w:id="110"/>
      <w:r>
        <w:rPr>
          <w:rFonts w:ascii="Book Antiqua" w:hAnsi="Book Antiqua"/>
          <w:b/>
          <w:bCs/>
          <w:color w:val="000000"/>
          <w:sz w:val="24"/>
        </w:rPr>
        <w:t>ANTI-INFLAMMATORY/HEPATOPROTECTIVE THERAPY IN HCV INFECTION</w:t>
      </w:r>
      <w:bookmarkEnd w:id="112"/>
    </w:p>
    <w:p w:rsidR="00371BB0" w:rsidRDefault="00371BB0" w:rsidP="00371BB0">
      <w:pPr>
        <w:adjustRightInd w:val="0"/>
        <w:snapToGrid w:val="0"/>
        <w:spacing w:line="360" w:lineRule="auto"/>
        <w:rPr>
          <w:rFonts w:ascii="Book Antiqua" w:hAnsi="Book Antiqua"/>
          <w:b/>
          <w:bCs/>
          <w:color w:val="000000"/>
          <w:sz w:val="24"/>
        </w:rPr>
      </w:pPr>
      <w:r>
        <w:rPr>
          <w:rFonts w:ascii="Book Antiqua" w:hAnsi="Book Antiqua"/>
          <w:color w:val="000000"/>
          <w:sz w:val="24"/>
        </w:rPr>
        <w:t xml:space="preserve">DAAs have been used clinically for several years, and some limitations were reported, including drug-resistance, low efficacy in cirrhotic patients, drug </w:t>
      </w:r>
      <w:r>
        <w:rPr>
          <w:rFonts w:ascii="Book Antiqua" w:hAnsi="Book Antiqua"/>
          <w:color w:val="000000"/>
          <w:sz w:val="24"/>
        </w:rPr>
        <w:lastRenderedPageBreak/>
        <w:t>interactions, liver toxicities, HBV reactivation and skin reactions</w:t>
      </w:r>
      <w:r>
        <w:rPr>
          <w:rFonts w:ascii="Book Antiqua" w:hAnsi="Book Antiqua"/>
          <w:color w:val="000000"/>
          <w:sz w:val="24"/>
          <w:vertAlign w:val="superscript"/>
        </w:rPr>
        <w:t>[6,74-77]</w:t>
      </w:r>
      <w:r>
        <w:rPr>
          <w:rFonts w:ascii="Book Antiqua" w:hAnsi="Book Antiqua"/>
          <w:color w:val="000000"/>
          <w:sz w:val="24"/>
        </w:rPr>
        <w:t xml:space="preserve">. Anti-inflammatory/hepatoprotective agents have fewer side effects for the treatment of HCV-induced liver injury, fibrosis, cirrhosis or even HCC, as demonstrated by their long-term use in liver health cares in </w:t>
      </w:r>
      <w:bookmarkStart w:id="113" w:name="OLE_LINK41"/>
      <w:r>
        <w:rPr>
          <w:rFonts w:ascii="Book Antiqua" w:hAnsi="Book Antiqua"/>
          <w:color w:val="000000"/>
          <w:sz w:val="24"/>
        </w:rPr>
        <w:t>many Asian countries</w:t>
      </w:r>
      <w:bookmarkEnd w:id="113"/>
      <w:r>
        <w:rPr>
          <w:rFonts w:ascii="Book Antiqua" w:hAnsi="Book Antiqua"/>
          <w:color w:val="000000"/>
          <w:sz w:val="24"/>
          <w:vertAlign w:val="superscript"/>
        </w:rPr>
        <w:t>[77-80]</w:t>
      </w:r>
      <w:r>
        <w:rPr>
          <w:rFonts w:ascii="Book Antiqua" w:hAnsi="Book Antiqua"/>
          <w:color w:val="000000"/>
          <w:sz w:val="24"/>
        </w:rPr>
        <w:t>.</w:t>
      </w:r>
      <w:r>
        <w:rPr>
          <w:rFonts w:ascii="Book Antiqua" w:hAnsi="Book Antiqua"/>
          <w:color w:val="000000"/>
          <w:sz w:val="24"/>
          <w:vertAlign w:val="superscript"/>
        </w:rPr>
        <w:t xml:space="preserve"> </w:t>
      </w:r>
      <w:r>
        <w:rPr>
          <w:rFonts w:ascii="Book Antiqua" w:hAnsi="Book Antiqua"/>
          <w:color w:val="000000"/>
          <w:sz w:val="24"/>
        </w:rPr>
        <w:t xml:space="preserve">Most of these agents are natural or naturally </w:t>
      </w:r>
      <w:bookmarkStart w:id="114" w:name="OLE_LINK53"/>
      <w:bookmarkStart w:id="115" w:name="OLE_LINK44"/>
      <w:r>
        <w:rPr>
          <w:rFonts w:ascii="Book Antiqua" w:hAnsi="Book Antiqua"/>
          <w:color w:val="000000"/>
          <w:sz w:val="24"/>
        </w:rPr>
        <w:t>derived compounds</w:t>
      </w:r>
      <w:bookmarkEnd w:id="114"/>
      <w:bookmarkEnd w:id="115"/>
      <w:r>
        <w:rPr>
          <w:rFonts w:ascii="Book Antiqua" w:hAnsi="Book Antiqua"/>
          <w:color w:val="000000"/>
          <w:sz w:val="24"/>
        </w:rPr>
        <w:t>, and many have anti-HCV effects. After DAA treatment, some patients are still subject to persistent disease progression and HCV relapse</w:t>
      </w:r>
      <w:r>
        <w:rPr>
          <w:rFonts w:ascii="Book Antiqua" w:hAnsi="Book Antiqua"/>
          <w:color w:val="000000"/>
          <w:sz w:val="24"/>
          <w:vertAlign w:val="superscript"/>
        </w:rPr>
        <w:t>[81]</w:t>
      </w:r>
      <w:r>
        <w:rPr>
          <w:rFonts w:ascii="Book Antiqua" w:hAnsi="Book Antiqua"/>
          <w:color w:val="000000"/>
          <w:sz w:val="24"/>
        </w:rPr>
        <w:t xml:space="preserve">. Therefore, anti-inflammatory/hepatoprotective agents with anti-HCV activity might be a better treatment choice for preventing CHC progression to severe liver diseases when used in combination with or subsequent to DAA therapy. According to the chemical category and practical application in the clinic, we mainly focus on certain representative plant or plant derivate active constituents considered to be the most promising for anti-inflammatory/hepatoprotective therapy in HCV infection, including the flavonoid compound </w:t>
      </w:r>
      <w:bookmarkStart w:id="116" w:name="OLE_LINK70"/>
      <w:r>
        <w:rPr>
          <w:rFonts w:ascii="Book Antiqua" w:hAnsi="Book Antiqua"/>
          <w:color w:val="000000"/>
          <w:sz w:val="24"/>
        </w:rPr>
        <w:t>silibinin</w:t>
      </w:r>
      <w:bookmarkEnd w:id="116"/>
      <w:r>
        <w:rPr>
          <w:rFonts w:ascii="Book Antiqua" w:hAnsi="Book Antiqua"/>
          <w:color w:val="000000"/>
          <w:sz w:val="24"/>
        </w:rPr>
        <w:t xml:space="preserve">, </w:t>
      </w:r>
      <w:bookmarkStart w:id="117" w:name="OLE_LINK60"/>
      <w:bookmarkStart w:id="118" w:name="OLE_LINK57"/>
      <w:r>
        <w:rPr>
          <w:rFonts w:ascii="Book Antiqua" w:hAnsi="Book Antiqua"/>
          <w:color w:val="000000"/>
          <w:sz w:val="24"/>
        </w:rPr>
        <w:t>terpenoid</w:t>
      </w:r>
      <w:bookmarkEnd w:id="117"/>
      <w:bookmarkEnd w:id="118"/>
      <w:r>
        <w:rPr>
          <w:rFonts w:ascii="Book Antiqua" w:hAnsi="Book Antiqua"/>
          <w:color w:val="000000"/>
          <w:sz w:val="24"/>
        </w:rPr>
        <w:t xml:space="preserve"> compound andrographolide, polyphenols compound curcumin, alkaloids oxymatrine and herb-derived antioxidant bicyclol (Table 2)</w:t>
      </w:r>
      <w:r>
        <w:rPr>
          <w:rFonts w:ascii="Book Antiqua" w:hAnsi="Book Antiqua"/>
          <w:color w:val="000000"/>
          <w:sz w:val="24"/>
          <w:vertAlign w:val="superscript"/>
        </w:rPr>
        <w:t>[77,78,80]</w:t>
      </w:r>
      <w:r>
        <w:rPr>
          <w:rFonts w:ascii="Book Antiqua" w:hAnsi="Book Antiqua"/>
          <w:color w:val="000000"/>
          <w:sz w:val="24"/>
        </w:rPr>
        <w:t>.</w:t>
      </w:r>
    </w:p>
    <w:p w:rsidR="00371BB0" w:rsidRDefault="00371BB0" w:rsidP="00371BB0">
      <w:pPr>
        <w:adjustRightInd w:val="0"/>
        <w:snapToGrid w:val="0"/>
        <w:spacing w:line="360" w:lineRule="auto"/>
        <w:rPr>
          <w:rFonts w:ascii="Book Antiqua" w:hAnsi="Book Antiqua"/>
          <w:b/>
          <w:bCs/>
          <w:i/>
          <w:iCs/>
          <w:color w:val="000000"/>
          <w:sz w:val="24"/>
        </w:rPr>
      </w:pPr>
      <w:bookmarkStart w:id="119" w:name="OLE_LINK78"/>
      <w:bookmarkStart w:id="120" w:name="OLE_LINK73"/>
    </w:p>
    <w:p w:rsidR="00371BB0" w:rsidRDefault="00371BB0" w:rsidP="00371BB0">
      <w:pPr>
        <w:adjustRightInd w:val="0"/>
        <w:snapToGrid w:val="0"/>
        <w:spacing w:line="360" w:lineRule="auto"/>
        <w:rPr>
          <w:rFonts w:ascii="Book Antiqua" w:hAnsi="Book Antiqua"/>
          <w:b/>
          <w:i/>
          <w:color w:val="000000"/>
          <w:sz w:val="24"/>
        </w:rPr>
      </w:pPr>
      <w:r>
        <w:rPr>
          <w:rFonts w:ascii="Book Antiqua" w:hAnsi="Book Antiqua"/>
          <w:b/>
          <w:bCs/>
          <w:i/>
          <w:iCs/>
          <w:color w:val="000000"/>
          <w:sz w:val="24"/>
        </w:rPr>
        <w:t>S</w:t>
      </w:r>
      <w:r>
        <w:rPr>
          <w:rFonts w:ascii="Book Antiqua" w:hAnsi="Book Antiqua"/>
          <w:b/>
          <w:i/>
          <w:color w:val="000000"/>
          <w:sz w:val="24"/>
        </w:rPr>
        <w:t>ilibinin</w:t>
      </w:r>
      <w:bookmarkEnd w:id="119"/>
      <w:bookmarkEnd w:id="120"/>
    </w:p>
    <w:p w:rsidR="00371BB0" w:rsidRDefault="00371BB0" w:rsidP="00371BB0">
      <w:pPr>
        <w:adjustRightInd w:val="0"/>
        <w:snapToGrid w:val="0"/>
        <w:spacing w:line="360" w:lineRule="auto"/>
        <w:rPr>
          <w:rFonts w:ascii="Book Antiqua" w:hAnsi="Book Antiqua"/>
          <w:b/>
          <w:i/>
          <w:color w:val="000000"/>
          <w:sz w:val="24"/>
        </w:rPr>
      </w:pPr>
      <w:r>
        <w:rPr>
          <w:rFonts w:ascii="Book Antiqua" w:hAnsi="Book Antiqua"/>
          <w:color w:val="000000"/>
          <w:sz w:val="24"/>
        </w:rPr>
        <w:t>Flavonoids or bioflavonoids are found in numerous plants, and over 4500 flavonoids or their subgroups have been identified to date, of which silymarin and silibinin are representative compounds</w:t>
      </w:r>
      <w:r>
        <w:rPr>
          <w:rFonts w:ascii="Book Antiqua" w:hAnsi="Book Antiqua"/>
          <w:color w:val="000000"/>
          <w:sz w:val="24"/>
          <w:vertAlign w:val="superscript"/>
        </w:rPr>
        <w:t>[77,80]</w:t>
      </w:r>
      <w:r>
        <w:rPr>
          <w:rFonts w:ascii="Book Antiqua" w:hAnsi="Book Antiqua"/>
          <w:color w:val="000000"/>
          <w:sz w:val="24"/>
        </w:rPr>
        <w:t xml:space="preserve">. Silymarin is extracted from the seeds of the milk thistle </w:t>
      </w:r>
      <w:r>
        <w:rPr>
          <w:rFonts w:ascii="Book Antiqua" w:hAnsi="Book Antiqua"/>
          <w:i/>
          <w:color w:val="000000"/>
          <w:sz w:val="24"/>
        </w:rPr>
        <w:t>Silybum marianum</w:t>
      </w:r>
      <w:r>
        <w:rPr>
          <w:rFonts w:ascii="Book Antiqua" w:hAnsi="Book Antiqua"/>
          <w:color w:val="000000"/>
          <w:sz w:val="24"/>
        </w:rPr>
        <w:t xml:space="preserve"> and comprises at least seven flavonolignans (</w:t>
      </w:r>
      <w:bookmarkStart w:id="121" w:name="OLE_LINK97"/>
      <w:bookmarkStart w:id="122" w:name="OLE_LINK96"/>
      <w:r>
        <w:rPr>
          <w:rFonts w:ascii="Book Antiqua" w:hAnsi="Book Antiqua"/>
          <w:color w:val="000000"/>
          <w:sz w:val="24"/>
        </w:rPr>
        <w:t>silybin</w:t>
      </w:r>
      <w:bookmarkEnd w:id="121"/>
      <w:bookmarkEnd w:id="122"/>
      <w:r>
        <w:rPr>
          <w:rFonts w:ascii="Book Antiqua" w:hAnsi="Book Antiqua"/>
          <w:color w:val="000000"/>
          <w:sz w:val="24"/>
        </w:rPr>
        <w:t xml:space="preserve"> A, silybin B, isosilybin A, isosilybin B, silychristin, isosilychristin and silydianin) and one flavonoid (taxifolin)</w:t>
      </w:r>
      <w:r>
        <w:rPr>
          <w:rFonts w:ascii="Book Antiqua" w:hAnsi="Book Antiqua"/>
          <w:color w:val="000000"/>
          <w:sz w:val="24"/>
          <w:vertAlign w:val="superscript"/>
        </w:rPr>
        <w:t>[81,82]</w:t>
      </w:r>
      <w:r>
        <w:rPr>
          <w:rFonts w:ascii="Book Antiqua" w:hAnsi="Book Antiqua"/>
          <w:color w:val="000000"/>
          <w:sz w:val="24"/>
        </w:rPr>
        <w:t xml:space="preserve">. </w:t>
      </w:r>
      <w:bookmarkStart w:id="123" w:name="OLE_LINK61"/>
      <w:bookmarkStart w:id="124" w:name="OLE_LINK49"/>
      <w:r>
        <w:rPr>
          <w:rFonts w:ascii="Book Antiqua" w:hAnsi="Book Antiqua"/>
          <w:color w:val="000000"/>
          <w:sz w:val="24"/>
        </w:rPr>
        <w:t xml:space="preserve">Silibinin </w:t>
      </w:r>
      <w:bookmarkEnd w:id="123"/>
      <w:bookmarkEnd w:id="124"/>
      <w:r>
        <w:rPr>
          <w:rFonts w:ascii="Book Antiqua" w:hAnsi="Book Antiqua"/>
          <w:color w:val="000000"/>
          <w:sz w:val="24"/>
        </w:rPr>
        <w:t xml:space="preserve">(formerly named silybin) is the major bioactive compound of silymarin and is widely used for the treatment of insulin resistance, alcoholic/non-alcoholic liver disease and viral hepatitis because of its </w:t>
      </w:r>
      <w:bookmarkStart w:id="125" w:name="OLE_LINK85"/>
      <w:bookmarkStart w:id="126" w:name="OLE_LINK79"/>
      <w:r>
        <w:rPr>
          <w:rFonts w:ascii="Book Antiqua" w:hAnsi="Book Antiqua"/>
          <w:color w:val="000000"/>
          <w:sz w:val="24"/>
        </w:rPr>
        <w:t>antioxidative, anti-inflammatory, anti-proliferative and immunomodulatory properties</w:t>
      </w:r>
      <w:bookmarkEnd w:id="125"/>
      <w:bookmarkEnd w:id="126"/>
      <w:r>
        <w:rPr>
          <w:rFonts w:ascii="Book Antiqua" w:hAnsi="Book Antiqua"/>
          <w:color w:val="000000"/>
          <w:sz w:val="24"/>
          <w:vertAlign w:val="superscript"/>
        </w:rPr>
        <w:t>[81-84]</w:t>
      </w:r>
      <w:r>
        <w:rPr>
          <w:rFonts w:ascii="Book Antiqua" w:hAnsi="Book Antiqua"/>
          <w:color w:val="000000"/>
          <w:sz w:val="24"/>
        </w:rPr>
        <w:t xml:space="preserve">. </w:t>
      </w:r>
      <w:r>
        <w:rPr>
          <w:rFonts w:ascii="Book Antiqua" w:hAnsi="Book Antiqua"/>
          <w:i/>
          <w:iCs/>
          <w:color w:val="000000"/>
          <w:sz w:val="24"/>
        </w:rPr>
        <w:t xml:space="preserve">In vitro </w:t>
      </w:r>
      <w:r>
        <w:rPr>
          <w:rFonts w:ascii="Book Antiqua" w:hAnsi="Book Antiqua"/>
          <w:color w:val="000000"/>
          <w:sz w:val="24"/>
        </w:rPr>
        <w:t xml:space="preserve">and </w:t>
      </w:r>
      <w:r>
        <w:rPr>
          <w:rFonts w:ascii="Book Antiqua" w:hAnsi="Book Antiqua"/>
          <w:i/>
          <w:iCs/>
          <w:color w:val="000000"/>
          <w:sz w:val="24"/>
        </w:rPr>
        <w:t>in vivo</w:t>
      </w:r>
      <w:r>
        <w:rPr>
          <w:rFonts w:ascii="Book Antiqua" w:hAnsi="Book Antiqua"/>
          <w:color w:val="000000"/>
          <w:sz w:val="24"/>
        </w:rPr>
        <w:t xml:space="preserve"> studies showed that silymarin/silibinin could stimulate the expression of lysophosphatidylcholine acyltransferase, reduce the level of liver cirrhotic platelet-activating factor or block the activation of major signalling pathways, such as NF-κB and TGF-β signalling, thus limiting </w:t>
      </w:r>
      <w:r>
        <w:rPr>
          <w:rFonts w:ascii="Book Antiqua" w:hAnsi="Book Antiqua"/>
          <w:i/>
          <w:color w:val="000000"/>
          <w:sz w:val="24"/>
        </w:rPr>
        <w:t>de novo</w:t>
      </w:r>
      <w:r>
        <w:rPr>
          <w:rFonts w:ascii="Book Antiqua" w:hAnsi="Book Antiqua"/>
          <w:color w:val="000000"/>
          <w:sz w:val="24"/>
        </w:rPr>
        <w:t xml:space="preserve"> fibrogenesis-related inflammation and preventing carcinogenesis in HCC</w:t>
      </w:r>
      <w:r>
        <w:rPr>
          <w:rFonts w:ascii="Book Antiqua" w:hAnsi="Book Antiqua"/>
          <w:color w:val="000000"/>
          <w:sz w:val="24"/>
          <w:vertAlign w:val="superscript"/>
        </w:rPr>
        <w:t>[82,85]</w:t>
      </w:r>
      <w:r>
        <w:rPr>
          <w:rFonts w:ascii="Book Antiqua" w:hAnsi="Book Antiqua"/>
          <w:color w:val="000000"/>
          <w:sz w:val="24"/>
        </w:rPr>
        <w:t xml:space="preserve">. </w:t>
      </w:r>
      <w:r>
        <w:rPr>
          <w:rFonts w:ascii="Book Antiqua" w:hAnsi="Book Antiqua"/>
          <w:color w:val="000000"/>
          <w:sz w:val="24"/>
        </w:rPr>
        <w:lastRenderedPageBreak/>
        <w:t>Moreover, silymarin and silibinin were found to inhibit HCV infection in cell cultures by blocking viral entry, fusion, RNA and protein synthesis, N5SB polymerase activity and transmission</w:t>
      </w:r>
      <w:r>
        <w:rPr>
          <w:rFonts w:ascii="Book Antiqua" w:hAnsi="Book Antiqua"/>
          <w:color w:val="000000"/>
          <w:sz w:val="24"/>
          <w:vertAlign w:val="superscript"/>
        </w:rPr>
        <w:t>[84]</w:t>
      </w:r>
      <w:r>
        <w:rPr>
          <w:rFonts w:ascii="Book Antiqua" w:hAnsi="Book Antiqua"/>
          <w:color w:val="000000"/>
          <w:sz w:val="24"/>
        </w:rPr>
        <w:t>. Although oral administration of silymarin had little effect on liver enzyme activity and viral load in HCV-infected patients due to its rapid metabolism and low bioavailability</w:t>
      </w:r>
      <w:r>
        <w:rPr>
          <w:rFonts w:ascii="Book Antiqua" w:hAnsi="Book Antiqua"/>
          <w:color w:val="000000"/>
          <w:sz w:val="24"/>
          <w:vertAlign w:val="superscript"/>
        </w:rPr>
        <w:t>[86-88]</w:t>
      </w:r>
      <w:r>
        <w:rPr>
          <w:rFonts w:ascii="Book Antiqua" w:hAnsi="Book Antiqua"/>
          <w:color w:val="000000"/>
          <w:sz w:val="24"/>
        </w:rPr>
        <w:t>, intravenous injection of water-soluble, succinate-conjugated silibinin formulations showed significant antiviral effects in CHC patients who failed to treatment with the standard pegylated IFN/ribavirin therapy</w:t>
      </w:r>
      <w:r>
        <w:rPr>
          <w:rFonts w:ascii="Book Antiqua" w:hAnsi="Book Antiqua"/>
          <w:color w:val="000000"/>
          <w:sz w:val="24"/>
          <w:vertAlign w:val="superscript"/>
        </w:rPr>
        <w:t>[89,90]</w:t>
      </w:r>
      <w:r>
        <w:rPr>
          <w:rFonts w:ascii="Book Antiqua" w:hAnsi="Book Antiqua"/>
          <w:color w:val="000000"/>
          <w:sz w:val="24"/>
        </w:rPr>
        <w:t>.</w:t>
      </w:r>
    </w:p>
    <w:p w:rsidR="00371BB0" w:rsidRDefault="00371BB0" w:rsidP="00371BB0">
      <w:pPr>
        <w:widowControl/>
        <w:shd w:val="clear" w:color="auto" w:fill="FFFFFF"/>
        <w:adjustRightInd w:val="0"/>
        <w:snapToGrid w:val="0"/>
        <w:spacing w:line="360" w:lineRule="auto"/>
        <w:rPr>
          <w:rFonts w:ascii="Book Antiqua" w:hAnsi="Book Antiqua"/>
          <w:color w:val="000000"/>
          <w:sz w:val="24"/>
        </w:rPr>
      </w:pPr>
      <w:r>
        <w:rPr>
          <w:rFonts w:ascii="Book Antiqua" w:hAnsi="Book Antiqua"/>
          <w:color w:val="000000"/>
          <w:sz w:val="24"/>
        </w:rPr>
        <w:t xml:space="preserve">  Other flavonoids, such as epigallocatechin-3-gallate, naringenin, quercetin, luteolin and apigenin, also have potential anti-HCV activities, hepatoprotective and anti-inflammatory activities</w:t>
      </w:r>
      <w:r>
        <w:rPr>
          <w:rFonts w:ascii="Book Antiqua" w:hAnsi="Book Antiqua"/>
          <w:color w:val="000000"/>
          <w:sz w:val="24"/>
          <w:vertAlign w:val="superscript"/>
        </w:rPr>
        <w:t>[77,91,92]</w:t>
      </w:r>
      <w:r>
        <w:rPr>
          <w:rFonts w:ascii="Book Antiqua" w:hAnsi="Book Antiqua"/>
          <w:color w:val="000000"/>
          <w:sz w:val="24"/>
        </w:rPr>
        <w:t>. Therefore, these agents are expected to be developed for the treatment of hepatitis C patients with advanced liver diseases.</w:t>
      </w:r>
    </w:p>
    <w:p w:rsidR="00371BB0" w:rsidRDefault="00371BB0" w:rsidP="00371BB0">
      <w:pPr>
        <w:adjustRightInd w:val="0"/>
        <w:snapToGrid w:val="0"/>
        <w:spacing w:line="360" w:lineRule="auto"/>
        <w:rPr>
          <w:rFonts w:ascii="Book Antiqua" w:hAnsi="Book Antiqua"/>
          <w:b/>
          <w:bCs/>
          <w:i/>
          <w:iCs/>
          <w:color w:val="000000"/>
          <w:sz w:val="24"/>
        </w:rPr>
      </w:pPr>
      <w:bookmarkStart w:id="127" w:name="OLE_LINK36"/>
      <w:bookmarkStart w:id="128" w:name="OLE_LINK77"/>
    </w:p>
    <w:p w:rsidR="00371BB0" w:rsidRDefault="00371BB0" w:rsidP="00371BB0">
      <w:pPr>
        <w:adjustRightInd w:val="0"/>
        <w:snapToGrid w:val="0"/>
        <w:spacing w:line="360" w:lineRule="auto"/>
        <w:rPr>
          <w:rFonts w:ascii="Book Antiqua" w:hAnsi="Book Antiqua"/>
          <w:b/>
          <w:bCs/>
          <w:i/>
          <w:iCs/>
          <w:color w:val="000000"/>
          <w:sz w:val="24"/>
        </w:rPr>
      </w:pPr>
      <w:r>
        <w:rPr>
          <w:rFonts w:ascii="Book Antiqua" w:hAnsi="Book Antiqua"/>
          <w:b/>
          <w:i/>
          <w:color w:val="000000"/>
          <w:sz w:val="24"/>
        </w:rPr>
        <w:t>Andrographolide</w:t>
      </w:r>
      <w:bookmarkEnd w:id="127"/>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iCs/>
          <w:color w:val="000000"/>
          <w:sz w:val="24"/>
        </w:rPr>
        <w:t xml:space="preserve">Among the various secondary metabolites produced by plants, terpenoids are phytochemicals with potential therapeutic applications for the treatment of liver cancer, of which </w:t>
      </w:r>
      <w:bookmarkStart w:id="129" w:name="OLE_LINK129"/>
      <w:bookmarkStart w:id="130" w:name="OLE_LINK128"/>
      <w:r>
        <w:rPr>
          <w:rFonts w:ascii="Book Antiqua" w:hAnsi="Book Antiqua"/>
          <w:color w:val="000000"/>
          <w:sz w:val="24"/>
        </w:rPr>
        <w:t>labdane diterpenoid compound andrographolide</w:t>
      </w:r>
      <w:bookmarkEnd w:id="129"/>
      <w:bookmarkEnd w:id="130"/>
      <w:r>
        <w:rPr>
          <w:rFonts w:ascii="Book Antiqua" w:hAnsi="Book Antiqua"/>
          <w:color w:val="000000"/>
          <w:sz w:val="24"/>
        </w:rPr>
        <w:t xml:space="preserve"> (C</w:t>
      </w:r>
      <w:r>
        <w:rPr>
          <w:rFonts w:ascii="Book Antiqua" w:hAnsi="Book Antiqua"/>
          <w:color w:val="000000"/>
          <w:sz w:val="24"/>
          <w:vertAlign w:val="subscript"/>
        </w:rPr>
        <w:t>20</w:t>
      </w:r>
      <w:r>
        <w:rPr>
          <w:rFonts w:ascii="Book Antiqua" w:hAnsi="Book Antiqua"/>
          <w:color w:val="000000"/>
          <w:sz w:val="24"/>
        </w:rPr>
        <w:t>H</w:t>
      </w:r>
      <w:r>
        <w:rPr>
          <w:rFonts w:ascii="Book Antiqua" w:hAnsi="Book Antiqua"/>
          <w:color w:val="000000"/>
          <w:sz w:val="24"/>
          <w:vertAlign w:val="subscript"/>
        </w:rPr>
        <w:t>30</w:t>
      </w:r>
      <w:r>
        <w:rPr>
          <w:rFonts w:ascii="Book Antiqua" w:hAnsi="Book Antiqua"/>
          <w:color w:val="000000"/>
          <w:sz w:val="24"/>
        </w:rPr>
        <w:t>O</w:t>
      </w:r>
      <w:r>
        <w:rPr>
          <w:rFonts w:ascii="Book Antiqua" w:hAnsi="Book Antiqua"/>
          <w:color w:val="000000"/>
          <w:sz w:val="24"/>
          <w:vertAlign w:val="subscript"/>
        </w:rPr>
        <w:t>5</w:t>
      </w:r>
      <w:r>
        <w:rPr>
          <w:rFonts w:ascii="Book Antiqua" w:hAnsi="Book Antiqua"/>
          <w:color w:val="000000"/>
          <w:sz w:val="24"/>
        </w:rPr>
        <w:t xml:space="preserve">) is isolated from the stem and leaf of </w:t>
      </w:r>
      <w:r>
        <w:rPr>
          <w:rFonts w:ascii="Book Antiqua" w:hAnsi="Book Antiqua"/>
          <w:i/>
          <w:color w:val="000000"/>
          <w:sz w:val="24"/>
        </w:rPr>
        <w:t>Andrographis paniculata</w:t>
      </w:r>
      <w:r>
        <w:rPr>
          <w:rFonts w:ascii="Book Antiqua" w:hAnsi="Book Antiqua"/>
          <w:color w:val="000000"/>
          <w:sz w:val="24"/>
        </w:rPr>
        <w:t xml:space="preserve"> and was initially used to treat upper respiratory tract infections with good safety but was later reported to have anti-inflammatory/hepatoprotective effects</w:t>
      </w:r>
      <w:r>
        <w:rPr>
          <w:rFonts w:ascii="Book Antiqua" w:hAnsi="Book Antiqua"/>
          <w:color w:val="000000"/>
          <w:sz w:val="24"/>
          <w:vertAlign w:val="superscript"/>
        </w:rPr>
        <w:t>[</w:t>
      </w:r>
      <w:r>
        <w:rPr>
          <w:rFonts w:ascii="Book Antiqua" w:hAnsi="Book Antiqua"/>
          <w:iCs/>
          <w:color w:val="000000"/>
          <w:sz w:val="24"/>
          <w:vertAlign w:val="superscript"/>
        </w:rPr>
        <w:t>78,79]</w:t>
      </w:r>
      <w:r>
        <w:rPr>
          <w:rFonts w:ascii="Book Antiqua" w:hAnsi="Book Antiqua"/>
          <w:iCs/>
          <w:color w:val="000000"/>
          <w:sz w:val="24"/>
        </w:rPr>
        <w:t>.</w:t>
      </w:r>
      <w:r>
        <w:rPr>
          <w:rFonts w:ascii="Book Antiqua" w:hAnsi="Book Antiqua"/>
          <w:color w:val="000000"/>
          <w:sz w:val="24"/>
        </w:rPr>
        <w:t xml:space="preserve"> </w:t>
      </w:r>
      <w:r>
        <w:rPr>
          <w:rFonts w:ascii="Book Antiqua" w:hAnsi="Book Antiqua"/>
          <w:iCs/>
          <w:color w:val="000000"/>
          <w:sz w:val="24"/>
        </w:rPr>
        <w:t xml:space="preserve">Its mechanisms of action are mainly </w:t>
      </w:r>
      <w:r>
        <w:rPr>
          <w:rFonts w:ascii="Book Antiqua" w:hAnsi="Book Antiqua"/>
          <w:i/>
          <w:iCs/>
          <w:color w:val="000000"/>
          <w:sz w:val="24"/>
        </w:rPr>
        <w:t>via</w:t>
      </w:r>
      <w:r>
        <w:rPr>
          <w:rFonts w:ascii="Book Antiqua" w:hAnsi="Book Antiqua"/>
          <w:iCs/>
          <w:color w:val="000000"/>
          <w:sz w:val="24"/>
        </w:rPr>
        <w:t xml:space="preserve"> </w:t>
      </w:r>
      <w:r>
        <w:rPr>
          <w:rFonts w:ascii="Book Antiqua" w:hAnsi="Book Antiqua"/>
          <w:color w:val="000000"/>
          <w:sz w:val="24"/>
        </w:rPr>
        <w:t>scavenging free radicals, decreasing lipid peroxidation, regulating immune responses and preventing infection and cancer</w:t>
      </w:r>
      <w:r>
        <w:rPr>
          <w:rFonts w:ascii="Book Antiqua" w:hAnsi="Book Antiqua"/>
          <w:color w:val="000000"/>
          <w:sz w:val="24"/>
          <w:vertAlign w:val="superscript"/>
        </w:rPr>
        <w:t>[78,93]</w:t>
      </w:r>
      <w:r>
        <w:rPr>
          <w:rFonts w:ascii="Book Antiqua" w:hAnsi="Book Antiqua"/>
          <w:color w:val="000000"/>
          <w:sz w:val="24"/>
        </w:rPr>
        <w:t xml:space="preserve">. </w:t>
      </w:r>
      <w:r>
        <w:rPr>
          <w:rFonts w:ascii="Book Antiqua" w:hAnsi="Book Antiqua"/>
          <w:i/>
          <w:iCs/>
          <w:color w:val="000000"/>
          <w:sz w:val="24"/>
        </w:rPr>
        <w:t xml:space="preserve">In vitro </w:t>
      </w:r>
      <w:r>
        <w:rPr>
          <w:rFonts w:ascii="Book Antiqua" w:hAnsi="Book Antiqua"/>
          <w:color w:val="000000"/>
          <w:sz w:val="24"/>
        </w:rPr>
        <w:t xml:space="preserve">and </w:t>
      </w:r>
      <w:r>
        <w:rPr>
          <w:rFonts w:ascii="Book Antiqua" w:hAnsi="Book Antiqua"/>
          <w:i/>
          <w:iCs/>
          <w:color w:val="000000"/>
          <w:sz w:val="24"/>
        </w:rPr>
        <w:t>in vivo</w:t>
      </w:r>
      <w:r>
        <w:rPr>
          <w:rFonts w:ascii="Book Antiqua" w:hAnsi="Book Antiqua"/>
          <w:iCs/>
          <w:color w:val="000000"/>
          <w:sz w:val="24"/>
        </w:rPr>
        <w:t>,</w:t>
      </w:r>
      <w:r>
        <w:rPr>
          <w:rFonts w:ascii="Book Antiqua" w:hAnsi="Book Antiqua"/>
          <w:color w:val="000000"/>
          <w:sz w:val="24"/>
        </w:rPr>
        <w:t xml:space="preserve"> the anti-inflammatory activities of andrographolide </w:t>
      </w:r>
      <w:r>
        <w:rPr>
          <w:rFonts w:ascii="Book Antiqua" w:hAnsi="Book Antiqua"/>
          <w:iCs/>
          <w:color w:val="000000"/>
          <w:sz w:val="24"/>
        </w:rPr>
        <w:t>were attributed to the</w:t>
      </w:r>
      <w:r>
        <w:rPr>
          <w:rFonts w:ascii="Book Antiqua" w:hAnsi="Book Antiqua"/>
          <w:color w:val="000000"/>
          <w:sz w:val="24"/>
        </w:rPr>
        <w:t xml:space="preserve"> attenuation of the protein kinase C, </w:t>
      </w:r>
      <w:bookmarkStart w:id="131" w:name="OLE_LINK111"/>
      <w:bookmarkStart w:id="132" w:name="OLE_LINK110"/>
      <w:r>
        <w:rPr>
          <w:rFonts w:ascii="Book Antiqua" w:hAnsi="Book Antiqua"/>
          <w:color w:val="000000"/>
          <w:sz w:val="24"/>
        </w:rPr>
        <w:t>extracellular signal-regulated kinase</w:t>
      </w:r>
      <w:bookmarkEnd w:id="131"/>
      <w:bookmarkEnd w:id="132"/>
      <w:r>
        <w:rPr>
          <w:rFonts w:ascii="Book Antiqua" w:hAnsi="Book Antiqua"/>
          <w:color w:val="000000"/>
          <w:sz w:val="24"/>
        </w:rPr>
        <w:t xml:space="preserve"> (ERK)1/2 or PI3K/AKT pathways, leading to the inhibition of NF-κB signalling pathway activation</w:t>
      </w:r>
      <w:r>
        <w:rPr>
          <w:rFonts w:ascii="Book Antiqua" w:hAnsi="Book Antiqua"/>
          <w:color w:val="000000"/>
          <w:sz w:val="24"/>
          <w:vertAlign w:val="superscript"/>
        </w:rPr>
        <w:t>[93-95]</w:t>
      </w:r>
      <w:r>
        <w:rPr>
          <w:rFonts w:ascii="Book Antiqua" w:hAnsi="Book Antiqua"/>
          <w:color w:val="000000"/>
          <w:sz w:val="24"/>
        </w:rPr>
        <w:t>. The anti-hepatotoxic activities of andrographolide were correlated with depletion of glutathione, induction of cytochrome P450 or normalization of the levels of hepatitis markers such as alkaline phosphatase and glutamic pyruvate transaminase</w:t>
      </w:r>
      <w:r>
        <w:rPr>
          <w:rFonts w:ascii="Book Antiqua" w:hAnsi="Book Antiqua"/>
          <w:color w:val="000000"/>
          <w:sz w:val="24"/>
          <w:vertAlign w:val="superscript"/>
        </w:rPr>
        <w:t>[96-98]</w:t>
      </w:r>
      <w:r>
        <w:rPr>
          <w:rFonts w:ascii="Book Antiqua" w:hAnsi="Book Antiqua"/>
          <w:color w:val="000000"/>
          <w:sz w:val="24"/>
        </w:rPr>
        <w:t>. The synthetic analogues of andrographolide exhibit analgesic, antipyretic and anti-inflammatory effects without notable toxicity in animal models</w:t>
      </w:r>
      <w:r>
        <w:rPr>
          <w:rFonts w:ascii="Book Antiqua" w:hAnsi="Book Antiqua"/>
          <w:color w:val="000000"/>
          <w:sz w:val="24"/>
          <w:vertAlign w:val="superscript"/>
        </w:rPr>
        <w:t>[99,100]</w:t>
      </w:r>
      <w:r>
        <w:rPr>
          <w:rFonts w:ascii="Book Antiqua" w:hAnsi="Book Antiqua"/>
          <w:color w:val="000000"/>
          <w:sz w:val="24"/>
        </w:rPr>
        <w:t xml:space="preserve">. Moreover, andrographolide was reported to inhibit HCV protein synthesis, RNA replication </w:t>
      </w:r>
      <w:r>
        <w:rPr>
          <w:rFonts w:ascii="Book Antiqua" w:hAnsi="Book Antiqua"/>
          <w:color w:val="000000"/>
          <w:sz w:val="24"/>
        </w:rPr>
        <w:lastRenderedPageBreak/>
        <w:t>and infection</w:t>
      </w:r>
      <w:r>
        <w:rPr>
          <w:rFonts w:ascii="Book Antiqua" w:hAnsi="Book Antiqua"/>
          <w:color w:val="000000"/>
          <w:sz w:val="24"/>
          <w:vertAlign w:val="superscript"/>
        </w:rPr>
        <w:t>[101]</w:t>
      </w:r>
      <w:r>
        <w:rPr>
          <w:rFonts w:ascii="Book Antiqua" w:hAnsi="Book Antiqua"/>
          <w:color w:val="000000"/>
          <w:sz w:val="24"/>
        </w:rPr>
        <w:t>.</w:t>
      </w:r>
      <w:r>
        <w:rPr>
          <w:rFonts w:ascii="Book Antiqua" w:hAnsi="Book Antiqua"/>
          <w:color w:val="000000"/>
          <w:sz w:val="24"/>
          <w:vertAlign w:val="superscript"/>
        </w:rPr>
        <w:t xml:space="preserve"> </w:t>
      </w:r>
      <w:r>
        <w:rPr>
          <w:rFonts w:ascii="Book Antiqua" w:hAnsi="Book Antiqua"/>
          <w:color w:val="000000"/>
          <w:sz w:val="24"/>
        </w:rPr>
        <w:t>Detailed mechanisms showed that andrographolide activates p38 MAPK phosphorylation and stimulates Nrf2-mediated heme oxygenase (HO)-1 expression, thereby increasing the amounts of its metabolite biliverdin, which was found to activate the antiviral IFN response and suppress HCV NS3/4A protease activity</w:t>
      </w:r>
      <w:r>
        <w:rPr>
          <w:rFonts w:ascii="Book Antiqua" w:hAnsi="Book Antiqua"/>
          <w:color w:val="000000"/>
          <w:sz w:val="24"/>
          <w:vertAlign w:val="superscript"/>
        </w:rPr>
        <w:t>[101,102]</w:t>
      </w:r>
      <w:r>
        <w:rPr>
          <w:rFonts w:ascii="Book Antiqua" w:hAnsi="Book Antiqua"/>
          <w:color w:val="000000"/>
          <w:sz w:val="24"/>
        </w:rPr>
        <w:t>. These findings support a clinical trial of andrographolide and its derivatives for the treatment of severe CHC.</w:t>
      </w:r>
    </w:p>
    <w:bookmarkEnd w:id="128"/>
    <w:p w:rsidR="00371BB0" w:rsidRDefault="00371BB0" w:rsidP="00371BB0">
      <w:pPr>
        <w:adjustRightInd w:val="0"/>
        <w:snapToGrid w:val="0"/>
        <w:spacing w:line="360" w:lineRule="auto"/>
        <w:rPr>
          <w:rFonts w:ascii="Book Antiqua" w:hAnsi="Book Antiqua"/>
          <w:b/>
          <w:bCs/>
          <w:i/>
          <w:iCs/>
          <w:color w:val="000000"/>
          <w:sz w:val="24"/>
        </w:rPr>
      </w:pPr>
    </w:p>
    <w:p w:rsidR="00371BB0" w:rsidRDefault="00371BB0" w:rsidP="00371BB0">
      <w:pPr>
        <w:adjustRightInd w:val="0"/>
        <w:snapToGrid w:val="0"/>
        <w:spacing w:line="360" w:lineRule="auto"/>
        <w:rPr>
          <w:rFonts w:ascii="Book Antiqua" w:hAnsi="Book Antiqua"/>
          <w:b/>
          <w:i/>
          <w:color w:val="000000"/>
          <w:sz w:val="24"/>
        </w:rPr>
      </w:pPr>
      <w:r>
        <w:rPr>
          <w:rFonts w:ascii="Book Antiqua" w:hAnsi="Book Antiqua"/>
          <w:b/>
          <w:bCs/>
          <w:i/>
          <w:iCs/>
          <w:color w:val="000000"/>
          <w:sz w:val="24"/>
        </w:rPr>
        <w:t>Curcuminoids</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 xml:space="preserve">Curcumin, a hydrophobic polyphenol derived from the rhizome of the herb </w:t>
      </w:r>
      <w:bookmarkStart w:id="133" w:name="OLE_LINK52"/>
      <w:r>
        <w:rPr>
          <w:rFonts w:ascii="Book Antiqua" w:hAnsi="Book Antiqua"/>
          <w:color w:val="000000"/>
          <w:sz w:val="24"/>
        </w:rPr>
        <w:t xml:space="preserve">turmeric </w:t>
      </w:r>
      <w:bookmarkEnd w:id="133"/>
      <w:r>
        <w:rPr>
          <w:rFonts w:ascii="Book Antiqua" w:hAnsi="Book Antiqua"/>
          <w:color w:val="000000"/>
          <w:sz w:val="24"/>
        </w:rPr>
        <w:t>(</w:t>
      </w:r>
      <w:r>
        <w:rPr>
          <w:rFonts w:ascii="Book Antiqua" w:hAnsi="Book Antiqua"/>
          <w:i/>
          <w:color w:val="000000"/>
          <w:sz w:val="24"/>
        </w:rPr>
        <w:t>Curcuma longa</w:t>
      </w:r>
      <w:r>
        <w:rPr>
          <w:rFonts w:ascii="Book Antiqua" w:hAnsi="Book Antiqua"/>
          <w:color w:val="000000"/>
          <w:sz w:val="24"/>
        </w:rPr>
        <w:t>), has been widely used as a spice and colorant in foods</w:t>
      </w:r>
      <w:r>
        <w:rPr>
          <w:rFonts w:ascii="Book Antiqua" w:hAnsi="Book Antiqua"/>
          <w:color w:val="000000"/>
          <w:sz w:val="24"/>
          <w:vertAlign w:val="superscript"/>
        </w:rPr>
        <w:t>[103]</w:t>
      </w:r>
      <w:r>
        <w:rPr>
          <w:rFonts w:ascii="Book Antiqua" w:hAnsi="Book Antiqua"/>
          <w:color w:val="000000"/>
          <w:sz w:val="24"/>
        </w:rPr>
        <w:t>. To date, extensive clinical studies have proven its pharmacological properties of anti-inflammatory, antioxidant, antiviral, anticancer, hypoglycaemic, wound-healing and antimicrobial activities and showed that curcumin is safe and well tolerated</w:t>
      </w:r>
      <w:r>
        <w:rPr>
          <w:rFonts w:ascii="Book Antiqua" w:hAnsi="Book Antiqua"/>
          <w:color w:val="000000"/>
          <w:sz w:val="24"/>
          <w:vertAlign w:val="superscript"/>
        </w:rPr>
        <w:t>[104]</w:t>
      </w:r>
      <w:r>
        <w:rPr>
          <w:rFonts w:ascii="Book Antiqua" w:hAnsi="Book Antiqua"/>
          <w:color w:val="000000"/>
          <w:sz w:val="24"/>
        </w:rPr>
        <w:t xml:space="preserve">. In view of these observations, curcumin is predominantly used to treat inflammatory diseases </w:t>
      </w:r>
      <w:r>
        <w:rPr>
          <w:rFonts w:ascii="Book Antiqua" w:hAnsi="Book Antiqua"/>
          <w:i/>
          <w:color w:val="000000"/>
          <w:sz w:val="24"/>
        </w:rPr>
        <w:t>via</w:t>
      </w:r>
      <w:r>
        <w:rPr>
          <w:rFonts w:ascii="Book Antiqua" w:hAnsi="Book Antiqua"/>
          <w:color w:val="000000"/>
          <w:sz w:val="24"/>
        </w:rPr>
        <w:t xml:space="preserve"> multiple mechanisms involving inflammatory transcription factors, cytokines, redox status or protein kinases</w:t>
      </w:r>
      <w:r>
        <w:rPr>
          <w:rFonts w:ascii="Book Antiqua" w:hAnsi="Book Antiqua"/>
          <w:color w:val="000000"/>
          <w:sz w:val="24"/>
          <w:vertAlign w:val="superscript"/>
        </w:rPr>
        <w:t>[105]</w:t>
      </w:r>
      <w:r>
        <w:rPr>
          <w:rFonts w:ascii="Book Antiqua" w:hAnsi="Book Antiqua"/>
          <w:color w:val="000000"/>
          <w:sz w:val="24"/>
        </w:rPr>
        <w:t>. Curcumin suppresses the severe cytokine storm caused by infection with severe viruses, such as HIV, HSV, HBV and HCV, and might be potentially useful to treat inflammation induced by Ebola virus infection</w:t>
      </w:r>
      <w:r>
        <w:rPr>
          <w:rFonts w:ascii="Book Antiqua" w:hAnsi="Book Antiqua"/>
          <w:color w:val="000000"/>
          <w:sz w:val="24"/>
          <w:vertAlign w:val="superscript"/>
        </w:rPr>
        <w:t>[106]</w:t>
      </w:r>
      <w:r>
        <w:rPr>
          <w:rFonts w:ascii="Book Antiqua" w:hAnsi="Book Antiqua"/>
          <w:color w:val="000000"/>
          <w:sz w:val="24"/>
        </w:rPr>
        <w:t xml:space="preserve">. For its </w:t>
      </w:r>
      <w:r>
        <w:rPr>
          <w:rFonts w:ascii="Book Antiqua" w:hAnsi="Book Antiqua"/>
          <w:bCs/>
          <w:color w:val="000000"/>
          <w:sz w:val="24"/>
        </w:rPr>
        <w:t xml:space="preserve">hepatoprotective property, </w:t>
      </w:r>
      <w:r>
        <w:rPr>
          <w:rFonts w:ascii="Book Antiqua" w:hAnsi="Book Antiqua"/>
          <w:color w:val="000000"/>
          <w:sz w:val="24"/>
        </w:rPr>
        <w:t>curcumin alleviates liver injury or fibrosis by targeting platelet-derived growth factor-β receptor, TGF-β, TLRs, MMPs and peroxisome proliferator-activated receptors and decreasing inflammatory cytokines</w:t>
      </w:r>
      <w:r>
        <w:rPr>
          <w:rFonts w:ascii="Book Antiqua" w:hAnsi="Book Antiqua"/>
          <w:color w:val="000000"/>
          <w:sz w:val="24"/>
          <w:vertAlign w:val="superscript"/>
        </w:rPr>
        <w:t>[78]</w:t>
      </w:r>
      <w:r>
        <w:rPr>
          <w:rFonts w:ascii="Book Antiqua" w:hAnsi="Book Antiqua"/>
          <w:color w:val="000000"/>
          <w:sz w:val="24"/>
        </w:rPr>
        <w:t xml:space="preserve">. </w:t>
      </w:r>
      <w:r>
        <w:rPr>
          <w:rFonts w:ascii="Book Antiqua" w:hAnsi="Book Antiqua"/>
          <w:i/>
          <w:color w:val="000000"/>
          <w:sz w:val="24"/>
        </w:rPr>
        <w:t>In vitro</w:t>
      </w:r>
      <w:r>
        <w:rPr>
          <w:rFonts w:ascii="Book Antiqua" w:hAnsi="Book Antiqua"/>
          <w:color w:val="000000"/>
          <w:sz w:val="24"/>
        </w:rPr>
        <w:t xml:space="preserve"> studies showed that curcumin inhibits HSC activation </w:t>
      </w:r>
      <w:r>
        <w:rPr>
          <w:rFonts w:ascii="Book Antiqua" w:hAnsi="Book Antiqua"/>
          <w:i/>
          <w:color w:val="000000"/>
          <w:sz w:val="24"/>
        </w:rPr>
        <w:t>via</w:t>
      </w:r>
      <w:r>
        <w:rPr>
          <w:rFonts w:ascii="Book Antiqua" w:hAnsi="Book Antiqua"/>
          <w:color w:val="000000"/>
          <w:sz w:val="24"/>
        </w:rPr>
        <w:t xml:space="preserve"> preventing leptin from increasing intracellular glucose levels</w:t>
      </w:r>
      <w:r>
        <w:rPr>
          <w:rFonts w:ascii="Book Antiqua" w:hAnsi="Book Antiqua"/>
          <w:color w:val="000000"/>
          <w:sz w:val="24"/>
          <w:vertAlign w:val="superscript"/>
        </w:rPr>
        <w:t>[107]</w:t>
      </w:r>
      <w:r>
        <w:rPr>
          <w:rFonts w:ascii="Book Antiqua" w:hAnsi="Book Antiqua"/>
          <w:color w:val="000000"/>
          <w:sz w:val="24"/>
        </w:rPr>
        <w:t>, suppressing advanced glycation end-product-dependent activation of leptin signalling</w:t>
      </w:r>
      <w:r>
        <w:rPr>
          <w:rFonts w:ascii="Book Antiqua" w:hAnsi="Book Antiqua"/>
          <w:color w:val="000000"/>
          <w:sz w:val="24"/>
          <w:vertAlign w:val="superscript"/>
        </w:rPr>
        <w:t>[108]</w:t>
      </w:r>
      <w:r>
        <w:rPr>
          <w:rFonts w:ascii="Book Antiqua" w:hAnsi="Book Antiqua"/>
          <w:color w:val="000000"/>
          <w:sz w:val="24"/>
        </w:rPr>
        <w:t xml:space="preserve"> or enhancing AMP-activated protein kinase (AMPK) activity</w:t>
      </w:r>
      <w:r>
        <w:rPr>
          <w:rFonts w:ascii="Book Antiqua" w:hAnsi="Book Antiqua"/>
          <w:color w:val="000000"/>
          <w:sz w:val="24"/>
          <w:vertAlign w:val="superscript"/>
        </w:rPr>
        <w:t>[109]</w:t>
      </w:r>
      <w:r>
        <w:rPr>
          <w:rFonts w:ascii="Book Antiqua" w:hAnsi="Book Antiqua"/>
          <w:color w:val="000000"/>
          <w:sz w:val="24"/>
        </w:rPr>
        <w:t xml:space="preserve"> and therefore reduces liver fibrosis. In addition, evidence suggests that curcumin has anticarcinogenic and chemopreventive effects through arresting the cell cycle and/or inducing apoptosis in a p53 dependent manner</w:t>
      </w:r>
      <w:r>
        <w:rPr>
          <w:rFonts w:ascii="Book Antiqua" w:hAnsi="Book Antiqua"/>
          <w:color w:val="000000"/>
          <w:sz w:val="24"/>
          <w:vertAlign w:val="superscript"/>
        </w:rPr>
        <w:t>[103]</w:t>
      </w:r>
      <w:r>
        <w:rPr>
          <w:rFonts w:ascii="Book Antiqua" w:hAnsi="Book Antiqua"/>
          <w:color w:val="000000"/>
          <w:sz w:val="24"/>
        </w:rPr>
        <w:t>, as well as by activating caspase cascades</w:t>
      </w:r>
      <w:r>
        <w:rPr>
          <w:rFonts w:ascii="Book Antiqua" w:hAnsi="Book Antiqua"/>
          <w:color w:val="000000"/>
          <w:sz w:val="24"/>
          <w:vertAlign w:val="superscript"/>
        </w:rPr>
        <w:t>[105]</w:t>
      </w:r>
      <w:r>
        <w:rPr>
          <w:rFonts w:ascii="Book Antiqua" w:hAnsi="Book Antiqua"/>
          <w:color w:val="000000"/>
          <w:sz w:val="24"/>
        </w:rPr>
        <w:t>.</w:t>
      </w:r>
      <w:r>
        <w:rPr>
          <w:rFonts w:ascii="Book Antiqua" w:hAnsi="Book Antiqua"/>
          <w:color w:val="000000"/>
          <w:sz w:val="24"/>
          <w:vertAlign w:val="superscript"/>
        </w:rPr>
        <w:t xml:space="preserve"> </w:t>
      </w:r>
      <w:r>
        <w:rPr>
          <w:rFonts w:ascii="Book Antiqua" w:hAnsi="Book Antiqua"/>
          <w:color w:val="000000"/>
          <w:sz w:val="24"/>
        </w:rPr>
        <w:t>Curcumin also inhibits HCV replication by inducing HO-1- and AKT-related signalling pathways</w:t>
      </w:r>
      <w:r>
        <w:rPr>
          <w:rFonts w:ascii="Book Antiqua" w:hAnsi="Book Antiqua"/>
          <w:color w:val="000000"/>
          <w:sz w:val="24"/>
          <w:vertAlign w:val="superscript"/>
        </w:rPr>
        <w:t>[110,111]</w:t>
      </w:r>
      <w:r>
        <w:rPr>
          <w:rFonts w:ascii="Book Antiqua" w:hAnsi="Book Antiqua"/>
          <w:color w:val="000000"/>
          <w:sz w:val="24"/>
        </w:rPr>
        <w:t xml:space="preserve"> or by blocking viral entry into human hepatocytes</w:t>
      </w:r>
      <w:r>
        <w:rPr>
          <w:rFonts w:ascii="Book Antiqua" w:hAnsi="Book Antiqua"/>
          <w:color w:val="000000"/>
          <w:sz w:val="24"/>
          <w:vertAlign w:val="superscript"/>
        </w:rPr>
        <w:t>[112]</w:t>
      </w:r>
      <w:r>
        <w:rPr>
          <w:rFonts w:ascii="Book Antiqua" w:hAnsi="Book Antiqua"/>
          <w:color w:val="000000"/>
          <w:sz w:val="24"/>
        </w:rPr>
        <w:t xml:space="preserve">. Therefore, based on the available pharmacological data obtained from </w:t>
      </w:r>
      <w:r>
        <w:rPr>
          <w:rFonts w:ascii="Book Antiqua" w:hAnsi="Book Antiqua"/>
          <w:i/>
          <w:iCs/>
          <w:color w:val="000000"/>
          <w:sz w:val="24"/>
        </w:rPr>
        <w:t>in vitro</w:t>
      </w:r>
      <w:r>
        <w:rPr>
          <w:rFonts w:ascii="Book Antiqua" w:hAnsi="Book Antiqua"/>
          <w:color w:val="000000"/>
          <w:sz w:val="24"/>
        </w:rPr>
        <w:t xml:space="preserve"> and </w:t>
      </w:r>
      <w:r>
        <w:rPr>
          <w:rFonts w:ascii="Book Antiqua" w:hAnsi="Book Antiqua"/>
          <w:i/>
          <w:iCs/>
          <w:color w:val="000000"/>
          <w:sz w:val="24"/>
        </w:rPr>
        <w:t xml:space="preserve">in </w:t>
      </w:r>
      <w:r>
        <w:rPr>
          <w:rFonts w:ascii="Book Antiqua" w:hAnsi="Book Antiqua"/>
          <w:i/>
          <w:iCs/>
          <w:color w:val="000000"/>
          <w:sz w:val="24"/>
        </w:rPr>
        <w:lastRenderedPageBreak/>
        <w:t xml:space="preserve">vivo </w:t>
      </w:r>
      <w:r>
        <w:rPr>
          <w:rFonts w:ascii="Book Antiqua" w:hAnsi="Book Antiqua"/>
          <w:color w:val="000000"/>
          <w:sz w:val="24"/>
        </w:rPr>
        <w:t>studies, as well as clinical trials, there is an opportunity to translate curcumin into clinics for therapy of CHC with hepatic cirrhosis and HCC in the near future.</w:t>
      </w:r>
    </w:p>
    <w:p w:rsidR="00371BB0" w:rsidRDefault="00371BB0" w:rsidP="00371BB0">
      <w:pPr>
        <w:adjustRightInd w:val="0"/>
        <w:snapToGrid w:val="0"/>
        <w:spacing w:line="360" w:lineRule="auto"/>
        <w:rPr>
          <w:rFonts w:ascii="Book Antiqua" w:hAnsi="Book Antiqua"/>
          <w:b/>
          <w:bCs/>
          <w:i/>
          <w:iCs/>
          <w:color w:val="000000"/>
          <w:sz w:val="24"/>
        </w:rPr>
      </w:pPr>
      <w:bookmarkStart w:id="134" w:name="OLE_LINK81"/>
      <w:bookmarkStart w:id="135" w:name="OLE_LINK80"/>
      <w:bookmarkStart w:id="136" w:name="_Hlk523941209"/>
      <w:bookmarkStart w:id="137" w:name="OLE_LINK87"/>
      <w:bookmarkStart w:id="138" w:name="OLE_LINK86"/>
    </w:p>
    <w:p w:rsidR="00371BB0" w:rsidRDefault="00371BB0" w:rsidP="00371BB0">
      <w:pPr>
        <w:adjustRightInd w:val="0"/>
        <w:snapToGrid w:val="0"/>
        <w:spacing w:line="360" w:lineRule="auto"/>
        <w:rPr>
          <w:rFonts w:ascii="Book Antiqua" w:hAnsi="Book Antiqua"/>
          <w:b/>
          <w:i/>
          <w:color w:val="000000"/>
          <w:sz w:val="24"/>
        </w:rPr>
      </w:pPr>
      <w:r>
        <w:rPr>
          <w:rFonts w:ascii="Book Antiqua" w:hAnsi="Book Antiqua"/>
          <w:b/>
          <w:i/>
          <w:color w:val="000000"/>
          <w:sz w:val="24"/>
        </w:rPr>
        <w:t>Oxymatrine</w:t>
      </w:r>
      <w:bookmarkStart w:id="139" w:name="OLE_LINK23"/>
      <w:bookmarkStart w:id="140" w:name="OLE_LINK22"/>
      <w:bookmarkStart w:id="141" w:name="OLE_LINK130"/>
      <w:bookmarkEnd w:id="134"/>
      <w:bookmarkEnd w:id="135"/>
      <w:bookmarkEnd w:id="136"/>
      <w:bookmarkEnd w:id="137"/>
      <w:bookmarkEnd w:id="138"/>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Oxymatrine and its active metabolite matrine</w:t>
      </w:r>
      <w:bookmarkEnd w:id="139"/>
      <w:bookmarkEnd w:id="140"/>
      <w:r>
        <w:rPr>
          <w:rFonts w:ascii="Book Antiqua" w:hAnsi="Book Antiqua"/>
          <w:color w:val="000000"/>
          <w:sz w:val="24"/>
        </w:rPr>
        <w:t xml:space="preserve"> </w:t>
      </w:r>
      <w:bookmarkEnd w:id="141"/>
      <w:r>
        <w:rPr>
          <w:rFonts w:ascii="Book Antiqua" w:hAnsi="Book Antiqua"/>
          <w:color w:val="000000"/>
          <w:sz w:val="24"/>
        </w:rPr>
        <w:t xml:space="preserve">are the major alkaloid aqueous extracts from the root of </w:t>
      </w:r>
      <w:r>
        <w:rPr>
          <w:rFonts w:ascii="Book Antiqua" w:hAnsi="Book Antiqua"/>
          <w:i/>
          <w:color w:val="000000"/>
          <w:sz w:val="24"/>
          <w:shd w:val="clear" w:color="auto" w:fill="FFFFFF"/>
        </w:rPr>
        <w:t>Sophora flavescens</w:t>
      </w:r>
      <w:r>
        <w:rPr>
          <w:rFonts w:ascii="Book Antiqua" w:hAnsi="Book Antiqua"/>
          <w:color w:val="000000"/>
          <w:sz w:val="24"/>
          <w:shd w:val="clear" w:color="auto" w:fill="FFFFFF"/>
        </w:rPr>
        <w:t xml:space="preserve">, </w:t>
      </w:r>
      <w:r>
        <w:rPr>
          <w:rFonts w:ascii="Book Antiqua" w:hAnsi="Book Antiqua"/>
          <w:i/>
          <w:color w:val="000000"/>
          <w:sz w:val="24"/>
          <w:shd w:val="clear" w:color="auto" w:fill="FFFFFF"/>
        </w:rPr>
        <w:t>Sophora tonkinensis</w:t>
      </w:r>
      <w:r>
        <w:rPr>
          <w:rFonts w:ascii="Book Antiqua" w:hAnsi="Book Antiqua"/>
          <w:color w:val="000000"/>
          <w:sz w:val="24"/>
          <w:shd w:val="clear" w:color="auto" w:fill="FFFFFF"/>
        </w:rPr>
        <w:t xml:space="preserve"> and </w:t>
      </w:r>
      <w:r>
        <w:rPr>
          <w:rFonts w:ascii="Book Antiqua" w:hAnsi="Book Antiqua"/>
          <w:i/>
          <w:color w:val="000000"/>
          <w:sz w:val="24"/>
          <w:shd w:val="clear" w:color="auto" w:fill="FFFFFF"/>
        </w:rPr>
        <w:t>Sophora alopecuroides</w:t>
      </w:r>
      <w:r>
        <w:rPr>
          <w:rFonts w:ascii="Book Antiqua" w:hAnsi="Book Antiqua"/>
          <w:color w:val="000000"/>
          <w:sz w:val="24"/>
          <w:vertAlign w:val="superscript"/>
        </w:rPr>
        <w:t>[113]</w:t>
      </w:r>
      <w:r>
        <w:rPr>
          <w:rFonts w:ascii="Book Antiqua" w:hAnsi="Book Antiqua"/>
          <w:color w:val="000000"/>
          <w:sz w:val="24"/>
        </w:rPr>
        <w:t xml:space="preserve">. Clinically, oxymatrine has been used to treat </w:t>
      </w:r>
      <w:r>
        <w:rPr>
          <w:rFonts w:ascii="Book Antiqua" w:hAnsi="Book Antiqua"/>
          <w:bCs/>
          <w:color w:val="000000"/>
          <w:sz w:val="24"/>
        </w:rPr>
        <w:t>chronic hepatitis B and leukopenia caused by tumour radiotherapy and chemotherapy in China</w:t>
      </w:r>
      <w:r>
        <w:rPr>
          <w:rFonts w:ascii="Book Antiqua" w:hAnsi="Book Antiqua"/>
          <w:color w:val="000000"/>
          <w:sz w:val="24"/>
          <w:vertAlign w:val="superscript"/>
        </w:rPr>
        <w:t>[</w:t>
      </w:r>
      <w:r>
        <w:rPr>
          <w:rFonts w:ascii="Book Antiqua" w:hAnsi="Book Antiqua"/>
          <w:bCs/>
          <w:color w:val="000000"/>
          <w:sz w:val="24"/>
          <w:vertAlign w:val="superscript"/>
        </w:rPr>
        <w:t>113,114]</w:t>
      </w:r>
      <w:r>
        <w:rPr>
          <w:rFonts w:ascii="Book Antiqua" w:hAnsi="Book Antiqua"/>
          <w:bCs/>
          <w:color w:val="000000"/>
          <w:sz w:val="24"/>
        </w:rPr>
        <w:t>. In recent years, many laboratory and clinical trials have also shown the antiviral activity of oxymatrine against HCV in cell cultures and human studies</w:t>
      </w:r>
      <w:r>
        <w:rPr>
          <w:rFonts w:ascii="Book Antiqua" w:hAnsi="Book Antiqua"/>
          <w:color w:val="000000"/>
          <w:sz w:val="24"/>
          <w:vertAlign w:val="superscript"/>
        </w:rPr>
        <w:t>[</w:t>
      </w:r>
      <w:r>
        <w:rPr>
          <w:rFonts w:ascii="Book Antiqua" w:hAnsi="Book Antiqua"/>
          <w:color w:val="000000"/>
          <w:sz w:val="24"/>
          <w:shd w:val="clear" w:color="auto" w:fill="FFFFFF"/>
          <w:vertAlign w:val="superscript"/>
        </w:rPr>
        <w:t>115-117]</w:t>
      </w:r>
      <w:r>
        <w:rPr>
          <w:rFonts w:ascii="Book Antiqua" w:hAnsi="Book Antiqua"/>
          <w:color w:val="000000"/>
          <w:sz w:val="24"/>
          <w:shd w:val="clear" w:color="auto" w:fill="FFFFFF"/>
        </w:rPr>
        <w:t xml:space="preserve">. </w:t>
      </w:r>
      <w:bookmarkStart w:id="142" w:name="OLE_LINK83"/>
      <w:bookmarkStart w:id="143" w:name="OLE_LINK82"/>
      <w:r>
        <w:rPr>
          <w:rFonts w:ascii="Book Antiqua" w:hAnsi="Book Antiqua"/>
          <w:color w:val="000000"/>
          <w:sz w:val="24"/>
        </w:rPr>
        <w:t>Oxymatrine or its derivatives</w:t>
      </w:r>
      <w:bookmarkEnd w:id="142"/>
      <w:bookmarkEnd w:id="143"/>
      <w:r>
        <w:rPr>
          <w:rFonts w:ascii="Book Antiqua" w:hAnsi="Book Antiqua"/>
          <w:color w:val="000000"/>
          <w:sz w:val="24"/>
        </w:rPr>
        <w:t xml:space="preserve"> destabilize </w:t>
      </w:r>
      <w:r>
        <w:rPr>
          <w:rFonts w:ascii="Book Antiqua" w:hAnsi="Book Antiqua"/>
          <w:bCs/>
          <w:color w:val="000000"/>
          <w:sz w:val="24"/>
        </w:rPr>
        <w:t>heat stress cognate 70 (</w:t>
      </w:r>
      <w:r>
        <w:rPr>
          <w:rFonts w:ascii="Book Antiqua" w:hAnsi="Book Antiqua"/>
          <w:color w:val="000000"/>
          <w:sz w:val="24"/>
        </w:rPr>
        <w:t>Hsc70) mRNA and thereby downregulate the expression of Hsc70</w:t>
      </w:r>
      <w:r>
        <w:rPr>
          <w:rFonts w:ascii="Book Antiqua" w:hAnsi="Book Antiqua"/>
          <w:color w:val="000000"/>
          <w:sz w:val="24"/>
          <w:vertAlign w:val="superscript"/>
        </w:rPr>
        <w:t>[118-120]</w:t>
      </w:r>
      <w:r>
        <w:rPr>
          <w:rFonts w:ascii="Book Antiqua" w:hAnsi="Book Antiqua"/>
          <w:color w:val="000000"/>
          <w:sz w:val="24"/>
        </w:rPr>
        <w:t xml:space="preserve">. </w:t>
      </w:r>
      <w:r>
        <w:rPr>
          <w:rFonts w:ascii="Book Antiqua" w:hAnsi="Book Antiqua"/>
          <w:color w:val="000000"/>
          <w:sz w:val="24"/>
          <w:shd w:val="clear" w:color="auto" w:fill="FFFFFF"/>
        </w:rPr>
        <w:t>As Hsc70 is packaged into HCV particles and becomes a structural component of the virus in the assembly process, o</w:t>
      </w:r>
      <w:r>
        <w:rPr>
          <w:rFonts w:ascii="Book Antiqua" w:hAnsi="Book Antiqua"/>
          <w:color w:val="000000"/>
          <w:sz w:val="24"/>
        </w:rPr>
        <w:t>xymatrine or its derivatives</w:t>
      </w:r>
      <w:r>
        <w:rPr>
          <w:rFonts w:ascii="Book Antiqua" w:hAnsi="Book Antiqua"/>
          <w:color w:val="000000"/>
          <w:sz w:val="24"/>
          <w:shd w:val="clear" w:color="auto" w:fill="FFFFFF"/>
        </w:rPr>
        <w:t xml:space="preserve"> could inhibit HCV replication</w:t>
      </w:r>
      <w:r>
        <w:rPr>
          <w:rFonts w:ascii="Book Antiqua" w:hAnsi="Book Antiqua"/>
          <w:color w:val="000000"/>
          <w:sz w:val="24"/>
          <w:vertAlign w:val="superscript"/>
        </w:rPr>
        <w:t>[</w:t>
      </w:r>
      <w:r>
        <w:rPr>
          <w:rFonts w:ascii="Book Antiqua" w:hAnsi="Book Antiqua"/>
          <w:color w:val="000000"/>
          <w:sz w:val="24"/>
          <w:shd w:val="clear" w:color="auto" w:fill="FFFFFF"/>
          <w:vertAlign w:val="superscript"/>
        </w:rPr>
        <w:t>118,121]</w:t>
      </w:r>
      <w:r>
        <w:rPr>
          <w:rFonts w:ascii="Book Antiqua" w:hAnsi="Book Antiqua"/>
          <w:color w:val="000000"/>
          <w:sz w:val="24"/>
          <w:shd w:val="clear" w:color="auto" w:fill="FFFFFF"/>
        </w:rPr>
        <w:t>. O</w:t>
      </w:r>
      <w:r>
        <w:rPr>
          <w:rFonts w:ascii="Book Antiqua" w:hAnsi="Book Antiqua"/>
          <w:color w:val="000000"/>
          <w:sz w:val="24"/>
        </w:rPr>
        <w:t>xymatrine could also inhibit inflammatory activity as defined by reducing serum transaminase or alkaline phosphatase levels, modulating TLR4-dependent inflammatory pathways, attenuating liver injury and improving experimental hepatic fibrosis by downregulating fibrosis-related gene expression, decreasing collagen deposits, inducing apoptosis of HSCs or inhibiting lipid peroxidation</w:t>
      </w:r>
      <w:r>
        <w:rPr>
          <w:rFonts w:ascii="Book Antiqua" w:hAnsi="Book Antiqua"/>
          <w:color w:val="000000"/>
          <w:sz w:val="24"/>
          <w:vertAlign w:val="superscript"/>
        </w:rPr>
        <w:t>[122-126]</w:t>
      </w:r>
      <w:r>
        <w:rPr>
          <w:rFonts w:ascii="Book Antiqua" w:hAnsi="Book Antiqua"/>
          <w:color w:val="000000"/>
          <w:sz w:val="24"/>
        </w:rPr>
        <w:t xml:space="preserve">. </w:t>
      </w:r>
      <w:r>
        <w:rPr>
          <w:rFonts w:ascii="Book Antiqua" w:hAnsi="Book Antiqua"/>
          <w:color w:val="000000"/>
          <w:sz w:val="24"/>
          <w:shd w:val="clear" w:color="auto" w:fill="FFFFFF"/>
        </w:rPr>
        <w:t>Furthermore,</w:t>
      </w:r>
      <w:r>
        <w:rPr>
          <w:rFonts w:ascii="Book Antiqua" w:hAnsi="Book Antiqua"/>
          <w:color w:val="000000"/>
          <w:sz w:val="24"/>
        </w:rPr>
        <w:t xml:space="preserve"> accumulating research suggests that oxymatrine has anticancer effects, which might have therapeutic effects on HCC caused by HCV infection, but could also be used in the treatment of chemotherapy-induced hepatotoxicity</w:t>
      </w:r>
      <w:r>
        <w:rPr>
          <w:rFonts w:ascii="Book Antiqua" w:hAnsi="Book Antiqua"/>
          <w:color w:val="000000"/>
          <w:sz w:val="24"/>
          <w:vertAlign w:val="superscript"/>
        </w:rPr>
        <w:t>[127,128]</w:t>
      </w:r>
      <w:r>
        <w:rPr>
          <w:rFonts w:ascii="Book Antiqua" w:hAnsi="Book Antiqua"/>
          <w:color w:val="000000"/>
          <w:sz w:val="24"/>
        </w:rPr>
        <w:t xml:space="preserve">. Therefore, oxymatrine is expected to be used in CHC patients with liver inflammation or injury and could improve chemotherapy-induced hepatotoxicity or increase the survival rate of HCC patients. </w:t>
      </w:r>
    </w:p>
    <w:p w:rsidR="00371BB0" w:rsidRDefault="00371BB0" w:rsidP="00371BB0">
      <w:pPr>
        <w:adjustRightInd w:val="0"/>
        <w:snapToGrid w:val="0"/>
        <w:spacing w:line="360" w:lineRule="auto"/>
        <w:rPr>
          <w:rFonts w:ascii="Book Antiqua" w:hAnsi="Book Antiqua"/>
          <w:b/>
          <w:bCs/>
          <w:i/>
          <w:iCs/>
          <w:color w:val="000000"/>
          <w:sz w:val="24"/>
        </w:rPr>
      </w:pPr>
      <w:bookmarkStart w:id="144" w:name="OLE_LINK93"/>
      <w:bookmarkStart w:id="145" w:name="OLE_LINK92"/>
    </w:p>
    <w:p w:rsidR="00371BB0" w:rsidRDefault="00371BB0" w:rsidP="00371BB0">
      <w:pPr>
        <w:adjustRightInd w:val="0"/>
        <w:snapToGrid w:val="0"/>
        <w:spacing w:line="360" w:lineRule="auto"/>
        <w:rPr>
          <w:rFonts w:ascii="Book Antiqua" w:hAnsi="Book Antiqua"/>
          <w:b/>
          <w:bCs/>
          <w:i/>
          <w:color w:val="000000"/>
          <w:sz w:val="24"/>
        </w:rPr>
      </w:pPr>
      <w:r>
        <w:rPr>
          <w:rFonts w:ascii="Book Antiqua" w:hAnsi="Book Antiqua"/>
          <w:b/>
          <w:i/>
          <w:color w:val="000000"/>
          <w:sz w:val="24"/>
        </w:rPr>
        <w:t>B</w:t>
      </w:r>
      <w:r>
        <w:rPr>
          <w:rFonts w:ascii="Book Antiqua" w:hAnsi="Book Antiqua"/>
          <w:b/>
          <w:bCs/>
          <w:i/>
          <w:color w:val="000000"/>
          <w:sz w:val="24"/>
        </w:rPr>
        <w:t>icyclol</w:t>
      </w:r>
      <w:bookmarkStart w:id="146" w:name="OLE_LINK74"/>
      <w:bookmarkStart w:id="147" w:name="OLE_LINK68"/>
      <w:bookmarkStart w:id="148" w:name="OLE_LINK67"/>
      <w:bookmarkEnd w:id="144"/>
      <w:bookmarkEnd w:id="145"/>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To date, although the effects of ROS and the host redox system on HCV replication remain unclear</w:t>
      </w:r>
      <w:r>
        <w:rPr>
          <w:rFonts w:ascii="Book Antiqua" w:hAnsi="Book Antiqua"/>
          <w:color w:val="000000"/>
          <w:sz w:val="24"/>
          <w:vertAlign w:val="superscript"/>
        </w:rPr>
        <w:t>[56,63]</w:t>
      </w:r>
      <w:r>
        <w:rPr>
          <w:rFonts w:ascii="Book Antiqua" w:hAnsi="Book Antiqua"/>
          <w:color w:val="000000"/>
          <w:sz w:val="24"/>
        </w:rPr>
        <w:t xml:space="preserve"> and different antioxidants show controversial anti-HCV effects</w:t>
      </w:r>
      <w:r>
        <w:rPr>
          <w:rFonts w:ascii="Book Antiqua" w:hAnsi="Book Antiqua"/>
          <w:color w:val="000000"/>
          <w:sz w:val="24"/>
          <w:vertAlign w:val="superscript"/>
        </w:rPr>
        <w:t>[63,129-131]</w:t>
      </w:r>
      <w:r>
        <w:rPr>
          <w:rFonts w:ascii="Book Antiqua" w:hAnsi="Book Antiqua"/>
          <w:color w:val="000000"/>
          <w:sz w:val="24"/>
        </w:rPr>
        <w:t>, clinical evidence suggests that antioxidant therapy might alleviate necroinflammation and fibrosis progression</w:t>
      </w:r>
      <w:r>
        <w:rPr>
          <w:rFonts w:ascii="Book Antiqua" w:hAnsi="Book Antiqua"/>
          <w:color w:val="000000"/>
          <w:sz w:val="24"/>
          <w:vertAlign w:val="superscript"/>
        </w:rPr>
        <w:t>[131,132]</w:t>
      </w:r>
      <w:r>
        <w:rPr>
          <w:rFonts w:ascii="Book Antiqua" w:hAnsi="Book Antiqua"/>
          <w:color w:val="000000"/>
          <w:sz w:val="24"/>
        </w:rPr>
        <w:t xml:space="preserve">. </w:t>
      </w:r>
      <w:bookmarkEnd w:id="146"/>
      <w:bookmarkEnd w:id="147"/>
      <w:bookmarkEnd w:id="148"/>
      <w:r>
        <w:rPr>
          <w:rFonts w:ascii="Book Antiqua" w:hAnsi="Book Antiqua"/>
          <w:color w:val="000000"/>
          <w:sz w:val="24"/>
        </w:rPr>
        <w:t>Classical antioxidants</w:t>
      </w:r>
      <w:bookmarkStart w:id="149" w:name="OLE_LINK56"/>
      <w:r>
        <w:rPr>
          <w:rFonts w:ascii="Book Antiqua" w:hAnsi="Book Antiqua"/>
          <w:color w:val="000000"/>
          <w:sz w:val="24"/>
        </w:rPr>
        <w:t xml:space="preserve">, such as </w:t>
      </w:r>
      <w:bookmarkStart w:id="150" w:name="OLE_LINK18"/>
      <w:bookmarkStart w:id="151" w:name="OLE_LINK11"/>
      <w:r>
        <w:rPr>
          <w:rFonts w:ascii="Book Antiqua" w:hAnsi="Book Antiqua"/>
          <w:color w:val="000000"/>
          <w:sz w:val="24"/>
        </w:rPr>
        <w:lastRenderedPageBreak/>
        <w:t>glutathione</w:t>
      </w:r>
      <w:bookmarkEnd w:id="149"/>
      <w:bookmarkEnd w:id="150"/>
      <w:bookmarkEnd w:id="151"/>
      <w:r>
        <w:rPr>
          <w:rFonts w:ascii="Book Antiqua" w:hAnsi="Book Antiqua"/>
          <w:color w:val="000000"/>
          <w:sz w:val="24"/>
        </w:rPr>
        <w:t xml:space="preserve"> (GSH)</w:t>
      </w:r>
      <w:r>
        <w:rPr>
          <w:rFonts w:ascii="Book Antiqua" w:hAnsi="Book Antiqua"/>
          <w:color w:val="000000"/>
          <w:sz w:val="24"/>
          <w:vertAlign w:val="superscript"/>
        </w:rPr>
        <w:t>[63]</w:t>
      </w:r>
      <w:r>
        <w:rPr>
          <w:rFonts w:ascii="Book Antiqua" w:hAnsi="Book Antiqua"/>
          <w:color w:val="000000"/>
          <w:sz w:val="24"/>
        </w:rPr>
        <w:t>, N-acetyl cysteine (NAC)</w:t>
      </w:r>
      <w:r>
        <w:rPr>
          <w:rFonts w:ascii="Book Antiqua" w:hAnsi="Book Antiqua"/>
          <w:color w:val="000000"/>
          <w:sz w:val="24"/>
          <w:vertAlign w:val="superscript"/>
        </w:rPr>
        <w:t>[133]</w:t>
      </w:r>
      <w:r>
        <w:rPr>
          <w:rFonts w:ascii="Book Antiqua" w:hAnsi="Book Antiqua"/>
          <w:color w:val="000000"/>
          <w:sz w:val="24"/>
        </w:rPr>
        <w:t xml:space="preserve"> and vitamin E</w:t>
      </w:r>
      <w:r>
        <w:rPr>
          <w:rFonts w:ascii="Book Antiqua" w:hAnsi="Book Antiqua"/>
          <w:color w:val="000000"/>
          <w:sz w:val="24"/>
          <w:vertAlign w:val="superscript"/>
        </w:rPr>
        <w:t>[130]</w:t>
      </w:r>
      <w:r>
        <w:rPr>
          <w:rFonts w:ascii="Book Antiqua" w:hAnsi="Book Antiqua"/>
          <w:color w:val="000000"/>
          <w:sz w:val="24"/>
        </w:rPr>
        <w:t xml:space="preserve">, have been reported to treat hepatitis C with efficacy. In addition, bicyclol </w:t>
      </w:r>
      <w:r>
        <w:rPr>
          <w:rFonts w:ascii="Book Antiqua" w:hAnsi="Book Antiqua"/>
          <w:color w:val="000000"/>
          <w:kern w:val="0"/>
          <w:sz w:val="24"/>
        </w:rPr>
        <w:t>(4,4’-dimethoxy-5,6,5’,6’-bis(methylenedioxy)-2-hydroxymethyl-2’-methoxycarbonyl biphenyl)</w:t>
      </w:r>
      <w:r>
        <w:rPr>
          <w:rFonts w:ascii="Book Antiqua" w:hAnsi="Book Antiqua"/>
          <w:color w:val="000000"/>
          <w:sz w:val="24"/>
        </w:rPr>
        <w:t xml:space="preserve">, a synthetic compound derived from </w:t>
      </w:r>
      <w:bookmarkStart w:id="152" w:name="OLE_LINK58"/>
      <w:r>
        <w:rPr>
          <w:rFonts w:ascii="Book Antiqua" w:hAnsi="Book Antiqua"/>
          <w:color w:val="000000"/>
          <w:sz w:val="24"/>
        </w:rPr>
        <w:t xml:space="preserve">schizandrin C extracted from the Chinese medicinal </w:t>
      </w:r>
      <w:bookmarkStart w:id="153" w:name="OLE_LINK89"/>
      <w:bookmarkStart w:id="154" w:name="OLE_LINK88"/>
      <w:r>
        <w:rPr>
          <w:rFonts w:ascii="Book Antiqua" w:hAnsi="Book Antiqua"/>
          <w:color w:val="000000"/>
          <w:sz w:val="24"/>
        </w:rPr>
        <w:t>herb</w:t>
      </w:r>
      <w:bookmarkEnd w:id="153"/>
      <w:bookmarkEnd w:id="154"/>
      <w:r>
        <w:rPr>
          <w:rFonts w:ascii="Book Antiqua" w:hAnsi="Book Antiqua"/>
          <w:color w:val="000000"/>
          <w:sz w:val="24"/>
        </w:rPr>
        <w:t xml:space="preserve"> </w:t>
      </w:r>
      <w:r>
        <w:rPr>
          <w:rFonts w:ascii="Book Antiqua" w:hAnsi="Book Antiqua"/>
          <w:i/>
          <w:color w:val="000000"/>
          <w:sz w:val="24"/>
        </w:rPr>
        <w:t>Fructus schisandrae</w:t>
      </w:r>
      <w:bookmarkEnd w:id="152"/>
      <w:r>
        <w:rPr>
          <w:rFonts w:ascii="Book Antiqua" w:hAnsi="Book Antiqua"/>
          <w:color w:val="000000"/>
          <w:sz w:val="24"/>
        </w:rPr>
        <w:t xml:space="preserve">, has potent </w:t>
      </w:r>
      <w:bookmarkStart w:id="155" w:name="OLE_LINK19"/>
      <w:r>
        <w:rPr>
          <w:rFonts w:ascii="Book Antiqua" w:hAnsi="Book Antiqua"/>
          <w:color w:val="000000"/>
          <w:sz w:val="24"/>
        </w:rPr>
        <w:t>antioxidative</w:t>
      </w:r>
      <w:bookmarkEnd w:id="155"/>
      <w:r>
        <w:rPr>
          <w:rFonts w:ascii="Book Antiqua" w:hAnsi="Book Antiqua"/>
          <w:color w:val="000000"/>
          <w:sz w:val="24"/>
        </w:rPr>
        <w:t xml:space="preserve"> and certain anti-HCV effects in the clinic with safety</w:t>
      </w:r>
      <w:r>
        <w:rPr>
          <w:rFonts w:ascii="Book Antiqua" w:hAnsi="Book Antiqua"/>
          <w:color w:val="000000"/>
          <w:sz w:val="24"/>
          <w:vertAlign w:val="superscript"/>
        </w:rPr>
        <w:t>[134,135]</w:t>
      </w:r>
      <w:r>
        <w:rPr>
          <w:rFonts w:ascii="Book Antiqua" w:hAnsi="Book Antiqua"/>
          <w:color w:val="000000"/>
          <w:sz w:val="24"/>
        </w:rPr>
        <w:t xml:space="preserve">. Clinically, bicyclol tablets are used in many countries to treat various non-viral hepatitis and chronic hepatitis B and C accompanied by mild and moderate serum aminotransferase abnormality. Preclinical pharmacological experiments also showed that </w:t>
      </w:r>
      <w:bookmarkStart w:id="156" w:name="OLE_LINK132"/>
      <w:bookmarkStart w:id="157" w:name="OLE_LINK131"/>
      <w:r>
        <w:rPr>
          <w:rFonts w:ascii="Book Antiqua" w:hAnsi="Book Antiqua"/>
          <w:color w:val="000000"/>
          <w:sz w:val="24"/>
        </w:rPr>
        <w:t>bicyclol</w:t>
      </w:r>
      <w:bookmarkEnd w:id="156"/>
      <w:bookmarkEnd w:id="157"/>
      <w:r>
        <w:rPr>
          <w:rFonts w:ascii="Book Antiqua" w:hAnsi="Book Antiqua"/>
          <w:color w:val="000000"/>
          <w:sz w:val="24"/>
        </w:rPr>
        <w:t xml:space="preserve"> exerts hepatoprotective and anti-inflammatory effects in </w:t>
      </w:r>
      <w:bookmarkStart w:id="158" w:name="OLE_LINK34"/>
      <w:r>
        <w:rPr>
          <w:rFonts w:ascii="Book Antiqua" w:hAnsi="Book Antiqua"/>
          <w:color w:val="000000"/>
          <w:sz w:val="24"/>
        </w:rPr>
        <w:t>chemical-, immunological-, fatty-, drug-induced and surgery-caused liver injury animal models</w:t>
      </w:r>
      <w:bookmarkEnd w:id="158"/>
      <w:r>
        <w:rPr>
          <w:rFonts w:ascii="Book Antiqua" w:hAnsi="Book Antiqua"/>
          <w:color w:val="000000"/>
          <w:sz w:val="24"/>
          <w:vertAlign w:val="superscript"/>
        </w:rPr>
        <w:t>[135]</w:t>
      </w:r>
      <w:r>
        <w:rPr>
          <w:rFonts w:ascii="Book Antiqua" w:hAnsi="Book Antiqua"/>
          <w:color w:val="000000"/>
          <w:sz w:val="24"/>
        </w:rPr>
        <w:t>. Bicyclol also prevents hepatic fibrosis induced by CCl</w:t>
      </w:r>
      <w:r>
        <w:rPr>
          <w:rFonts w:ascii="Book Antiqua" w:hAnsi="Book Antiqua"/>
          <w:color w:val="000000"/>
          <w:sz w:val="24"/>
          <w:vertAlign w:val="subscript"/>
        </w:rPr>
        <w:t>4</w:t>
      </w:r>
      <w:r>
        <w:rPr>
          <w:rFonts w:ascii="Book Antiqua" w:hAnsi="Book Antiqua"/>
          <w:color w:val="000000"/>
          <w:sz w:val="24"/>
        </w:rPr>
        <w:t>, dimethylnitrosamine, bovine serum albumin and bile duct ligation</w:t>
      </w:r>
      <w:r>
        <w:rPr>
          <w:rFonts w:ascii="Book Antiqua" w:hAnsi="Book Antiqua"/>
          <w:color w:val="000000"/>
          <w:sz w:val="24"/>
          <w:vertAlign w:val="superscript"/>
        </w:rPr>
        <w:t>[136-139]</w:t>
      </w:r>
      <w:r>
        <w:rPr>
          <w:rFonts w:ascii="Book Antiqua" w:hAnsi="Book Antiqua"/>
          <w:color w:val="000000"/>
          <w:sz w:val="24"/>
        </w:rPr>
        <w:t xml:space="preserve">. Although the detailed mechanism varies in different models, the overall effect of bicyclol is derived from stabilizing mitochondrial and hepatocyte membranes, scavenging free radicals, reducing lipid peroxides, enhancing antioxidant gene expression or activity or inhibiting liver cell apoptosis, and thus achieves anti-inflammatory, antioxidant and liver cell-protective activities </w:t>
      </w:r>
      <w:r>
        <w:rPr>
          <w:rFonts w:ascii="Book Antiqua" w:hAnsi="Book Antiqua"/>
          <w:color w:val="000000"/>
          <w:sz w:val="24"/>
          <w:vertAlign w:val="superscript"/>
        </w:rPr>
        <w:t>[135,140]</w:t>
      </w:r>
      <w:r>
        <w:rPr>
          <w:rFonts w:ascii="Book Antiqua" w:hAnsi="Book Antiqua"/>
          <w:color w:val="000000"/>
          <w:sz w:val="24"/>
        </w:rPr>
        <w:t>. These effects of bicyclol and its antiviral activities make bicyclol a promising drug for treating CHC patients with liver injury or co-infection with HBV.</w:t>
      </w:r>
    </w:p>
    <w:p w:rsidR="00371BB0" w:rsidRDefault="00371BB0" w:rsidP="00371BB0">
      <w:pPr>
        <w:adjustRightInd w:val="0"/>
        <w:snapToGrid w:val="0"/>
        <w:spacing w:line="360" w:lineRule="auto"/>
        <w:rPr>
          <w:rFonts w:ascii="Book Antiqua" w:hAnsi="Book Antiqua"/>
          <w:b/>
          <w:bCs/>
          <w:color w:val="000000"/>
          <w:sz w:val="24"/>
        </w:rPr>
      </w:pPr>
    </w:p>
    <w:p w:rsidR="00371BB0" w:rsidRDefault="00371BB0" w:rsidP="00371BB0">
      <w:pPr>
        <w:adjustRightInd w:val="0"/>
        <w:snapToGrid w:val="0"/>
        <w:spacing w:line="360" w:lineRule="auto"/>
        <w:rPr>
          <w:rFonts w:ascii="Book Antiqua" w:hAnsi="Book Antiqua"/>
          <w:b/>
          <w:color w:val="000000"/>
          <w:sz w:val="24"/>
        </w:rPr>
      </w:pPr>
      <w:r>
        <w:rPr>
          <w:rFonts w:ascii="Book Antiqua" w:hAnsi="Book Antiqua"/>
          <w:b/>
          <w:color w:val="000000"/>
          <w:sz w:val="24"/>
        </w:rPr>
        <w:t>CONCLUSION</w:t>
      </w:r>
    </w:p>
    <w:p w:rsidR="00371BB0" w:rsidRDefault="00371BB0" w:rsidP="00371BB0">
      <w:pPr>
        <w:adjustRightInd w:val="0"/>
        <w:snapToGrid w:val="0"/>
        <w:spacing w:line="360" w:lineRule="auto"/>
        <w:rPr>
          <w:rFonts w:ascii="Book Antiqua" w:hAnsi="Book Antiqua"/>
          <w:b/>
          <w:color w:val="000000"/>
          <w:sz w:val="24"/>
        </w:rPr>
      </w:pPr>
      <w:r>
        <w:rPr>
          <w:rFonts w:ascii="Book Antiqua" w:hAnsi="Book Antiqua"/>
          <w:color w:val="000000"/>
          <w:sz w:val="24"/>
        </w:rPr>
        <w:t>Inflammation is a common feature of most liver diseases, and inflammatory cytokines and chemokines produced after HCV infection accelerate hepatocyte damage and liver disease progression. HCV infection triggers inflammation through various mechanisms including pathogen pattern recognition, inflammasome activation and intrahepatic inflammatory cascades, while oxidative and ER stress coexist with and exacerbate inflammation and liver injury (</w:t>
      </w:r>
      <w:bookmarkStart w:id="159" w:name="OLE_LINK100"/>
      <w:r>
        <w:rPr>
          <w:rFonts w:ascii="Book Antiqua" w:hAnsi="Book Antiqua"/>
          <w:color w:val="000000"/>
          <w:sz w:val="24"/>
        </w:rPr>
        <w:t>Figures 1</w:t>
      </w:r>
      <w:bookmarkEnd w:id="159"/>
      <w:r>
        <w:rPr>
          <w:rFonts w:ascii="Book Antiqua" w:hAnsi="Book Antiqua"/>
          <w:color w:val="000000"/>
          <w:sz w:val="24"/>
        </w:rPr>
        <w:t xml:space="preserve"> and 2). HCV infection is a predisposing factor in the pathological process, but the long-term inflammatory responses and oxidative stress induced by the virus might further destroy the liver microenvironment and cause irreversible liver tissue damage</w:t>
      </w:r>
      <w:r>
        <w:rPr>
          <w:rFonts w:ascii="Book Antiqua" w:hAnsi="Book Antiqua"/>
          <w:color w:val="000000"/>
          <w:sz w:val="24"/>
          <w:vertAlign w:val="superscript"/>
        </w:rPr>
        <w:t>[7,11]</w:t>
      </w:r>
      <w:r>
        <w:rPr>
          <w:rFonts w:ascii="Book Antiqua" w:hAnsi="Book Antiqua"/>
          <w:color w:val="000000"/>
          <w:sz w:val="24"/>
        </w:rPr>
        <w:t xml:space="preserve">. Direct antiviral therapy might not be sufficient to stop the progression of liver </w:t>
      </w:r>
      <w:r>
        <w:rPr>
          <w:rFonts w:ascii="Book Antiqua" w:hAnsi="Book Antiqua"/>
          <w:color w:val="000000"/>
          <w:sz w:val="24"/>
        </w:rPr>
        <w:lastRenderedPageBreak/>
        <w:t xml:space="preserve">disease in the context of inflammation, oxidative stress, liver tissue damage and metabolic dysregulation. Although anti-inflammatory/hepatoprotective drugs might not provide a fast-acting remedy for the treatment of HCV infection as DAAs do, they can serve as an </w:t>
      </w:r>
      <w:bookmarkStart w:id="160" w:name="OLE_LINK6"/>
      <w:r>
        <w:rPr>
          <w:rFonts w:ascii="Book Antiqua" w:hAnsi="Book Antiqua"/>
          <w:color w:val="000000"/>
          <w:sz w:val="24"/>
        </w:rPr>
        <w:t xml:space="preserve">adjunct </w:t>
      </w:r>
      <w:bookmarkEnd w:id="160"/>
      <w:r>
        <w:rPr>
          <w:rFonts w:ascii="Book Antiqua" w:hAnsi="Book Antiqua"/>
          <w:color w:val="000000"/>
          <w:sz w:val="24"/>
        </w:rPr>
        <w:t xml:space="preserve">to DAAs by exerting comprehensive effects. These effects include the following: (1) decreasing uncontrolled inflammatory cytokine and chemokine levels; (2) directly protecting against oxidative stress or enhancing antioxidant gene expression; (3) restoring mitochondrial function, regulating liver enzyme levels and protecting against liver cell damage; (4) inhibiting HCV replication; and (5) improving the efficacy of IFN antiviral therapy </w:t>
      </w:r>
      <w:r>
        <w:rPr>
          <w:rFonts w:ascii="Book Antiqua" w:hAnsi="Book Antiqua"/>
          <w:i/>
          <w:iCs/>
          <w:color w:val="000000"/>
          <w:sz w:val="24"/>
        </w:rPr>
        <w:t>in vivo</w:t>
      </w:r>
      <w:r>
        <w:rPr>
          <w:rFonts w:ascii="Book Antiqua" w:hAnsi="Book Antiqua"/>
          <w:color w:val="000000"/>
          <w:sz w:val="24"/>
          <w:vertAlign w:val="superscript"/>
        </w:rPr>
        <w:t>[80,129,141]</w:t>
      </w:r>
      <w:r>
        <w:rPr>
          <w:rFonts w:ascii="Book Antiqua" w:hAnsi="Book Antiqua"/>
          <w:color w:val="000000"/>
          <w:sz w:val="24"/>
        </w:rPr>
        <w:t xml:space="preserve">. Given the status of excessive inflammation and liver microenvironment dyshomeostasis in chronic HCV-infected patients, care for hepatitis C should extend beyond merely achieving an SVR to </w:t>
      </w:r>
      <w:bookmarkStart w:id="161" w:name="OLE_LINK55"/>
      <w:bookmarkStart w:id="162" w:name="OLE_LINK40"/>
      <w:r>
        <w:rPr>
          <w:rFonts w:ascii="Book Antiqua" w:hAnsi="Book Antiqua"/>
          <w:color w:val="000000"/>
          <w:sz w:val="24"/>
        </w:rPr>
        <w:t xml:space="preserve">encompass </w:t>
      </w:r>
      <w:bookmarkEnd w:id="161"/>
      <w:bookmarkEnd w:id="162"/>
      <w:r>
        <w:rPr>
          <w:rFonts w:ascii="Book Antiqua" w:hAnsi="Book Antiqua"/>
          <w:color w:val="000000"/>
          <w:sz w:val="24"/>
        </w:rPr>
        <w:t>an anti-inflammatory/hepatoprotective strategy concurrently with or after DAA therapy</w:t>
      </w:r>
      <w:r>
        <w:rPr>
          <w:rFonts w:ascii="Book Antiqua" w:hAnsi="Book Antiqua"/>
          <w:color w:val="000000"/>
          <w:kern w:val="0"/>
          <w:sz w:val="24"/>
        </w:rPr>
        <w:t>. Meanwhile, their anti-HCV effects could prevent HCV relapse after the DAA treatment.</w:t>
      </w:r>
    </w:p>
    <w:p w:rsidR="00371BB0" w:rsidRDefault="00371BB0" w:rsidP="00371BB0">
      <w:pPr>
        <w:widowControl/>
        <w:adjustRightInd w:val="0"/>
        <w:snapToGrid w:val="0"/>
        <w:spacing w:line="360" w:lineRule="auto"/>
        <w:rPr>
          <w:rFonts w:ascii="Book Antiqua" w:hAnsi="Book Antiqua"/>
          <w:b/>
          <w:color w:val="000000"/>
          <w:sz w:val="24"/>
        </w:rPr>
      </w:pPr>
      <w:r>
        <w:rPr>
          <w:rFonts w:ascii="Book Antiqua" w:hAnsi="Book Antiqua"/>
          <w:b/>
          <w:color w:val="000000"/>
          <w:sz w:val="24"/>
        </w:rPr>
        <w:br w:type="page"/>
      </w:r>
    </w:p>
    <w:p w:rsidR="00371BB0" w:rsidRDefault="00371BB0" w:rsidP="00371BB0">
      <w:pPr>
        <w:adjustRightInd w:val="0"/>
        <w:snapToGrid w:val="0"/>
        <w:spacing w:line="360" w:lineRule="auto"/>
        <w:rPr>
          <w:rFonts w:ascii="Book Antiqua" w:hAnsi="Book Antiqua"/>
          <w:b/>
          <w:color w:val="000000"/>
          <w:sz w:val="24"/>
        </w:rPr>
      </w:pPr>
      <w:r>
        <w:rPr>
          <w:rFonts w:ascii="Book Antiqua" w:hAnsi="Book Antiqua"/>
          <w:b/>
          <w:color w:val="000000"/>
          <w:sz w:val="24"/>
        </w:rPr>
        <w:lastRenderedPageBreak/>
        <w:t xml:space="preserve">REFERENCES </w:t>
      </w:r>
    </w:p>
    <w:p w:rsidR="00371BB0" w:rsidRDefault="00371BB0" w:rsidP="00371BB0">
      <w:pPr>
        <w:adjustRightInd w:val="0"/>
        <w:snapToGrid w:val="0"/>
        <w:spacing w:line="360" w:lineRule="auto"/>
        <w:rPr>
          <w:rFonts w:ascii="Book Antiqua" w:hAnsi="Book Antiqua"/>
          <w:color w:val="000000"/>
          <w:sz w:val="24"/>
        </w:rPr>
      </w:pPr>
      <w:bookmarkStart w:id="163" w:name="_Hlk527227026"/>
      <w:r>
        <w:rPr>
          <w:rFonts w:ascii="Book Antiqua" w:hAnsi="Book Antiqua"/>
          <w:color w:val="000000"/>
          <w:sz w:val="24"/>
        </w:rPr>
        <w:t>1 </w:t>
      </w:r>
      <w:r>
        <w:rPr>
          <w:rFonts w:ascii="Book Antiqua" w:hAnsi="Book Antiqua"/>
          <w:b/>
          <w:bCs/>
          <w:color w:val="000000"/>
          <w:sz w:val="24"/>
        </w:rPr>
        <w:t>Rebbani K</w:t>
      </w:r>
      <w:r>
        <w:rPr>
          <w:rFonts w:ascii="Book Antiqua" w:hAnsi="Book Antiqua"/>
          <w:color w:val="000000"/>
          <w:sz w:val="24"/>
        </w:rPr>
        <w:t>, Tsukiyama-Kohara K. HCV-Induced Oxidative Stress: Battlefield-Winning Strategy. </w:t>
      </w:r>
      <w:r>
        <w:rPr>
          <w:rFonts w:ascii="Book Antiqua" w:hAnsi="Book Antiqua"/>
          <w:i/>
          <w:iCs/>
          <w:color w:val="000000"/>
          <w:sz w:val="24"/>
        </w:rPr>
        <w:t>Oxid Med Cell Longev</w:t>
      </w:r>
      <w:r>
        <w:rPr>
          <w:rFonts w:ascii="Book Antiqua" w:hAnsi="Book Antiqua"/>
          <w:color w:val="000000"/>
          <w:sz w:val="24"/>
        </w:rPr>
        <w:t> 2016; </w:t>
      </w:r>
      <w:r>
        <w:rPr>
          <w:rFonts w:ascii="Book Antiqua" w:hAnsi="Book Antiqua"/>
          <w:b/>
          <w:bCs/>
          <w:color w:val="000000"/>
          <w:sz w:val="24"/>
        </w:rPr>
        <w:t>2016</w:t>
      </w:r>
      <w:r>
        <w:rPr>
          <w:rFonts w:ascii="Book Antiqua" w:hAnsi="Book Antiqua"/>
          <w:color w:val="000000"/>
          <w:sz w:val="24"/>
        </w:rPr>
        <w:t>: 7425628 [PMID: 27293514 DOI: 10.1155/2016/7425628]</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2 </w:t>
      </w:r>
      <w:r>
        <w:rPr>
          <w:rFonts w:ascii="Book Antiqua" w:hAnsi="Book Antiqua"/>
          <w:b/>
          <w:bCs/>
          <w:color w:val="000000"/>
          <w:sz w:val="24"/>
        </w:rPr>
        <w:t>Perlin CM</w:t>
      </w:r>
      <w:r>
        <w:rPr>
          <w:rFonts w:ascii="Book Antiqua" w:hAnsi="Book Antiqua"/>
          <w:color w:val="000000"/>
          <w:sz w:val="24"/>
        </w:rPr>
        <w:t>, Ferreira VL, Borba HHL, Wiens A, Ivantes CAP, Lenzi L, Pontarolo R. Quality of life in Brazilian patients with treated or untreated chronic hepatitis C. </w:t>
      </w:r>
      <w:r>
        <w:rPr>
          <w:rFonts w:ascii="Book Antiqua" w:hAnsi="Book Antiqua"/>
          <w:i/>
          <w:iCs/>
          <w:color w:val="000000"/>
          <w:sz w:val="24"/>
        </w:rPr>
        <w:t>Rev Inst Med Trop Sao Paulo</w:t>
      </w:r>
      <w:r>
        <w:rPr>
          <w:rFonts w:ascii="Book Antiqua" w:hAnsi="Book Antiqua"/>
          <w:color w:val="000000"/>
          <w:sz w:val="24"/>
        </w:rPr>
        <w:t> 2017; </w:t>
      </w:r>
      <w:r>
        <w:rPr>
          <w:rFonts w:ascii="Book Antiqua" w:hAnsi="Book Antiqua"/>
          <w:b/>
          <w:bCs/>
          <w:color w:val="000000"/>
          <w:sz w:val="24"/>
        </w:rPr>
        <w:t>59</w:t>
      </w:r>
      <w:r>
        <w:rPr>
          <w:rFonts w:ascii="Book Antiqua" w:hAnsi="Book Antiqua"/>
          <w:color w:val="000000"/>
          <w:sz w:val="24"/>
        </w:rPr>
        <w:t>: e81 [PMID: 29267589 DOI: 10.1590/S1678-9946201759081]</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3 </w:t>
      </w:r>
      <w:r>
        <w:rPr>
          <w:rFonts w:ascii="Book Antiqua" w:hAnsi="Book Antiqua"/>
          <w:b/>
          <w:bCs/>
          <w:color w:val="000000"/>
          <w:sz w:val="24"/>
        </w:rPr>
        <w:t>Wong RJ</w:t>
      </w:r>
      <w:r>
        <w:rPr>
          <w:rFonts w:ascii="Book Antiqua" w:hAnsi="Book Antiqua"/>
          <w:color w:val="000000"/>
          <w:sz w:val="24"/>
        </w:rPr>
        <w:t>, Gish RG. Metabolic Manifestations and Complications Associated With Chronic Hepatitis C Virus Infection. </w:t>
      </w:r>
      <w:r>
        <w:rPr>
          <w:rFonts w:ascii="Book Antiqua" w:hAnsi="Book Antiqua"/>
          <w:i/>
          <w:iCs/>
          <w:color w:val="000000"/>
          <w:sz w:val="24"/>
        </w:rPr>
        <w:t xml:space="preserve">Gastroenterol Hepatol </w:t>
      </w:r>
      <w:r>
        <w:rPr>
          <w:rFonts w:ascii="Book Antiqua" w:hAnsi="Book Antiqua"/>
          <w:iCs/>
          <w:color w:val="000000"/>
          <w:sz w:val="24"/>
        </w:rPr>
        <w:t>(NY)</w:t>
      </w:r>
      <w:r>
        <w:rPr>
          <w:rFonts w:ascii="Book Antiqua" w:hAnsi="Book Antiqua"/>
          <w:color w:val="000000"/>
          <w:sz w:val="24"/>
        </w:rPr>
        <w:t> 2016; </w:t>
      </w:r>
      <w:r>
        <w:rPr>
          <w:rFonts w:ascii="Book Antiqua" w:hAnsi="Book Antiqua"/>
          <w:b/>
          <w:bCs/>
          <w:color w:val="000000"/>
          <w:sz w:val="24"/>
        </w:rPr>
        <w:t>12</w:t>
      </w:r>
      <w:r>
        <w:rPr>
          <w:rFonts w:ascii="Book Antiqua" w:hAnsi="Book Antiqua"/>
          <w:color w:val="000000"/>
          <w:sz w:val="24"/>
        </w:rPr>
        <w:t>: 293-299 [PMID: 27499712]</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4 </w:t>
      </w:r>
      <w:r>
        <w:rPr>
          <w:rFonts w:ascii="Book Antiqua" w:hAnsi="Book Antiqua"/>
          <w:b/>
          <w:bCs/>
          <w:color w:val="000000"/>
          <w:sz w:val="24"/>
        </w:rPr>
        <w:t>Heim MH</w:t>
      </w:r>
      <w:r>
        <w:rPr>
          <w:rFonts w:ascii="Book Antiqua" w:hAnsi="Book Antiqua"/>
          <w:color w:val="000000"/>
          <w:sz w:val="24"/>
        </w:rPr>
        <w:t>, Thimme R. Innate and adaptive immune responses in HCV infections. </w:t>
      </w:r>
      <w:r>
        <w:rPr>
          <w:rFonts w:ascii="Book Antiqua" w:hAnsi="Book Antiqua"/>
          <w:i/>
          <w:iCs/>
          <w:color w:val="000000"/>
          <w:sz w:val="24"/>
        </w:rPr>
        <w:t>J Hepatol</w:t>
      </w:r>
      <w:r>
        <w:rPr>
          <w:rFonts w:ascii="Book Antiqua" w:hAnsi="Book Antiqua"/>
          <w:color w:val="000000"/>
          <w:sz w:val="24"/>
        </w:rPr>
        <w:t> 2014; </w:t>
      </w:r>
      <w:r>
        <w:rPr>
          <w:rFonts w:ascii="Book Antiqua" w:hAnsi="Book Antiqua"/>
          <w:b/>
          <w:bCs/>
          <w:color w:val="000000"/>
          <w:sz w:val="24"/>
        </w:rPr>
        <w:t>61</w:t>
      </w:r>
      <w:r>
        <w:rPr>
          <w:rFonts w:ascii="Book Antiqua" w:hAnsi="Book Antiqua"/>
          <w:color w:val="000000"/>
          <w:sz w:val="24"/>
        </w:rPr>
        <w:t>: S14-S25 [PMID: 25443342 DOI: 10.1016/j.jhep.2014.06.035]</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5 </w:t>
      </w:r>
      <w:r>
        <w:rPr>
          <w:rFonts w:ascii="Book Antiqua" w:hAnsi="Book Antiqua"/>
          <w:b/>
          <w:bCs/>
          <w:color w:val="000000"/>
          <w:sz w:val="24"/>
        </w:rPr>
        <w:t>Zeremski M</w:t>
      </w:r>
      <w:r>
        <w:rPr>
          <w:rFonts w:ascii="Book Antiqua" w:hAnsi="Book Antiqua"/>
          <w:color w:val="000000"/>
          <w:sz w:val="24"/>
        </w:rPr>
        <w:t>, Petrovic LM, Talal AH. The role of chemokines as inflammatory mediators in chronic hepatitis C virus infection. </w:t>
      </w:r>
      <w:r>
        <w:rPr>
          <w:rFonts w:ascii="Book Antiqua" w:hAnsi="Book Antiqua"/>
          <w:i/>
          <w:iCs/>
          <w:color w:val="000000"/>
          <w:sz w:val="24"/>
        </w:rPr>
        <w:t>J Viral Hepat</w:t>
      </w:r>
      <w:r>
        <w:rPr>
          <w:rFonts w:ascii="Book Antiqua" w:hAnsi="Book Antiqua"/>
          <w:color w:val="000000"/>
          <w:sz w:val="24"/>
        </w:rPr>
        <w:t> 2007; </w:t>
      </w:r>
      <w:r>
        <w:rPr>
          <w:rFonts w:ascii="Book Antiqua" w:hAnsi="Book Antiqua"/>
          <w:b/>
          <w:bCs/>
          <w:color w:val="000000"/>
          <w:sz w:val="24"/>
        </w:rPr>
        <w:t>14</w:t>
      </w:r>
      <w:r>
        <w:rPr>
          <w:rFonts w:ascii="Book Antiqua" w:hAnsi="Book Antiqua"/>
          <w:color w:val="000000"/>
          <w:sz w:val="24"/>
        </w:rPr>
        <w:t>: 675-687 [PMID: 17875002 DOI: 10.1111/j.1365-2893.2006.00838.x]</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6 </w:t>
      </w:r>
      <w:r>
        <w:rPr>
          <w:rFonts w:ascii="Book Antiqua" w:hAnsi="Book Antiqua"/>
          <w:b/>
          <w:bCs/>
          <w:color w:val="000000"/>
          <w:sz w:val="24"/>
        </w:rPr>
        <w:t>Geddawy A</w:t>
      </w:r>
      <w:r>
        <w:rPr>
          <w:rFonts w:ascii="Book Antiqua" w:hAnsi="Book Antiqua"/>
          <w:color w:val="000000"/>
          <w:sz w:val="24"/>
        </w:rPr>
        <w:t>, Ibrahim YF, Elbahie NM, Ibrahim MA. Direct Acting Anti-hepatitis C Virus Drugs: Clinical Pharmacology and Future Direction. </w:t>
      </w:r>
      <w:r>
        <w:rPr>
          <w:rFonts w:ascii="Book Antiqua" w:hAnsi="Book Antiqua"/>
          <w:i/>
          <w:iCs/>
          <w:color w:val="000000"/>
          <w:sz w:val="24"/>
        </w:rPr>
        <w:t>J Transl Int Med</w:t>
      </w:r>
      <w:r>
        <w:rPr>
          <w:rFonts w:ascii="Book Antiqua" w:hAnsi="Book Antiqua"/>
          <w:color w:val="000000"/>
          <w:sz w:val="24"/>
        </w:rPr>
        <w:t> 2017; </w:t>
      </w:r>
      <w:r>
        <w:rPr>
          <w:rFonts w:ascii="Book Antiqua" w:hAnsi="Book Antiqua"/>
          <w:b/>
          <w:bCs/>
          <w:color w:val="000000"/>
          <w:sz w:val="24"/>
        </w:rPr>
        <w:t>5</w:t>
      </w:r>
      <w:r>
        <w:rPr>
          <w:rFonts w:ascii="Book Antiqua" w:hAnsi="Book Antiqua"/>
          <w:color w:val="000000"/>
          <w:sz w:val="24"/>
        </w:rPr>
        <w:t>: 8-17 [PMID: 28680834 DOI: 10.1515/jtim-2017-0007]</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7 </w:t>
      </w:r>
      <w:r>
        <w:rPr>
          <w:rFonts w:ascii="Book Antiqua" w:hAnsi="Book Antiqua"/>
          <w:b/>
          <w:bCs/>
          <w:color w:val="000000"/>
          <w:sz w:val="24"/>
        </w:rPr>
        <w:t>Conti F</w:t>
      </w:r>
      <w:r>
        <w:rPr>
          <w:rFonts w:ascii="Book Antiqua" w:hAnsi="Book Antiqua"/>
          <w:color w:val="000000"/>
          <w:sz w:val="24"/>
        </w:rPr>
        <w:t>, Buonfiglioli F, Scuteri A, Crespi C, Bolondi L, Caraceni P, Foschi FG, Lenzi M, Mazzella G, Verucchi G, Andreone P, Brillanti S. Early occurrence and recurrence of hepatocellular carcinoma in HCV-related cirrhosis treated with direct-acting antivirals. </w:t>
      </w:r>
      <w:r>
        <w:rPr>
          <w:rFonts w:ascii="Book Antiqua" w:hAnsi="Book Antiqua"/>
          <w:i/>
          <w:iCs/>
          <w:color w:val="000000"/>
          <w:sz w:val="24"/>
        </w:rPr>
        <w:t>J Hepatol</w:t>
      </w:r>
      <w:r>
        <w:rPr>
          <w:rFonts w:ascii="Book Antiqua" w:hAnsi="Book Antiqua"/>
          <w:color w:val="000000"/>
          <w:sz w:val="24"/>
        </w:rPr>
        <w:t> 2016; </w:t>
      </w:r>
      <w:r>
        <w:rPr>
          <w:rFonts w:ascii="Book Antiqua" w:hAnsi="Book Antiqua"/>
          <w:b/>
          <w:bCs/>
          <w:color w:val="000000"/>
          <w:sz w:val="24"/>
        </w:rPr>
        <w:t>65</w:t>
      </w:r>
      <w:r>
        <w:rPr>
          <w:rFonts w:ascii="Book Antiqua" w:hAnsi="Book Antiqua"/>
          <w:color w:val="000000"/>
          <w:sz w:val="24"/>
        </w:rPr>
        <w:t>: 727-733 [PMID: 27349488 DOI: 10.1016/j.jhep.2016.06.015]</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8 </w:t>
      </w:r>
      <w:r>
        <w:rPr>
          <w:rFonts w:ascii="Book Antiqua" w:hAnsi="Book Antiqua"/>
          <w:b/>
          <w:bCs/>
          <w:color w:val="000000"/>
          <w:sz w:val="24"/>
        </w:rPr>
        <w:t>Huang JF</w:t>
      </w:r>
      <w:r>
        <w:rPr>
          <w:rFonts w:ascii="Book Antiqua" w:hAnsi="Book Antiqua"/>
          <w:color w:val="000000"/>
          <w:sz w:val="24"/>
        </w:rPr>
        <w:t>, Yu ML, Dai CY, Chuang WL. Glucose abnormalities in hepatitis C virus infection. </w:t>
      </w:r>
      <w:r>
        <w:rPr>
          <w:rFonts w:ascii="Book Antiqua" w:hAnsi="Book Antiqua"/>
          <w:i/>
          <w:iCs/>
          <w:color w:val="000000"/>
          <w:sz w:val="24"/>
        </w:rPr>
        <w:t>Kaohsiung J Med Sci</w:t>
      </w:r>
      <w:r>
        <w:rPr>
          <w:rFonts w:ascii="Book Antiqua" w:hAnsi="Book Antiqua"/>
          <w:color w:val="000000"/>
          <w:sz w:val="24"/>
        </w:rPr>
        <w:t> 2013; </w:t>
      </w:r>
      <w:r>
        <w:rPr>
          <w:rFonts w:ascii="Book Antiqua" w:hAnsi="Book Antiqua"/>
          <w:b/>
          <w:bCs/>
          <w:color w:val="000000"/>
          <w:sz w:val="24"/>
        </w:rPr>
        <w:t>29</w:t>
      </w:r>
      <w:r>
        <w:rPr>
          <w:rFonts w:ascii="Book Antiqua" w:hAnsi="Book Antiqua"/>
          <w:color w:val="000000"/>
          <w:sz w:val="24"/>
        </w:rPr>
        <w:t>: 61-68 [PMID: 23347806 DOI: 10.1016/j.kjms.2012.11.001]</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9 </w:t>
      </w:r>
      <w:r>
        <w:rPr>
          <w:rFonts w:ascii="Book Antiqua" w:hAnsi="Book Antiqua"/>
          <w:b/>
          <w:bCs/>
          <w:color w:val="000000"/>
          <w:sz w:val="24"/>
        </w:rPr>
        <w:t>D'Elia RV</w:t>
      </w:r>
      <w:r>
        <w:rPr>
          <w:rFonts w:ascii="Book Antiqua" w:hAnsi="Book Antiqua"/>
          <w:color w:val="000000"/>
          <w:sz w:val="24"/>
        </w:rPr>
        <w:t>, Harrison K, Oyston PC, Lukaszewski RA, Clark GC. Targeting the "cytokine storm" for therapeutic benefit. </w:t>
      </w:r>
      <w:r>
        <w:rPr>
          <w:rFonts w:ascii="Book Antiqua" w:hAnsi="Book Antiqua"/>
          <w:i/>
          <w:iCs/>
          <w:color w:val="000000"/>
          <w:sz w:val="24"/>
        </w:rPr>
        <w:t>Clin Vaccine Immunol</w:t>
      </w:r>
      <w:r>
        <w:rPr>
          <w:rFonts w:ascii="Book Antiqua" w:hAnsi="Book Antiqua"/>
          <w:color w:val="000000"/>
          <w:sz w:val="24"/>
        </w:rPr>
        <w:t> 2013; </w:t>
      </w:r>
      <w:r>
        <w:rPr>
          <w:rFonts w:ascii="Book Antiqua" w:hAnsi="Book Antiqua"/>
          <w:b/>
          <w:bCs/>
          <w:color w:val="000000"/>
          <w:sz w:val="24"/>
        </w:rPr>
        <w:t>20</w:t>
      </w:r>
      <w:r>
        <w:rPr>
          <w:rFonts w:ascii="Book Antiqua" w:hAnsi="Book Antiqua"/>
          <w:color w:val="000000"/>
          <w:sz w:val="24"/>
        </w:rPr>
        <w:t>: 319-327 [PMID: 23283640 DOI: 10.1128/CVI.00636-12]</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10 </w:t>
      </w:r>
      <w:r>
        <w:rPr>
          <w:rFonts w:ascii="Book Antiqua" w:hAnsi="Book Antiqua"/>
          <w:b/>
          <w:bCs/>
          <w:color w:val="000000"/>
          <w:sz w:val="24"/>
        </w:rPr>
        <w:t>Huang CF</w:t>
      </w:r>
      <w:r>
        <w:rPr>
          <w:rFonts w:ascii="Book Antiqua" w:hAnsi="Book Antiqua"/>
          <w:color w:val="000000"/>
          <w:sz w:val="24"/>
        </w:rPr>
        <w:t xml:space="preserve">, Hsieh MY, Yang JF, Chen WC, Yeh ML, Huang CI, Dai CY, Yu ML, Lin </w:t>
      </w:r>
      <w:r>
        <w:rPr>
          <w:rFonts w:ascii="Book Antiqua" w:hAnsi="Book Antiqua"/>
          <w:color w:val="000000"/>
          <w:sz w:val="24"/>
        </w:rPr>
        <w:lastRenderedPageBreak/>
        <w:t>ZY, Chen SC, Chuang WL, Huang JF. Serum hs-CRP was correlated with treatment response to pegylated interferon and ribavirin combination therapy in chronic hepatitis C patients. </w:t>
      </w:r>
      <w:r>
        <w:rPr>
          <w:rFonts w:ascii="Book Antiqua" w:hAnsi="Book Antiqua"/>
          <w:i/>
          <w:iCs/>
          <w:color w:val="000000"/>
          <w:sz w:val="24"/>
        </w:rPr>
        <w:t>Hepatol Int</w:t>
      </w:r>
      <w:r>
        <w:rPr>
          <w:rFonts w:ascii="Book Antiqua" w:hAnsi="Book Antiqua"/>
          <w:color w:val="000000"/>
          <w:sz w:val="24"/>
        </w:rPr>
        <w:t> 2010; </w:t>
      </w:r>
      <w:r>
        <w:rPr>
          <w:rFonts w:ascii="Book Antiqua" w:hAnsi="Book Antiqua"/>
          <w:b/>
          <w:bCs/>
          <w:color w:val="000000"/>
          <w:sz w:val="24"/>
        </w:rPr>
        <w:t>4</w:t>
      </w:r>
      <w:r>
        <w:rPr>
          <w:rFonts w:ascii="Book Antiqua" w:hAnsi="Book Antiqua"/>
          <w:color w:val="000000"/>
          <w:sz w:val="24"/>
        </w:rPr>
        <w:t>: 621-627 [PMID: 21063486 DOI: 10.1007/s12072-010-9200-8]</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11 </w:t>
      </w:r>
      <w:r>
        <w:rPr>
          <w:rFonts w:ascii="Book Antiqua" w:hAnsi="Book Antiqua"/>
          <w:b/>
          <w:bCs/>
          <w:color w:val="000000"/>
          <w:sz w:val="24"/>
        </w:rPr>
        <w:t>Morgan TR</w:t>
      </w:r>
      <w:r>
        <w:rPr>
          <w:rFonts w:ascii="Book Antiqua" w:hAnsi="Book Antiqua"/>
          <w:color w:val="000000"/>
          <w:sz w:val="24"/>
        </w:rPr>
        <w:t>, Ghany MG, Kim HY, Snow KK, Shiffman ML, De Santo JL, Lee WM, Di Bisceglie AM, Bonkovsky HL, Dienstag JL, Morishima C, Lindsay KL, Lok AS; HALT-C Trial Group. Outcome of sustained virological responders with histologically advanced chronic hepatitis C. </w:t>
      </w:r>
      <w:r>
        <w:rPr>
          <w:rFonts w:ascii="Book Antiqua" w:hAnsi="Book Antiqua"/>
          <w:i/>
          <w:iCs/>
          <w:color w:val="000000"/>
          <w:sz w:val="24"/>
        </w:rPr>
        <w:t>Hepatology</w:t>
      </w:r>
      <w:r>
        <w:rPr>
          <w:rFonts w:ascii="Book Antiqua" w:hAnsi="Book Antiqua"/>
          <w:color w:val="000000"/>
          <w:sz w:val="24"/>
        </w:rPr>
        <w:t> 2010; </w:t>
      </w:r>
      <w:r>
        <w:rPr>
          <w:rFonts w:ascii="Book Antiqua" w:hAnsi="Book Antiqua"/>
          <w:b/>
          <w:bCs/>
          <w:color w:val="000000"/>
          <w:sz w:val="24"/>
        </w:rPr>
        <w:t>52</w:t>
      </w:r>
      <w:r>
        <w:rPr>
          <w:rFonts w:ascii="Book Antiqua" w:hAnsi="Book Antiqua"/>
          <w:color w:val="000000"/>
          <w:sz w:val="24"/>
        </w:rPr>
        <w:t>: 833-844 [PMID: 20564351 DOI: 10.1002/hep.23744]</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12 </w:t>
      </w:r>
      <w:r>
        <w:rPr>
          <w:rFonts w:ascii="Book Antiqua" w:hAnsi="Book Antiqua"/>
          <w:b/>
          <w:bCs/>
          <w:color w:val="000000"/>
          <w:sz w:val="24"/>
        </w:rPr>
        <w:t>Hsu CC</w:t>
      </w:r>
      <w:r>
        <w:rPr>
          <w:rFonts w:ascii="Book Antiqua" w:hAnsi="Book Antiqua"/>
          <w:color w:val="000000"/>
          <w:sz w:val="24"/>
        </w:rPr>
        <w:t>, Lien JC, Chang CW, Chang CH, Kuo SC, Huang TF. Yuwen02f1 suppresses LPS-induced endotoxemia and adjuvant-induced arthritis primarily through blockade of ROS formation, NFkB and MAPK activation. </w:t>
      </w:r>
      <w:r>
        <w:rPr>
          <w:rFonts w:ascii="Book Antiqua" w:hAnsi="Book Antiqua"/>
          <w:i/>
          <w:iCs/>
          <w:color w:val="000000"/>
          <w:sz w:val="24"/>
        </w:rPr>
        <w:t>Biochem Pharmacol</w:t>
      </w:r>
      <w:r>
        <w:rPr>
          <w:rFonts w:ascii="Book Antiqua" w:hAnsi="Book Antiqua"/>
          <w:color w:val="000000"/>
          <w:sz w:val="24"/>
        </w:rPr>
        <w:t> 2013; </w:t>
      </w:r>
      <w:r>
        <w:rPr>
          <w:rFonts w:ascii="Book Antiqua" w:hAnsi="Book Antiqua"/>
          <w:b/>
          <w:bCs/>
          <w:color w:val="000000"/>
          <w:sz w:val="24"/>
        </w:rPr>
        <w:t>85</w:t>
      </w:r>
      <w:r>
        <w:rPr>
          <w:rFonts w:ascii="Book Antiqua" w:hAnsi="Book Antiqua"/>
          <w:color w:val="000000"/>
          <w:sz w:val="24"/>
        </w:rPr>
        <w:t>: 385-395 [PMID: 23142712 DOI: 10.1016/j.bcp.2012.11.002]</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13 </w:t>
      </w:r>
      <w:r>
        <w:rPr>
          <w:rFonts w:ascii="Book Antiqua" w:hAnsi="Book Antiqua"/>
          <w:b/>
          <w:bCs/>
          <w:color w:val="000000"/>
          <w:sz w:val="24"/>
        </w:rPr>
        <w:t>Costantini S</w:t>
      </w:r>
      <w:r>
        <w:rPr>
          <w:rFonts w:ascii="Book Antiqua" w:hAnsi="Book Antiqua"/>
          <w:color w:val="000000"/>
          <w:sz w:val="24"/>
        </w:rPr>
        <w:t>, Capone F, Guerriero E, Maio P, Colonna G, Castello G. Serum cytokine levels as putative prognostic markers in the progression of chronic HCV hepatitis to cirrhosis. </w:t>
      </w:r>
      <w:r>
        <w:rPr>
          <w:rFonts w:ascii="Book Antiqua" w:hAnsi="Book Antiqua"/>
          <w:i/>
          <w:iCs/>
          <w:color w:val="000000"/>
          <w:sz w:val="24"/>
        </w:rPr>
        <w:t>Eur Cytokine Netw</w:t>
      </w:r>
      <w:r>
        <w:rPr>
          <w:rFonts w:ascii="Book Antiqua" w:hAnsi="Book Antiqua"/>
          <w:color w:val="000000"/>
          <w:sz w:val="24"/>
        </w:rPr>
        <w:t> 2010; </w:t>
      </w:r>
      <w:r>
        <w:rPr>
          <w:rFonts w:ascii="Book Antiqua" w:hAnsi="Book Antiqua"/>
          <w:b/>
          <w:bCs/>
          <w:color w:val="000000"/>
          <w:sz w:val="24"/>
        </w:rPr>
        <w:t>21</w:t>
      </w:r>
      <w:r>
        <w:rPr>
          <w:rFonts w:ascii="Book Antiqua" w:hAnsi="Book Antiqua"/>
          <w:color w:val="000000"/>
          <w:sz w:val="24"/>
        </w:rPr>
        <w:t>: 251-256 [PMID: 21081303 DOI: 10.1684/ecn.2010.0214]</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14 </w:t>
      </w:r>
      <w:r>
        <w:rPr>
          <w:rFonts w:ascii="Book Antiqua" w:hAnsi="Book Antiqua"/>
          <w:b/>
          <w:bCs/>
          <w:color w:val="000000"/>
          <w:sz w:val="24"/>
        </w:rPr>
        <w:t>Zeremski M</w:t>
      </w:r>
      <w:r>
        <w:rPr>
          <w:rFonts w:ascii="Book Antiqua" w:hAnsi="Book Antiqua"/>
          <w:color w:val="000000"/>
          <w:sz w:val="24"/>
        </w:rPr>
        <w:t>, Dimova R, Brown Q, Jacobson IM, Markatou M, Talal AH. Peripheral CXCR3-associated chemokines as biomarkers of fibrosis in chronic hepatitis C virus infection. </w:t>
      </w:r>
      <w:r>
        <w:rPr>
          <w:rFonts w:ascii="Book Antiqua" w:hAnsi="Book Antiqua"/>
          <w:i/>
          <w:iCs/>
          <w:color w:val="000000"/>
          <w:sz w:val="24"/>
        </w:rPr>
        <w:t>J Infect Dis</w:t>
      </w:r>
      <w:r>
        <w:rPr>
          <w:rFonts w:ascii="Book Antiqua" w:hAnsi="Book Antiqua"/>
          <w:color w:val="000000"/>
          <w:sz w:val="24"/>
        </w:rPr>
        <w:t> 2009; </w:t>
      </w:r>
      <w:r>
        <w:rPr>
          <w:rFonts w:ascii="Book Antiqua" w:hAnsi="Book Antiqua"/>
          <w:b/>
          <w:bCs/>
          <w:color w:val="000000"/>
          <w:sz w:val="24"/>
        </w:rPr>
        <w:t>200</w:t>
      </w:r>
      <w:r>
        <w:rPr>
          <w:rFonts w:ascii="Book Antiqua" w:hAnsi="Book Antiqua"/>
          <w:color w:val="000000"/>
          <w:sz w:val="24"/>
        </w:rPr>
        <w:t>: 1774-1780 [PMID: 19848607 DOI: 10.1086/646614]</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15 </w:t>
      </w:r>
      <w:r>
        <w:rPr>
          <w:rFonts w:ascii="Book Antiqua" w:hAnsi="Book Antiqua"/>
          <w:b/>
          <w:bCs/>
          <w:color w:val="000000"/>
          <w:sz w:val="24"/>
        </w:rPr>
        <w:t>Zampino R</w:t>
      </w:r>
      <w:r>
        <w:rPr>
          <w:rFonts w:ascii="Book Antiqua" w:hAnsi="Book Antiqua"/>
          <w:color w:val="000000"/>
          <w:sz w:val="24"/>
        </w:rPr>
        <w:t>, Marrone A, Restivo L, Guerrera B, Sellitto A, Rinaldi L, Romano C, Adinolfi LE. Chronic HCV infection and inflammation: Clinical impact on hepatic and extra-hepatic manifestations. </w:t>
      </w:r>
      <w:r>
        <w:rPr>
          <w:rFonts w:ascii="Book Antiqua" w:hAnsi="Book Antiqua"/>
          <w:i/>
          <w:iCs/>
          <w:color w:val="000000"/>
          <w:sz w:val="24"/>
        </w:rPr>
        <w:t>World J Hepatol</w:t>
      </w:r>
      <w:r>
        <w:rPr>
          <w:rFonts w:ascii="Book Antiqua" w:hAnsi="Book Antiqua"/>
          <w:color w:val="000000"/>
          <w:sz w:val="24"/>
        </w:rPr>
        <w:t> 2013; </w:t>
      </w:r>
      <w:r>
        <w:rPr>
          <w:rFonts w:ascii="Book Antiqua" w:hAnsi="Book Antiqua"/>
          <w:b/>
          <w:bCs/>
          <w:color w:val="000000"/>
          <w:sz w:val="24"/>
        </w:rPr>
        <w:t>5</w:t>
      </w:r>
      <w:r>
        <w:rPr>
          <w:rFonts w:ascii="Book Antiqua" w:hAnsi="Book Antiqua"/>
          <w:color w:val="000000"/>
          <w:sz w:val="24"/>
        </w:rPr>
        <w:t>: 528-540 [PMID: 24179612 DOI: 10.4254/wjh.v5.i10.528]</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16 </w:t>
      </w:r>
      <w:r>
        <w:rPr>
          <w:rFonts w:ascii="Book Antiqua" w:hAnsi="Book Antiqua"/>
          <w:b/>
          <w:bCs/>
          <w:color w:val="000000"/>
          <w:sz w:val="24"/>
        </w:rPr>
        <w:t>Neuman MG</w:t>
      </w:r>
      <w:r>
        <w:rPr>
          <w:rFonts w:ascii="Book Antiqua" w:hAnsi="Book Antiqua"/>
          <w:color w:val="000000"/>
          <w:sz w:val="24"/>
        </w:rPr>
        <w:t>, Schmilovitz-Weiss H, Hilzenrat N, Bourliere M, Marcellin P, Trepo C, Mazulli T, Moussa G, Patel A, Baig AA, Cohen L. Markers of inflammation and fibrosis in alcoholic hepatitis and viral hepatitis C. </w:t>
      </w:r>
      <w:r>
        <w:rPr>
          <w:rFonts w:ascii="Book Antiqua" w:hAnsi="Book Antiqua"/>
          <w:i/>
          <w:iCs/>
          <w:color w:val="000000"/>
          <w:sz w:val="24"/>
        </w:rPr>
        <w:t>Int J Hepatol</w:t>
      </w:r>
      <w:r>
        <w:rPr>
          <w:rFonts w:ascii="Book Antiqua" w:hAnsi="Book Antiqua"/>
          <w:color w:val="000000"/>
          <w:sz w:val="24"/>
        </w:rPr>
        <w:t> 2012; </w:t>
      </w:r>
      <w:r>
        <w:rPr>
          <w:rFonts w:ascii="Book Antiqua" w:hAnsi="Book Antiqua"/>
          <w:b/>
          <w:bCs/>
          <w:color w:val="000000"/>
          <w:sz w:val="24"/>
        </w:rPr>
        <w:t>2012</w:t>
      </w:r>
      <w:r>
        <w:rPr>
          <w:rFonts w:ascii="Book Antiqua" w:hAnsi="Book Antiqua"/>
          <w:color w:val="000000"/>
          <w:sz w:val="24"/>
        </w:rPr>
        <w:t>: 231210 [PMID: 22530132 DOI: 10.1155/2012/231210]</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17 </w:t>
      </w:r>
      <w:r>
        <w:rPr>
          <w:rFonts w:ascii="Book Antiqua" w:hAnsi="Book Antiqua"/>
          <w:b/>
          <w:bCs/>
          <w:color w:val="000000"/>
          <w:sz w:val="24"/>
        </w:rPr>
        <w:t>Jonsson JR</w:t>
      </w:r>
      <w:r>
        <w:rPr>
          <w:rFonts w:ascii="Book Antiqua" w:hAnsi="Book Antiqua"/>
          <w:color w:val="000000"/>
          <w:sz w:val="24"/>
        </w:rPr>
        <w:t xml:space="preserve">, Barrie HD, O'Rourke P, Clouston AD, Powell EE. Obesity and steatosis influence serum and hepatic inflammatory markers in chronic hepatitis </w:t>
      </w:r>
      <w:r>
        <w:rPr>
          <w:rFonts w:ascii="Book Antiqua" w:hAnsi="Book Antiqua"/>
          <w:color w:val="000000"/>
          <w:sz w:val="24"/>
        </w:rPr>
        <w:lastRenderedPageBreak/>
        <w:t>C. </w:t>
      </w:r>
      <w:r>
        <w:rPr>
          <w:rFonts w:ascii="Book Antiqua" w:hAnsi="Book Antiqua"/>
          <w:i/>
          <w:iCs/>
          <w:color w:val="000000"/>
          <w:sz w:val="24"/>
        </w:rPr>
        <w:t>Hepatology</w:t>
      </w:r>
      <w:r>
        <w:rPr>
          <w:rFonts w:ascii="Book Antiqua" w:hAnsi="Book Antiqua"/>
          <w:color w:val="000000"/>
          <w:sz w:val="24"/>
        </w:rPr>
        <w:t> 2008; </w:t>
      </w:r>
      <w:r>
        <w:rPr>
          <w:rFonts w:ascii="Book Antiqua" w:hAnsi="Book Antiqua"/>
          <w:b/>
          <w:bCs/>
          <w:color w:val="000000"/>
          <w:sz w:val="24"/>
        </w:rPr>
        <w:t>48</w:t>
      </w:r>
      <w:r>
        <w:rPr>
          <w:rFonts w:ascii="Book Antiqua" w:hAnsi="Book Antiqua"/>
          <w:color w:val="000000"/>
          <w:sz w:val="24"/>
        </w:rPr>
        <w:t>: 80-87 [PMID: 18571785 DOI: 10.1002/hep.22311]</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18 </w:t>
      </w:r>
      <w:r>
        <w:rPr>
          <w:rFonts w:ascii="Book Antiqua" w:hAnsi="Book Antiqua"/>
          <w:b/>
          <w:bCs/>
          <w:color w:val="000000"/>
          <w:sz w:val="24"/>
        </w:rPr>
        <w:t>Aroucha DC</w:t>
      </w:r>
      <w:r>
        <w:rPr>
          <w:rFonts w:ascii="Book Antiqua" w:hAnsi="Book Antiqua"/>
          <w:color w:val="000000"/>
          <w:sz w:val="24"/>
        </w:rPr>
        <w:t>, do Carmo RF, Moura P, Silva JL, Vasconcelos LR, Cavalcanti MS, Muniz MT, Aroucha ML, Siqueira ER, Cahú GG, Pereira LM, Coêlho MR. High tumor necrosis factor-α/interleukin-10 ratio is associated with hepatocellular carcinoma in patients with chronic hepatitis C. </w:t>
      </w:r>
      <w:r>
        <w:rPr>
          <w:rFonts w:ascii="Book Antiqua" w:hAnsi="Book Antiqua"/>
          <w:i/>
          <w:iCs/>
          <w:color w:val="000000"/>
          <w:sz w:val="24"/>
        </w:rPr>
        <w:t>Cytokine</w:t>
      </w:r>
      <w:r>
        <w:rPr>
          <w:rFonts w:ascii="Book Antiqua" w:hAnsi="Book Antiqua"/>
          <w:color w:val="000000"/>
          <w:sz w:val="24"/>
        </w:rPr>
        <w:t> 2013; </w:t>
      </w:r>
      <w:r>
        <w:rPr>
          <w:rFonts w:ascii="Book Antiqua" w:hAnsi="Book Antiqua"/>
          <w:b/>
          <w:bCs/>
          <w:color w:val="000000"/>
          <w:sz w:val="24"/>
        </w:rPr>
        <w:t>62</w:t>
      </w:r>
      <w:r>
        <w:rPr>
          <w:rFonts w:ascii="Book Antiqua" w:hAnsi="Book Antiqua"/>
          <w:color w:val="000000"/>
          <w:sz w:val="24"/>
        </w:rPr>
        <w:t>: 421-425 [PMID: 23602201 DOI: 10.1016/j.cyto.2013.03.024]</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19 </w:t>
      </w:r>
      <w:r>
        <w:rPr>
          <w:rFonts w:ascii="Book Antiqua" w:hAnsi="Book Antiqua"/>
          <w:b/>
          <w:bCs/>
          <w:color w:val="000000"/>
          <w:sz w:val="24"/>
        </w:rPr>
        <w:t>Knobler H</w:t>
      </w:r>
      <w:r>
        <w:rPr>
          <w:rFonts w:ascii="Book Antiqua" w:hAnsi="Book Antiqua"/>
          <w:color w:val="000000"/>
          <w:sz w:val="24"/>
        </w:rPr>
        <w:t>, Schattner A. TNF-{alpha}, chronic hepatitis C and diabetes: a novel triad. </w:t>
      </w:r>
      <w:r>
        <w:rPr>
          <w:rFonts w:ascii="Book Antiqua" w:hAnsi="Book Antiqua"/>
          <w:i/>
          <w:iCs/>
          <w:color w:val="000000"/>
          <w:sz w:val="24"/>
        </w:rPr>
        <w:t>QJM</w:t>
      </w:r>
      <w:r>
        <w:rPr>
          <w:rFonts w:ascii="Book Antiqua" w:hAnsi="Book Antiqua"/>
          <w:color w:val="000000"/>
          <w:sz w:val="24"/>
        </w:rPr>
        <w:t> 2005; </w:t>
      </w:r>
      <w:r>
        <w:rPr>
          <w:rFonts w:ascii="Book Antiqua" w:hAnsi="Book Antiqua"/>
          <w:b/>
          <w:bCs/>
          <w:color w:val="000000"/>
          <w:sz w:val="24"/>
        </w:rPr>
        <w:t>98</w:t>
      </w:r>
      <w:r>
        <w:rPr>
          <w:rFonts w:ascii="Book Antiqua" w:hAnsi="Book Antiqua"/>
          <w:color w:val="000000"/>
          <w:sz w:val="24"/>
        </w:rPr>
        <w:t>: 1-6 [PMID: 15625348 DOI: 10.1093/qjmed/hci001]</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20 </w:t>
      </w:r>
      <w:r>
        <w:rPr>
          <w:rFonts w:ascii="Book Antiqua" w:hAnsi="Book Antiqua"/>
          <w:b/>
          <w:bCs/>
          <w:color w:val="000000"/>
          <w:sz w:val="24"/>
        </w:rPr>
        <w:t>Falasca K</w:t>
      </w:r>
      <w:r>
        <w:rPr>
          <w:rFonts w:ascii="Book Antiqua" w:hAnsi="Book Antiqua"/>
          <w:color w:val="000000"/>
          <w:sz w:val="24"/>
        </w:rPr>
        <w:t>, Ucciferri C, Dalessandro M, Zingariello P, Mancino P, Petrarca C, Pizzigallo E, Conti P, Vecchiet J. Cytokine patterns correlate with liver damage in patients with chronic hepatitis B and C. </w:t>
      </w:r>
      <w:r>
        <w:rPr>
          <w:rFonts w:ascii="Book Antiqua" w:hAnsi="Book Antiqua"/>
          <w:i/>
          <w:iCs/>
          <w:color w:val="000000"/>
          <w:sz w:val="24"/>
        </w:rPr>
        <w:t>Ann Clin Lab Sci</w:t>
      </w:r>
      <w:r>
        <w:rPr>
          <w:rFonts w:ascii="Book Antiqua" w:hAnsi="Book Antiqua"/>
          <w:color w:val="000000"/>
          <w:sz w:val="24"/>
        </w:rPr>
        <w:t> 2006; </w:t>
      </w:r>
      <w:r>
        <w:rPr>
          <w:rFonts w:ascii="Book Antiqua" w:hAnsi="Book Antiqua"/>
          <w:b/>
          <w:bCs/>
          <w:color w:val="000000"/>
          <w:sz w:val="24"/>
        </w:rPr>
        <w:t>36</w:t>
      </w:r>
      <w:r>
        <w:rPr>
          <w:rFonts w:ascii="Book Antiqua" w:hAnsi="Book Antiqua"/>
          <w:color w:val="000000"/>
          <w:sz w:val="24"/>
        </w:rPr>
        <w:t>: 144-150 [PMID: 16682509]</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21 </w:t>
      </w:r>
      <w:r>
        <w:rPr>
          <w:rFonts w:ascii="Book Antiqua" w:hAnsi="Book Antiqua"/>
          <w:b/>
          <w:bCs/>
          <w:color w:val="000000"/>
          <w:sz w:val="24"/>
        </w:rPr>
        <w:t>Jia H</w:t>
      </w:r>
      <w:r>
        <w:rPr>
          <w:rFonts w:ascii="Book Antiqua" w:hAnsi="Book Antiqua"/>
          <w:color w:val="000000"/>
          <w:sz w:val="24"/>
        </w:rPr>
        <w:t>, Du J, Zhu S, Ma Y, Cai H. Clinical observation of serum IL-18, IL-10 and sIL-2R levels in patients with chronic hepatitis C pre- and post antiviral treatment. </w:t>
      </w:r>
      <w:r>
        <w:rPr>
          <w:rFonts w:ascii="Book Antiqua" w:hAnsi="Book Antiqua"/>
          <w:i/>
          <w:iCs/>
          <w:color w:val="000000"/>
          <w:sz w:val="24"/>
        </w:rPr>
        <w:t xml:space="preserve">Chin Med J </w:t>
      </w:r>
      <w:r>
        <w:rPr>
          <w:rFonts w:ascii="Book Antiqua" w:hAnsi="Book Antiqua"/>
          <w:iCs/>
          <w:color w:val="000000"/>
          <w:sz w:val="24"/>
        </w:rPr>
        <w:t>(Engl)</w:t>
      </w:r>
      <w:r>
        <w:rPr>
          <w:rFonts w:ascii="Book Antiqua" w:hAnsi="Book Antiqua"/>
          <w:color w:val="000000"/>
          <w:sz w:val="24"/>
        </w:rPr>
        <w:t> 2003; </w:t>
      </w:r>
      <w:r>
        <w:rPr>
          <w:rFonts w:ascii="Book Antiqua" w:hAnsi="Book Antiqua"/>
          <w:b/>
          <w:bCs/>
          <w:color w:val="000000"/>
          <w:sz w:val="24"/>
        </w:rPr>
        <w:t>116</w:t>
      </w:r>
      <w:r>
        <w:rPr>
          <w:rFonts w:ascii="Book Antiqua" w:hAnsi="Book Antiqua"/>
          <w:color w:val="000000"/>
          <w:sz w:val="24"/>
        </w:rPr>
        <w:t>: 605-608 [PMID: 12875732]</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22 </w:t>
      </w:r>
      <w:r>
        <w:rPr>
          <w:rFonts w:ascii="Book Antiqua" w:hAnsi="Book Antiqua"/>
          <w:b/>
          <w:bCs/>
          <w:color w:val="000000"/>
          <w:sz w:val="24"/>
        </w:rPr>
        <w:t>Fallahi P</w:t>
      </w:r>
      <w:r>
        <w:rPr>
          <w:rFonts w:ascii="Book Antiqua" w:hAnsi="Book Antiqua"/>
          <w:color w:val="000000"/>
          <w:sz w:val="24"/>
        </w:rPr>
        <w:t>, Ferrari SM, Giuggioli D, Sebastiani M, Colaci M, Ferri C, Antonelli A. Chemokines in the Pathogenesis and as Therapeutical Markers and Targets of HCV Chronic Infection and HCV Extrahepatic Manifestations. </w:t>
      </w:r>
      <w:r>
        <w:rPr>
          <w:rFonts w:ascii="Book Antiqua" w:hAnsi="Book Antiqua"/>
          <w:i/>
          <w:iCs/>
          <w:color w:val="000000"/>
          <w:sz w:val="24"/>
        </w:rPr>
        <w:t>Curr Drug Targets</w:t>
      </w:r>
      <w:r>
        <w:rPr>
          <w:rFonts w:ascii="Book Antiqua" w:hAnsi="Book Antiqua"/>
          <w:color w:val="000000"/>
          <w:sz w:val="24"/>
        </w:rPr>
        <w:t> 2017; </w:t>
      </w:r>
      <w:r>
        <w:rPr>
          <w:rFonts w:ascii="Book Antiqua" w:hAnsi="Book Antiqua"/>
          <w:b/>
          <w:bCs/>
          <w:color w:val="000000"/>
          <w:sz w:val="24"/>
        </w:rPr>
        <w:t>18</w:t>
      </w:r>
      <w:r>
        <w:rPr>
          <w:rFonts w:ascii="Book Antiqua" w:hAnsi="Book Antiqua"/>
          <w:color w:val="000000"/>
          <w:sz w:val="24"/>
        </w:rPr>
        <w:t>: 786-793 [PMID: 26240054 DOI: 10.2174/1389450116666150804105937]</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23 </w:t>
      </w:r>
      <w:r>
        <w:rPr>
          <w:rFonts w:ascii="Book Antiqua" w:hAnsi="Book Antiqua"/>
          <w:b/>
          <w:bCs/>
          <w:color w:val="000000"/>
          <w:sz w:val="24"/>
        </w:rPr>
        <w:t>Larrubia JR</w:t>
      </w:r>
      <w:r>
        <w:rPr>
          <w:rFonts w:ascii="Book Antiqua" w:hAnsi="Book Antiqua"/>
          <w:color w:val="000000"/>
          <w:sz w:val="24"/>
        </w:rPr>
        <w:t>, Benito-Martínez S, Calvino M, Sanz-de-Villalobos E, Parra-Cid T. Role of chemokines and their receptors in viral persistence and liver damage during chronic hepatitis C virus infection. </w:t>
      </w:r>
      <w:r>
        <w:rPr>
          <w:rFonts w:ascii="Book Antiqua" w:hAnsi="Book Antiqua"/>
          <w:i/>
          <w:iCs/>
          <w:color w:val="000000"/>
          <w:sz w:val="24"/>
        </w:rPr>
        <w:t>World J Gastroenterol</w:t>
      </w:r>
      <w:r>
        <w:rPr>
          <w:rFonts w:ascii="Book Antiqua" w:hAnsi="Book Antiqua"/>
          <w:color w:val="000000"/>
          <w:sz w:val="24"/>
        </w:rPr>
        <w:t> 2008; </w:t>
      </w:r>
      <w:r>
        <w:rPr>
          <w:rFonts w:ascii="Book Antiqua" w:hAnsi="Book Antiqua"/>
          <w:b/>
          <w:bCs/>
          <w:color w:val="000000"/>
          <w:sz w:val="24"/>
        </w:rPr>
        <w:t>14</w:t>
      </w:r>
      <w:r>
        <w:rPr>
          <w:rFonts w:ascii="Book Antiqua" w:hAnsi="Book Antiqua"/>
          <w:color w:val="000000"/>
          <w:sz w:val="24"/>
        </w:rPr>
        <w:t>: 7149-7159 [PMID: 19084927 DOI: 10.3748/wjg.14.7149]</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24 </w:t>
      </w:r>
      <w:r>
        <w:rPr>
          <w:rFonts w:ascii="Book Antiqua" w:hAnsi="Book Antiqua"/>
          <w:b/>
          <w:bCs/>
          <w:color w:val="000000"/>
          <w:sz w:val="24"/>
        </w:rPr>
        <w:t>You CR</w:t>
      </w:r>
      <w:r>
        <w:rPr>
          <w:rFonts w:ascii="Book Antiqua" w:hAnsi="Book Antiqua"/>
          <w:color w:val="000000"/>
          <w:sz w:val="24"/>
        </w:rPr>
        <w:t>, Park SH, Jeong SW, Woo HY, Bae SH, Choi JY, Sung YC, Yoon SK. Serum IP-10 Levels Correlate with the Severity of Liver Histopathology in Patients Infected with Genotype-1 HCV. </w:t>
      </w:r>
      <w:r>
        <w:rPr>
          <w:rFonts w:ascii="Book Antiqua" w:hAnsi="Book Antiqua"/>
          <w:i/>
          <w:iCs/>
          <w:color w:val="000000"/>
          <w:sz w:val="24"/>
        </w:rPr>
        <w:t>Gut Liver</w:t>
      </w:r>
      <w:r>
        <w:rPr>
          <w:rFonts w:ascii="Book Antiqua" w:hAnsi="Book Antiqua"/>
          <w:color w:val="000000"/>
          <w:sz w:val="24"/>
        </w:rPr>
        <w:t> 2011; </w:t>
      </w:r>
      <w:r>
        <w:rPr>
          <w:rFonts w:ascii="Book Antiqua" w:hAnsi="Book Antiqua"/>
          <w:b/>
          <w:bCs/>
          <w:color w:val="000000"/>
          <w:sz w:val="24"/>
        </w:rPr>
        <w:t>5</w:t>
      </w:r>
      <w:r>
        <w:rPr>
          <w:rFonts w:ascii="Book Antiqua" w:hAnsi="Book Antiqua"/>
          <w:color w:val="000000"/>
          <w:sz w:val="24"/>
        </w:rPr>
        <w:t>: 506-512 [PMID: 22195251 DOI: 10.5009/gnl.2011.5.4.506]</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25 </w:t>
      </w:r>
      <w:r>
        <w:rPr>
          <w:rFonts w:ascii="Book Antiqua" w:hAnsi="Book Antiqua"/>
          <w:b/>
          <w:bCs/>
          <w:color w:val="000000"/>
          <w:sz w:val="24"/>
        </w:rPr>
        <w:t>Harvey CE</w:t>
      </w:r>
      <w:r>
        <w:rPr>
          <w:rFonts w:ascii="Book Antiqua" w:hAnsi="Book Antiqua"/>
          <w:color w:val="000000"/>
          <w:sz w:val="24"/>
        </w:rPr>
        <w:t>, Post JJ, Palladinetti P, Freeman AJ, Ffrench RA, Kumar RK, Marinos G, Lloyd AR. Expression of the chemokine IP-10 (CXCL10) by hepatocytes in chronic hepatitis C virus infection correlates with histological severity and lobular inflammation. </w:t>
      </w:r>
      <w:r>
        <w:rPr>
          <w:rFonts w:ascii="Book Antiqua" w:hAnsi="Book Antiqua"/>
          <w:i/>
          <w:iCs/>
          <w:color w:val="000000"/>
          <w:sz w:val="24"/>
        </w:rPr>
        <w:t>J Leukoc Biol</w:t>
      </w:r>
      <w:r>
        <w:rPr>
          <w:rFonts w:ascii="Book Antiqua" w:hAnsi="Book Antiqua"/>
          <w:color w:val="000000"/>
          <w:sz w:val="24"/>
        </w:rPr>
        <w:t> 2003; </w:t>
      </w:r>
      <w:r>
        <w:rPr>
          <w:rFonts w:ascii="Book Antiqua" w:hAnsi="Book Antiqua"/>
          <w:b/>
          <w:bCs/>
          <w:color w:val="000000"/>
          <w:sz w:val="24"/>
        </w:rPr>
        <w:t>74</w:t>
      </w:r>
      <w:r>
        <w:rPr>
          <w:rFonts w:ascii="Book Antiqua" w:hAnsi="Book Antiqua"/>
          <w:color w:val="000000"/>
          <w:sz w:val="24"/>
        </w:rPr>
        <w:t xml:space="preserve">: 360-369 [PMID: 12949239 DOI: </w:t>
      </w:r>
      <w:r>
        <w:rPr>
          <w:rFonts w:ascii="Book Antiqua" w:hAnsi="Book Antiqua"/>
          <w:color w:val="000000"/>
          <w:sz w:val="24"/>
        </w:rPr>
        <w:lastRenderedPageBreak/>
        <w:t>10.1189/jlb.0303093]</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26 </w:t>
      </w:r>
      <w:r>
        <w:rPr>
          <w:rFonts w:ascii="Book Antiqua" w:hAnsi="Book Antiqua"/>
          <w:b/>
          <w:bCs/>
          <w:color w:val="000000"/>
          <w:sz w:val="24"/>
        </w:rPr>
        <w:t>Larrubia JR</w:t>
      </w:r>
      <w:r>
        <w:rPr>
          <w:rFonts w:ascii="Book Antiqua" w:hAnsi="Book Antiqua"/>
          <w:color w:val="000000"/>
          <w:sz w:val="24"/>
        </w:rPr>
        <w:t>, Calvino M, Benito S, Sanz-de-Villalobos E, Perna C, Pérez-Hornedo J, González-Mateos F, García-Garzón S, Bienvenido A, Parra T. The role of CCR5/CXCR3 expressing CD8+ cells in liver damage and viral control during persistent hepatitis C virus infection. </w:t>
      </w:r>
      <w:r>
        <w:rPr>
          <w:rFonts w:ascii="Book Antiqua" w:hAnsi="Book Antiqua"/>
          <w:i/>
          <w:iCs/>
          <w:color w:val="000000"/>
          <w:sz w:val="24"/>
        </w:rPr>
        <w:t>J Hepatol</w:t>
      </w:r>
      <w:r>
        <w:rPr>
          <w:rFonts w:ascii="Book Antiqua" w:hAnsi="Book Antiqua"/>
          <w:color w:val="000000"/>
          <w:sz w:val="24"/>
        </w:rPr>
        <w:t> 2007; </w:t>
      </w:r>
      <w:r>
        <w:rPr>
          <w:rFonts w:ascii="Book Antiqua" w:hAnsi="Book Antiqua"/>
          <w:b/>
          <w:bCs/>
          <w:color w:val="000000"/>
          <w:sz w:val="24"/>
        </w:rPr>
        <w:t>47</w:t>
      </w:r>
      <w:r>
        <w:rPr>
          <w:rFonts w:ascii="Book Antiqua" w:hAnsi="Book Antiqua"/>
          <w:color w:val="000000"/>
          <w:sz w:val="24"/>
        </w:rPr>
        <w:t>: 632-641 [PMID: 17560677 DOI: 10.1016/j.jhep.2007.04.009]</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27 </w:t>
      </w:r>
      <w:r>
        <w:rPr>
          <w:rFonts w:ascii="Book Antiqua" w:hAnsi="Book Antiqua"/>
          <w:b/>
          <w:bCs/>
          <w:color w:val="000000"/>
          <w:sz w:val="24"/>
        </w:rPr>
        <w:t>Butera D</w:t>
      </w:r>
      <w:r>
        <w:rPr>
          <w:rFonts w:ascii="Book Antiqua" w:hAnsi="Book Antiqua"/>
          <w:color w:val="000000"/>
          <w:sz w:val="24"/>
        </w:rPr>
        <w:t>, Marukian S, Iwamaye AE, Hembrador E, Chambers TJ, Di Bisceglie AM, Charles ED, Talal AH, Jacobson IM, Rice CM, Dustin LB. Plasma chemokine levels correlate with the outcome of antiviral therapy in patients with hepatitis C. </w:t>
      </w:r>
      <w:r>
        <w:rPr>
          <w:rFonts w:ascii="Book Antiqua" w:hAnsi="Book Antiqua"/>
          <w:i/>
          <w:iCs/>
          <w:color w:val="000000"/>
          <w:sz w:val="24"/>
        </w:rPr>
        <w:t>Blood</w:t>
      </w:r>
      <w:r>
        <w:rPr>
          <w:rFonts w:ascii="Book Antiqua" w:hAnsi="Book Antiqua"/>
          <w:color w:val="000000"/>
          <w:sz w:val="24"/>
        </w:rPr>
        <w:t> 2005; </w:t>
      </w:r>
      <w:r>
        <w:rPr>
          <w:rFonts w:ascii="Book Antiqua" w:hAnsi="Book Antiqua"/>
          <w:b/>
          <w:bCs/>
          <w:color w:val="000000"/>
          <w:sz w:val="24"/>
        </w:rPr>
        <w:t>106</w:t>
      </w:r>
      <w:r>
        <w:rPr>
          <w:rFonts w:ascii="Book Antiqua" w:hAnsi="Book Antiqua"/>
          <w:color w:val="000000"/>
          <w:sz w:val="24"/>
        </w:rPr>
        <w:t>: 1175-1182 [PMID: 15860662 DOI: 10.1182/blood-2005-01-0126]</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28 </w:t>
      </w:r>
      <w:r>
        <w:rPr>
          <w:rFonts w:ascii="Book Antiqua" w:hAnsi="Book Antiqua"/>
          <w:b/>
          <w:bCs/>
          <w:color w:val="000000"/>
          <w:sz w:val="24"/>
        </w:rPr>
        <w:t>Yamauchi K</w:t>
      </w:r>
      <w:r>
        <w:rPr>
          <w:rFonts w:ascii="Book Antiqua" w:hAnsi="Book Antiqua"/>
          <w:color w:val="000000"/>
          <w:sz w:val="24"/>
        </w:rPr>
        <w:t>, Akbar SM, Horiike N, Michitaka K, Onji M. Increased serum levels of macrophage inflammatory protein-3alpha in chronic viral hepatitis: prognostic importance of macrophage inflammatory protein-3alpha during interferon therapy in chronic hepatitis C. </w:t>
      </w:r>
      <w:r>
        <w:rPr>
          <w:rFonts w:ascii="Book Antiqua" w:hAnsi="Book Antiqua"/>
          <w:i/>
          <w:iCs/>
          <w:color w:val="000000"/>
          <w:sz w:val="24"/>
        </w:rPr>
        <w:t>J Viral Hepat</w:t>
      </w:r>
      <w:r>
        <w:rPr>
          <w:rFonts w:ascii="Book Antiqua" w:hAnsi="Book Antiqua"/>
          <w:color w:val="000000"/>
          <w:sz w:val="24"/>
        </w:rPr>
        <w:t> 2002; </w:t>
      </w:r>
      <w:r>
        <w:rPr>
          <w:rFonts w:ascii="Book Antiqua" w:hAnsi="Book Antiqua"/>
          <w:b/>
          <w:bCs/>
          <w:color w:val="000000"/>
          <w:sz w:val="24"/>
        </w:rPr>
        <w:t>9</w:t>
      </w:r>
      <w:r>
        <w:rPr>
          <w:rFonts w:ascii="Book Antiqua" w:hAnsi="Book Antiqua"/>
          <w:color w:val="000000"/>
          <w:sz w:val="24"/>
        </w:rPr>
        <w:t>: 213-220 [PMID: 12010510 DOI: 10.1046/j.1365-2893.2002.00354.x]</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29 </w:t>
      </w:r>
      <w:r>
        <w:rPr>
          <w:rFonts w:ascii="Book Antiqua" w:hAnsi="Book Antiqua"/>
          <w:b/>
          <w:bCs/>
          <w:color w:val="000000"/>
          <w:sz w:val="24"/>
        </w:rPr>
        <w:t>Kaplanski G</w:t>
      </w:r>
      <w:r>
        <w:rPr>
          <w:rFonts w:ascii="Book Antiqua" w:hAnsi="Book Antiqua"/>
          <w:color w:val="000000"/>
          <w:sz w:val="24"/>
        </w:rPr>
        <w:t>, Farnarier C, Payan MJ, Bongrand P, Durand JM. Increased levels of soluble adhesion molecules in the serum of patients with hepatitis C. Correlation with cytokine concentrations and liver inflammation and fibrosis. </w:t>
      </w:r>
      <w:r>
        <w:rPr>
          <w:rFonts w:ascii="Book Antiqua" w:hAnsi="Book Antiqua"/>
          <w:i/>
          <w:iCs/>
          <w:color w:val="000000"/>
          <w:sz w:val="24"/>
        </w:rPr>
        <w:t>Dig Dis Sci</w:t>
      </w:r>
      <w:r>
        <w:rPr>
          <w:rFonts w:ascii="Book Antiqua" w:hAnsi="Book Antiqua"/>
          <w:color w:val="000000"/>
          <w:sz w:val="24"/>
        </w:rPr>
        <w:t> 1997; </w:t>
      </w:r>
      <w:r>
        <w:rPr>
          <w:rFonts w:ascii="Book Antiqua" w:hAnsi="Book Antiqua"/>
          <w:b/>
          <w:bCs/>
          <w:color w:val="000000"/>
          <w:sz w:val="24"/>
        </w:rPr>
        <w:t>42</w:t>
      </w:r>
      <w:r>
        <w:rPr>
          <w:rFonts w:ascii="Book Antiqua" w:hAnsi="Book Antiqua"/>
          <w:color w:val="000000"/>
          <w:sz w:val="24"/>
        </w:rPr>
        <w:t>: 2277-2284 [PMID: 9398806 DOI: 10.1023/A:1018818801824]</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30 </w:t>
      </w:r>
      <w:r>
        <w:rPr>
          <w:rFonts w:ascii="Book Antiqua" w:hAnsi="Book Antiqua"/>
          <w:b/>
          <w:bCs/>
          <w:color w:val="000000"/>
          <w:sz w:val="24"/>
        </w:rPr>
        <w:t>Fukuda R</w:t>
      </w:r>
      <w:r>
        <w:rPr>
          <w:rFonts w:ascii="Book Antiqua" w:hAnsi="Book Antiqua"/>
          <w:color w:val="000000"/>
          <w:sz w:val="24"/>
        </w:rPr>
        <w:t>, Ishimura N, Ishihara S, Chowdhury A, Morlyama N, Nogami C, Miyake T, Niigaki M, Tokuda A, Satoh S, Sakai S, Akagi S, Watanabe M, Fukumoto S. Intrahepatic expression of pro-inflammatory cytokine mRNAs and interferon efficacy in chronic hepatitis C. </w:t>
      </w:r>
      <w:r>
        <w:rPr>
          <w:rFonts w:ascii="Book Antiqua" w:hAnsi="Book Antiqua"/>
          <w:i/>
          <w:iCs/>
          <w:color w:val="000000"/>
          <w:sz w:val="24"/>
        </w:rPr>
        <w:t>Liver</w:t>
      </w:r>
      <w:r>
        <w:rPr>
          <w:rFonts w:ascii="Book Antiqua" w:hAnsi="Book Antiqua"/>
          <w:color w:val="000000"/>
          <w:sz w:val="24"/>
        </w:rPr>
        <w:t> 1996; </w:t>
      </w:r>
      <w:r>
        <w:rPr>
          <w:rFonts w:ascii="Book Antiqua" w:hAnsi="Book Antiqua"/>
          <w:b/>
          <w:bCs/>
          <w:color w:val="000000"/>
          <w:sz w:val="24"/>
        </w:rPr>
        <w:t>16</w:t>
      </w:r>
      <w:r>
        <w:rPr>
          <w:rFonts w:ascii="Book Antiqua" w:hAnsi="Book Antiqua"/>
          <w:color w:val="000000"/>
          <w:sz w:val="24"/>
        </w:rPr>
        <w:t>: 390-399 [PMID: 9021719 DOI: 10.1111/j.1600-0676.1996.tb00768.x]</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31 </w:t>
      </w:r>
      <w:r>
        <w:rPr>
          <w:rFonts w:ascii="Book Antiqua" w:hAnsi="Book Antiqua"/>
          <w:b/>
          <w:bCs/>
          <w:color w:val="000000"/>
          <w:sz w:val="24"/>
        </w:rPr>
        <w:t>Nishitsuji H</w:t>
      </w:r>
      <w:r>
        <w:rPr>
          <w:rFonts w:ascii="Book Antiqua" w:hAnsi="Book Antiqua"/>
          <w:color w:val="000000"/>
          <w:sz w:val="24"/>
        </w:rPr>
        <w:t>, Funami K, Shimizu Y, Ujino S, Sugiyama K, Seya T, Takaku H, Shimotohno K. Hepatitis C virus infection induces inflammatory cytokines and chemokines mediated by the cross talk between hepatocytes and stellate cells. </w:t>
      </w:r>
      <w:r>
        <w:rPr>
          <w:rFonts w:ascii="Book Antiqua" w:hAnsi="Book Antiqua"/>
          <w:i/>
          <w:iCs/>
          <w:color w:val="000000"/>
          <w:sz w:val="24"/>
        </w:rPr>
        <w:t>J Virol</w:t>
      </w:r>
      <w:r>
        <w:rPr>
          <w:rFonts w:ascii="Book Antiqua" w:hAnsi="Book Antiqua"/>
          <w:color w:val="000000"/>
          <w:sz w:val="24"/>
        </w:rPr>
        <w:t> 2013; </w:t>
      </w:r>
      <w:r>
        <w:rPr>
          <w:rFonts w:ascii="Book Antiqua" w:hAnsi="Book Antiqua"/>
          <w:b/>
          <w:bCs/>
          <w:color w:val="000000"/>
          <w:sz w:val="24"/>
        </w:rPr>
        <w:t>87</w:t>
      </w:r>
      <w:r>
        <w:rPr>
          <w:rFonts w:ascii="Book Antiqua" w:hAnsi="Book Antiqua"/>
          <w:color w:val="000000"/>
          <w:sz w:val="24"/>
        </w:rPr>
        <w:t>: 8169-8178 [PMID: 23678168 DOI: 10.1128/JVI.00974-13]</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32 </w:t>
      </w:r>
      <w:r>
        <w:rPr>
          <w:rFonts w:ascii="Book Antiqua" w:hAnsi="Book Antiqua"/>
          <w:b/>
          <w:bCs/>
          <w:color w:val="000000"/>
          <w:sz w:val="24"/>
        </w:rPr>
        <w:t>Li K</w:t>
      </w:r>
      <w:r>
        <w:rPr>
          <w:rFonts w:ascii="Book Antiqua" w:hAnsi="Book Antiqua"/>
          <w:color w:val="000000"/>
          <w:sz w:val="24"/>
        </w:rPr>
        <w:t xml:space="preserve">, Li NL, Wei D, Pfeffer SR, Fan M, Pfeffer LM. Activation of chemokine and inflammatory cytokine response in hepatitis C virus-infected hepatocytes depends on Toll-like receptor 3 sensing of hepatitis C virus double-stranded RNA </w:t>
      </w:r>
      <w:r>
        <w:rPr>
          <w:rFonts w:ascii="Book Antiqua" w:hAnsi="Book Antiqua"/>
          <w:color w:val="000000"/>
          <w:sz w:val="24"/>
        </w:rPr>
        <w:lastRenderedPageBreak/>
        <w:t>intermediates. </w:t>
      </w:r>
      <w:r>
        <w:rPr>
          <w:rFonts w:ascii="Book Antiqua" w:hAnsi="Book Antiqua"/>
          <w:i/>
          <w:iCs/>
          <w:color w:val="000000"/>
          <w:sz w:val="24"/>
        </w:rPr>
        <w:t>Hepatology</w:t>
      </w:r>
      <w:r>
        <w:rPr>
          <w:rFonts w:ascii="Book Antiqua" w:hAnsi="Book Antiqua"/>
          <w:color w:val="000000"/>
          <w:sz w:val="24"/>
        </w:rPr>
        <w:t> 2012; </w:t>
      </w:r>
      <w:r>
        <w:rPr>
          <w:rFonts w:ascii="Book Antiqua" w:hAnsi="Book Antiqua"/>
          <w:b/>
          <w:bCs/>
          <w:color w:val="000000"/>
          <w:sz w:val="24"/>
        </w:rPr>
        <w:t>55</w:t>
      </w:r>
      <w:r>
        <w:rPr>
          <w:rFonts w:ascii="Book Antiqua" w:hAnsi="Book Antiqua"/>
          <w:color w:val="000000"/>
          <w:sz w:val="24"/>
        </w:rPr>
        <w:t>: 666-675 [PMID: 22030901 DOI: 10.1002/hep.24763]</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33 </w:t>
      </w:r>
      <w:r>
        <w:rPr>
          <w:rFonts w:ascii="Book Antiqua" w:hAnsi="Book Antiqua"/>
          <w:b/>
          <w:bCs/>
          <w:color w:val="000000"/>
          <w:sz w:val="24"/>
        </w:rPr>
        <w:t>Wagoner J</w:t>
      </w:r>
      <w:r>
        <w:rPr>
          <w:rFonts w:ascii="Book Antiqua" w:hAnsi="Book Antiqua"/>
          <w:color w:val="000000"/>
          <w:sz w:val="24"/>
        </w:rPr>
        <w:t>, Austin M, Green J, Imaizumi T, Casola A, Brasier A, Khabar KS, Wakita T, Gale M Jr, Polyak SJ. Regulation of CXCL-8 (interleukin-8) induction by double-stranded RNA signaling pathways during hepatitis C virus infection. </w:t>
      </w:r>
      <w:r>
        <w:rPr>
          <w:rFonts w:ascii="Book Antiqua" w:hAnsi="Book Antiqua"/>
          <w:i/>
          <w:iCs/>
          <w:color w:val="000000"/>
          <w:sz w:val="24"/>
        </w:rPr>
        <w:t>J Virol</w:t>
      </w:r>
      <w:r>
        <w:rPr>
          <w:rFonts w:ascii="Book Antiqua" w:hAnsi="Book Antiqua"/>
          <w:color w:val="000000"/>
          <w:sz w:val="24"/>
        </w:rPr>
        <w:t> 2007; </w:t>
      </w:r>
      <w:r>
        <w:rPr>
          <w:rFonts w:ascii="Book Antiqua" w:hAnsi="Book Antiqua"/>
          <w:b/>
          <w:bCs/>
          <w:color w:val="000000"/>
          <w:sz w:val="24"/>
        </w:rPr>
        <w:t>81</w:t>
      </w:r>
      <w:r>
        <w:rPr>
          <w:rFonts w:ascii="Book Antiqua" w:hAnsi="Book Antiqua"/>
          <w:color w:val="000000"/>
          <w:sz w:val="24"/>
        </w:rPr>
        <w:t>: 309-318 [PMID: 17035306 DOI: 10.1128/JVI.01411-06]</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34 </w:t>
      </w:r>
      <w:r>
        <w:rPr>
          <w:rFonts w:ascii="Book Antiqua" w:hAnsi="Book Antiqua"/>
          <w:b/>
          <w:bCs/>
          <w:color w:val="000000"/>
          <w:sz w:val="24"/>
        </w:rPr>
        <w:t>Chattergoon MA</w:t>
      </w:r>
      <w:r>
        <w:rPr>
          <w:rFonts w:ascii="Book Antiqua" w:hAnsi="Book Antiqua"/>
          <w:color w:val="000000"/>
          <w:sz w:val="24"/>
        </w:rPr>
        <w:t>, Latanich R, Quinn J, Winter ME, Buckheit RW 3rd, Blankson JN, Pardoll D, Cox AL. HIV and HCV activate the inflammasome in monocytes and macrophages via endosomal Toll-like receptors without induction of type 1 interferon. </w:t>
      </w:r>
      <w:r>
        <w:rPr>
          <w:rFonts w:ascii="Book Antiqua" w:hAnsi="Book Antiqua"/>
          <w:i/>
          <w:iCs/>
          <w:color w:val="000000"/>
          <w:sz w:val="24"/>
        </w:rPr>
        <w:t>PLoS Pathog</w:t>
      </w:r>
      <w:r>
        <w:rPr>
          <w:rFonts w:ascii="Book Antiqua" w:hAnsi="Book Antiqua"/>
          <w:color w:val="000000"/>
          <w:sz w:val="24"/>
        </w:rPr>
        <w:t> 2014; </w:t>
      </w:r>
      <w:r>
        <w:rPr>
          <w:rFonts w:ascii="Book Antiqua" w:hAnsi="Book Antiqua"/>
          <w:b/>
          <w:bCs/>
          <w:color w:val="000000"/>
          <w:sz w:val="24"/>
        </w:rPr>
        <w:t>10</w:t>
      </w:r>
      <w:r>
        <w:rPr>
          <w:rFonts w:ascii="Book Antiqua" w:hAnsi="Book Antiqua"/>
          <w:color w:val="000000"/>
          <w:sz w:val="24"/>
        </w:rPr>
        <w:t>: e1004082 [PMID: 24788318 DOI: 10.1371/journal.ppat.1004082]</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35 </w:t>
      </w:r>
      <w:r>
        <w:rPr>
          <w:rFonts w:ascii="Book Antiqua" w:hAnsi="Book Antiqua"/>
          <w:b/>
          <w:bCs/>
          <w:color w:val="000000"/>
          <w:sz w:val="24"/>
        </w:rPr>
        <w:t>Negash AA</w:t>
      </w:r>
      <w:r>
        <w:rPr>
          <w:rFonts w:ascii="Book Antiqua" w:hAnsi="Book Antiqua"/>
          <w:color w:val="000000"/>
          <w:sz w:val="24"/>
        </w:rPr>
        <w:t>, Ramos HJ, Crochet N, Lau DT, Doehle B, Papic N, Delker DA, Jo J, Bertoletti A, Hagedorn CH, Gale M Jr. IL-1β production through the NLRP3 inflammasome by hepatic macrophages links hepatitis C virus infection with liver inflammation and disease. </w:t>
      </w:r>
      <w:r>
        <w:rPr>
          <w:rFonts w:ascii="Book Antiqua" w:hAnsi="Book Antiqua"/>
          <w:i/>
          <w:iCs/>
          <w:color w:val="000000"/>
          <w:sz w:val="24"/>
        </w:rPr>
        <w:t>PLoS Pathog</w:t>
      </w:r>
      <w:r>
        <w:rPr>
          <w:rFonts w:ascii="Book Antiqua" w:hAnsi="Book Antiqua"/>
          <w:color w:val="000000"/>
          <w:sz w:val="24"/>
        </w:rPr>
        <w:t> 2013; </w:t>
      </w:r>
      <w:r>
        <w:rPr>
          <w:rFonts w:ascii="Book Antiqua" w:hAnsi="Book Antiqua"/>
          <w:b/>
          <w:bCs/>
          <w:color w:val="000000"/>
          <w:sz w:val="24"/>
        </w:rPr>
        <w:t>9</w:t>
      </w:r>
      <w:r>
        <w:rPr>
          <w:rFonts w:ascii="Book Antiqua" w:hAnsi="Book Antiqua"/>
          <w:color w:val="000000"/>
          <w:sz w:val="24"/>
        </w:rPr>
        <w:t>: e1003330 [PMID: 23633957 DOI: 10.1371/journal.ppat.1003330]</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36 </w:t>
      </w:r>
      <w:r>
        <w:rPr>
          <w:rFonts w:ascii="Book Antiqua" w:hAnsi="Book Antiqua"/>
          <w:b/>
          <w:bCs/>
          <w:color w:val="000000"/>
          <w:sz w:val="24"/>
        </w:rPr>
        <w:t>Dolganiuc A</w:t>
      </w:r>
      <w:r>
        <w:rPr>
          <w:rFonts w:ascii="Book Antiqua" w:hAnsi="Book Antiqua"/>
          <w:color w:val="000000"/>
          <w:sz w:val="24"/>
        </w:rPr>
        <w:t>, Oak S, Kodys K, Golenbock DT, Finberg RW, Kurt-Jones E, Szabo G. Hepatitis C core and nonstructural 3 proteins trigger toll-like receptor 2-mediated pathways and inflammatory activation. </w:t>
      </w:r>
      <w:r>
        <w:rPr>
          <w:rFonts w:ascii="Book Antiqua" w:hAnsi="Book Antiqua"/>
          <w:i/>
          <w:iCs/>
          <w:color w:val="000000"/>
          <w:sz w:val="24"/>
        </w:rPr>
        <w:t>Gastroenterology</w:t>
      </w:r>
      <w:r>
        <w:rPr>
          <w:rFonts w:ascii="Book Antiqua" w:hAnsi="Book Antiqua"/>
          <w:color w:val="000000"/>
          <w:sz w:val="24"/>
        </w:rPr>
        <w:t> 2004; </w:t>
      </w:r>
      <w:r>
        <w:rPr>
          <w:rFonts w:ascii="Book Antiqua" w:hAnsi="Book Antiqua"/>
          <w:b/>
          <w:bCs/>
          <w:color w:val="000000"/>
          <w:sz w:val="24"/>
        </w:rPr>
        <w:t>127</w:t>
      </w:r>
      <w:r>
        <w:rPr>
          <w:rFonts w:ascii="Book Antiqua" w:hAnsi="Book Antiqua"/>
          <w:color w:val="000000"/>
          <w:sz w:val="24"/>
        </w:rPr>
        <w:t>: 1513-1524 [PMID: 15521019 DOI: 10.1053/j.gastro.2004.08.067]</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37 </w:t>
      </w:r>
      <w:r>
        <w:rPr>
          <w:rFonts w:ascii="Book Antiqua" w:hAnsi="Book Antiqua"/>
          <w:b/>
          <w:bCs/>
          <w:color w:val="000000"/>
          <w:sz w:val="24"/>
        </w:rPr>
        <w:t>Machida K</w:t>
      </w:r>
      <w:r>
        <w:rPr>
          <w:rFonts w:ascii="Book Antiqua" w:hAnsi="Book Antiqua"/>
          <w:color w:val="000000"/>
          <w:sz w:val="24"/>
        </w:rPr>
        <w:t>, Cheng KT, Sung VM, Levine AM, Foung S, Lai MM. Hepatitis C virus induces toll-like receptor 4 expression, leading to enhanced production of beta interferon and interleukin-6. </w:t>
      </w:r>
      <w:r>
        <w:rPr>
          <w:rFonts w:ascii="Book Antiqua" w:hAnsi="Book Antiqua"/>
          <w:i/>
          <w:iCs/>
          <w:color w:val="000000"/>
          <w:sz w:val="24"/>
        </w:rPr>
        <w:t>J Virol</w:t>
      </w:r>
      <w:r>
        <w:rPr>
          <w:rFonts w:ascii="Book Antiqua" w:hAnsi="Book Antiqua"/>
          <w:color w:val="000000"/>
          <w:sz w:val="24"/>
        </w:rPr>
        <w:t> 2006; </w:t>
      </w:r>
      <w:r>
        <w:rPr>
          <w:rFonts w:ascii="Book Antiqua" w:hAnsi="Book Antiqua"/>
          <w:b/>
          <w:bCs/>
          <w:color w:val="000000"/>
          <w:sz w:val="24"/>
        </w:rPr>
        <w:t>80</w:t>
      </w:r>
      <w:r>
        <w:rPr>
          <w:rFonts w:ascii="Book Antiqua" w:hAnsi="Book Antiqua"/>
          <w:color w:val="000000"/>
          <w:sz w:val="24"/>
        </w:rPr>
        <w:t>: 866-874 [PMID: 16378988 DOI: 10.1128/JVI.80.2.866-874.2006]</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38 </w:t>
      </w:r>
      <w:r>
        <w:rPr>
          <w:rFonts w:ascii="Book Antiqua" w:hAnsi="Book Antiqua"/>
          <w:b/>
          <w:bCs/>
          <w:color w:val="000000"/>
          <w:sz w:val="24"/>
        </w:rPr>
        <w:t>Nattermann J</w:t>
      </w:r>
      <w:r>
        <w:rPr>
          <w:rFonts w:ascii="Book Antiqua" w:hAnsi="Book Antiqua"/>
          <w:color w:val="000000"/>
          <w:sz w:val="24"/>
        </w:rPr>
        <w:t>, Nischalke HD, Feldmann G, Ahlenstiel G, Sauerbruch T, Spengler U. Binding of HCV E2 to CD81 induces RANTES secretion and internalization of CC chemokine receptor 5. </w:t>
      </w:r>
      <w:r>
        <w:rPr>
          <w:rFonts w:ascii="Book Antiqua" w:hAnsi="Book Antiqua"/>
          <w:i/>
          <w:iCs/>
          <w:color w:val="000000"/>
          <w:sz w:val="24"/>
        </w:rPr>
        <w:t>J Viral Hepat</w:t>
      </w:r>
      <w:r>
        <w:rPr>
          <w:rFonts w:ascii="Book Antiqua" w:hAnsi="Book Antiqua"/>
          <w:color w:val="000000"/>
          <w:sz w:val="24"/>
        </w:rPr>
        <w:t> 2004; </w:t>
      </w:r>
      <w:r>
        <w:rPr>
          <w:rFonts w:ascii="Book Antiqua" w:hAnsi="Book Antiqua"/>
          <w:b/>
          <w:bCs/>
          <w:color w:val="000000"/>
          <w:sz w:val="24"/>
        </w:rPr>
        <w:t>11</w:t>
      </w:r>
      <w:r>
        <w:rPr>
          <w:rFonts w:ascii="Book Antiqua" w:hAnsi="Book Antiqua"/>
          <w:color w:val="000000"/>
          <w:sz w:val="24"/>
        </w:rPr>
        <w:t>: 519-526 [PMID: 15500552 DOI: 10.1111/j.1365-2893.2004.00545.x]</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39 </w:t>
      </w:r>
      <w:r>
        <w:rPr>
          <w:rFonts w:ascii="Book Antiqua" w:hAnsi="Book Antiqua"/>
          <w:b/>
          <w:bCs/>
          <w:color w:val="000000"/>
          <w:sz w:val="24"/>
        </w:rPr>
        <w:t>Yu GY</w:t>
      </w:r>
      <w:r>
        <w:rPr>
          <w:rFonts w:ascii="Book Antiqua" w:hAnsi="Book Antiqua"/>
          <w:color w:val="000000"/>
          <w:sz w:val="24"/>
        </w:rPr>
        <w:t>, He G, Li CY, Tang M, Grivennikov S, Tsai WT, Wu MS, Hsu CW, Tsai Y, Wang LH, Karin M. Hepatic expression of HCV RNA-dependent RNA polymerase triggers innate immune signaling and cytokine production. </w:t>
      </w:r>
      <w:r>
        <w:rPr>
          <w:rFonts w:ascii="Book Antiqua" w:hAnsi="Book Antiqua"/>
          <w:i/>
          <w:iCs/>
          <w:color w:val="000000"/>
          <w:sz w:val="24"/>
        </w:rPr>
        <w:t>Mol Cell</w:t>
      </w:r>
      <w:r>
        <w:rPr>
          <w:rFonts w:ascii="Book Antiqua" w:hAnsi="Book Antiqua"/>
          <w:color w:val="000000"/>
          <w:sz w:val="24"/>
        </w:rPr>
        <w:t> 2012; </w:t>
      </w:r>
      <w:r>
        <w:rPr>
          <w:rFonts w:ascii="Book Antiqua" w:hAnsi="Book Antiqua"/>
          <w:b/>
          <w:bCs/>
          <w:color w:val="000000"/>
          <w:sz w:val="24"/>
        </w:rPr>
        <w:t>48</w:t>
      </w:r>
      <w:r>
        <w:rPr>
          <w:rFonts w:ascii="Book Antiqua" w:hAnsi="Book Antiqua"/>
          <w:color w:val="000000"/>
          <w:sz w:val="24"/>
        </w:rPr>
        <w:t>: 313-321 [PMID: 22959272 DOI: 10.1016/j.molcel.2012.07.032]</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lastRenderedPageBreak/>
        <w:t>40 </w:t>
      </w:r>
      <w:r>
        <w:rPr>
          <w:rFonts w:ascii="Book Antiqua" w:hAnsi="Book Antiqua"/>
          <w:b/>
          <w:bCs/>
          <w:color w:val="000000"/>
          <w:sz w:val="24"/>
        </w:rPr>
        <w:t>Basu A</w:t>
      </w:r>
      <w:r>
        <w:rPr>
          <w:rFonts w:ascii="Book Antiqua" w:hAnsi="Book Antiqua"/>
          <w:color w:val="000000"/>
          <w:sz w:val="24"/>
        </w:rPr>
        <w:t>, Meyer K, Lai KK, Saito K, Di Bisceglie AM, Grosso LE, Ray RB, Ray R. Microarray analyses and molecular profiling of Stat3 signaling pathway induced by hepatitis C virus core protein in human hepatocytes. </w:t>
      </w:r>
      <w:r>
        <w:rPr>
          <w:rFonts w:ascii="Book Antiqua" w:hAnsi="Book Antiqua"/>
          <w:i/>
          <w:iCs/>
          <w:color w:val="000000"/>
          <w:sz w:val="24"/>
        </w:rPr>
        <w:t>Virology</w:t>
      </w:r>
      <w:r>
        <w:rPr>
          <w:rFonts w:ascii="Book Antiqua" w:hAnsi="Book Antiqua"/>
          <w:color w:val="000000"/>
          <w:sz w:val="24"/>
        </w:rPr>
        <w:t> 2006; </w:t>
      </w:r>
      <w:r>
        <w:rPr>
          <w:rFonts w:ascii="Book Antiqua" w:hAnsi="Book Antiqua"/>
          <w:b/>
          <w:bCs/>
          <w:color w:val="000000"/>
          <w:sz w:val="24"/>
        </w:rPr>
        <w:t>349</w:t>
      </w:r>
      <w:r>
        <w:rPr>
          <w:rFonts w:ascii="Book Antiqua" w:hAnsi="Book Antiqua"/>
          <w:color w:val="000000"/>
          <w:sz w:val="24"/>
        </w:rPr>
        <w:t>: 347-358 [PMID: 16545852 DOI: 10.1016/j.virol.2006.02.023]</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41 </w:t>
      </w:r>
      <w:r>
        <w:rPr>
          <w:rFonts w:ascii="Book Antiqua" w:hAnsi="Book Antiqua"/>
          <w:b/>
          <w:bCs/>
          <w:color w:val="000000"/>
          <w:sz w:val="24"/>
        </w:rPr>
        <w:t>Davis BK</w:t>
      </w:r>
      <w:r>
        <w:rPr>
          <w:rFonts w:ascii="Book Antiqua" w:hAnsi="Book Antiqua"/>
          <w:color w:val="000000"/>
          <w:sz w:val="24"/>
        </w:rPr>
        <w:t>, Wen H, Ting JP. The inflammasome NLRs in immunity, inflammation, and associated diseases. </w:t>
      </w:r>
      <w:r>
        <w:rPr>
          <w:rFonts w:ascii="Book Antiqua" w:hAnsi="Book Antiqua"/>
          <w:i/>
          <w:iCs/>
          <w:color w:val="000000"/>
          <w:sz w:val="24"/>
        </w:rPr>
        <w:t>Annu Rev Immunol</w:t>
      </w:r>
      <w:r>
        <w:rPr>
          <w:rFonts w:ascii="Book Antiqua" w:hAnsi="Book Antiqua"/>
          <w:color w:val="000000"/>
          <w:sz w:val="24"/>
        </w:rPr>
        <w:t> 2011; </w:t>
      </w:r>
      <w:r>
        <w:rPr>
          <w:rFonts w:ascii="Book Antiqua" w:hAnsi="Book Antiqua"/>
          <w:b/>
          <w:bCs/>
          <w:color w:val="000000"/>
          <w:sz w:val="24"/>
        </w:rPr>
        <w:t>29</w:t>
      </w:r>
      <w:r>
        <w:rPr>
          <w:rFonts w:ascii="Book Antiqua" w:hAnsi="Book Antiqua"/>
          <w:color w:val="000000"/>
          <w:sz w:val="24"/>
        </w:rPr>
        <w:t>: 707-735 [PMID: 21219188 DOI: 10.1146/annurev-immunol-031210-101405]</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42 </w:t>
      </w:r>
      <w:r>
        <w:rPr>
          <w:rFonts w:ascii="Book Antiqua" w:hAnsi="Book Antiqua"/>
          <w:b/>
          <w:bCs/>
          <w:color w:val="000000"/>
          <w:sz w:val="24"/>
        </w:rPr>
        <w:t>Martinon F</w:t>
      </w:r>
      <w:r>
        <w:rPr>
          <w:rFonts w:ascii="Book Antiqua" w:hAnsi="Book Antiqua"/>
          <w:color w:val="000000"/>
          <w:sz w:val="24"/>
        </w:rPr>
        <w:t>, Burns K, Tschopp J. The inflammasome: a molecular platform triggering activation of inflammatory caspases and processing of proIL-beta. </w:t>
      </w:r>
      <w:r>
        <w:rPr>
          <w:rFonts w:ascii="Book Antiqua" w:hAnsi="Book Antiqua"/>
          <w:i/>
          <w:iCs/>
          <w:color w:val="000000"/>
          <w:sz w:val="24"/>
        </w:rPr>
        <w:t xml:space="preserve">Mol Cell </w:t>
      </w:r>
      <w:r>
        <w:rPr>
          <w:rFonts w:ascii="Book Antiqua" w:hAnsi="Book Antiqua"/>
          <w:color w:val="000000"/>
          <w:sz w:val="24"/>
        </w:rPr>
        <w:t>2002; </w:t>
      </w:r>
      <w:r>
        <w:rPr>
          <w:rFonts w:ascii="Book Antiqua" w:hAnsi="Book Antiqua"/>
          <w:b/>
          <w:bCs/>
          <w:color w:val="000000"/>
          <w:sz w:val="24"/>
        </w:rPr>
        <w:t>10</w:t>
      </w:r>
      <w:r>
        <w:rPr>
          <w:rFonts w:ascii="Book Antiqua" w:hAnsi="Book Antiqua"/>
          <w:color w:val="000000"/>
          <w:sz w:val="24"/>
        </w:rPr>
        <w:t>: 417-426 [PMID: 12191486 DOI: 10.1016/S1097-2765(02)00599-3]</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43 </w:t>
      </w:r>
      <w:r>
        <w:rPr>
          <w:rFonts w:ascii="Book Antiqua" w:hAnsi="Book Antiqua"/>
          <w:b/>
          <w:bCs/>
          <w:color w:val="000000"/>
          <w:sz w:val="24"/>
        </w:rPr>
        <w:t>Capone F</w:t>
      </w:r>
      <w:r>
        <w:rPr>
          <w:rFonts w:ascii="Book Antiqua" w:hAnsi="Book Antiqua"/>
          <w:color w:val="000000"/>
          <w:sz w:val="24"/>
        </w:rPr>
        <w:t>, Guerriero E, Colonna G, Maio P, Mangia A, Castello G, Costantini S. Cytokinome profile evaluation in patients with hepatitis C virus infection. </w:t>
      </w:r>
      <w:r>
        <w:rPr>
          <w:rFonts w:ascii="Book Antiqua" w:hAnsi="Book Antiqua"/>
          <w:i/>
          <w:iCs/>
          <w:color w:val="000000"/>
          <w:sz w:val="24"/>
        </w:rPr>
        <w:t>World J Gastroenterol</w:t>
      </w:r>
      <w:r>
        <w:rPr>
          <w:rFonts w:ascii="Book Antiqua" w:hAnsi="Book Antiqua"/>
          <w:color w:val="000000"/>
          <w:sz w:val="24"/>
        </w:rPr>
        <w:t> 2014; </w:t>
      </w:r>
      <w:r>
        <w:rPr>
          <w:rFonts w:ascii="Book Antiqua" w:hAnsi="Book Antiqua"/>
          <w:b/>
          <w:bCs/>
          <w:color w:val="000000"/>
          <w:sz w:val="24"/>
        </w:rPr>
        <w:t>20</w:t>
      </w:r>
      <w:r>
        <w:rPr>
          <w:rFonts w:ascii="Book Antiqua" w:hAnsi="Book Antiqua"/>
          <w:color w:val="000000"/>
          <w:sz w:val="24"/>
        </w:rPr>
        <w:t>: 9261-9269 [PMID: 25071319 DOI: 10.3748/wjg.v20.i28.9261]</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44 </w:t>
      </w:r>
      <w:r>
        <w:rPr>
          <w:rFonts w:ascii="Book Antiqua" w:hAnsi="Book Antiqua"/>
          <w:b/>
          <w:bCs/>
          <w:color w:val="000000"/>
          <w:sz w:val="24"/>
        </w:rPr>
        <w:t>Chen W</w:t>
      </w:r>
      <w:r>
        <w:rPr>
          <w:rFonts w:ascii="Book Antiqua" w:hAnsi="Book Antiqua"/>
          <w:color w:val="000000"/>
          <w:sz w:val="24"/>
        </w:rPr>
        <w:t>, Xu Y, Li H, Tao W, Xiang Y, Huang B, Niu J, Zhong J, Meng G. HCV genomic RNA activates the NLRP3 inflammasome in human myeloid cells. </w:t>
      </w:r>
      <w:r>
        <w:rPr>
          <w:rFonts w:ascii="Book Antiqua" w:hAnsi="Book Antiqua"/>
          <w:i/>
          <w:iCs/>
          <w:color w:val="000000"/>
          <w:sz w:val="24"/>
        </w:rPr>
        <w:t xml:space="preserve">PLoS One </w:t>
      </w:r>
      <w:r>
        <w:rPr>
          <w:rFonts w:ascii="Book Antiqua" w:hAnsi="Book Antiqua"/>
          <w:color w:val="000000"/>
          <w:sz w:val="24"/>
        </w:rPr>
        <w:t>2014; </w:t>
      </w:r>
      <w:r>
        <w:rPr>
          <w:rFonts w:ascii="Book Antiqua" w:hAnsi="Book Antiqua"/>
          <w:b/>
          <w:bCs/>
          <w:color w:val="000000"/>
          <w:sz w:val="24"/>
        </w:rPr>
        <w:t>9</w:t>
      </w:r>
      <w:r>
        <w:rPr>
          <w:rFonts w:ascii="Book Antiqua" w:hAnsi="Book Antiqua"/>
          <w:color w:val="000000"/>
          <w:sz w:val="24"/>
        </w:rPr>
        <w:t>: e84953 [PMID: 24400125 DOI: 10.1371/journal.pone.0084953]</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45 </w:t>
      </w:r>
      <w:r>
        <w:rPr>
          <w:rFonts w:ascii="Book Antiqua" w:hAnsi="Book Antiqua"/>
          <w:b/>
          <w:bCs/>
          <w:color w:val="000000"/>
          <w:sz w:val="24"/>
        </w:rPr>
        <w:t>Shrivastava S</w:t>
      </w:r>
      <w:r>
        <w:rPr>
          <w:rFonts w:ascii="Book Antiqua" w:hAnsi="Book Antiqua"/>
          <w:color w:val="000000"/>
          <w:sz w:val="24"/>
        </w:rPr>
        <w:t>, Mukherjee A, Ray R, Ray RB. Hepatitis C virus induces interleukin-1β (IL-1β)/IL-18 in circulatory and resident liver macrophages. </w:t>
      </w:r>
      <w:r>
        <w:rPr>
          <w:rFonts w:ascii="Book Antiqua" w:hAnsi="Book Antiqua"/>
          <w:i/>
          <w:iCs/>
          <w:color w:val="000000"/>
          <w:sz w:val="24"/>
        </w:rPr>
        <w:t>J Virol</w:t>
      </w:r>
      <w:r>
        <w:rPr>
          <w:rFonts w:ascii="Book Antiqua" w:hAnsi="Book Antiqua"/>
          <w:color w:val="000000"/>
          <w:sz w:val="24"/>
        </w:rPr>
        <w:t> 2013; </w:t>
      </w:r>
      <w:r>
        <w:rPr>
          <w:rFonts w:ascii="Book Antiqua" w:hAnsi="Book Antiqua"/>
          <w:b/>
          <w:bCs/>
          <w:color w:val="000000"/>
          <w:sz w:val="24"/>
        </w:rPr>
        <w:t>87</w:t>
      </w:r>
      <w:r>
        <w:rPr>
          <w:rFonts w:ascii="Book Antiqua" w:hAnsi="Book Antiqua"/>
          <w:color w:val="000000"/>
          <w:sz w:val="24"/>
        </w:rPr>
        <w:t>: 12284-12290 [PMID: 24006444 DOI: 10.1128/JVI.01962-13]</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46 </w:t>
      </w:r>
      <w:r>
        <w:rPr>
          <w:rFonts w:ascii="Book Antiqua" w:hAnsi="Book Antiqua"/>
          <w:b/>
          <w:bCs/>
          <w:color w:val="000000"/>
          <w:sz w:val="24"/>
        </w:rPr>
        <w:t>Burdette D</w:t>
      </w:r>
      <w:r>
        <w:rPr>
          <w:rFonts w:ascii="Book Antiqua" w:hAnsi="Book Antiqua"/>
          <w:color w:val="000000"/>
          <w:sz w:val="24"/>
        </w:rPr>
        <w:t>, Haskett A, Presser L, McRae S, Iqbal J, Waris G. Hepatitis C virus activates interleukin-1β via caspase-1-inflammasome complex. </w:t>
      </w:r>
      <w:r>
        <w:rPr>
          <w:rFonts w:ascii="Book Antiqua" w:hAnsi="Book Antiqua"/>
          <w:i/>
          <w:iCs/>
          <w:color w:val="000000"/>
          <w:sz w:val="24"/>
        </w:rPr>
        <w:t>J Gen Virol</w:t>
      </w:r>
      <w:r>
        <w:rPr>
          <w:rFonts w:ascii="Book Antiqua" w:hAnsi="Book Antiqua"/>
          <w:color w:val="000000"/>
          <w:sz w:val="24"/>
        </w:rPr>
        <w:t> 2012; </w:t>
      </w:r>
      <w:r>
        <w:rPr>
          <w:rFonts w:ascii="Book Antiqua" w:hAnsi="Book Antiqua"/>
          <w:b/>
          <w:bCs/>
          <w:color w:val="000000"/>
          <w:sz w:val="24"/>
        </w:rPr>
        <w:t>93</w:t>
      </w:r>
      <w:r>
        <w:rPr>
          <w:rFonts w:ascii="Book Antiqua" w:hAnsi="Book Antiqua"/>
          <w:color w:val="000000"/>
          <w:sz w:val="24"/>
        </w:rPr>
        <w:t>: 235-246 [PMID: 21994322 DOI: 10.1099/vir.0.034033-0]</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47 </w:t>
      </w:r>
      <w:r>
        <w:rPr>
          <w:rFonts w:ascii="Book Antiqua" w:hAnsi="Book Antiqua"/>
          <w:b/>
          <w:bCs/>
          <w:color w:val="000000"/>
          <w:sz w:val="24"/>
        </w:rPr>
        <w:t>Farag NS</w:t>
      </w:r>
      <w:r>
        <w:rPr>
          <w:rFonts w:ascii="Book Antiqua" w:hAnsi="Book Antiqua"/>
          <w:color w:val="000000"/>
          <w:sz w:val="24"/>
        </w:rPr>
        <w:t>, Breitinger U, El-Azizi M, Breitinger HG. The p7 viroporin of the hepatitis C virus contributes to liver inflammation by stimulating production of Interleukin-1β. </w:t>
      </w:r>
      <w:r>
        <w:rPr>
          <w:rFonts w:ascii="Book Antiqua" w:hAnsi="Book Antiqua"/>
          <w:i/>
          <w:iCs/>
          <w:color w:val="000000"/>
          <w:sz w:val="24"/>
        </w:rPr>
        <w:t>Biochim Biophys Acta Mol Basis Dis</w:t>
      </w:r>
      <w:r>
        <w:rPr>
          <w:rFonts w:ascii="Book Antiqua" w:hAnsi="Book Antiqua"/>
          <w:color w:val="000000"/>
          <w:sz w:val="24"/>
        </w:rPr>
        <w:t> 2017; </w:t>
      </w:r>
      <w:r>
        <w:rPr>
          <w:rFonts w:ascii="Book Antiqua" w:hAnsi="Book Antiqua"/>
          <w:b/>
          <w:bCs/>
          <w:color w:val="000000"/>
          <w:sz w:val="24"/>
        </w:rPr>
        <w:t>1863</w:t>
      </w:r>
      <w:r>
        <w:rPr>
          <w:rFonts w:ascii="Book Antiqua" w:hAnsi="Book Antiqua"/>
          <w:color w:val="000000"/>
          <w:sz w:val="24"/>
        </w:rPr>
        <w:t>: 712-720 [PMID: 27979709 DOI: 10.1016/j.bbadis.2016.12.006]</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48 </w:t>
      </w:r>
      <w:r>
        <w:rPr>
          <w:rFonts w:ascii="Book Antiqua" w:hAnsi="Book Antiqua"/>
          <w:b/>
          <w:bCs/>
          <w:color w:val="000000"/>
          <w:sz w:val="24"/>
        </w:rPr>
        <w:t>Vollmar B</w:t>
      </w:r>
      <w:r>
        <w:rPr>
          <w:rFonts w:ascii="Book Antiqua" w:hAnsi="Book Antiqua"/>
          <w:color w:val="000000"/>
          <w:sz w:val="24"/>
        </w:rPr>
        <w:t>, Menger MD. The hepatic microcirculation: mechanistic contributions and therapeutic targets in liver injury and repair. </w:t>
      </w:r>
      <w:r>
        <w:rPr>
          <w:rFonts w:ascii="Book Antiqua" w:hAnsi="Book Antiqua"/>
          <w:i/>
          <w:iCs/>
          <w:color w:val="000000"/>
          <w:sz w:val="24"/>
        </w:rPr>
        <w:t>Physiol Rev</w:t>
      </w:r>
      <w:r>
        <w:rPr>
          <w:rFonts w:ascii="Book Antiqua" w:hAnsi="Book Antiqua"/>
          <w:color w:val="000000"/>
          <w:sz w:val="24"/>
        </w:rPr>
        <w:t> 2009; </w:t>
      </w:r>
      <w:r>
        <w:rPr>
          <w:rFonts w:ascii="Book Antiqua" w:hAnsi="Book Antiqua"/>
          <w:b/>
          <w:bCs/>
          <w:color w:val="000000"/>
          <w:sz w:val="24"/>
        </w:rPr>
        <w:t>89</w:t>
      </w:r>
      <w:r>
        <w:rPr>
          <w:rFonts w:ascii="Book Antiqua" w:hAnsi="Book Antiqua"/>
          <w:color w:val="000000"/>
          <w:sz w:val="24"/>
        </w:rPr>
        <w:t>: 1269-1339 [PMID: 19789382 DOI: 10.1152/physrev.00027.2008]</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49 </w:t>
      </w:r>
      <w:r>
        <w:rPr>
          <w:rFonts w:ascii="Book Antiqua" w:hAnsi="Book Antiqua"/>
          <w:b/>
          <w:bCs/>
          <w:color w:val="000000"/>
          <w:sz w:val="24"/>
        </w:rPr>
        <w:t>Atzori L</w:t>
      </w:r>
      <w:r>
        <w:rPr>
          <w:rFonts w:ascii="Book Antiqua" w:hAnsi="Book Antiqua"/>
          <w:color w:val="000000"/>
          <w:sz w:val="24"/>
        </w:rPr>
        <w:t>, Poli G, Perra A. Hepatic stellate cell: a star cell in the liver. </w:t>
      </w:r>
      <w:r>
        <w:rPr>
          <w:rFonts w:ascii="Book Antiqua" w:hAnsi="Book Antiqua"/>
          <w:i/>
          <w:iCs/>
          <w:color w:val="000000"/>
          <w:sz w:val="24"/>
        </w:rPr>
        <w:t>Int J Biochem Cell Biol</w:t>
      </w:r>
      <w:r>
        <w:rPr>
          <w:rFonts w:ascii="Book Antiqua" w:hAnsi="Book Antiqua"/>
          <w:color w:val="000000"/>
          <w:sz w:val="24"/>
        </w:rPr>
        <w:t> 2009; </w:t>
      </w:r>
      <w:r>
        <w:rPr>
          <w:rFonts w:ascii="Book Antiqua" w:hAnsi="Book Antiqua"/>
          <w:b/>
          <w:bCs/>
          <w:color w:val="000000"/>
          <w:sz w:val="24"/>
        </w:rPr>
        <w:t>41</w:t>
      </w:r>
      <w:r>
        <w:rPr>
          <w:rFonts w:ascii="Book Antiqua" w:hAnsi="Book Antiqua"/>
          <w:color w:val="000000"/>
          <w:sz w:val="24"/>
        </w:rPr>
        <w:t>: 1639-1642 [PMID: 19433304 DOI: 10.1016/j.biocel.2009.03.001]</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lastRenderedPageBreak/>
        <w:t>50 </w:t>
      </w:r>
      <w:r>
        <w:rPr>
          <w:rFonts w:ascii="Book Antiqua" w:hAnsi="Book Antiqua"/>
          <w:b/>
          <w:bCs/>
          <w:color w:val="000000"/>
          <w:sz w:val="24"/>
        </w:rPr>
        <w:t>Sidiropoulos K</w:t>
      </w:r>
      <w:r>
        <w:rPr>
          <w:rFonts w:ascii="Book Antiqua" w:hAnsi="Book Antiqua"/>
          <w:color w:val="000000"/>
          <w:sz w:val="24"/>
        </w:rPr>
        <w:t>, Viteri G, Sevilla C, Jupe S, Webber M, Orlic-Milacic M, Jassal B, May B, Shamovsky V, Duenas C, Rothfels K, Matthews L, Song H, Stein L, Haw R, D'Eustachio P, Ping P, Hermjakob H, Fabregat A. Reactome enhanced pathway visualization. </w:t>
      </w:r>
      <w:r>
        <w:rPr>
          <w:rFonts w:ascii="Book Antiqua" w:hAnsi="Book Antiqua"/>
          <w:i/>
          <w:iCs/>
          <w:color w:val="000000"/>
          <w:sz w:val="24"/>
        </w:rPr>
        <w:t>Bioinformatics</w:t>
      </w:r>
      <w:r>
        <w:rPr>
          <w:rFonts w:ascii="Book Antiqua" w:hAnsi="Book Antiqua"/>
          <w:color w:val="000000"/>
          <w:sz w:val="24"/>
        </w:rPr>
        <w:t> 2017; </w:t>
      </w:r>
      <w:r>
        <w:rPr>
          <w:rFonts w:ascii="Book Antiqua" w:hAnsi="Book Antiqua"/>
          <w:b/>
          <w:bCs/>
          <w:color w:val="000000"/>
          <w:sz w:val="24"/>
        </w:rPr>
        <w:t>33</w:t>
      </w:r>
      <w:r>
        <w:rPr>
          <w:rFonts w:ascii="Book Antiqua" w:hAnsi="Book Antiqua"/>
          <w:color w:val="000000"/>
          <w:sz w:val="24"/>
        </w:rPr>
        <w:t>: 3461-3467 [PMID: 29077811 DOI: 10.1093/bioinformatics/btx441]</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51 </w:t>
      </w:r>
      <w:r>
        <w:rPr>
          <w:rFonts w:ascii="Book Antiqua" w:hAnsi="Book Antiqua"/>
          <w:b/>
          <w:bCs/>
          <w:color w:val="000000"/>
          <w:sz w:val="24"/>
        </w:rPr>
        <w:t>Schulze-Krebs A</w:t>
      </w:r>
      <w:r>
        <w:rPr>
          <w:rFonts w:ascii="Book Antiqua" w:hAnsi="Book Antiqua"/>
          <w:color w:val="000000"/>
          <w:sz w:val="24"/>
        </w:rPr>
        <w:t>, Preimel D, Popov Y, Bartenschlager R, Lohmann V, Pinzani M, Schuppan D. Hepatitis C virus-replicating hepatocytes induce fibrogenic activation of hepatic stellate cells. </w:t>
      </w:r>
      <w:r>
        <w:rPr>
          <w:rFonts w:ascii="Book Antiqua" w:hAnsi="Book Antiqua"/>
          <w:i/>
          <w:iCs/>
          <w:color w:val="000000"/>
          <w:sz w:val="24"/>
        </w:rPr>
        <w:t>Gastroenterology</w:t>
      </w:r>
      <w:r>
        <w:rPr>
          <w:rFonts w:ascii="Book Antiqua" w:hAnsi="Book Antiqua"/>
          <w:color w:val="000000"/>
          <w:sz w:val="24"/>
        </w:rPr>
        <w:t> 2005; </w:t>
      </w:r>
      <w:r>
        <w:rPr>
          <w:rFonts w:ascii="Book Antiqua" w:hAnsi="Book Antiqua"/>
          <w:b/>
          <w:bCs/>
          <w:color w:val="000000"/>
          <w:sz w:val="24"/>
        </w:rPr>
        <w:t>129</w:t>
      </w:r>
      <w:r>
        <w:rPr>
          <w:rFonts w:ascii="Book Antiqua" w:hAnsi="Book Antiqua"/>
          <w:color w:val="000000"/>
          <w:sz w:val="24"/>
        </w:rPr>
        <w:t>: 246-258 [PMID: 16012951 DOI: 10.1053/j.gastro.2005.03.089]</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52 </w:t>
      </w:r>
      <w:r>
        <w:rPr>
          <w:rFonts w:ascii="Book Antiqua" w:hAnsi="Book Antiqua"/>
          <w:b/>
          <w:bCs/>
          <w:color w:val="000000"/>
          <w:sz w:val="24"/>
        </w:rPr>
        <w:t>Devhare PB</w:t>
      </w:r>
      <w:r>
        <w:rPr>
          <w:rFonts w:ascii="Book Antiqua" w:hAnsi="Book Antiqua"/>
          <w:color w:val="000000"/>
          <w:sz w:val="24"/>
        </w:rPr>
        <w:t>, Sasaki R, Shrivastava S, Di Bisceglie AM, Ray R, Ray RB. Exosome-Mediated Intercellular Communication between Hepatitis C Virus-Infected Hepatocytes and Hepatic Stellate Cells. </w:t>
      </w:r>
      <w:r>
        <w:rPr>
          <w:rFonts w:ascii="Book Antiqua" w:hAnsi="Book Antiqua"/>
          <w:i/>
          <w:iCs/>
          <w:color w:val="000000"/>
          <w:sz w:val="24"/>
        </w:rPr>
        <w:t>J Virol</w:t>
      </w:r>
      <w:r>
        <w:rPr>
          <w:rFonts w:ascii="Book Antiqua" w:hAnsi="Book Antiqua"/>
          <w:color w:val="000000"/>
          <w:sz w:val="24"/>
        </w:rPr>
        <w:t> 2017; </w:t>
      </w:r>
      <w:r>
        <w:rPr>
          <w:rFonts w:ascii="Book Antiqua" w:hAnsi="Book Antiqua"/>
          <w:b/>
          <w:bCs/>
          <w:color w:val="000000"/>
          <w:sz w:val="24"/>
        </w:rPr>
        <w:t>91</w:t>
      </w:r>
      <w:r>
        <w:rPr>
          <w:rFonts w:ascii="Book Antiqua" w:hAnsi="Book Antiqua"/>
          <w:color w:val="000000"/>
          <w:sz w:val="24"/>
        </w:rPr>
        <w:t xml:space="preserve"> [PMID: 28077652 DOI: 10.1128/JVI.02225-16]</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53 </w:t>
      </w:r>
      <w:r>
        <w:rPr>
          <w:rFonts w:ascii="Book Antiqua" w:hAnsi="Book Antiqua"/>
          <w:b/>
          <w:bCs/>
          <w:color w:val="000000"/>
          <w:sz w:val="24"/>
        </w:rPr>
        <w:t>Florimond A</w:t>
      </w:r>
      <w:r>
        <w:rPr>
          <w:rFonts w:ascii="Book Antiqua" w:hAnsi="Book Antiqua"/>
          <w:color w:val="000000"/>
          <w:sz w:val="24"/>
        </w:rPr>
        <w:t>, Chouteau P, Bruscella P, Le Seyec J, Mérour E, Ahnou N, Mallat A, Lotersztajn S, Pawlotsky JM. Human hepatic stellate cells are not permissive for hepatitis C virus entry and replication. </w:t>
      </w:r>
      <w:r>
        <w:rPr>
          <w:rFonts w:ascii="Book Antiqua" w:hAnsi="Book Antiqua"/>
          <w:i/>
          <w:iCs/>
          <w:color w:val="000000"/>
          <w:sz w:val="24"/>
        </w:rPr>
        <w:t>Gut</w:t>
      </w:r>
      <w:r>
        <w:rPr>
          <w:rFonts w:ascii="Book Antiqua" w:hAnsi="Book Antiqua"/>
          <w:color w:val="000000"/>
          <w:sz w:val="24"/>
        </w:rPr>
        <w:t> 2015; </w:t>
      </w:r>
      <w:r>
        <w:rPr>
          <w:rFonts w:ascii="Book Antiqua" w:hAnsi="Book Antiqua"/>
          <w:b/>
          <w:bCs/>
          <w:color w:val="000000"/>
          <w:sz w:val="24"/>
        </w:rPr>
        <w:t>64</w:t>
      </w:r>
      <w:r>
        <w:rPr>
          <w:rFonts w:ascii="Book Antiqua" w:hAnsi="Book Antiqua"/>
          <w:color w:val="000000"/>
          <w:sz w:val="24"/>
        </w:rPr>
        <w:t>: 957-965 [PMID: 25063678 DOI: 10.1136/gutjnl-2013-305634]</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54 </w:t>
      </w:r>
      <w:r>
        <w:rPr>
          <w:rFonts w:ascii="Book Antiqua" w:hAnsi="Book Antiqua"/>
          <w:b/>
          <w:bCs/>
          <w:color w:val="000000"/>
          <w:sz w:val="24"/>
        </w:rPr>
        <w:t>Sasaki R</w:t>
      </w:r>
      <w:r>
        <w:rPr>
          <w:rFonts w:ascii="Book Antiqua" w:hAnsi="Book Antiqua"/>
          <w:color w:val="000000"/>
          <w:sz w:val="24"/>
        </w:rPr>
        <w:t>, Devhare PB, Steele R, Ray R, Ray RB. Hepatitis C virus-induced CCL5 secretion from macrophages activates hepatic stellate cells. </w:t>
      </w:r>
      <w:r>
        <w:rPr>
          <w:rFonts w:ascii="Book Antiqua" w:hAnsi="Book Antiqua"/>
          <w:i/>
          <w:iCs/>
          <w:color w:val="000000"/>
          <w:sz w:val="24"/>
        </w:rPr>
        <w:t>Hepatology</w:t>
      </w:r>
      <w:r>
        <w:rPr>
          <w:rFonts w:ascii="Book Antiqua" w:hAnsi="Book Antiqua"/>
          <w:color w:val="000000"/>
          <w:sz w:val="24"/>
        </w:rPr>
        <w:t> 2017; </w:t>
      </w:r>
      <w:r>
        <w:rPr>
          <w:rFonts w:ascii="Book Antiqua" w:hAnsi="Book Antiqua"/>
          <w:b/>
          <w:bCs/>
          <w:color w:val="000000"/>
          <w:sz w:val="24"/>
        </w:rPr>
        <w:t>66</w:t>
      </w:r>
      <w:r>
        <w:rPr>
          <w:rFonts w:ascii="Book Antiqua" w:hAnsi="Book Antiqua"/>
          <w:color w:val="000000"/>
          <w:sz w:val="24"/>
        </w:rPr>
        <w:t>: 746-757 [PMID: 28318046 DOI: 10.1002/hep.29170]</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55 </w:t>
      </w:r>
      <w:r>
        <w:rPr>
          <w:rFonts w:ascii="Book Antiqua" w:hAnsi="Book Antiqua"/>
          <w:b/>
          <w:bCs/>
          <w:color w:val="000000"/>
          <w:sz w:val="24"/>
        </w:rPr>
        <w:t>Takahashi K</w:t>
      </w:r>
      <w:r>
        <w:rPr>
          <w:rFonts w:ascii="Book Antiqua" w:hAnsi="Book Antiqua"/>
          <w:color w:val="000000"/>
          <w:sz w:val="24"/>
        </w:rPr>
        <w:t>, Asabe S, Wieland S, Garaigorta U, Gastaminza P, Isogawa M, Chisari FV. Plasmacytoid dendritic cells sense hepatitis C virus-infected cells, produce interferon, and inhibit infection. </w:t>
      </w:r>
      <w:r>
        <w:rPr>
          <w:rFonts w:ascii="Book Antiqua" w:hAnsi="Book Antiqua"/>
          <w:i/>
          <w:iCs/>
          <w:color w:val="000000"/>
          <w:sz w:val="24"/>
        </w:rPr>
        <w:t>Proc Natl Acad Sci USA</w:t>
      </w:r>
      <w:r>
        <w:rPr>
          <w:rFonts w:ascii="Book Antiqua" w:hAnsi="Book Antiqua"/>
          <w:color w:val="000000"/>
          <w:sz w:val="24"/>
        </w:rPr>
        <w:t> 2010; </w:t>
      </w:r>
      <w:r>
        <w:rPr>
          <w:rFonts w:ascii="Book Antiqua" w:hAnsi="Book Antiqua"/>
          <w:b/>
          <w:bCs/>
          <w:color w:val="000000"/>
          <w:sz w:val="24"/>
        </w:rPr>
        <w:t>107</w:t>
      </w:r>
      <w:r>
        <w:rPr>
          <w:rFonts w:ascii="Book Antiqua" w:hAnsi="Book Antiqua"/>
          <w:color w:val="000000"/>
          <w:sz w:val="24"/>
        </w:rPr>
        <w:t>: 7431-7436 [PMID: 20231459 DOI: 10.1073/pnas.1002301107]</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56 </w:t>
      </w:r>
      <w:r>
        <w:rPr>
          <w:rFonts w:ascii="Book Antiqua" w:hAnsi="Book Antiqua"/>
          <w:b/>
          <w:bCs/>
          <w:color w:val="000000"/>
          <w:sz w:val="24"/>
        </w:rPr>
        <w:t>Brault C</w:t>
      </w:r>
      <w:r>
        <w:rPr>
          <w:rFonts w:ascii="Book Antiqua" w:hAnsi="Book Antiqua"/>
          <w:color w:val="000000"/>
          <w:sz w:val="24"/>
        </w:rPr>
        <w:t>, Levy PL, Bartosch B. Hepatitis C virus-induced mitochondrial dysfunctions. </w:t>
      </w:r>
      <w:r>
        <w:rPr>
          <w:rFonts w:ascii="Book Antiqua" w:hAnsi="Book Antiqua"/>
          <w:i/>
          <w:iCs/>
          <w:color w:val="000000"/>
          <w:sz w:val="24"/>
        </w:rPr>
        <w:t>Viruses</w:t>
      </w:r>
      <w:r>
        <w:rPr>
          <w:rFonts w:ascii="Book Antiqua" w:hAnsi="Book Antiqua"/>
          <w:color w:val="000000"/>
          <w:sz w:val="24"/>
        </w:rPr>
        <w:t> 2013; </w:t>
      </w:r>
      <w:r>
        <w:rPr>
          <w:rFonts w:ascii="Book Antiqua" w:hAnsi="Book Antiqua"/>
          <w:b/>
          <w:bCs/>
          <w:color w:val="000000"/>
          <w:sz w:val="24"/>
        </w:rPr>
        <w:t>5</w:t>
      </w:r>
      <w:r>
        <w:rPr>
          <w:rFonts w:ascii="Book Antiqua" w:hAnsi="Book Antiqua"/>
          <w:color w:val="000000"/>
          <w:sz w:val="24"/>
        </w:rPr>
        <w:t>: 954-980 [PMID: 23518579 DOI: 10.3390/v5030954]</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57 </w:t>
      </w:r>
      <w:r>
        <w:rPr>
          <w:rFonts w:ascii="Book Antiqua" w:hAnsi="Book Antiqua"/>
          <w:b/>
          <w:bCs/>
          <w:color w:val="000000"/>
          <w:sz w:val="24"/>
        </w:rPr>
        <w:t>Fujita N</w:t>
      </w:r>
      <w:r>
        <w:rPr>
          <w:rFonts w:ascii="Book Antiqua" w:hAnsi="Book Antiqua"/>
          <w:color w:val="000000"/>
          <w:sz w:val="24"/>
        </w:rPr>
        <w:t>, Sugimoto R, Ma N, Tanaka H, Iwasa M, Kobayashi Y, Kawanishi S, Watanabe S, Kaito M, Takei Y. Comparison of hepatic oxidative DNA damage in patients with chronic hepatitis B and C. </w:t>
      </w:r>
      <w:r>
        <w:rPr>
          <w:rFonts w:ascii="Book Antiqua" w:hAnsi="Book Antiqua"/>
          <w:i/>
          <w:iCs/>
          <w:color w:val="000000"/>
          <w:sz w:val="24"/>
        </w:rPr>
        <w:t>J Viral Hepat</w:t>
      </w:r>
      <w:r>
        <w:rPr>
          <w:rFonts w:ascii="Book Antiqua" w:hAnsi="Book Antiqua"/>
          <w:color w:val="000000"/>
          <w:sz w:val="24"/>
        </w:rPr>
        <w:t> 2008; </w:t>
      </w:r>
      <w:r>
        <w:rPr>
          <w:rFonts w:ascii="Book Antiqua" w:hAnsi="Book Antiqua"/>
          <w:b/>
          <w:bCs/>
          <w:color w:val="000000"/>
          <w:sz w:val="24"/>
        </w:rPr>
        <w:t>15</w:t>
      </w:r>
      <w:r>
        <w:rPr>
          <w:rFonts w:ascii="Book Antiqua" w:hAnsi="Book Antiqua"/>
          <w:color w:val="000000"/>
          <w:sz w:val="24"/>
        </w:rPr>
        <w:t>: 498-507 [PMID: 18331251 DOI: 10.1111/j.1365-2893.2008.00972.x]</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58 </w:t>
      </w:r>
      <w:r>
        <w:rPr>
          <w:rFonts w:ascii="Book Antiqua" w:hAnsi="Book Antiqua"/>
          <w:b/>
          <w:bCs/>
          <w:color w:val="000000"/>
          <w:sz w:val="24"/>
        </w:rPr>
        <w:t>Ivanov AV</w:t>
      </w:r>
      <w:r>
        <w:rPr>
          <w:rFonts w:ascii="Book Antiqua" w:hAnsi="Book Antiqua"/>
          <w:color w:val="000000"/>
          <w:sz w:val="24"/>
        </w:rPr>
        <w:t xml:space="preserve">, Bartosch B, Smirnova OA, Isaguliants MG, Kochetkov SN. HCV and </w:t>
      </w:r>
      <w:r>
        <w:rPr>
          <w:rFonts w:ascii="Book Antiqua" w:hAnsi="Book Antiqua"/>
          <w:color w:val="000000"/>
          <w:sz w:val="24"/>
        </w:rPr>
        <w:lastRenderedPageBreak/>
        <w:t>oxidative stress in the liver. </w:t>
      </w:r>
      <w:r>
        <w:rPr>
          <w:rFonts w:ascii="Book Antiqua" w:hAnsi="Book Antiqua"/>
          <w:i/>
          <w:iCs/>
          <w:color w:val="000000"/>
          <w:sz w:val="24"/>
        </w:rPr>
        <w:t>Viruses</w:t>
      </w:r>
      <w:r>
        <w:rPr>
          <w:rFonts w:ascii="Book Antiqua" w:hAnsi="Book Antiqua"/>
          <w:color w:val="000000"/>
          <w:sz w:val="24"/>
        </w:rPr>
        <w:t> 2013; </w:t>
      </w:r>
      <w:r>
        <w:rPr>
          <w:rFonts w:ascii="Book Antiqua" w:hAnsi="Book Antiqua"/>
          <w:b/>
          <w:bCs/>
          <w:color w:val="000000"/>
          <w:sz w:val="24"/>
        </w:rPr>
        <w:t>5</w:t>
      </w:r>
      <w:r>
        <w:rPr>
          <w:rFonts w:ascii="Book Antiqua" w:hAnsi="Book Antiqua"/>
          <w:color w:val="000000"/>
          <w:sz w:val="24"/>
        </w:rPr>
        <w:t>: 439-469 [PMID: 23358390 DOI: 10.3390/v5020439]</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59 </w:t>
      </w:r>
      <w:r>
        <w:rPr>
          <w:rFonts w:ascii="Book Antiqua" w:hAnsi="Book Antiqua"/>
          <w:b/>
          <w:bCs/>
          <w:color w:val="000000"/>
          <w:sz w:val="24"/>
        </w:rPr>
        <w:t>Tsutsumi T</w:t>
      </w:r>
      <w:r>
        <w:rPr>
          <w:rFonts w:ascii="Book Antiqua" w:hAnsi="Book Antiqua"/>
          <w:color w:val="000000"/>
          <w:sz w:val="24"/>
        </w:rPr>
        <w:t>, Matsuda M, Aizaki H, Moriya K, Miyoshi H, Fujie H, Shintani Y, Yotsuyanagi H, Miyamura T, Suzuki T, Koike K. Proteomics analysis of mitochondrial proteins reveals overexpression of a mitochondrial protein chaperon, prohibitin, in cells expressing hepatitis C virus core protein. </w:t>
      </w:r>
      <w:r>
        <w:rPr>
          <w:rFonts w:ascii="Book Antiqua" w:hAnsi="Book Antiqua"/>
          <w:i/>
          <w:iCs/>
          <w:color w:val="000000"/>
          <w:sz w:val="24"/>
        </w:rPr>
        <w:t>Hepatology</w:t>
      </w:r>
      <w:r>
        <w:rPr>
          <w:rFonts w:ascii="Book Antiqua" w:hAnsi="Book Antiqua"/>
          <w:color w:val="000000"/>
          <w:sz w:val="24"/>
        </w:rPr>
        <w:t> 2009; </w:t>
      </w:r>
      <w:r>
        <w:rPr>
          <w:rFonts w:ascii="Book Antiqua" w:hAnsi="Book Antiqua"/>
          <w:b/>
          <w:bCs/>
          <w:color w:val="000000"/>
          <w:sz w:val="24"/>
        </w:rPr>
        <w:t>50</w:t>
      </w:r>
      <w:r>
        <w:rPr>
          <w:rFonts w:ascii="Book Antiqua" w:hAnsi="Book Antiqua"/>
          <w:color w:val="000000"/>
          <w:sz w:val="24"/>
        </w:rPr>
        <w:t>: 378-386 [PMID: 19591124 DOI: 10.1002/hep.22998]</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60 </w:t>
      </w:r>
      <w:r>
        <w:rPr>
          <w:rFonts w:ascii="Book Antiqua" w:hAnsi="Book Antiqua"/>
          <w:b/>
          <w:bCs/>
          <w:color w:val="000000"/>
          <w:sz w:val="24"/>
        </w:rPr>
        <w:t>de Mochel NS</w:t>
      </w:r>
      <w:r>
        <w:rPr>
          <w:rFonts w:ascii="Book Antiqua" w:hAnsi="Book Antiqua"/>
          <w:color w:val="000000"/>
          <w:sz w:val="24"/>
        </w:rPr>
        <w:t>, Seronello S, Wang SH, Ito C, Zheng JX, Liang TJ, Lambeth JD, Choi J. Hepatocyte NAD(P)H oxidases as an endogenous source of reactive oxygen species during hepatitis C virus infection. </w:t>
      </w:r>
      <w:r>
        <w:rPr>
          <w:rFonts w:ascii="Book Antiqua" w:hAnsi="Book Antiqua"/>
          <w:i/>
          <w:iCs/>
          <w:color w:val="000000"/>
          <w:sz w:val="24"/>
        </w:rPr>
        <w:t>Hepatology</w:t>
      </w:r>
      <w:r>
        <w:rPr>
          <w:rFonts w:ascii="Book Antiqua" w:hAnsi="Book Antiqua"/>
          <w:color w:val="000000"/>
          <w:sz w:val="24"/>
        </w:rPr>
        <w:t> 2010; </w:t>
      </w:r>
      <w:r>
        <w:rPr>
          <w:rFonts w:ascii="Book Antiqua" w:hAnsi="Book Antiqua"/>
          <w:b/>
          <w:bCs/>
          <w:color w:val="000000"/>
          <w:sz w:val="24"/>
        </w:rPr>
        <w:t>52</w:t>
      </w:r>
      <w:r>
        <w:rPr>
          <w:rFonts w:ascii="Book Antiqua" w:hAnsi="Book Antiqua"/>
          <w:color w:val="000000"/>
          <w:sz w:val="24"/>
        </w:rPr>
        <w:t>: 47-59 [PMID: 20578128 DOI: 10.1002/hep.23671]</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61 </w:t>
      </w:r>
      <w:r>
        <w:rPr>
          <w:rFonts w:ascii="Book Antiqua" w:hAnsi="Book Antiqua"/>
          <w:b/>
          <w:bCs/>
          <w:color w:val="000000"/>
          <w:sz w:val="24"/>
        </w:rPr>
        <w:t>Boudreau HE</w:t>
      </w:r>
      <w:r>
        <w:rPr>
          <w:rFonts w:ascii="Book Antiqua" w:hAnsi="Book Antiqua"/>
          <w:color w:val="000000"/>
          <w:sz w:val="24"/>
        </w:rPr>
        <w:t>, Emerson SU, Korzeniowska A, Jendrysik MA, Leto TL. Hepatitis C virus (HCV) proteins induce NADPH oxidase 4 expression in a transforming growth factor beta-dependent manner: a new contributor to HCV-induced oxidative stress. </w:t>
      </w:r>
      <w:r>
        <w:rPr>
          <w:rFonts w:ascii="Book Antiqua" w:hAnsi="Book Antiqua"/>
          <w:i/>
          <w:iCs/>
          <w:color w:val="000000"/>
          <w:sz w:val="24"/>
        </w:rPr>
        <w:t>J Virol</w:t>
      </w:r>
      <w:r>
        <w:rPr>
          <w:rFonts w:ascii="Book Antiqua" w:hAnsi="Book Antiqua"/>
          <w:color w:val="000000"/>
          <w:sz w:val="24"/>
        </w:rPr>
        <w:t> 2009; </w:t>
      </w:r>
      <w:r>
        <w:rPr>
          <w:rFonts w:ascii="Book Antiqua" w:hAnsi="Book Antiqua"/>
          <w:b/>
          <w:bCs/>
          <w:color w:val="000000"/>
          <w:sz w:val="24"/>
        </w:rPr>
        <w:t>83</w:t>
      </w:r>
      <w:r>
        <w:rPr>
          <w:rFonts w:ascii="Book Antiqua" w:hAnsi="Book Antiqua"/>
          <w:color w:val="000000"/>
          <w:sz w:val="24"/>
        </w:rPr>
        <w:t>: 12934-12946 [PMID: 19812163 DOI: 10.1128/JVI.01059-09]</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62 </w:t>
      </w:r>
      <w:r>
        <w:rPr>
          <w:rFonts w:ascii="Book Antiqua" w:hAnsi="Book Antiqua"/>
          <w:b/>
          <w:bCs/>
          <w:color w:val="000000"/>
          <w:sz w:val="24"/>
        </w:rPr>
        <w:t>Reuter S</w:t>
      </w:r>
      <w:r>
        <w:rPr>
          <w:rFonts w:ascii="Book Antiqua" w:hAnsi="Book Antiqua"/>
          <w:color w:val="000000"/>
          <w:sz w:val="24"/>
        </w:rPr>
        <w:t>, Gupta SC, Chaturvedi MM, Aggarwal BB. Oxidative stress, inflammation, and cancer: how are they linked? </w:t>
      </w:r>
      <w:r>
        <w:rPr>
          <w:rFonts w:ascii="Book Antiqua" w:hAnsi="Book Antiqua"/>
          <w:i/>
          <w:iCs/>
          <w:color w:val="000000"/>
          <w:sz w:val="24"/>
        </w:rPr>
        <w:t>Free Radic Biol Med</w:t>
      </w:r>
      <w:r>
        <w:rPr>
          <w:rFonts w:ascii="Book Antiqua" w:hAnsi="Book Antiqua"/>
          <w:color w:val="000000"/>
          <w:sz w:val="24"/>
        </w:rPr>
        <w:t> 2010; </w:t>
      </w:r>
      <w:r>
        <w:rPr>
          <w:rFonts w:ascii="Book Antiqua" w:hAnsi="Book Antiqua"/>
          <w:b/>
          <w:bCs/>
          <w:color w:val="000000"/>
          <w:sz w:val="24"/>
        </w:rPr>
        <w:t>49</w:t>
      </w:r>
      <w:r>
        <w:rPr>
          <w:rFonts w:ascii="Book Antiqua" w:hAnsi="Book Antiqua"/>
          <w:color w:val="000000"/>
          <w:sz w:val="24"/>
        </w:rPr>
        <w:t>: 1603-1616 [PMID: 20840865 DOI: 10.1016/j.freeradbiomed.2010.09.006]</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63 </w:t>
      </w:r>
      <w:r>
        <w:rPr>
          <w:rFonts w:ascii="Book Antiqua" w:hAnsi="Book Antiqua"/>
          <w:b/>
          <w:bCs/>
          <w:color w:val="000000"/>
          <w:sz w:val="24"/>
        </w:rPr>
        <w:t>Kuroki M</w:t>
      </w:r>
      <w:r>
        <w:rPr>
          <w:rFonts w:ascii="Book Antiqua" w:hAnsi="Book Antiqua"/>
          <w:color w:val="000000"/>
          <w:sz w:val="24"/>
        </w:rPr>
        <w:t>, Ariumi Y, Ikeda M, Dansako H, Wakita T, Kato N. Arsenic trioxide inhibits hepatitis C virus RNA replication through modulation of the glutathione redox system and oxidative stress. </w:t>
      </w:r>
      <w:r>
        <w:rPr>
          <w:rFonts w:ascii="Book Antiqua" w:hAnsi="Book Antiqua"/>
          <w:i/>
          <w:iCs/>
          <w:color w:val="000000"/>
          <w:sz w:val="24"/>
        </w:rPr>
        <w:t>J Virol</w:t>
      </w:r>
      <w:r>
        <w:rPr>
          <w:rFonts w:ascii="Book Antiqua" w:hAnsi="Book Antiqua"/>
          <w:color w:val="000000"/>
          <w:sz w:val="24"/>
        </w:rPr>
        <w:t> 2009; </w:t>
      </w:r>
      <w:r>
        <w:rPr>
          <w:rFonts w:ascii="Book Antiqua" w:hAnsi="Book Antiqua"/>
          <w:b/>
          <w:bCs/>
          <w:color w:val="000000"/>
          <w:sz w:val="24"/>
        </w:rPr>
        <w:t>83</w:t>
      </w:r>
      <w:r>
        <w:rPr>
          <w:rFonts w:ascii="Book Antiqua" w:hAnsi="Book Antiqua"/>
          <w:color w:val="000000"/>
          <w:sz w:val="24"/>
        </w:rPr>
        <w:t>: 2338-2348 [PMID: 19109388 DOI: 10.1128/JVI.01840-08]</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64 </w:t>
      </w:r>
      <w:r>
        <w:rPr>
          <w:rFonts w:ascii="Book Antiqua" w:hAnsi="Book Antiqua"/>
          <w:b/>
          <w:bCs/>
          <w:color w:val="000000"/>
          <w:sz w:val="24"/>
        </w:rPr>
        <w:t>Presser LD</w:t>
      </w:r>
      <w:r>
        <w:rPr>
          <w:rFonts w:ascii="Book Antiqua" w:hAnsi="Book Antiqua"/>
          <w:color w:val="000000"/>
          <w:sz w:val="24"/>
        </w:rPr>
        <w:t>, McRae S, Waris G. Activation of TGF-β1 promoter by hepatitis C virus-induced AP-1 and Sp1: role of TGF-β1 in hepatic stellate cell activation and invasion. </w:t>
      </w:r>
      <w:r>
        <w:rPr>
          <w:rFonts w:ascii="Book Antiqua" w:hAnsi="Book Antiqua"/>
          <w:i/>
          <w:iCs/>
          <w:color w:val="000000"/>
          <w:sz w:val="24"/>
        </w:rPr>
        <w:t>PLoS One</w:t>
      </w:r>
      <w:r>
        <w:rPr>
          <w:rFonts w:ascii="Book Antiqua" w:hAnsi="Book Antiqua"/>
          <w:color w:val="000000"/>
          <w:sz w:val="24"/>
        </w:rPr>
        <w:t> 2013; </w:t>
      </w:r>
      <w:r>
        <w:rPr>
          <w:rFonts w:ascii="Book Antiqua" w:hAnsi="Book Antiqua"/>
          <w:b/>
          <w:bCs/>
          <w:color w:val="000000"/>
          <w:sz w:val="24"/>
        </w:rPr>
        <w:t>8</w:t>
      </w:r>
      <w:r>
        <w:rPr>
          <w:rFonts w:ascii="Book Antiqua" w:hAnsi="Book Antiqua"/>
          <w:color w:val="000000"/>
          <w:sz w:val="24"/>
        </w:rPr>
        <w:t>: e56367 [PMID: 23437118 DOI: 10.1371/journal.pone.0056367]</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65 </w:t>
      </w:r>
      <w:r>
        <w:rPr>
          <w:rFonts w:ascii="Book Antiqua" w:hAnsi="Book Antiqua"/>
          <w:b/>
          <w:bCs/>
          <w:color w:val="000000"/>
          <w:sz w:val="24"/>
        </w:rPr>
        <w:t>Machida K</w:t>
      </w:r>
      <w:r>
        <w:rPr>
          <w:rFonts w:ascii="Book Antiqua" w:hAnsi="Book Antiqua"/>
          <w:color w:val="000000"/>
          <w:sz w:val="24"/>
        </w:rPr>
        <w:t>, Cheng KT, Lai CK, Jeng KS, Sung VM, Lai MM. Hepatitis C virus triggers mitochondrial permeability transition with production of reactive oxygen species, leading to DNA damage and STAT3 activation. </w:t>
      </w:r>
      <w:r>
        <w:rPr>
          <w:rFonts w:ascii="Book Antiqua" w:hAnsi="Book Antiqua"/>
          <w:i/>
          <w:iCs/>
          <w:color w:val="000000"/>
          <w:sz w:val="24"/>
        </w:rPr>
        <w:t>J Virol</w:t>
      </w:r>
      <w:r>
        <w:rPr>
          <w:rFonts w:ascii="Book Antiqua" w:hAnsi="Book Antiqua"/>
          <w:color w:val="000000"/>
          <w:sz w:val="24"/>
        </w:rPr>
        <w:t> 2006; </w:t>
      </w:r>
      <w:r>
        <w:rPr>
          <w:rFonts w:ascii="Book Antiqua" w:hAnsi="Book Antiqua"/>
          <w:b/>
          <w:bCs/>
          <w:color w:val="000000"/>
          <w:sz w:val="24"/>
        </w:rPr>
        <w:t>80</w:t>
      </w:r>
      <w:r>
        <w:rPr>
          <w:rFonts w:ascii="Book Antiqua" w:hAnsi="Book Antiqua"/>
          <w:color w:val="000000"/>
          <w:sz w:val="24"/>
        </w:rPr>
        <w:t>: 7199-7207 [PMID: 16809325 DOI: 10.1128/JVI.00321-06]</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66 </w:t>
      </w:r>
      <w:r>
        <w:rPr>
          <w:rFonts w:ascii="Book Antiqua" w:hAnsi="Book Antiqua"/>
          <w:b/>
          <w:bCs/>
          <w:color w:val="000000"/>
          <w:sz w:val="24"/>
        </w:rPr>
        <w:t>Tardif KD</w:t>
      </w:r>
      <w:r>
        <w:rPr>
          <w:rFonts w:ascii="Book Antiqua" w:hAnsi="Book Antiqua"/>
          <w:color w:val="000000"/>
          <w:sz w:val="24"/>
        </w:rPr>
        <w:t xml:space="preserve">, Waris G, Siddiqui A. Hepatitis C virus, ER stress, and oxidative </w:t>
      </w:r>
      <w:r>
        <w:rPr>
          <w:rFonts w:ascii="Book Antiqua" w:hAnsi="Book Antiqua"/>
          <w:color w:val="000000"/>
          <w:sz w:val="24"/>
        </w:rPr>
        <w:lastRenderedPageBreak/>
        <w:t>stress. </w:t>
      </w:r>
      <w:r>
        <w:rPr>
          <w:rFonts w:ascii="Book Antiqua" w:hAnsi="Book Antiqua"/>
          <w:i/>
          <w:iCs/>
          <w:color w:val="000000"/>
          <w:sz w:val="24"/>
        </w:rPr>
        <w:t>Trends Microbiol</w:t>
      </w:r>
      <w:r>
        <w:rPr>
          <w:rFonts w:ascii="Book Antiqua" w:hAnsi="Book Antiqua"/>
          <w:color w:val="000000"/>
          <w:sz w:val="24"/>
        </w:rPr>
        <w:t> 2005; </w:t>
      </w:r>
      <w:r>
        <w:rPr>
          <w:rFonts w:ascii="Book Antiqua" w:hAnsi="Book Antiqua"/>
          <w:b/>
          <w:bCs/>
          <w:color w:val="000000"/>
          <w:sz w:val="24"/>
        </w:rPr>
        <w:t>13</w:t>
      </w:r>
      <w:r>
        <w:rPr>
          <w:rFonts w:ascii="Book Antiqua" w:hAnsi="Book Antiqua"/>
          <w:color w:val="000000"/>
          <w:sz w:val="24"/>
        </w:rPr>
        <w:t>: 159-163 [PMID: 15817385 DOI: 10.1016/j.tim.2005.02.004]</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67 </w:t>
      </w:r>
      <w:r>
        <w:rPr>
          <w:rFonts w:ascii="Book Antiqua" w:hAnsi="Book Antiqua"/>
          <w:b/>
          <w:bCs/>
          <w:color w:val="000000"/>
          <w:sz w:val="24"/>
        </w:rPr>
        <w:t>von dem Bussche A</w:t>
      </w:r>
      <w:r>
        <w:rPr>
          <w:rFonts w:ascii="Book Antiqua" w:hAnsi="Book Antiqua"/>
          <w:color w:val="000000"/>
          <w:sz w:val="24"/>
        </w:rPr>
        <w:t>, Machida R, Li K, Loevinsohn G, Khander A, Wang J, Wakita T, Wands JR, Li J. Hepatitis C virus NS2 protein triggers endoplasmic reticulum stress and suppresses its own viral replication. </w:t>
      </w:r>
      <w:r>
        <w:rPr>
          <w:rFonts w:ascii="Book Antiqua" w:hAnsi="Book Antiqua"/>
          <w:i/>
          <w:iCs/>
          <w:color w:val="000000"/>
          <w:sz w:val="24"/>
        </w:rPr>
        <w:t>J Hepatol</w:t>
      </w:r>
      <w:r>
        <w:rPr>
          <w:rFonts w:ascii="Book Antiqua" w:hAnsi="Book Antiqua"/>
          <w:color w:val="000000"/>
          <w:sz w:val="24"/>
        </w:rPr>
        <w:t> 2010; </w:t>
      </w:r>
      <w:r>
        <w:rPr>
          <w:rFonts w:ascii="Book Antiqua" w:hAnsi="Book Antiqua"/>
          <w:b/>
          <w:bCs/>
          <w:color w:val="000000"/>
          <w:sz w:val="24"/>
        </w:rPr>
        <w:t>53</w:t>
      </w:r>
      <w:r>
        <w:rPr>
          <w:rFonts w:ascii="Book Antiqua" w:hAnsi="Book Antiqua"/>
          <w:color w:val="000000"/>
          <w:sz w:val="24"/>
        </w:rPr>
        <w:t>: 797-804 [PMID: 20801537 DOI: 10.1016/j.jhep.2010.05.022]</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68 </w:t>
      </w:r>
      <w:r>
        <w:rPr>
          <w:rFonts w:ascii="Book Antiqua" w:hAnsi="Book Antiqua"/>
          <w:b/>
          <w:bCs/>
          <w:color w:val="000000"/>
          <w:sz w:val="24"/>
        </w:rPr>
        <w:t>Liberman E</w:t>
      </w:r>
      <w:r>
        <w:rPr>
          <w:rFonts w:ascii="Book Antiqua" w:hAnsi="Book Antiqua"/>
          <w:color w:val="000000"/>
          <w:sz w:val="24"/>
        </w:rPr>
        <w:t>, Fong YL, Selby MJ, Choo QL, Cousens L, Houghton M, Yen TS. Activation of the grp78 and grp94 promoters by hepatitis C virus E2 envelope protein. </w:t>
      </w:r>
      <w:r>
        <w:rPr>
          <w:rFonts w:ascii="Book Antiqua" w:hAnsi="Book Antiqua"/>
          <w:i/>
          <w:iCs/>
          <w:color w:val="000000"/>
          <w:sz w:val="24"/>
        </w:rPr>
        <w:t>J Virol</w:t>
      </w:r>
      <w:r>
        <w:rPr>
          <w:rFonts w:ascii="Book Antiqua" w:hAnsi="Book Antiqua"/>
          <w:color w:val="000000"/>
          <w:sz w:val="24"/>
        </w:rPr>
        <w:t> 1999; </w:t>
      </w:r>
      <w:r>
        <w:rPr>
          <w:rFonts w:ascii="Book Antiqua" w:hAnsi="Book Antiqua"/>
          <w:b/>
          <w:bCs/>
          <w:color w:val="000000"/>
          <w:sz w:val="24"/>
        </w:rPr>
        <w:t>73</w:t>
      </w:r>
      <w:r>
        <w:rPr>
          <w:rFonts w:ascii="Book Antiqua" w:hAnsi="Book Antiqua"/>
          <w:color w:val="000000"/>
          <w:sz w:val="24"/>
        </w:rPr>
        <w:t>: 3718-3722 [PMID: 10196264]</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69 </w:t>
      </w:r>
      <w:r>
        <w:rPr>
          <w:rFonts w:ascii="Book Antiqua" w:hAnsi="Book Antiqua"/>
          <w:b/>
          <w:bCs/>
          <w:color w:val="000000"/>
          <w:sz w:val="24"/>
        </w:rPr>
        <w:t>Merquiol E</w:t>
      </w:r>
      <w:r>
        <w:rPr>
          <w:rFonts w:ascii="Book Antiqua" w:hAnsi="Book Antiqua"/>
          <w:color w:val="000000"/>
          <w:sz w:val="24"/>
        </w:rPr>
        <w:t>, Uzi D, Mueller T, Goldenberg D, Nahmias Y, Xavier RJ, Tirosh B, Shibolet O. HCV causes chronic endoplasmic reticulum stress leading to adaptation and interference with the unfolded protein response. </w:t>
      </w:r>
      <w:r>
        <w:rPr>
          <w:rFonts w:ascii="Book Antiqua" w:hAnsi="Book Antiqua"/>
          <w:i/>
          <w:iCs/>
          <w:color w:val="000000"/>
          <w:sz w:val="24"/>
        </w:rPr>
        <w:t>PLoS One</w:t>
      </w:r>
      <w:r>
        <w:rPr>
          <w:rFonts w:ascii="Book Antiqua" w:hAnsi="Book Antiqua"/>
          <w:color w:val="000000"/>
          <w:sz w:val="24"/>
        </w:rPr>
        <w:t> 2011; </w:t>
      </w:r>
      <w:r>
        <w:rPr>
          <w:rFonts w:ascii="Book Antiqua" w:hAnsi="Book Antiqua"/>
          <w:b/>
          <w:bCs/>
          <w:color w:val="000000"/>
          <w:sz w:val="24"/>
        </w:rPr>
        <w:t>6</w:t>
      </w:r>
      <w:r>
        <w:rPr>
          <w:rFonts w:ascii="Book Antiqua" w:hAnsi="Book Antiqua"/>
          <w:color w:val="000000"/>
          <w:sz w:val="24"/>
        </w:rPr>
        <w:t>: e24660 [PMID: 21949742 DOI: 10.1371/journal.pone.0024660]</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70 </w:t>
      </w:r>
      <w:r>
        <w:rPr>
          <w:rFonts w:ascii="Book Antiqua" w:hAnsi="Book Antiqua"/>
          <w:b/>
          <w:bCs/>
          <w:color w:val="000000"/>
          <w:sz w:val="24"/>
        </w:rPr>
        <w:t>Hasnain SZ</w:t>
      </w:r>
      <w:r>
        <w:rPr>
          <w:rFonts w:ascii="Book Antiqua" w:hAnsi="Book Antiqua"/>
          <w:color w:val="000000"/>
          <w:sz w:val="24"/>
        </w:rPr>
        <w:t>, Lourie R, Das I, Chen AC, McGuckin MA. The interplay between endoplasmic reticulum stress and inflammation. </w:t>
      </w:r>
      <w:r>
        <w:rPr>
          <w:rFonts w:ascii="Book Antiqua" w:hAnsi="Book Antiqua"/>
          <w:i/>
          <w:iCs/>
          <w:color w:val="000000"/>
          <w:sz w:val="24"/>
        </w:rPr>
        <w:t>Immunol Cell Biol</w:t>
      </w:r>
      <w:r>
        <w:rPr>
          <w:rFonts w:ascii="Book Antiqua" w:hAnsi="Book Antiqua"/>
          <w:color w:val="000000"/>
          <w:sz w:val="24"/>
        </w:rPr>
        <w:t> 2012; </w:t>
      </w:r>
      <w:r>
        <w:rPr>
          <w:rFonts w:ascii="Book Antiqua" w:hAnsi="Book Antiqua"/>
          <w:b/>
          <w:bCs/>
          <w:color w:val="000000"/>
          <w:sz w:val="24"/>
        </w:rPr>
        <w:t>90</w:t>
      </w:r>
      <w:r>
        <w:rPr>
          <w:rFonts w:ascii="Book Antiqua" w:hAnsi="Book Antiqua"/>
          <w:color w:val="000000"/>
          <w:sz w:val="24"/>
        </w:rPr>
        <w:t>: 260-270 [PMID: 22249202 DOI: 10.1038/icb.2011.112]</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71 </w:t>
      </w:r>
      <w:r>
        <w:rPr>
          <w:rFonts w:ascii="Book Antiqua" w:hAnsi="Book Antiqua"/>
          <w:b/>
          <w:bCs/>
          <w:color w:val="000000"/>
          <w:sz w:val="24"/>
        </w:rPr>
        <w:t>Waris G</w:t>
      </w:r>
      <w:r>
        <w:rPr>
          <w:rFonts w:ascii="Book Antiqua" w:hAnsi="Book Antiqua"/>
          <w:color w:val="000000"/>
          <w:sz w:val="24"/>
        </w:rPr>
        <w:t>, Tardif KD, Siddiqui A. Endoplasmic reticulum (ER) stress: hepatitis C virus induces an ER-nucleus signal transduction pathway and activates NF-kappaB and STAT-3. </w:t>
      </w:r>
      <w:r>
        <w:rPr>
          <w:rFonts w:ascii="Book Antiqua" w:hAnsi="Book Antiqua"/>
          <w:i/>
          <w:iCs/>
          <w:color w:val="000000"/>
          <w:sz w:val="24"/>
        </w:rPr>
        <w:t>Biochem Pharmacol</w:t>
      </w:r>
      <w:r>
        <w:rPr>
          <w:rFonts w:ascii="Book Antiqua" w:hAnsi="Book Antiqua"/>
          <w:color w:val="000000"/>
          <w:sz w:val="24"/>
        </w:rPr>
        <w:t> 2002; </w:t>
      </w:r>
      <w:r>
        <w:rPr>
          <w:rFonts w:ascii="Book Antiqua" w:hAnsi="Book Antiqua"/>
          <w:b/>
          <w:bCs/>
          <w:color w:val="000000"/>
          <w:sz w:val="24"/>
        </w:rPr>
        <w:t>64</w:t>
      </w:r>
      <w:r>
        <w:rPr>
          <w:rFonts w:ascii="Book Antiqua" w:hAnsi="Book Antiqua"/>
          <w:color w:val="000000"/>
          <w:sz w:val="24"/>
        </w:rPr>
        <w:t>: 1425-1430 [PMID: 12417255 DOI: 10.1016/S0006-2952(02)01300-X]</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72 </w:t>
      </w:r>
      <w:r>
        <w:rPr>
          <w:rFonts w:ascii="Book Antiqua" w:hAnsi="Book Antiqua"/>
          <w:b/>
          <w:bCs/>
          <w:color w:val="000000"/>
          <w:sz w:val="24"/>
        </w:rPr>
        <w:t>Kacheva S</w:t>
      </w:r>
      <w:r>
        <w:rPr>
          <w:rFonts w:ascii="Book Antiqua" w:hAnsi="Book Antiqua"/>
          <w:color w:val="000000"/>
          <w:sz w:val="24"/>
        </w:rPr>
        <w:t>, Lenzen S, Gurgul-Convey E. Differential effects of proinflammatory cytokines on cell death and ER stress in insulin-secreting INS1E cells and the involvement of nitric oxide. </w:t>
      </w:r>
      <w:r>
        <w:rPr>
          <w:rFonts w:ascii="Book Antiqua" w:hAnsi="Book Antiqua"/>
          <w:i/>
          <w:iCs/>
          <w:color w:val="000000"/>
          <w:sz w:val="24"/>
        </w:rPr>
        <w:t>Cytokine</w:t>
      </w:r>
      <w:r>
        <w:rPr>
          <w:rFonts w:ascii="Book Antiqua" w:hAnsi="Book Antiqua"/>
          <w:color w:val="000000"/>
          <w:sz w:val="24"/>
        </w:rPr>
        <w:t> 2011; </w:t>
      </w:r>
      <w:r>
        <w:rPr>
          <w:rFonts w:ascii="Book Antiqua" w:hAnsi="Book Antiqua"/>
          <w:b/>
          <w:bCs/>
          <w:color w:val="000000"/>
          <w:sz w:val="24"/>
        </w:rPr>
        <w:t>55</w:t>
      </w:r>
      <w:r>
        <w:rPr>
          <w:rFonts w:ascii="Book Antiqua" w:hAnsi="Book Antiqua"/>
          <w:color w:val="000000"/>
          <w:sz w:val="24"/>
        </w:rPr>
        <w:t>: 195-201 [PMID: 21531147 DOI: 10.1016/j.cyto.2011.04.002]</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73 </w:t>
      </w:r>
      <w:r>
        <w:rPr>
          <w:rFonts w:ascii="Book Antiqua" w:hAnsi="Book Antiqua"/>
          <w:b/>
          <w:bCs/>
          <w:color w:val="000000"/>
          <w:sz w:val="24"/>
        </w:rPr>
        <w:t>Xue X</w:t>
      </w:r>
      <w:r>
        <w:rPr>
          <w:rFonts w:ascii="Book Antiqua" w:hAnsi="Book Antiqua"/>
          <w:color w:val="000000"/>
          <w:sz w:val="24"/>
        </w:rPr>
        <w:t>, Piao JH, Nakajima A, Sakon-Komazawa S, Kojima Y, Mori K, Yagita H, Okumura K, Harding H, Nakano H. Tumor necrosis factor alpha (TNFalpha) induces the unfolded protein response (UPR) in a reactive oxygen species (ROS)-dependent fashion, and the UPR counteracts ROS accumulation by TNFalpha. </w:t>
      </w:r>
      <w:r>
        <w:rPr>
          <w:rFonts w:ascii="Book Antiqua" w:hAnsi="Book Antiqua"/>
          <w:i/>
          <w:iCs/>
          <w:color w:val="000000"/>
          <w:sz w:val="24"/>
        </w:rPr>
        <w:t>J Biol Chem</w:t>
      </w:r>
      <w:r>
        <w:rPr>
          <w:rFonts w:ascii="Book Antiqua" w:hAnsi="Book Antiqua"/>
          <w:color w:val="000000"/>
          <w:sz w:val="24"/>
        </w:rPr>
        <w:t>2005; </w:t>
      </w:r>
      <w:r>
        <w:rPr>
          <w:rFonts w:ascii="Book Antiqua" w:hAnsi="Book Antiqua"/>
          <w:b/>
          <w:bCs/>
          <w:color w:val="000000"/>
          <w:sz w:val="24"/>
        </w:rPr>
        <w:t>280</w:t>
      </w:r>
      <w:r>
        <w:rPr>
          <w:rFonts w:ascii="Book Antiqua" w:hAnsi="Book Antiqua"/>
          <w:color w:val="000000"/>
          <w:sz w:val="24"/>
        </w:rPr>
        <w:t>: 33917-33925 [PMID: 16107336 DOI: 10.1074/jbc.M505818200]</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74 </w:t>
      </w:r>
      <w:r>
        <w:rPr>
          <w:rFonts w:ascii="Book Antiqua" w:hAnsi="Book Antiqua"/>
          <w:b/>
          <w:bCs/>
          <w:color w:val="000000"/>
          <w:sz w:val="24"/>
        </w:rPr>
        <w:t>Federico A</w:t>
      </w:r>
      <w:r>
        <w:rPr>
          <w:rFonts w:ascii="Book Antiqua" w:hAnsi="Book Antiqua"/>
          <w:color w:val="000000"/>
          <w:sz w:val="24"/>
        </w:rPr>
        <w:t xml:space="preserve">, Aitella E, Sgambato D, Savoia A, De Bartolomeis F, Dallio M, Ruocco E, Pezone L, Abbondanza C, Loguercio C, Astarita C. Telaprevir may induce adverse </w:t>
      </w:r>
      <w:r>
        <w:rPr>
          <w:rFonts w:ascii="Book Antiqua" w:hAnsi="Book Antiqua"/>
          <w:color w:val="000000"/>
          <w:sz w:val="24"/>
        </w:rPr>
        <w:lastRenderedPageBreak/>
        <w:t>cutaneous reactions by a T cell immune-mediated mechanism. </w:t>
      </w:r>
      <w:r>
        <w:rPr>
          <w:rFonts w:ascii="Book Antiqua" w:hAnsi="Book Antiqua"/>
          <w:i/>
          <w:iCs/>
          <w:color w:val="000000"/>
          <w:sz w:val="24"/>
        </w:rPr>
        <w:t>Ann Hepatol</w:t>
      </w:r>
      <w:r>
        <w:rPr>
          <w:rFonts w:ascii="Book Antiqua" w:hAnsi="Book Antiqua"/>
          <w:color w:val="000000"/>
          <w:sz w:val="24"/>
        </w:rPr>
        <w:t> 2015; </w:t>
      </w:r>
      <w:r>
        <w:rPr>
          <w:rFonts w:ascii="Book Antiqua" w:hAnsi="Book Antiqua"/>
          <w:b/>
          <w:bCs/>
          <w:color w:val="000000"/>
          <w:sz w:val="24"/>
        </w:rPr>
        <w:t>14</w:t>
      </w:r>
      <w:r>
        <w:rPr>
          <w:rFonts w:ascii="Book Antiqua" w:hAnsi="Book Antiqua"/>
          <w:color w:val="000000"/>
          <w:sz w:val="24"/>
        </w:rPr>
        <w:t>: 420-424 [PMID: 25864225]</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75 </w:t>
      </w:r>
      <w:r>
        <w:rPr>
          <w:rFonts w:ascii="Book Antiqua" w:hAnsi="Book Antiqua"/>
          <w:b/>
          <w:bCs/>
          <w:color w:val="000000"/>
          <w:sz w:val="24"/>
        </w:rPr>
        <w:t>Kim S</w:t>
      </w:r>
      <w:r>
        <w:rPr>
          <w:rFonts w:ascii="Book Antiqua" w:hAnsi="Book Antiqua"/>
          <w:color w:val="000000"/>
          <w:sz w:val="24"/>
        </w:rPr>
        <w:t>, Han KH, Ahn SH. Hepatitis C Virus and Antiviral Drug Resistance. </w:t>
      </w:r>
      <w:r>
        <w:rPr>
          <w:rFonts w:ascii="Book Antiqua" w:hAnsi="Book Antiqua"/>
          <w:i/>
          <w:iCs/>
          <w:color w:val="000000"/>
          <w:sz w:val="24"/>
        </w:rPr>
        <w:t>Gut Liver</w:t>
      </w:r>
      <w:r>
        <w:rPr>
          <w:rFonts w:ascii="Book Antiqua" w:hAnsi="Book Antiqua"/>
          <w:color w:val="000000"/>
          <w:sz w:val="24"/>
        </w:rPr>
        <w:t> 2016; </w:t>
      </w:r>
      <w:r>
        <w:rPr>
          <w:rFonts w:ascii="Book Antiqua" w:hAnsi="Book Antiqua"/>
          <w:b/>
          <w:bCs/>
          <w:color w:val="000000"/>
          <w:sz w:val="24"/>
        </w:rPr>
        <w:t>10</w:t>
      </w:r>
      <w:r>
        <w:rPr>
          <w:rFonts w:ascii="Book Antiqua" w:hAnsi="Book Antiqua"/>
          <w:color w:val="000000"/>
          <w:sz w:val="24"/>
        </w:rPr>
        <w:t>: 890-895 [PMID: 27784846 DOI: 10.5009/gnl15573]</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76 </w:t>
      </w:r>
      <w:r>
        <w:rPr>
          <w:rFonts w:ascii="Book Antiqua" w:hAnsi="Book Antiqua"/>
          <w:b/>
          <w:bCs/>
          <w:color w:val="000000"/>
          <w:sz w:val="24"/>
        </w:rPr>
        <w:t>Dyson JK</w:t>
      </w:r>
      <w:r>
        <w:rPr>
          <w:rFonts w:ascii="Book Antiqua" w:hAnsi="Book Antiqua"/>
          <w:color w:val="000000"/>
          <w:sz w:val="24"/>
        </w:rPr>
        <w:t>, Hutchinson J, Harrison L, Rotimi O, Tiniakos D, Foster GR, Aldersley MA, McPherson S. Liver toxicity associated with sofosbuvir, an NS5A inhibitor and ribavirin use. </w:t>
      </w:r>
      <w:r>
        <w:rPr>
          <w:rFonts w:ascii="Book Antiqua" w:hAnsi="Book Antiqua"/>
          <w:i/>
          <w:iCs/>
          <w:color w:val="000000"/>
          <w:sz w:val="24"/>
        </w:rPr>
        <w:t>J Hepatol</w:t>
      </w:r>
      <w:r>
        <w:rPr>
          <w:rFonts w:ascii="Book Antiqua" w:hAnsi="Book Antiqua"/>
          <w:color w:val="000000"/>
          <w:sz w:val="24"/>
        </w:rPr>
        <w:t> 2016; </w:t>
      </w:r>
      <w:r>
        <w:rPr>
          <w:rFonts w:ascii="Book Antiqua" w:hAnsi="Book Antiqua"/>
          <w:b/>
          <w:bCs/>
          <w:color w:val="000000"/>
          <w:sz w:val="24"/>
        </w:rPr>
        <w:t>64</w:t>
      </w:r>
      <w:r>
        <w:rPr>
          <w:rFonts w:ascii="Book Antiqua" w:hAnsi="Book Antiqua"/>
          <w:color w:val="000000"/>
          <w:sz w:val="24"/>
        </w:rPr>
        <w:t>: 234-238 [PMID: 26325535 DOI: 10.1016/j.jhep.2015.07.041]</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77 </w:t>
      </w:r>
      <w:r>
        <w:rPr>
          <w:rFonts w:ascii="Book Antiqua" w:hAnsi="Book Antiqua"/>
          <w:b/>
          <w:bCs/>
          <w:color w:val="000000"/>
          <w:sz w:val="24"/>
        </w:rPr>
        <w:t>Wang C</w:t>
      </w:r>
      <w:r>
        <w:rPr>
          <w:rFonts w:ascii="Book Antiqua" w:hAnsi="Book Antiqua"/>
          <w:color w:val="000000"/>
          <w:sz w:val="24"/>
        </w:rPr>
        <w:t>, Ji D, Chen J, Shao Q, Li B, Liu J, Wu V, Wong A, Wang Y, Zhang X, Lu L, Wong C, Tsang S, Zhang Z, Sun J, Hou J, Chen G, Lau G. Hepatitis due to Reactivation of Hepatitis B Virus in Endemic Areas Among Patients With Hepatitis C Treated With Direct-acting Antiviral Agents. </w:t>
      </w:r>
      <w:r>
        <w:rPr>
          <w:rFonts w:ascii="Book Antiqua" w:hAnsi="Book Antiqua"/>
          <w:i/>
          <w:iCs/>
          <w:color w:val="000000"/>
          <w:sz w:val="24"/>
        </w:rPr>
        <w:t>Clin Gastroenterol Hepatol</w:t>
      </w:r>
      <w:r>
        <w:rPr>
          <w:rFonts w:ascii="Book Antiqua" w:hAnsi="Book Antiqua"/>
          <w:color w:val="000000"/>
          <w:sz w:val="24"/>
        </w:rPr>
        <w:t> 2017; </w:t>
      </w:r>
      <w:r>
        <w:rPr>
          <w:rFonts w:ascii="Book Antiqua" w:hAnsi="Book Antiqua"/>
          <w:b/>
          <w:bCs/>
          <w:color w:val="000000"/>
          <w:sz w:val="24"/>
        </w:rPr>
        <w:t>15</w:t>
      </w:r>
      <w:r>
        <w:rPr>
          <w:rFonts w:ascii="Book Antiqua" w:hAnsi="Book Antiqua"/>
          <w:color w:val="000000"/>
          <w:sz w:val="24"/>
        </w:rPr>
        <w:t>: 132-136 [PMID: 27392759 DOI: 10.1016/j.cgh.2016.06.023]</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78 </w:t>
      </w:r>
      <w:r>
        <w:rPr>
          <w:rFonts w:ascii="Book Antiqua" w:hAnsi="Book Antiqua"/>
          <w:b/>
          <w:bCs/>
          <w:color w:val="000000"/>
          <w:sz w:val="24"/>
        </w:rPr>
        <w:t>Lam P</w:t>
      </w:r>
      <w:r>
        <w:rPr>
          <w:rFonts w:ascii="Book Antiqua" w:hAnsi="Book Antiqua"/>
          <w:color w:val="000000"/>
          <w:sz w:val="24"/>
        </w:rPr>
        <w:t>, Cheung F, Tan HY, Wang N, Yuen MF, Feng Y. Hepatoprotective Effects of Chinese Medicinal Herbs: A Focus on Anti-Inflammatory and Anti-Oxidative Activities. </w:t>
      </w:r>
      <w:r>
        <w:rPr>
          <w:rFonts w:ascii="Book Antiqua" w:hAnsi="Book Antiqua"/>
          <w:i/>
          <w:iCs/>
          <w:color w:val="000000"/>
          <w:sz w:val="24"/>
        </w:rPr>
        <w:t>Int J Mol Sci</w:t>
      </w:r>
      <w:r>
        <w:rPr>
          <w:rFonts w:ascii="Book Antiqua" w:hAnsi="Book Antiqua"/>
          <w:color w:val="000000"/>
          <w:sz w:val="24"/>
        </w:rPr>
        <w:t> 2016; </w:t>
      </w:r>
      <w:r>
        <w:rPr>
          <w:rFonts w:ascii="Book Antiqua" w:hAnsi="Book Antiqua"/>
          <w:b/>
          <w:bCs/>
          <w:color w:val="000000"/>
          <w:sz w:val="24"/>
        </w:rPr>
        <w:t>17</w:t>
      </w:r>
      <w:r>
        <w:rPr>
          <w:rFonts w:ascii="Book Antiqua" w:hAnsi="Book Antiqua"/>
          <w:color w:val="000000"/>
          <w:sz w:val="24"/>
        </w:rPr>
        <w:t>: 465 [PMID: 27043533 DOI: 10.3390/ijms17040465]</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79 </w:t>
      </w:r>
      <w:r>
        <w:rPr>
          <w:rFonts w:ascii="Book Antiqua" w:hAnsi="Book Antiqua"/>
          <w:b/>
          <w:bCs/>
          <w:color w:val="000000"/>
          <w:sz w:val="24"/>
        </w:rPr>
        <w:t>Chua LS</w:t>
      </w:r>
      <w:r>
        <w:rPr>
          <w:rFonts w:ascii="Book Antiqua" w:hAnsi="Book Antiqua"/>
          <w:color w:val="000000"/>
          <w:sz w:val="24"/>
        </w:rPr>
        <w:t>. Review on liver inflammation and antiinflammatory activity of Andrographis paniculata for hepatoprotection. </w:t>
      </w:r>
      <w:r>
        <w:rPr>
          <w:rFonts w:ascii="Book Antiqua" w:hAnsi="Book Antiqua"/>
          <w:i/>
          <w:iCs/>
          <w:color w:val="000000"/>
          <w:sz w:val="24"/>
        </w:rPr>
        <w:t>Phytother Res</w:t>
      </w:r>
      <w:r>
        <w:rPr>
          <w:rFonts w:ascii="Book Antiqua" w:hAnsi="Book Antiqua"/>
          <w:color w:val="000000"/>
          <w:sz w:val="24"/>
        </w:rPr>
        <w:t> 2014; </w:t>
      </w:r>
      <w:r>
        <w:rPr>
          <w:rFonts w:ascii="Book Antiqua" w:hAnsi="Book Antiqua"/>
          <w:b/>
          <w:bCs/>
          <w:color w:val="000000"/>
          <w:sz w:val="24"/>
        </w:rPr>
        <w:t>28</w:t>
      </w:r>
      <w:r>
        <w:rPr>
          <w:rFonts w:ascii="Book Antiqua" w:hAnsi="Book Antiqua"/>
          <w:color w:val="000000"/>
          <w:sz w:val="24"/>
        </w:rPr>
        <w:t>: 1589-1598 [PMID: 25043965 DOI: 10.1002/ptr.5193]</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80 </w:t>
      </w:r>
      <w:r>
        <w:rPr>
          <w:rFonts w:ascii="Book Antiqua" w:hAnsi="Book Antiqua"/>
          <w:b/>
          <w:bCs/>
          <w:color w:val="000000"/>
          <w:sz w:val="24"/>
        </w:rPr>
        <w:t>Domitrović R</w:t>
      </w:r>
      <w:r>
        <w:rPr>
          <w:rFonts w:ascii="Book Antiqua" w:hAnsi="Book Antiqua"/>
          <w:color w:val="000000"/>
          <w:sz w:val="24"/>
        </w:rPr>
        <w:t>, Potočnjak I. A comprehensive overview of hepatoprotective natural compounds: mechanism of action and clinical perspectives. </w:t>
      </w:r>
      <w:r>
        <w:rPr>
          <w:rFonts w:ascii="Book Antiqua" w:hAnsi="Book Antiqua"/>
          <w:i/>
          <w:iCs/>
          <w:color w:val="000000"/>
          <w:sz w:val="24"/>
        </w:rPr>
        <w:t>Arch Toxicol</w:t>
      </w:r>
      <w:r>
        <w:rPr>
          <w:rFonts w:ascii="Book Antiqua" w:hAnsi="Book Antiqua"/>
          <w:color w:val="000000"/>
          <w:sz w:val="24"/>
        </w:rPr>
        <w:t> 2016; </w:t>
      </w:r>
      <w:r>
        <w:rPr>
          <w:rFonts w:ascii="Book Antiqua" w:hAnsi="Book Antiqua"/>
          <w:b/>
          <w:bCs/>
          <w:color w:val="000000"/>
          <w:sz w:val="24"/>
        </w:rPr>
        <w:t>90</w:t>
      </w:r>
      <w:r>
        <w:rPr>
          <w:rFonts w:ascii="Book Antiqua" w:hAnsi="Book Antiqua"/>
          <w:color w:val="000000"/>
          <w:sz w:val="24"/>
        </w:rPr>
        <w:t>: 39-79 [PMID: 26377694 DOI: 10.1007/s00204-015-1580-z]</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81 </w:t>
      </w:r>
      <w:r>
        <w:rPr>
          <w:rFonts w:ascii="Book Antiqua" w:hAnsi="Book Antiqua"/>
          <w:b/>
          <w:bCs/>
          <w:color w:val="000000"/>
          <w:sz w:val="24"/>
        </w:rPr>
        <w:t>Kriss M</w:t>
      </w:r>
      <w:r>
        <w:rPr>
          <w:rFonts w:ascii="Book Antiqua" w:hAnsi="Book Antiqua"/>
          <w:color w:val="000000"/>
          <w:sz w:val="24"/>
        </w:rPr>
        <w:t>, Burchill M. HCV and nonhepatic malignancy: Is pre-emptive direct-acting antiviral therapy indicated prior to treatment? </w:t>
      </w:r>
      <w:r>
        <w:rPr>
          <w:rFonts w:ascii="Book Antiqua" w:hAnsi="Book Antiqua"/>
          <w:i/>
          <w:iCs/>
          <w:color w:val="000000"/>
          <w:sz w:val="24"/>
        </w:rPr>
        <w:t>Hepatology</w:t>
      </w:r>
      <w:r>
        <w:rPr>
          <w:rFonts w:ascii="Book Antiqua" w:hAnsi="Book Antiqua"/>
          <w:color w:val="000000"/>
          <w:sz w:val="24"/>
        </w:rPr>
        <w:t> 2018; </w:t>
      </w:r>
      <w:r>
        <w:rPr>
          <w:rFonts w:ascii="Book Antiqua" w:hAnsi="Book Antiqua"/>
          <w:b/>
          <w:bCs/>
          <w:color w:val="000000"/>
          <w:sz w:val="24"/>
        </w:rPr>
        <w:t>67</w:t>
      </w:r>
      <w:r>
        <w:rPr>
          <w:rFonts w:ascii="Book Antiqua" w:hAnsi="Book Antiqua"/>
          <w:color w:val="000000"/>
          <w:sz w:val="24"/>
        </w:rPr>
        <w:t>: 4-6 [PMID: 28768054 DOI: 10.1002/hep.29414]</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82 </w:t>
      </w:r>
      <w:r>
        <w:rPr>
          <w:rFonts w:ascii="Book Antiqua" w:hAnsi="Book Antiqua"/>
          <w:b/>
          <w:bCs/>
          <w:color w:val="000000"/>
          <w:sz w:val="24"/>
        </w:rPr>
        <w:t>Federico A</w:t>
      </w:r>
      <w:r>
        <w:rPr>
          <w:rFonts w:ascii="Book Antiqua" w:hAnsi="Book Antiqua"/>
          <w:color w:val="000000"/>
          <w:sz w:val="24"/>
        </w:rPr>
        <w:t>, Dallio M, Loguercio C. Silymarin/Silybin and Chronic Liver Disease: A Marriage of Many Years. </w:t>
      </w:r>
      <w:r>
        <w:rPr>
          <w:rFonts w:ascii="Book Antiqua" w:hAnsi="Book Antiqua"/>
          <w:i/>
          <w:iCs/>
          <w:color w:val="000000"/>
          <w:sz w:val="24"/>
        </w:rPr>
        <w:t>Molecules</w:t>
      </w:r>
      <w:r>
        <w:rPr>
          <w:rFonts w:ascii="Book Antiqua" w:hAnsi="Book Antiqua"/>
          <w:color w:val="000000"/>
          <w:sz w:val="24"/>
        </w:rPr>
        <w:t> 2017; </w:t>
      </w:r>
      <w:r>
        <w:rPr>
          <w:rFonts w:ascii="Book Antiqua" w:hAnsi="Book Antiqua"/>
          <w:b/>
          <w:bCs/>
          <w:color w:val="000000"/>
          <w:sz w:val="24"/>
        </w:rPr>
        <w:t>22</w:t>
      </w:r>
      <w:r>
        <w:rPr>
          <w:rFonts w:ascii="Book Antiqua" w:hAnsi="Book Antiqua"/>
          <w:color w:val="000000"/>
          <w:sz w:val="24"/>
        </w:rPr>
        <w:t>: [PMID: 28125040 DOI: 10.3390/molecules22020191]</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83 </w:t>
      </w:r>
      <w:r>
        <w:rPr>
          <w:rFonts w:ascii="Book Antiqua" w:hAnsi="Book Antiqua"/>
          <w:b/>
          <w:bCs/>
          <w:color w:val="000000"/>
          <w:sz w:val="24"/>
        </w:rPr>
        <w:t>Neha</w:t>
      </w:r>
      <w:r>
        <w:rPr>
          <w:rFonts w:ascii="Book Antiqua" w:hAnsi="Book Antiqua"/>
          <w:color w:val="000000"/>
          <w:sz w:val="24"/>
        </w:rPr>
        <w:t>, Jaggi AS, Singh N. Silymarin and Its Role in Chronic Diseases. </w:t>
      </w:r>
      <w:r>
        <w:rPr>
          <w:rFonts w:ascii="Book Antiqua" w:hAnsi="Book Antiqua"/>
          <w:i/>
          <w:iCs/>
          <w:color w:val="000000"/>
          <w:sz w:val="24"/>
        </w:rPr>
        <w:t>Adv Exp Med Biol</w:t>
      </w:r>
      <w:r>
        <w:rPr>
          <w:rFonts w:ascii="Book Antiqua" w:hAnsi="Book Antiqua"/>
          <w:color w:val="000000"/>
          <w:sz w:val="24"/>
        </w:rPr>
        <w:t> 2016; </w:t>
      </w:r>
      <w:r>
        <w:rPr>
          <w:rFonts w:ascii="Book Antiqua" w:hAnsi="Book Antiqua"/>
          <w:b/>
          <w:bCs/>
          <w:color w:val="000000"/>
          <w:sz w:val="24"/>
        </w:rPr>
        <w:t>929</w:t>
      </w:r>
      <w:r>
        <w:rPr>
          <w:rFonts w:ascii="Book Antiqua" w:hAnsi="Book Antiqua"/>
          <w:color w:val="000000"/>
          <w:sz w:val="24"/>
        </w:rPr>
        <w:t>: 25-44 [PMID: 27771919 DOI: 10.1007/978-3-319-41342-6_2]</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84 </w:t>
      </w:r>
      <w:r>
        <w:rPr>
          <w:rFonts w:ascii="Book Antiqua" w:hAnsi="Book Antiqua"/>
          <w:b/>
          <w:bCs/>
          <w:color w:val="000000"/>
          <w:sz w:val="24"/>
        </w:rPr>
        <w:t>Polyak SJ</w:t>
      </w:r>
      <w:r>
        <w:rPr>
          <w:rFonts w:ascii="Book Antiqua" w:hAnsi="Book Antiqua"/>
          <w:color w:val="000000"/>
          <w:sz w:val="24"/>
        </w:rPr>
        <w:t xml:space="preserve">, Ferenci P, Pawlotsky JM. Hepatoprotective and antiviral functions of </w:t>
      </w:r>
      <w:r>
        <w:rPr>
          <w:rFonts w:ascii="Book Antiqua" w:hAnsi="Book Antiqua"/>
          <w:color w:val="000000"/>
          <w:sz w:val="24"/>
        </w:rPr>
        <w:lastRenderedPageBreak/>
        <w:t>silymarin components in hepatitis C virus infection. </w:t>
      </w:r>
      <w:r>
        <w:rPr>
          <w:rFonts w:ascii="Book Antiqua" w:hAnsi="Book Antiqua"/>
          <w:i/>
          <w:iCs/>
          <w:color w:val="000000"/>
          <w:sz w:val="24"/>
        </w:rPr>
        <w:t>Hepatology</w:t>
      </w:r>
      <w:r>
        <w:rPr>
          <w:rFonts w:ascii="Book Antiqua" w:hAnsi="Book Antiqua"/>
          <w:color w:val="000000"/>
          <w:sz w:val="24"/>
        </w:rPr>
        <w:t> 2013; </w:t>
      </w:r>
      <w:r>
        <w:rPr>
          <w:rFonts w:ascii="Book Antiqua" w:hAnsi="Book Antiqua"/>
          <w:b/>
          <w:bCs/>
          <w:color w:val="000000"/>
          <w:sz w:val="24"/>
        </w:rPr>
        <w:t>57</w:t>
      </w:r>
      <w:r>
        <w:rPr>
          <w:rFonts w:ascii="Book Antiqua" w:hAnsi="Book Antiqua"/>
          <w:color w:val="000000"/>
          <w:sz w:val="24"/>
        </w:rPr>
        <w:t>: 1262-1271 [PMID: 23213025 DOI: 10.1002/hep.26179]</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85 </w:t>
      </w:r>
      <w:r>
        <w:rPr>
          <w:rFonts w:ascii="Book Antiqua" w:hAnsi="Book Antiqua"/>
          <w:b/>
          <w:bCs/>
          <w:color w:val="000000"/>
          <w:sz w:val="24"/>
        </w:rPr>
        <w:t>Stanca E</w:t>
      </w:r>
      <w:r>
        <w:rPr>
          <w:rFonts w:ascii="Book Antiqua" w:hAnsi="Book Antiqua"/>
          <w:color w:val="000000"/>
          <w:sz w:val="24"/>
        </w:rPr>
        <w:t>, Serviddio G, Bellanti F, Vendemiale G, Siculella L, Giudetti AM. Down-regulation of LPCAT expression increases platelet-activating factor level in cirrhotic rat liver: potential antiinflammatory effect of silybin. </w:t>
      </w:r>
      <w:r>
        <w:rPr>
          <w:rFonts w:ascii="Book Antiqua" w:hAnsi="Book Antiqua"/>
          <w:i/>
          <w:iCs/>
          <w:color w:val="000000"/>
          <w:sz w:val="24"/>
        </w:rPr>
        <w:t>Biochim Biophys Acta</w:t>
      </w:r>
      <w:r>
        <w:rPr>
          <w:rFonts w:ascii="Book Antiqua" w:hAnsi="Book Antiqua"/>
          <w:color w:val="000000"/>
          <w:sz w:val="24"/>
        </w:rPr>
        <w:t> 2013; </w:t>
      </w:r>
      <w:r>
        <w:rPr>
          <w:rFonts w:ascii="Book Antiqua" w:hAnsi="Book Antiqua"/>
          <w:b/>
          <w:bCs/>
          <w:color w:val="000000"/>
          <w:sz w:val="24"/>
        </w:rPr>
        <w:t>1832</w:t>
      </w:r>
      <w:r>
        <w:rPr>
          <w:rFonts w:ascii="Book Antiqua" w:hAnsi="Book Antiqua"/>
          <w:color w:val="000000"/>
          <w:sz w:val="24"/>
        </w:rPr>
        <w:t>: 2019-2026 [PMID: 23851051 DOI: 10.1016/j.bbadis.2013.07.005]</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86 </w:t>
      </w:r>
      <w:r>
        <w:rPr>
          <w:rFonts w:ascii="Book Antiqua" w:hAnsi="Book Antiqua"/>
          <w:b/>
          <w:bCs/>
          <w:color w:val="000000"/>
          <w:sz w:val="24"/>
        </w:rPr>
        <w:t>Gordon A</w:t>
      </w:r>
      <w:r>
        <w:rPr>
          <w:rFonts w:ascii="Book Antiqua" w:hAnsi="Book Antiqua"/>
          <w:color w:val="000000"/>
          <w:sz w:val="24"/>
        </w:rPr>
        <w:t>, Hobbs DA, Bowden DS, Bailey MJ, Mitchell J, Francis AJ, Roberts SK. Effects of Silybum marianum on serum hepatitis C virus RNA, alanine aminotransferase levels and well-being in patients with chronic hepatitis C. </w:t>
      </w:r>
      <w:r>
        <w:rPr>
          <w:rFonts w:ascii="Book Antiqua" w:hAnsi="Book Antiqua"/>
          <w:i/>
          <w:iCs/>
          <w:color w:val="000000"/>
          <w:sz w:val="24"/>
        </w:rPr>
        <w:t>J Gastroenterol Hepatol</w:t>
      </w:r>
      <w:r>
        <w:rPr>
          <w:rFonts w:ascii="Book Antiqua" w:hAnsi="Book Antiqua"/>
          <w:color w:val="000000"/>
          <w:sz w:val="24"/>
        </w:rPr>
        <w:t> 2006; </w:t>
      </w:r>
      <w:r>
        <w:rPr>
          <w:rFonts w:ascii="Book Antiqua" w:hAnsi="Book Antiqua"/>
          <w:b/>
          <w:bCs/>
          <w:color w:val="000000"/>
          <w:sz w:val="24"/>
        </w:rPr>
        <w:t>21</w:t>
      </w:r>
      <w:r>
        <w:rPr>
          <w:rFonts w:ascii="Book Antiqua" w:hAnsi="Book Antiqua"/>
          <w:color w:val="000000"/>
          <w:sz w:val="24"/>
        </w:rPr>
        <w:t>: 275-280 [PMID: 16460486 DOI: 10.1111/j.1440-1746.2006.04138.x]</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87 </w:t>
      </w:r>
      <w:r>
        <w:rPr>
          <w:rFonts w:ascii="Book Antiqua" w:hAnsi="Book Antiqua"/>
          <w:b/>
          <w:bCs/>
          <w:color w:val="000000"/>
          <w:sz w:val="24"/>
        </w:rPr>
        <w:t>Hawke RL</w:t>
      </w:r>
      <w:r>
        <w:rPr>
          <w:rFonts w:ascii="Book Antiqua" w:hAnsi="Book Antiqua"/>
          <w:color w:val="000000"/>
          <w:sz w:val="24"/>
        </w:rPr>
        <w:t>, Schrieber SJ, Soule TA, Wen Z, Smith PC, Reddy KR, Wahed AS, Belle SH, Afdhal NH, Navarro VJ, Berman J, Liu QY, Doo E, Fried MW; SyNCH Trial Group. Silymarin ascending multiple oral dosing phase I study in noncirrhotic patients with chronic hepatitis C. </w:t>
      </w:r>
      <w:r>
        <w:rPr>
          <w:rFonts w:ascii="Book Antiqua" w:hAnsi="Book Antiqua"/>
          <w:i/>
          <w:iCs/>
          <w:color w:val="000000"/>
          <w:sz w:val="24"/>
        </w:rPr>
        <w:t>J Clin Pharmacol</w:t>
      </w:r>
      <w:r>
        <w:rPr>
          <w:rFonts w:ascii="Book Antiqua" w:hAnsi="Book Antiqua"/>
          <w:color w:val="000000"/>
          <w:sz w:val="24"/>
        </w:rPr>
        <w:t> 2010; </w:t>
      </w:r>
      <w:r>
        <w:rPr>
          <w:rFonts w:ascii="Book Antiqua" w:hAnsi="Book Antiqua"/>
          <w:b/>
          <w:bCs/>
          <w:color w:val="000000"/>
          <w:sz w:val="24"/>
        </w:rPr>
        <w:t>50</w:t>
      </w:r>
      <w:r>
        <w:rPr>
          <w:rFonts w:ascii="Book Antiqua" w:hAnsi="Book Antiqua"/>
          <w:color w:val="000000"/>
          <w:sz w:val="24"/>
        </w:rPr>
        <w:t>: 434-449 [PMID: 19841158 DOI: 10.1177/0091270009347475]</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88 </w:t>
      </w:r>
      <w:r>
        <w:rPr>
          <w:rFonts w:ascii="Book Antiqua" w:hAnsi="Book Antiqua"/>
          <w:b/>
          <w:bCs/>
          <w:color w:val="000000"/>
          <w:sz w:val="24"/>
        </w:rPr>
        <w:t>Wen Z</w:t>
      </w:r>
      <w:r>
        <w:rPr>
          <w:rFonts w:ascii="Book Antiqua" w:hAnsi="Book Antiqua"/>
          <w:color w:val="000000"/>
          <w:sz w:val="24"/>
        </w:rPr>
        <w:t>, Dumas TE, Schrieber SJ, Hawke RL, Fried MW, Smith PC. Pharmacokinetics and metabolic profile of free, conjugated, and total silymarin flavonolignans in human plasma after oral administration of milk thistle extract. </w:t>
      </w:r>
      <w:r>
        <w:rPr>
          <w:rFonts w:ascii="Book Antiqua" w:hAnsi="Book Antiqua"/>
          <w:i/>
          <w:iCs/>
          <w:color w:val="000000"/>
          <w:sz w:val="24"/>
        </w:rPr>
        <w:t>Drug Metab Dispos</w:t>
      </w:r>
      <w:r>
        <w:rPr>
          <w:rFonts w:ascii="Book Antiqua" w:hAnsi="Book Antiqua"/>
          <w:color w:val="000000"/>
          <w:sz w:val="24"/>
        </w:rPr>
        <w:t> 2008; </w:t>
      </w:r>
      <w:r>
        <w:rPr>
          <w:rFonts w:ascii="Book Antiqua" w:hAnsi="Book Antiqua"/>
          <w:b/>
          <w:bCs/>
          <w:color w:val="000000"/>
          <w:sz w:val="24"/>
        </w:rPr>
        <w:t>36</w:t>
      </w:r>
      <w:r>
        <w:rPr>
          <w:rFonts w:ascii="Book Antiqua" w:hAnsi="Book Antiqua"/>
          <w:color w:val="000000"/>
          <w:sz w:val="24"/>
        </w:rPr>
        <w:t>: 65-72 [PMID: 17913795 DOI: 10.1124/dmd.107.017566]</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89 </w:t>
      </w:r>
      <w:r>
        <w:rPr>
          <w:rFonts w:ascii="Book Antiqua" w:hAnsi="Book Antiqua"/>
          <w:b/>
          <w:bCs/>
          <w:color w:val="000000"/>
          <w:sz w:val="24"/>
        </w:rPr>
        <w:t>Ferenci P</w:t>
      </w:r>
      <w:r>
        <w:rPr>
          <w:rFonts w:ascii="Book Antiqua" w:hAnsi="Book Antiqua"/>
          <w:color w:val="000000"/>
          <w:sz w:val="24"/>
        </w:rPr>
        <w:t>, Scherzer TM, Kerschner H, Rutter K, Beinhardt S, Hofer H, Schöniger-Hekele M, Holzmann H, Steindl-Munda P. Silibinin is a potent antiviral agent in patients with chronic hepatitis C not responding to pegylated interferon/ribavirin therapy. </w:t>
      </w:r>
      <w:r>
        <w:rPr>
          <w:rFonts w:ascii="Book Antiqua" w:hAnsi="Book Antiqua"/>
          <w:i/>
          <w:iCs/>
          <w:color w:val="000000"/>
          <w:sz w:val="24"/>
        </w:rPr>
        <w:t>Gastroenterology</w:t>
      </w:r>
      <w:r>
        <w:rPr>
          <w:rFonts w:ascii="Book Antiqua" w:hAnsi="Book Antiqua"/>
          <w:color w:val="000000"/>
          <w:sz w:val="24"/>
        </w:rPr>
        <w:t> 2008; </w:t>
      </w:r>
      <w:r>
        <w:rPr>
          <w:rFonts w:ascii="Book Antiqua" w:hAnsi="Book Antiqua"/>
          <w:b/>
          <w:bCs/>
          <w:color w:val="000000"/>
          <w:sz w:val="24"/>
        </w:rPr>
        <w:t>135</w:t>
      </w:r>
      <w:r>
        <w:rPr>
          <w:rFonts w:ascii="Book Antiqua" w:hAnsi="Book Antiqua"/>
          <w:color w:val="000000"/>
          <w:sz w:val="24"/>
        </w:rPr>
        <w:t>: 1561-1567 [PMID: 18771667 DOI: 10.1053/j.gastro.2008.07.072]</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90 </w:t>
      </w:r>
      <w:r>
        <w:rPr>
          <w:rFonts w:ascii="Book Antiqua" w:hAnsi="Book Antiqua"/>
          <w:b/>
          <w:bCs/>
          <w:color w:val="000000"/>
          <w:sz w:val="24"/>
        </w:rPr>
        <w:t>Rutter K</w:t>
      </w:r>
      <w:r>
        <w:rPr>
          <w:rFonts w:ascii="Book Antiqua" w:hAnsi="Book Antiqua"/>
          <w:color w:val="000000"/>
          <w:sz w:val="24"/>
        </w:rPr>
        <w:t>, Scherzer TM, Beinhardt S, Kerschner H, Stättermayer AF, Hofer H, Popow-Kraupp T, Steindl-Munda P, Ferenci P. Intravenous silibinin as 'rescue treatment' for on-treatment non-responders to pegylated interferon/ribavirin combination therapy. </w:t>
      </w:r>
      <w:r>
        <w:rPr>
          <w:rFonts w:ascii="Book Antiqua" w:hAnsi="Book Antiqua"/>
          <w:i/>
          <w:iCs/>
          <w:color w:val="000000"/>
          <w:sz w:val="24"/>
        </w:rPr>
        <w:t>Antivir Ther</w:t>
      </w:r>
      <w:r>
        <w:rPr>
          <w:rFonts w:ascii="Book Antiqua" w:hAnsi="Book Antiqua"/>
          <w:color w:val="000000"/>
          <w:sz w:val="24"/>
        </w:rPr>
        <w:t> 2011; </w:t>
      </w:r>
      <w:r>
        <w:rPr>
          <w:rFonts w:ascii="Book Antiqua" w:hAnsi="Book Antiqua"/>
          <w:b/>
          <w:bCs/>
          <w:color w:val="000000"/>
          <w:sz w:val="24"/>
        </w:rPr>
        <w:t>16</w:t>
      </w:r>
      <w:r>
        <w:rPr>
          <w:rFonts w:ascii="Book Antiqua" w:hAnsi="Book Antiqua"/>
          <w:color w:val="000000"/>
          <w:sz w:val="24"/>
        </w:rPr>
        <w:t>: 1327-1333 [PMID: 22155914 DOI: 10.3851/IMP1942]</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lastRenderedPageBreak/>
        <w:t>91 </w:t>
      </w:r>
      <w:r>
        <w:rPr>
          <w:rFonts w:ascii="Book Antiqua" w:hAnsi="Book Antiqua"/>
          <w:b/>
          <w:bCs/>
          <w:color w:val="000000"/>
          <w:sz w:val="24"/>
        </w:rPr>
        <w:t>Tipoe GL</w:t>
      </w:r>
      <w:r>
        <w:rPr>
          <w:rFonts w:ascii="Book Antiqua" w:hAnsi="Book Antiqua"/>
          <w:color w:val="000000"/>
          <w:sz w:val="24"/>
        </w:rPr>
        <w:t>, Leung TM, Liong EC, Lau TY, Fung ML, Nanji AA. Epigallocatechin-3-gallate (EGCG) reduces liver inflammation, oxidative stress and fibrosis in carbon tetrachloride (CCl4)-induced liver injury in mice. </w:t>
      </w:r>
      <w:r>
        <w:rPr>
          <w:rFonts w:ascii="Book Antiqua" w:hAnsi="Book Antiqua"/>
          <w:i/>
          <w:iCs/>
          <w:color w:val="000000"/>
          <w:sz w:val="24"/>
        </w:rPr>
        <w:t>Toxicology</w:t>
      </w:r>
      <w:r>
        <w:rPr>
          <w:rFonts w:ascii="Book Antiqua" w:hAnsi="Book Antiqua"/>
          <w:color w:val="000000"/>
          <w:sz w:val="24"/>
        </w:rPr>
        <w:t> 2010; </w:t>
      </w:r>
      <w:r>
        <w:rPr>
          <w:rFonts w:ascii="Book Antiqua" w:hAnsi="Book Antiqua"/>
          <w:b/>
          <w:bCs/>
          <w:color w:val="000000"/>
          <w:sz w:val="24"/>
        </w:rPr>
        <w:t>273</w:t>
      </w:r>
      <w:r>
        <w:rPr>
          <w:rFonts w:ascii="Book Antiqua" w:hAnsi="Book Antiqua"/>
          <w:color w:val="000000"/>
          <w:sz w:val="24"/>
        </w:rPr>
        <w:t>: 45-52 [PMID: 20438794 DOI: 10.1016/j.tox.2010.04.014]</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92 </w:t>
      </w:r>
      <w:r>
        <w:rPr>
          <w:rFonts w:ascii="Book Antiqua" w:hAnsi="Book Antiqua"/>
          <w:b/>
          <w:bCs/>
          <w:color w:val="000000"/>
          <w:sz w:val="24"/>
        </w:rPr>
        <w:t>Lee MH</w:t>
      </w:r>
      <w:r>
        <w:rPr>
          <w:rFonts w:ascii="Book Antiqua" w:hAnsi="Book Antiqua"/>
          <w:color w:val="000000"/>
          <w:sz w:val="24"/>
        </w:rPr>
        <w:t>, Yoon S, Moon JO. The flavonoid naringenin inhibits dimethylnitrosamine-induced liver damage in rats. </w:t>
      </w:r>
      <w:r>
        <w:rPr>
          <w:rFonts w:ascii="Book Antiqua" w:hAnsi="Book Antiqua"/>
          <w:i/>
          <w:iCs/>
          <w:color w:val="000000"/>
          <w:sz w:val="24"/>
        </w:rPr>
        <w:t>Biol Pharm Bull</w:t>
      </w:r>
      <w:r>
        <w:rPr>
          <w:rFonts w:ascii="Book Antiqua" w:hAnsi="Book Antiqua"/>
          <w:color w:val="000000"/>
          <w:sz w:val="24"/>
        </w:rPr>
        <w:t> 2004; </w:t>
      </w:r>
      <w:r>
        <w:rPr>
          <w:rFonts w:ascii="Book Antiqua" w:hAnsi="Book Antiqua"/>
          <w:b/>
          <w:bCs/>
          <w:color w:val="000000"/>
          <w:sz w:val="24"/>
        </w:rPr>
        <w:t>27</w:t>
      </w:r>
      <w:r>
        <w:rPr>
          <w:rFonts w:ascii="Book Antiqua" w:hAnsi="Book Antiqua"/>
          <w:color w:val="000000"/>
          <w:sz w:val="24"/>
        </w:rPr>
        <w:t>: 72-76 [PMID: 14709902 DOI: 10.1248/bpb.27.72]</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93 </w:t>
      </w:r>
      <w:r>
        <w:rPr>
          <w:rFonts w:ascii="Book Antiqua" w:hAnsi="Book Antiqua"/>
          <w:b/>
          <w:bCs/>
          <w:color w:val="000000"/>
          <w:sz w:val="24"/>
        </w:rPr>
        <w:t>Chao WW</w:t>
      </w:r>
      <w:r>
        <w:rPr>
          <w:rFonts w:ascii="Book Antiqua" w:hAnsi="Book Antiqua"/>
          <w:color w:val="000000"/>
          <w:sz w:val="24"/>
        </w:rPr>
        <w:t>, Lin BF. Isolation and identification of bioactive compounds in Andrographis paniculata (Chuanxinlian). </w:t>
      </w:r>
      <w:r>
        <w:rPr>
          <w:rFonts w:ascii="Book Antiqua" w:hAnsi="Book Antiqua"/>
          <w:i/>
          <w:iCs/>
          <w:color w:val="000000"/>
          <w:sz w:val="24"/>
        </w:rPr>
        <w:t>Chin Med</w:t>
      </w:r>
      <w:r>
        <w:rPr>
          <w:rFonts w:ascii="Book Antiqua" w:hAnsi="Book Antiqua"/>
          <w:color w:val="000000"/>
          <w:sz w:val="24"/>
        </w:rPr>
        <w:t> 2010; </w:t>
      </w:r>
      <w:r>
        <w:rPr>
          <w:rFonts w:ascii="Book Antiqua" w:hAnsi="Book Antiqua"/>
          <w:b/>
          <w:bCs/>
          <w:color w:val="000000"/>
          <w:sz w:val="24"/>
        </w:rPr>
        <w:t>5</w:t>
      </w:r>
      <w:r>
        <w:rPr>
          <w:rFonts w:ascii="Book Antiqua" w:hAnsi="Book Antiqua"/>
          <w:color w:val="000000"/>
          <w:sz w:val="24"/>
        </w:rPr>
        <w:t>: 17 [PMID: 20465823 DOI: 10.1186/1749-8546-5-17]</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94 </w:t>
      </w:r>
      <w:r>
        <w:rPr>
          <w:rFonts w:ascii="Book Antiqua" w:hAnsi="Book Antiqua"/>
          <w:b/>
          <w:bCs/>
          <w:color w:val="000000"/>
          <w:sz w:val="24"/>
        </w:rPr>
        <w:t>Tsai HR</w:t>
      </w:r>
      <w:r>
        <w:rPr>
          <w:rFonts w:ascii="Book Antiqua" w:hAnsi="Book Antiqua"/>
          <w:color w:val="000000"/>
          <w:sz w:val="24"/>
        </w:rPr>
        <w:t>, Yang LM, Tsai WJ, Chiou WF. Andrographolide acts through inhibition of ERK1/2 and Akt phosphorylation to suppress chemotactic migration. </w:t>
      </w:r>
      <w:r>
        <w:rPr>
          <w:rFonts w:ascii="Book Antiqua" w:hAnsi="Book Antiqua"/>
          <w:i/>
          <w:iCs/>
          <w:color w:val="000000"/>
          <w:sz w:val="24"/>
        </w:rPr>
        <w:t>Eur J Pharmacol</w:t>
      </w:r>
      <w:r>
        <w:rPr>
          <w:rFonts w:ascii="Book Antiqua" w:hAnsi="Book Antiqua"/>
          <w:color w:val="000000"/>
          <w:sz w:val="24"/>
        </w:rPr>
        <w:t> 2004; </w:t>
      </w:r>
      <w:r>
        <w:rPr>
          <w:rFonts w:ascii="Book Antiqua" w:hAnsi="Book Antiqua"/>
          <w:b/>
          <w:bCs/>
          <w:color w:val="000000"/>
          <w:sz w:val="24"/>
        </w:rPr>
        <w:t>498</w:t>
      </w:r>
      <w:r>
        <w:rPr>
          <w:rFonts w:ascii="Book Antiqua" w:hAnsi="Book Antiqua"/>
          <w:color w:val="000000"/>
          <w:sz w:val="24"/>
        </w:rPr>
        <w:t>: 45-52 [PMID: 15363974 DOI: 10.1016/j.ejphar.2004.07.077]</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95 </w:t>
      </w:r>
      <w:r>
        <w:rPr>
          <w:rFonts w:ascii="Book Antiqua" w:hAnsi="Book Antiqua"/>
          <w:b/>
          <w:bCs/>
          <w:color w:val="000000"/>
          <w:sz w:val="24"/>
        </w:rPr>
        <w:t>Lim JC</w:t>
      </w:r>
      <w:r>
        <w:rPr>
          <w:rFonts w:ascii="Book Antiqua" w:hAnsi="Book Antiqua"/>
          <w:color w:val="000000"/>
          <w:sz w:val="24"/>
        </w:rPr>
        <w:t>, Chan TK, Ng DS, Sagineedu SR, Stanslas J, Wong WS. Andrographolide and its analogues: versatile bioactive molecules for combating inflammation and cancer. </w:t>
      </w:r>
      <w:r>
        <w:rPr>
          <w:rFonts w:ascii="Book Antiqua" w:hAnsi="Book Antiqua"/>
          <w:i/>
          <w:iCs/>
          <w:color w:val="000000"/>
          <w:sz w:val="24"/>
        </w:rPr>
        <w:t>Clin Exp Pharmacol Physiol</w:t>
      </w:r>
      <w:r>
        <w:rPr>
          <w:rFonts w:ascii="Book Antiqua" w:hAnsi="Book Antiqua"/>
          <w:color w:val="000000"/>
          <w:sz w:val="24"/>
        </w:rPr>
        <w:t> 2012; </w:t>
      </w:r>
      <w:r>
        <w:rPr>
          <w:rFonts w:ascii="Book Antiqua" w:hAnsi="Book Antiqua"/>
          <w:b/>
          <w:bCs/>
          <w:color w:val="000000"/>
          <w:sz w:val="24"/>
        </w:rPr>
        <w:t>39</w:t>
      </w:r>
      <w:r>
        <w:rPr>
          <w:rFonts w:ascii="Book Antiqua" w:hAnsi="Book Antiqua"/>
          <w:color w:val="000000"/>
          <w:sz w:val="24"/>
        </w:rPr>
        <w:t>: 300-310 [PMID: 22017767 DOI: 10.1111/j.1440-1681.2011.05633.x]</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96 </w:t>
      </w:r>
      <w:r>
        <w:rPr>
          <w:rFonts w:ascii="Book Antiqua" w:hAnsi="Book Antiqua"/>
          <w:b/>
          <w:bCs/>
          <w:color w:val="000000"/>
          <w:sz w:val="24"/>
        </w:rPr>
        <w:t>Chatuphonprasert W</w:t>
      </w:r>
      <w:r>
        <w:rPr>
          <w:rFonts w:ascii="Book Antiqua" w:hAnsi="Book Antiqua"/>
          <w:color w:val="000000"/>
          <w:sz w:val="24"/>
        </w:rPr>
        <w:t>, Jarukamjorn K, Kondo S, Nemoto N. Synergistic increases of metabolism and oxidation-reduction genes on their expression after combined treatment with a CYP1A inducer and andrographolide. </w:t>
      </w:r>
      <w:r>
        <w:rPr>
          <w:rFonts w:ascii="Book Antiqua" w:hAnsi="Book Antiqua"/>
          <w:i/>
          <w:iCs/>
          <w:color w:val="000000"/>
          <w:sz w:val="24"/>
        </w:rPr>
        <w:t>Chem Biol Interact</w:t>
      </w:r>
      <w:r>
        <w:rPr>
          <w:rFonts w:ascii="Book Antiqua" w:hAnsi="Book Antiqua"/>
          <w:color w:val="000000"/>
          <w:sz w:val="24"/>
        </w:rPr>
        <w:t> 2009; </w:t>
      </w:r>
      <w:r>
        <w:rPr>
          <w:rFonts w:ascii="Book Antiqua" w:hAnsi="Book Antiqua"/>
          <w:b/>
          <w:bCs/>
          <w:color w:val="000000"/>
          <w:sz w:val="24"/>
        </w:rPr>
        <w:t>182</w:t>
      </w:r>
      <w:r>
        <w:rPr>
          <w:rFonts w:ascii="Book Antiqua" w:hAnsi="Book Antiqua"/>
          <w:color w:val="000000"/>
          <w:sz w:val="24"/>
        </w:rPr>
        <w:t>: 233-238 [PMID: 19737545 DOI: 10.1016/j.cbi.2009.09.001]</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97 </w:t>
      </w:r>
      <w:r>
        <w:rPr>
          <w:rFonts w:ascii="Book Antiqua" w:hAnsi="Book Antiqua"/>
          <w:b/>
          <w:bCs/>
          <w:color w:val="000000"/>
          <w:sz w:val="24"/>
        </w:rPr>
        <w:t>Jaruchotikamol A</w:t>
      </w:r>
      <w:r>
        <w:rPr>
          <w:rFonts w:ascii="Book Antiqua" w:hAnsi="Book Antiqua"/>
          <w:color w:val="000000"/>
          <w:sz w:val="24"/>
        </w:rPr>
        <w:t>, Jarukamjorn K, Sirisangtrakul W, Sakuma T, Kawasaki Y, Nemoto N. Strong synergistic induction of CYP1A1 expression by andrographolide plus typical CYP1A inducers in mouse hepatocytes. </w:t>
      </w:r>
      <w:r>
        <w:rPr>
          <w:rFonts w:ascii="Book Antiqua" w:hAnsi="Book Antiqua"/>
          <w:i/>
          <w:iCs/>
          <w:color w:val="000000"/>
          <w:sz w:val="24"/>
        </w:rPr>
        <w:t>Toxicol Appl Pharmacol</w:t>
      </w:r>
      <w:r>
        <w:rPr>
          <w:rFonts w:ascii="Book Antiqua" w:hAnsi="Book Antiqua"/>
          <w:color w:val="000000"/>
          <w:sz w:val="24"/>
        </w:rPr>
        <w:t> 2007; </w:t>
      </w:r>
      <w:r>
        <w:rPr>
          <w:rFonts w:ascii="Book Antiqua" w:hAnsi="Book Antiqua"/>
          <w:b/>
          <w:bCs/>
          <w:color w:val="000000"/>
          <w:sz w:val="24"/>
        </w:rPr>
        <w:t>224</w:t>
      </w:r>
      <w:r>
        <w:rPr>
          <w:rFonts w:ascii="Book Antiqua" w:hAnsi="Book Antiqua"/>
          <w:color w:val="000000"/>
          <w:sz w:val="24"/>
        </w:rPr>
        <w:t>: 156-162 [PMID: 17825862 DOI: 10.1016/j.taap.2007.07.008]</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98 </w:t>
      </w:r>
      <w:r>
        <w:rPr>
          <w:rFonts w:ascii="Book Antiqua" w:hAnsi="Book Antiqua"/>
          <w:b/>
          <w:bCs/>
          <w:color w:val="000000"/>
          <w:sz w:val="24"/>
        </w:rPr>
        <w:t>Kapil A</w:t>
      </w:r>
      <w:r>
        <w:rPr>
          <w:rFonts w:ascii="Book Antiqua" w:hAnsi="Book Antiqua"/>
          <w:color w:val="000000"/>
          <w:sz w:val="24"/>
        </w:rPr>
        <w:t>, Koul IB, Banerjee SK, Gupta BD. Antihepatotoxic effects of major diterpenoid constituents of Andrographis paniculata. </w:t>
      </w:r>
      <w:r>
        <w:rPr>
          <w:rFonts w:ascii="Book Antiqua" w:hAnsi="Book Antiqua"/>
          <w:i/>
          <w:iCs/>
          <w:color w:val="000000"/>
          <w:sz w:val="24"/>
        </w:rPr>
        <w:t>Biochem Pharmacol</w:t>
      </w:r>
      <w:r>
        <w:rPr>
          <w:rFonts w:ascii="Book Antiqua" w:hAnsi="Book Antiqua"/>
          <w:color w:val="000000"/>
          <w:sz w:val="24"/>
        </w:rPr>
        <w:t> 1993; </w:t>
      </w:r>
      <w:r>
        <w:rPr>
          <w:rFonts w:ascii="Book Antiqua" w:hAnsi="Book Antiqua"/>
          <w:b/>
          <w:bCs/>
          <w:color w:val="000000"/>
          <w:sz w:val="24"/>
        </w:rPr>
        <w:t>46</w:t>
      </w:r>
      <w:r>
        <w:rPr>
          <w:rFonts w:ascii="Book Antiqua" w:hAnsi="Book Antiqua"/>
          <w:color w:val="000000"/>
          <w:sz w:val="24"/>
        </w:rPr>
        <w:t>: 182-185 [PMID: 8347130 DOI: 10.1016/0006-2952(93)90364-3]</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99 </w:t>
      </w:r>
      <w:r>
        <w:rPr>
          <w:rFonts w:ascii="Book Antiqua" w:hAnsi="Book Antiqua"/>
          <w:b/>
          <w:bCs/>
          <w:color w:val="000000"/>
          <w:sz w:val="24"/>
        </w:rPr>
        <w:t>Suebsasana S</w:t>
      </w:r>
      <w:r>
        <w:rPr>
          <w:rFonts w:ascii="Book Antiqua" w:hAnsi="Book Antiqua"/>
          <w:color w:val="000000"/>
          <w:sz w:val="24"/>
        </w:rPr>
        <w:t>, Pongnaratorn P, Sattayasai J, Arkaravichien T, Tiamkao S, Aromdee C. Analgesic, antipyretic, anti-inflammatory and toxic effects of andrographolide derivatives in experimental animals. </w:t>
      </w:r>
      <w:r>
        <w:rPr>
          <w:rFonts w:ascii="Book Antiqua" w:hAnsi="Book Antiqua"/>
          <w:i/>
          <w:iCs/>
          <w:color w:val="000000"/>
          <w:sz w:val="24"/>
        </w:rPr>
        <w:t>Arch Pharm Res</w:t>
      </w:r>
      <w:r>
        <w:rPr>
          <w:rFonts w:ascii="Book Antiqua" w:hAnsi="Book Antiqua"/>
          <w:color w:val="000000"/>
          <w:sz w:val="24"/>
        </w:rPr>
        <w:t> 2009; </w:t>
      </w:r>
      <w:r>
        <w:rPr>
          <w:rFonts w:ascii="Book Antiqua" w:hAnsi="Book Antiqua"/>
          <w:b/>
          <w:bCs/>
          <w:color w:val="000000"/>
          <w:sz w:val="24"/>
        </w:rPr>
        <w:t>32</w:t>
      </w:r>
      <w:r>
        <w:rPr>
          <w:rFonts w:ascii="Book Antiqua" w:hAnsi="Book Antiqua"/>
          <w:color w:val="000000"/>
          <w:sz w:val="24"/>
        </w:rPr>
        <w:t xml:space="preserve">: </w:t>
      </w:r>
      <w:r>
        <w:rPr>
          <w:rFonts w:ascii="Book Antiqua" w:hAnsi="Book Antiqua"/>
          <w:color w:val="000000"/>
          <w:sz w:val="24"/>
        </w:rPr>
        <w:lastRenderedPageBreak/>
        <w:t>1191-1200 [PMID: 19784573 DOI: 10.1007/s12272-009-1902-x]</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100 </w:t>
      </w:r>
      <w:r>
        <w:rPr>
          <w:rFonts w:ascii="Book Antiqua" w:hAnsi="Book Antiqua"/>
          <w:b/>
          <w:bCs/>
          <w:color w:val="000000"/>
          <w:sz w:val="24"/>
        </w:rPr>
        <w:t>Li J</w:t>
      </w:r>
      <w:r>
        <w:rPr>
          <w:rFonts w:ascii="Book Antiqua" w:hAnsi="Book Antiqua"/>
          <w:color w:val="000000"/>
          <w:sz w:val="24"/>
        </w:rPr>
        <w:t>, Huang W, Zhang H, Wang X, Zhou H. Synthesis of andrographolide derivatives and their TNF-alpha and IL-6 expression inhibitory activities. </w:t>
      </w:r>
      <w:r>
        <w:rPr>
          <w:rFonts w:ascii="Book Antiqua" w:hAnsi="Book Antiqua"/>
          <w:i/>
          <w:iCs/>
          <w:color w:val="000000"/>
          <w:sz w:val="24"/>
        </w:rPr>
        <w:t>Bioorg Med Chem Lett</w:t>
      </w:r>
      <w:r>
        <w:rPr>
          <w:rFonts w:ascii="Book Antiqua" w:hAnsi="Book Antiqua"/>
          <w:color w:val="000000"/>
          <w:sz w:val="24"/>
        </w:rPr>
        <w:t> 2007; </w:t>
      </w:r>
      <w:r>
        <w:rPr>
          <w:rFonts w:ascii="Book Antiqua" w:hAnsi="Book Antiqua"/>
          <w:b/>
          <w:bCs/>
          <w:color w:val="000000"/>
          <w:sz w:val="24"/>
        </w:rPr>
        <w:t>17</w:t>
      </w:r>
      <w:r>
        <w:rPr>
          <w:rFonts w:ascii="Book Antiqua" w:hAnsi="Book Antiqua"/>
          <w:color w:val="000000"/>
          <w:sz w:val="24"/>
        </w:rPr>
        <w:t>: 6891-6894 [PMID: 17962017 DOI: 10.1016/j.bmcl.2007.10.009]</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101 </w:t>
      </w:r>
      <w:r>
        <w:rPr>
          <w:rFonts w:ascii="Book Antiqua" w:hAnsi="Book Antiqua"/>
          <w:b/>
          <w:bCs/>
          <w:color w:val="000000"/>
          <w:sz w:val="24"/>
        </w:rPr>
        <w:t>Lee JC</w:t>
      </w:r>
      <w:r>
        <w:rPr>
          <w:rFonts w:ascii="Book Antiqua" w:hAnsi="Book Antiqua"/>
          <w:color w:val="000000"/>
          <w:sz w:val="24"/>
        </w:rPr>
        <w:t>, Tseng CK, Young KC, Sun HY, Wang SW, Chen WC, Lin CK, Wu YH. Andrographolide exerts anti-hepatitis C virus activity by up-regulating haeme oxygenase-1 via the p38 MAPK/Nrf2 pathway in human hepatoma cells. </w:t>
      </w:r>
      <w:r>
        <w:rPr>
          <w:rFonts w:ascii="Book Antiqua" w:hAnsi="Book Antiqua"/>
          <w:i/>
          <w:iCs/>
          <w:color w:val="000000"/>
          <w:sz w:val="24"/>
        </w:rPr>
        <w:t>Br J Pharmacol</w:t>
      </w:r>
      <w:r>
        <w:rPr>
          <w:rFonts w:ascii="Book Antiqua" w:hAnsi="Book Antiqua"/>
          <w:color w:val="000000"/>
          <w:sz w:val="24"/>
        </w:rPr>
        <w:t> 2014; </w:t>
      </w:r>
      <w:r>
        <w:rPr>
          <w:rFonts w:ascii="Book Antiqua" w:hAnsi="Book Antiqua"/>
          <w:b/>
          <w:bCs/>
          <w:color w:val="000000"/>
          <w:sz w:val="24"/>
        </w:rPr>
        <w:t>171</w:t>
      </w:r>
      <w:r>
        <w:rPr>
          <w:rFonts w:ascii="Book Antiqua" w:hAnsi="Book Antiqua"/>
          <w:color w:val="000000"/>
          <w:sz w:val="24"/>
        </w:rPr>
        <w:t>: 237-252 [PMID: 24117426 DOI: 10.1111/bph.12440]</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102 </w:t>
      </w:r>
      <w:r>
        <w:rPr>
          <w:rFonts w:ascii="Book Antiqua" w:hAnsi="Book Antiqua"/>
          <w:b/>
          <w:bCs/>
          <w:color w:val="000000"/>
          <w:sz w:val="24"/>
        </w:rPr>
        <w:t>Chandramohan V</w:t>
      </w:r>
      <w:r>
        <w:rPr>
          <w:rFonts w:ascii="Book Antiqua" w:hAnsi="Book Antiqua"/>
          <w:color w:val="000000"/>
          <w:sz w:val="24"/>
        </w:rPr>
        <w:t>, Kaphle A, Chekuri M, Gangarudraiah S, Bychapur Siddaiah G. Evaluating Andrographolide as a Potent Inhibitor of NS3-4A Protease and Its Drug-Resistant Mutants Using In Silico Approaches. </w:t>
      </w:r>
      <w:r>
        <w:rPr>
          <w:rFonts w:ascii="Book Antiqua" w:hAnsi="Book Antiqua"/>
          <w:i/>
          <w:iCs/>
          <w:color w:val="000000"/>
          <w:sz w:val="24"/>
        </w:rPr>
        <w:t>Adv Virol</w:t>
      </w:r>
      <w:r>
        <w:rPr>
          <w:rFonts w:ascii="Book Antiqua" w:hAnsi="Book Antiqua"/>
          <w:color w:val="000000"/>
          <w:sz w:val="24"/>
        </w:rPr>
        <w:t> 2015; </w:t>
      </w:r>
      <w:r>
        <w:rPr>
          <w:rFonts w:ascii="Book Antiqua" w:hAnsi="Book Antiqua"/>
          <w:b/>
          <w:bCs/>
          <w:color w:val="000000"/>
          <w:sz w:val="24"/>
        </w:rPr>
        <w:t>2015</w:t>
      </w:r>
      <w:r>
        <w:rPr>
          <w:rFonts w:ascii="Book Antiqua" w:hAnsi="Book Antiqua"/>
          <w:color w:val="000000"/>
          <w:sz w:val="24"/>
        </w:rPr>
        <w:t>: 972067 [PMID: 26587022 DOI: 10.1155/2015/972067]</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103 </w:t>
      </w:r>
      <w:r>
        <w:rPr>
          <w:rFonts w:ascii="Book Antiqua" w:hAnsi="Book Antiqua"/>
          <w:b/>
          <w:bCs/>
          <w:color w:val="000000"/>
          <w:sz w:val="24"/>
        </w:rPr>
        <w:t>Esatbeyoglu T</w:t>
      </w:r>
      <w:r>
        <w:rPr>
          <w:rFonts w:ascii="Book Antiqua" w:hAnsi="Book Antiqua"/>
          <w:color w:val="000000"/>
          <w:sz w:val="24"/>
        </w:rPr>
        <w:t>, Huebbe P, Ernst IM, Chin D, Wagner AE, Rimbach G. Curcumin--from molecule to biological function. </w:t>
      </w:r>
      <w:r>
        <w:rPr>
          <w:rFonts w:ascii="Book Antiqua" w:hAnsi="Book Antiqua"/>
          <w:i/>
          <w:iCs/>
          <w:color w:val="000000"/>
          <w:sz w:val="24"/>
        </w:rPr>
        <w:t>Angew Chem Int Ed Engl</w:t>
      </w:r>
      <w:r>
        <w:rPr>
          <w:rFonts w:ascii="Book Antiqua" w:hAnsi="Book Antiqua"/>
          <w:color w:val="000000"/>
          <w:sz w:val="24"/>
        </w:rPr>
        <w:t> 2012; </w:t>
      </w:r>
      <w:r>
        <w:rPr>
          <w:rFonts w:ascii="Book Antiqua" w:hAnsi="Book Antiqua"/>
          <w:b/>
          <w:bCs/>
          <w:color w:val="000000"/>
          <w:sz w:val="24"/>
        </w:rPr>
        <w:t>51</w:t>
      </w:r>
      <w:r>
        <w:rPr>
          <w:rFonts w:ascii="Book Antiqua" w:hAnsi="Book Antiqua"/>
          <w:color w:val="000000"/>
          <w:sz w:val="24"/>
        </w:rPr>
        <w:t>: 5308-5332 [PMID: 22566109 DOI: 10.1002/anie.201107724]</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104 </w:t>
      </w:r>
      <w:r>
        <w:rPr>
          <w:rFonts w:ascii="Book Antiqua" w:hAnsi="Book Antiqua"/>
          <w:b/>
          <w:bCs/>
          <w:color w:val="000000"/>
          <w:sz w:val="24"/>
        </w:rPr>
        <w:t>Mantzorou M</w:t>
      </w:r>
      <w:r>
        <w:rPr>
          <w:rFonts w:ascii="Book Antiqua" w:hAnsi="Book Antiqua"/>
          <w:color w:val="000000"/>
          <w:sz w:val="24"/>
        </w:rPr>
        <w:t>, Pavlidou E, Vasios G, Tsagalioti E, Giaginis C. Effects of curcumin consumption on human chronic diseases: A narrative review of the most recent clinical data. </w:t>
      </w:r>
      <w:r>
        <w:rPr>
          <w:rFonts w:ascii="Book Antiqua" w:hAnsi="Book Antiqua"/>
          <w:i/>
          <w:iCs/>
          <w:color w:val="000000"/>
          <w:sz w:val="24"/>
        </w:rPr>
        <w:t>Phytother Res</w:t>
      </w:r>
      <w:r>
        <w:rPr>
          <w:rFonts w:ascii="Book Antiqua" w:hAnsi="Book Antiqua"/>
          <w:color w:val="000000"/>
          <w:sz w:val="24"/>
        </w:rPr>
        <w:t> 2018; </w:t>
      </w:r>
      <w:r>
        <w:rPr>
          <w:rFonts w:ascii="Book Antiqua" w:hAnsi="Book Antiqua"/>
          <w:b/>
          <w:bCs/>
          <w:color w:val="000000"/>
          <w:sz w:val="24"/>
        </w:rPr>
        <w:t>32</w:t>
      </w:r>
      <w:r>
        <w:rPr>
          <w:rFonts w:ascii="Book Antiqua" w:hAnsi="Book Antiqua"/>
          <w:color w:val="000000"/>
          <w:sz w:val="24"/>
        </w:rPr>
        <w:t>: 957-975 [PMID: 29468820 DOI: 10.1002/ptr.6037]</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105 </w:t>
      </w:r>
      <w:r>
        <w:rPr>
          <w:rFonts w:ascii="Book Antiqua" w:hAnsi="Book Antiqua"/>
          <w:b/>
          <w:bCs/>
          <w:color w:val="000000"/>
          <w:sz w:val="24"/>
        </w:rPr>
        <w:t>Shehzad A</w:t>
      </w:r>
      <w:r>
        <w:rPr>
          <w:rFonts w:ascii="Book Antiqua" w:hAnsi="Book Antiqua"/>
          <w:color w:val="000000"/>
          <w:sz w:val="24"/>
        </w:rPr>
        <w:t>, Rehman G, Lee YS. Curcumin in inflammatory diseases. </w:t>
      </w:r>
      <w:r>
        <w:rPr>
          <w:rFonts w:ascii="Book Antiqua" w:hAnsi="Book Antiqua"/>
          <w:i/>
          <w:iCs/>
          <w:color w:val="000000"/>
          <w:sz w:val="24"/>
        </w:rPr>
        <w:t>Biofactors</w:t>
      </w:r>
      <w:r>
        <w:rPr>
          <w:rFonts w:ascii="Book Antiqua" w:hAnsi="Book Antiqua"/>
          <w:color w:val="000000"/>
          <w:sz w:val="24"/>
        </w:rPr>
        <w:t> 2013; </w:t>
      </w:r>
      <w:r>
        <w:rPr>
          <w:rFonts w:ascii="Book Antiqua" w:hAnsi="Book Antiqua"/>
          <w:b/>
          <w:bCs/>
          <w:color w:val="000000"/>
          <w:sz w:val="24"/>
        </w:rPr>
        <w:t>39</w:t>
      </w:r>
      <w:r>
        <w:rPr>
          <w:rFonts w:ascii="Book Antiqua" w:hAnsi="Book Antiqua"/>
          <w:color w:val="000000"/>
          <w:sz w:val="24"/>
        </w:rPr>
        <w:t>: 69-77 [PMID: 23281076 DOI: 10.1002/biof.1066]</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106 </w:t>
      </w:r>
      <w:r>
        <w:rPr>
          <w:rFonts w:ascii="Book Antiqua" w:hAnsi="Book Antiqua"/>
          <w:b/>
          <w:bCs/>
          <w:color w:val="000000"/>
          <w:sz w:val="24"/>
        </w:rPr>
        <w:t>Sordillo PP</w:t>
      </w:r>
      <w:r>
        <w:rPr>
          <w:rFonts w:ascii="Book Antiqua" w:hAnsi="Book Antiqua"/>
          <w:color w:val="000000"/>
          <w:sz w:val="24"/>
        </w:rPr>
        <w:t>, Helson L. Curcumin suppression of cytokine release and cytokine storm. A potential therapy for patients with Ebola and other severe viral infections. </w:t>
      </w:r>
      <w:r>
        <w:rPr>
          <w:rFonts w:ascii="Book Antiqua" w:hAnsi="Book Antiqua"/>
          <w:i/>
          <w:iCs/>
          <w:color w:val="000000"/>
          <w:sz w:val="24"/>
        </w:rPr>
        <w:t>In Vivo</w:t>
      </w:r>
      <w:r>
        <w:rPr>
          <w:rFonts w:ascii="Book Antiqua" w:hAnsi="Book Antiqua"/>
          <w:color w:val="000000"/>
          <w:sz w:val="24"/>
        </w:rPr>
        <w:t> 2015; </w:t>
      </w:r>
      <w:r>
        <w:rPr>
          <w:rFonts w:ascii="Book Antiqua" w:hAnsi="Book Antiqua"/>
          <w:b/>
          <w:bCs/>
          <w:color w:val="000000"/>
          <w:sz w:val="24"/>
        </w:rPr>
        <w:t>29</w:t>
      </w:r>
      <w:r>
        <w:rPr>
          <w:rFonts w:ascii="Book Antiqua" w:hAnsi="Book Antiqua"/>
          <w:color w:val="000000"/>
          <w:sz w:val="24"/>
        </w:rPr>
        <w:t>: 1-4 [PMID: 25600522]</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107 </w:t>
      </w:r>
      <w:r>
        <w:rPr>
          <w:rFonts w:ascii="Book Antiqua" w:hAnsi="Book Antiqua"/>
          <w:b/>
          <w:bCs/>
          <w:color w:val="000000"/>
          <w:sz w:val="24"/>
        </w:rPr>
        <w:t>Tang Y</w:t>
      </w:r>
      <w:r>
        <w:rPr>
          <w:rFonts w:ascii="Book Antiqua" w:hAnsi="Book Antiqua"/>
          <w:color w:val="000000"/>
          <w:sz w:val="24"/>
        </w:rPr>
        <w:t>, Zheng S, Chen A. Curcumin eliminates leptin's effects on hepatic stellate cell activation via interrupting leptin signaling. </w:t>
      </w:r>
      <w:r>
        <w:rPr>
          <w:rFonts w:ascii="Book Antiqua" w:hAnsi="Book Antiqua"/>
          <w:i/>
          <w:iCs/>
          <w:color w:val="000000"/>
          <w:sz w:val="24"/>
        </w:rPr>
        <w:t>Endocrinology</w:t>
      </w:r>
      <w:r>
        <w:rPr>
          <w:rFonts w:ascii="Book Antiqua" w:hAnsi="Book Antiqua"/>
          <w:color w:val="000000"/>
          <w:sz w:val="24"/>
        </w:rPr>
        <w:t> 2009; </w:t>
      </w:r>
      <w:r>
        <w:rPr>
          <w:rFonts w:ascii="Book Antiqua" w:hAnsi="Book Antiqua"/>
          <w:b/>
          <w:bCs/>
          <w:color w:val="000000"/>
          <w:sz w:val="24"/>
        </w:rPr>
        <w:t>150</w:t>
      </w:r>
      <w:r>
        <w:rPr>
          <w:rFonts w:ascii="Book Antiqua" w:hAnsi="Book Antiqua"/>
          <w:color w:val="000000"/>
          <w:sz w:val="24"/>
        </w:rPr>
        <w:t>: 3011-3020 [PMID: 19299451 DOI: 10.1210/en.2008-1601]</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108 </w:t>
      </w:r>
      <w:r>
        <w:rPr>
          <w:rFonts w:ascii="Book Antiqua" w:hAnsi="Book Antiqua"/>
          <w:b/>
          <w:bCs/>
          <w:color w:val="000000"/>
          <w:sz w:val="24"/>
        </w:rPr>
        <w:t>Samuhasaneeto S</w:t>
      </w:r>
      <w:r>
        <w:rPr>
          <w:rFonts w:ascii="Book Antiqua" w:hAnsi="Book Antiqua"/>
          <w:color w:val="000000"/>
          <w:sz w:val="24"/>
        </w:rPr>
        <w:t>, Thong-Ngam D, Kulaputana O, Suyasunanont D, Klaikeaw N. Curcumin decreased oxidative stress, inhibited NF-kappaB activation, and improved liver pathology in ethanol-induced liver injury in rats. </w:t>
      </w:r>
      <w:r>
        <w:rPr>
          <w:rFonts w:ascii="Book Antiqua" w:hAnsi="Book Antiqua"/>
          <w:i/>
          <w:iCs/>
          <w:color w:val="000000"/>
          <w:sz w:val="24"/>
        </w:rPr>
        <w:t>J Biomed Biotechnol</w:t>
      </w:r>
      <w:r>
        <w:rPr>
          <w:rFonts w:ascii="Book Antiqua" w:hAnsi="Book Antiqua"/>
          <w:color w:val="000000"/>
          <w:sz w:val="24"/>
        </w:rPr>
        <w:t> 2009; </w:t>
      </w:r>
      <w:r>
        <w:rPr>
          <w:rFonts w:ascii="Book Antiqua" w:hAnsi="Book Antiqua"/>
          <w:b/>
          <w:bCs/>
          <w:color w:val="000000"/>
          <w:sz w:val="24"/>
        </w:rPr>
        <w:t>2009</w:t>
      </w:r>
      <w:r>
        <w:rPr>
          <w:rFonts w:ascii="Book Antiqua" w:hAnsi="Book Antiqua"/>
          <w:color w:val="000000"/>
          <w:sz w:val="24"/>
        </w:rPr>
        <w:t>: 981963 [PMID: 19606259 DOI: 10.1155/2009/981963]</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109 </w:t>
      </w:r>
      <w:r>
        <w:rPr>
          <w:rFonts w:ascii="Book Antiqua" w:hAnsi="Book Antiqua"/>
          <w:b/>
          <w:bCs/>
          <w:color w:val="000000"/>
          <w:sz w:val="24"/>
        </w:rPr>
        <w:t>Fu Y</w:t>
      </w:r>
      <w:r>
        <w:rPr>
          <w:rFonts w:ascii="Book Antiqua" w:hAnsi="Book Antiqua"/>
          <w:color w:val="000000"/>
          <w:sz w:val="24"/>
        </w:rPr>
        <w:t xml:space="preserve">, Zheng S, Lin J, Ryerse J, Chen A. Curcumin protects the rat liver from </w:t>
      </w:r>
      <w:r>
        <w:rPr>
          <w:rFonts w:ascii="Book Antiqua" w:hAnsi="Book Antiqua"/>
          <w:color w:val="000000"/>
          <w:sz w:val="24"/>
        </w:rPr>
        <w:lastRenderedPageBreak/>
        <w:t>CCl4-caused injury and fibrogenesis by attenuating oxidative stress and suppressing inflammation. </w:t>
      </w:r>
      <w:r>
        <w:rPr>
          <w:rFonts w:ascii="Book Antiqua" w:hAnsi="Book Antiqua"/>
          <w:i/>
          <w:iCs/>
          <w:color w:val="000000"/>
          <w:sz w:val="24"/>
        </w:rPr>
        <w:t>Mol Pharmacol</w:t>
      </w:r>
      <w:r>
        <w:rPr>
          <w:rFonts w:ascii="Book Antiqua" w:hAnsi="Book Antiqua"/>
          <w:color w:val="000000"/>
          <w:sz w:val="24"/>
        </w:rPr>
        <w:t> 2008; </w:t>
      </w:r>
      <w:r>
        <w:rPr>
          <w:rFonts w:ascii="Book Antiqua" w:hAnsi="Book Antiqua"/>
          <w:b/>
          <w:bCs/>
          <w:color w:val="000000"/>
          <w:sz w:val="24"/>
        </w:rPr>
        <w:t>73</w:t>
      </w:r>
      <w:r>
        <w:rPr>
          <w:rFonts w:ascii="Book Antiqua" w:hAnsi="Book Antiqua"/>
          <w:color w:val="000000"/>
          <w:sz w:val="24"/>
        </w:rPr>
        <w:t>: 399-409 [PMID: 18006644 DOI: 10.1124/mol.107.039818]</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110 </w:t>
      </w:r>
      <w:r>
        <w:rPr>
          <w:rFonts w:ascii="Book Antiqua" w:hAnsi="Book Antiqua"/>
          <w:b/>
          <w:bCs/>
          <w:color w:val="000000"/>
          <w:sz w:val="24"/>
        </w:rPr>
        <w:t>Chen MH</w:t>
      </w:r>
      <w:r>
        <w:rPr>
          <w:rFonts w:ascii="Book Antiqua" w:hAnsi="Book Antiqua"/>
          <w:color w:val="000000"/>
          <w:sz w:val="24"/>
        </w:rPr>
        <w:t>, Lee MY, Chuang JJ, Li YZ, Ning ST, Chen JC, Liu YW. Curcumin inhibits HCV replication by induction of heme oxygenase-1 and suppression of AKT. </w:t>
      </w:r>
      <w:r>
        <w:rPr>
          <w:rFonts w:ascii="Book Antiqua" w:hAnsi="Book Antiqua"/>
          <w:i/>
          <w:iCs/>
          <w:color w:val="000000"/>
          <w:sz w:val="24"/>
        </w:rPr>
        <w:t>Int J Mol Med</w:t>
      </w:r>
      <w:r>
        <w:rPr>
          <w:rFonts w:ascii="Book Antiqua" w:hAnsi="Book Antiqua"/>
          <w:color w:val="000000"/>
          <w:sz w:val="24"/>
        </w:rPr>
        <w:t> 2012; </w:t>
      </w:r>
      <w:r>
        <w:rPr>
          <w:rFonts w:ascii="Book Antiqua" w:hAnsi="Book Antiqua"/>
          <w:b/>
          <w:bCs/>
          <w:color w:val="000000"/>
          <w:sz w:val="24"/>
        </w:rPr>
        <w:t>30</w:t>
      </w:r>
      <w:r>
        <w:rPr>
          <w:rFonts w:ascii="Book Antiqua" w:hAnsi="Book Antiqua"/>
          <w:color w:val="000000"/>
          <w:sz w:val="24"/>
        </w:rPr>
        <w:t>: 1021-1028 [PMID: 22922731 DOI: 10.3892/ijmm.2012.1096]</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111 </w:t>
      </w:r>
      <w:r>
        <w:rPr>
          <w:rFonts w:ascii="Book Antiqua" w:hAnsi="Book Antiqua"/>
          <w:b/>
          <w:bCs/>
          <w:color w:val="000000"/>
          <w:sz w:val="24"/>
        </w:rPr>
        <w:t>Kim K</w:t>
      </w:r>
      <w:r>
        <w:rPr>
          <w:rFonts w:ascii="Book Antiqua" w:hAnsi="Book Antiqua"/>
          <w:color w:val="000000"/>
          <w:sz w:val="24"/>
        </w:rPr>
        <w:t>, Kim KH, Kim HY, Cho HK, Sakamoto N, Cheong J. Curcumin inhibits hepatitis C virus replication via suppressing the Akt-SREBP-1 pathway. </w:t>
      </w:r>
      <w:r>
        <w:rPr>
          <w:rFonts w:ascii="Book Antiqua" w:hAnsi="Book Antiqua"/>
          <w:i/>
          <w:iCs/>
          <w:color w:val="000000"/>
          <w:sz w:val="24"/>
        </w:rPr>
        <w:t xml:space="preserve">FEBS Lett </w:t>
      </w:r>
      <w:r>
        <w:rPr>
          <w:rFonts w:ascii="Book Antiqua" w:hAnsi="Book Antiqua"/>
          <w:color w:val="000000"/>
          <w:sz w:val="24"/>
        </w:rPr>
        <w:t>2010; </w:t>
      </w:r>
      <w:r>
        <w:rPr>
          <w:rFonts w:ascii="Book Antiqua" w:hAnsi="Book Antiqua"/>
          <w:b/>
          <w:bCs/>
          <w:color w:val="000000"/>
          <w:sz w:val="24"/>
        </w:rPr>
        <w:t>584</w:t>
      </w:r>
      <w:r>
        <w:rPr>
          <w:rFonts w:ascii="Book Antiqua" w:hAnsi="Book Antiqua"/>
          <w:color w:val="000000"/>
          <w:sz w:val="24"/>
        </w:rPr>
        <w:t>: 707-712 [PMID: 20026048 DOI: 10.1016/j.febslet.2009.12.019]</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112 </w:t>
      </w:r>
      <w:r>
        <w:rPr>
          <w:rFonts w:ascii="Book Antiqua" w:hAnsi="Book Antiqua"/>
          <w:b/>
          <w:bCs/>
          <w:color w:val="000000"/>
          <w:sz w:val="24"/>
        </w:rPr>
        <w:t>Anggakusuma</w:t>
      </w:r>
      <w:r>
        <w:rPr>
          <w:rFonts w:ascii="Book Antiqua" w:hAnsi="Book Antiqua"/>
          <w:color w:val="000000"/>
          <w:sz w:val="24"/>
        </w:rPr>
        <w:t>, Colpitts CC, Schang LM, Rachmawati H, Frentzen A, Pfaender S, Behrendt P, Brown RJ, Bankwitz D, Steinmann J, Ott M, Meuleman P, Rice CM, Ploss A, Pietschmann T, Steinmann E. Turmeric curcumin inhibits entry of all hepatitis C virus genotypes into human liver cells. </w:t>
      </w:r>
      <w:r>
        <w:rPr>
          <w:rFonts w:ascii="Book Antiqua" w:hAnsi="Book Antiqua"/>
          <w:i/>
          <w:iCs/>
          <w:color w:val="000000"/>
          <w:sz w:val="24"/>
        </w:rPr>
        <w:t>Gut</w:t>
      </w:r>
      <w:r>
        <w:rPr>
          <w:rFonts w:ascii="Book Antiqua" w:hAnsi="Book Antiqua"/>
          <w:color w:val="000000"/>
          <w:sz w:val="24"/>
        </w:rPr>
        <w:t> 2014; </w:t>
      </w:r>
      <w:r>
        <w:rPr>
          <w:rFonts w:ascii="Book Antiqua" w:hAnsi="Book Antiqua"/>
          <w:b/>
          <w:bCs/>
          <w:color w:val="000000"/>
          <w:sz w:val="24"/>
        </w:rPr>
        <w:t>63</w:t>
      </w:r>
      <w:r>
        <w:rPr>
          <w:rFonts w:ascii="Book Antiqua" w:hAnsi="Book Antiqua"/>
          <w:color w:val="000000"/>
          <w:sz w:val="24"/>
        </w:rPr>
        <w:t>: 1137-1149 [PMID: 23903236 DOI: 10.1136/gutjnl-2012-304299]</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113 </w:t>
      </w:r>
      <w:r>
        <w:rPr>
          <w:rFonts w:ascii="Book Antiqua" w:hAnsi="Book Antiqua"/>
          <w:b/>
          <w:bCs/>
          <w:color w:val="000000"/>
          <w:sz w:val="24"/>
        </w:rPr>
        <w:t>Azzam HS</w:t>
      </w:r>
      <w:r>
        <w:rPr>
          <w:rFonts w:ascii="Book Antiqua" w:hAnsi="Book Antiqua"/>
          <w:color w:val="000000"/>
          <w:sz w:val="24"/>
        </w:rPr>
        <w:t>, Goertz C, Fritts M, Jonas WB. Natural products and chronic hepatitis C virus. </w:t>
      </w:r>
      <w:r>
        <w:rPr>
          <w:rFonts w:ascii="Book Antiqua" w:hAnsi="Book Antiqua"/>
          <w:i/>
          <w:iCs/>
          <w:color w:val="000000"/>
          <w:sz w:val="24"/>
        </w:rPr>
        <w:t>Liver Int</w:t>
      </w:r>
      <w:r>
        <w:rPr>
          <w:rFonts w:ascii="Book Antiqua" w:hAnsi="Book Antiqua"/>
          <w:color w:val="000000"/>
          <w:sz w:val="24"/>
        </w:rPr>
        <w:t> 2007; </w:t>
      </w:r>
      <w:r>
        <w:rPr>
          <w:rFonts w:ascii="Book Antiqua" w:hAnsi="Book Antiqua"/>
          <w:b/>
          <w:bCs/>
          <w:color w:val="000000"/>
          <w:sz w:val="24"/>
        </w:rPr>
        <w:t>27</w:t>
      </w:r>
      <w:r>
        <w:rPr>
          <w:rFonts w:ascii="Book Antiqua" w:hAnsi="Book Antiqua"/>
          <w:color w:val="000000"/>
          <w:sz w:val="24"/>
        </w:rPr>
        <w:t>: 17-25 [PMID: 17241377 DOI: 10.1111/j.1478-3231.2006.01408.x]</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114 </w:t>
      </w:r>
      <w:r>
        <w:rPr>
          <w:rFonts w:ascii="Book Antiqua" w:hAnsi="Book Antiqua"/>
          <w:b/>
          <w:bCs/>
          <w:color w:val="000000"/>
          <w:sz w:val="24"/>
        </w:rPr>
        <w:t>Yu YY</w:t>
      </w:r>
      <w:r>
        <w:rPr>
          <w:rFonts w:ascii="Book Antiqua" w:hAnsi="Book Antiqua"/>
          <w:color w:val="000000"/>
          <w:sz w:val="24"/>
        </w:rPr>
        <w:t>, Wang QH, Zhu LM, Zhang QB, Xu DZ, Guo YB, Wang CQ, Guo SH, Zhou XQ, Zhang LX. [A clinical research on oxymatrine for the treatment of chronic hepatitis B]. </w:t>
      </w:r>
      <w:r>
        <w:rPr>
          <w:rFonts w:ascii="Book Antiqua" w:hAnsi="Book Antiqua"/>
          <w:i/>
          <w:iCs/>
          <w:color w:val="000000"/>
          <w:sz w:val="24"/>
        </w:rPr>
        <w:t>Zhonghua Gan Zang Bing Za Zhi</w:t>
      </w:r>
      <w:r>
        <w:rPr>
          <w:rFonts w:ascii="Book Antiqua" w:hAnsi="Book Antiqua"/>
          <w:color w:val="000000"/>
          <w:sz w:val="24"/>
        </w:rPr>
        <w:t> 2002; </w:t>
      </w:r>
      <w:r>
        <w:rPr>
          <w:rFonts w:ascii="Book Antiqua" w:hAnsi="Book Antiqua"/>
          <w:b/>
          <w:bCs/>
          <w:color w:val="000000"/>
          <w:sz w:val="24"/>
        </w:rPr>
        <w:t>10</w:t>
      </w:r>
      <w:r>
        <w:rPr>
          <w:rFonts w:ascii="Book Antiqua" w:hAnsi="Book Antiqua"/>
          <w:color w:val="000000"/>
          <w:sz w:val="24"/>
        </w:rPr>
        <w:t>: 280-281 [PMID: 12223140]</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115 </w:t>
      </w:r>
      <w:r>
        <w:rPr>
          <w:rFonts w:ascii="Book Antiqua" w:hAnsi="Book Antiqua"/>
          <w:b/>
          <w:bCs/>
          <w:color w:val="000000"/>
          <w:sz w:val="24"/>
        </w:rPr>
        <w:t>Chen N</w:t>
      </w:r>
      <w:r>
        <w:rPr>
          <w:rFonts w:ascii="Book Antiqua" w:hAnsi="Book Antiqua"/>
          <w:color w:val="000000"/>
          <w:sz w:val="24"/>
        </w:rPr>
        <w:t>, Liu YH, Liu XJ, Chen YR, Guo YH, Liu M. [Oxymatrine inhibits target cell infection in the HCVcc system]. </w:t>
      </w:r>
      <w:r>
        <w:rPr>
          <w:rFonts w:ascii="Book Antiqua" w:hAnsi="Book Antiqua"/>
          <w:i/>
          <w:iCs/>
          <w:color w:val="000000"/>
          <w:sz w:val="24"/>
        </w:rPr>
        <w:t>Zhonghua Gan Zang Bing Za Zhi</w:t>
      </w:r>
      <w:r>
        <w:rPr>
          <w:rFonts w:ascii="Book Antiqua" w:hAnsi="Book Antiqua"/>
          <w:color w:val="000000"/>
          <w:sz w:val="24"/>
        </w:rPr>
        <w:t> 2016; </w:t>
      </w:r>
      <w:r>
        <w:rPr>
          <w:rFonts w:ascii="Book Antiqua" w:hAnsi="Book Antiqua"/>
          <w:b/>
          <w:bCs/>
          <w:color w:val="000000"/>
          <w:sz w:val="24"/>
        </w:rPr>
        <w:t>24</w:t>
      </w:r>
      <w:r>
        <w:rPr>
          <w:rFonts w:ascii="Book Antiqua" w:hAnsi="Book Antiqua"/>
          <w:color w:val="000000"/>
          <w:sz w:val="24"/>
        </w:rPr>
        <w:t>: 40-45 [PMID: 26983388 DOI: 10.3760/cma.j.issn.1007-3418.2016.01.008]</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116 </w:t>
      </w:r>
      <w:r>
        <w:rPr>
          <w:rFonts w:ascii="Book Antiqua" w:hAnsi="Book Antiqua"/>
          <w:b/>
          <w:bCs/>
          <w:color w:val="000000"/>
          <w:sz w:val="24"/>
        </w:rPr>
        <w:t>Chen Y</w:t>
      </w:r>
      <w:r>
        <w:rPr>
          <w:rFonts w:ascii="Book Antiqua" w:hAnsi="Book Antiqua"/>
          <w:color w:val="000000"/>
          <w:sz w:val="24"/>
        </w:rPr>
        <w:t>, Li J, Zeng M, Lu L, Qu D, Mao Y, Fan Z, Hua J. [The inhibitory effect of oxymatrine on hepatitis C virus in vitro]. </w:t>
      </w:r>
      <w:r>
        <w:rPr>
          <w:rFonts w:ascii="Book Antiqua" w:hAnsi="Book Antiqua"/>
          <w:i/>
          <w:iCs/>
          <w:color w:val="000000"/>
          <w:sz w:val="24"/>
        </w:rPr>
        <w:t>Zhonghua Gan Zang Bing Za Zhi</w:t>
      </w:r>
      <w:r>
        <w:rPr>
          <w:rFonts w:ascii="Book Antiqua" w:hAnsi="Book Antiqua"/>
          <w:color w:val="000000"/>
          <w:sz w:val="24"/>
        </w:rPr>
        <w:t> 2001; </w:t>
      </w:r>
      <w:r>
        <w:rPr>
          <w:rFonts w:ascii="Book Antiqua" w:hAnsi="Book Antiqua"/>
          <w:b/>
          <w:bCs/>
          <w:color w:val="000000"/>
          <w:sz w:val="24"/>
        </w:rPr>
        <w:t>9 Suppl</w:t>
      </w:r>
      <w:r>
        <w:rPr>
          <w:rFonts w:ascii="Book Antiqua" w:hAnsi="Book Antiqua"/>
          <w:color w:val="000000"/>
          <w:sz w:val="24"/>
        </w:rPr>
        <w:t>: 12-14 [PMID: 11509127]</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117 </w:t>
      </w:r>
      <w:r>
        <w:rPr>
          <w:rFonts w:ascii="Book Antiqua" w:hAnsi="Book Antiqua"/>
          <w:b/>
          <w:bCs/>
          <w:color w:val="000000"/>
          <w:sz w:val="24"/>
        </w:rPr>
        <w:t>Li J</w:t>
      </w:r>
      <w:r>
        <w:rPr>
          <w:rFonts w:ascii="Book Antiqua" w:hAnsi="Book Antiqua"/>
          <w:color w:val="000000"/>
          <w:sz w:val="24"/>
        </w:rPr>
        <w:t>, Li C, Zeng M. [Preliminary study on therapeutic effect of oxymatrine in treating patients with chronic hepatitis C]. </w:t>
      </w:r>
      <w:r>
        <w:rPr>
          <w:rFonts w:ascii="Book Antiqua" w:hAnsi="Book Antiqua"/>
          <w:i/>
          <w:iCs/>
          <w:color w:val="000000"/>
          <w:sz w:val="24"/>
        </w:rPr>
        <w:t>Zhongguo Zhong Xi Yi Jie He Za Zhi</w:t>
      </w:r>
      <w:r>
        <w:rPr>
          <w:rFonts w:ascii="Book Antiqua" w:hAnsi="Book Antiqua"/>
          <w:color w:val="000000"/>
          <w:sz w:val="24"/>
        </w:rPr>
        <w:t> 1998; </w:t>
      </w:r>
      <w:r>
        <w:rPr>
          <w:rFonts w:ascii="Book Antiqua" w:hAnsi="Book Antiqua"/>
          <w:b/>
          <w:bCs/>
          <w:color w:val="000000"/>
          <w:sz w:val="24"/>
        </w:rPr>
        <w:t>18</w:t>
      </w:r>
      <w:r>
        <w:rPr>
          <w:rFonts w:ascii="Book Antiqua" w:hAnsi="Book Antiqua"/>
          <w:color w:val="000000"/>
          <w:sz w:val="24"/>
        </w:rPr>
        <w:t>: 227-229 [PMID: 11475748]</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118 </w:t>
      </w:r>
      <w:r>
        <w:rPr>
          <w:rFonts w:ascii="Book Antiqua" w:hAnsi="Book Antiqua"/>
          <w:b/>
          <w:bCs/>
          <w:color w:val="000000"/>
          <w:sz w:val="24"/>
        </w:rPr>
        <w:t>Li YH</w:t>
      </w:r>
      <w:r>
        <w:rPr>
          <w:rFonts w:ascii="Book Antiqua" w:hAnsi="Book Antiqua"/>
          <w:color w:val="000000"/>
          <w:sz w:val="24"/>
        </w:rPr>
        <w:t xml:space="preserve">, Wu ZY, Tang S, Zhang X, Wang YX, Jiang JD, Peng ZG, Song DQ. </w:t>
      </w:r>
      <w:r>
        <w:rPr>
          <w:rFonts w:ascii="Book Antiqua" w:hAnsi="Book Antiqua"/>
          <w:color w:val="000000"/>
          <w:sz w:val="24"/>
        </w:rPr>
        <w:lastRenderedPageBreak/>
        <w:t>Evolution of matrinic ethanol derivatives as anti-HCV agents from matrine skeleton. </w:t>
      </w:r>
      <w:r>
        <w:rPr>
          <w:rFonts w:ascii="Book Antiqua" w:hAnsi="Book Antiqua"/>
          <w:i/>
          <w:iCs/>
          <w:color w:val="000000"/>
          <w:sz w:val="24"/>
        </w:rPr>
        <w:t>Bioorg Med Chem Lett</w:t>
      </w:r>
      <w:r>
        <w:rPr>
          <w:rFonts w:ascii="Book Antiqua" w:hAnsi="Book Antiqua"/>
          <w:color w:val="000000"/>
          <w:sz w:val="24"/>
        </w:rPr>
        <w:t> 2017; </w:t>
      </w:r>
      <w:r>
        <w:rPr>
          <w:rFonts w:ascii="Book Antiqua" w:hAnsi="Book Antiqua"/>
          <w:b/>
          <w:bCs/>
          <w:color w:val="000000"/>
          <w:sz w:val="24"/>
        </w:rPr>
        <w:t>27</w:t>
      </w:r>
      <w:r>
        <w:rPr>
          <w:rFonts w:ascii="Book Antiqua" w:hAnsi="Book Antiqua"/>
          <w:color w:val="000000"/>
          <w:sz w:val="24"/>
        </w:rPr>
        <w:t>: 1962-1966 [PMID: 28320615 DOI: 10.1016/j.bmcl.2017.03.025]</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119 </w:t>
      </w:r>
      <w:r>
        <w:rPr>
          <w:rFonts w:ascii="Book Antiqua" w:hAnsi="Book Antiqua"/>
          <w:b/>
          <w:bCs/>
          <w:color w:val="000000"/>
          <w:sz w:val="24"/>
        </w:rPr>
        <w:t>Basile A</w:t>
      </w:r>
      <w:r>
        <w:rPr>
          <w:rFonts w:ascii="Book Antiqua" w:hAnsi="Book Antiqua"/>
          <w:color w:val="000000"/>
          <w:sz w:val="24"/>
        </w:rPr>
        <w:t>, Pascale M, Franceschelli S, Nieddu E, Mazzei MT, Fossa P, Turco MC, Mazzei M. Matrine modulates HSC70 levels and rescues ΔF508-CFTR. </w:t>
      </w:r>
      <w:r>
        <w:rPr>
          <w:rFonts w:ascii="Book Antiqua" w:hAnsi="Book Antiqua"/>
          <w:i/>
          <w:iCs/>
          <w:color w:val="000000"/>
          <w:sz w:val="24"/>
        </w:rPr>
        <w:t xml:space="preserve">J Cell Physiol </w:t>
      </w:r>
      <w:r>
        <w:rPr>
          <w:rFonts w:ascii="Book Antiqua" w:hAnsi="Book Antiqua"/>
          <w:color w:val="000000"/>
          <w:sz w:val="24"/>
        </w:rPr>
        <w:t>2012; </w:t>
      </w:r>
      <w:r>
        <w:rPr>
          <w:rFonts w:ascii="Book Antiqua" w:hAnsi="Book Antiqua"/>
          <w:b/>
          <w:bCs/>
          <w:color w:val="000000"/>
          <w:sz w:val="24"/>
        </w:rPr>
        <w:t>227</w:t>
      </w:r>
      <w:r>
        <w:rPr>
          <w:rFonts w:ascii="Book Antiqua" w:hAnsi="Book Antiqua"/>
          <w:color w:val="000000"/>
          <w:sz w:val="24"/>
        </w:rPr>
        <w:t>: 3317-3323 [PMID: 22170045 DOI: 10.1002/jcp.24028]</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120 </w:t>
      </w:r>
      <w:r>
        <w:rPr>
          <w:rFonts w:ascii="Book Antiqua" w:hAnsi="Book Antiqua"/>
          <w:b/>
          <w:bCs/>
          <w:color w:val="000000"/>
          <w:sz w:val="24"/>
        </w:rPr>
        <w:t>Du NN</w:t>
      </w:r>
      <w:r>
        <w:rPr>
          <w:rFonts w:ascii="Book Antiqua" w:hAnsi="Book Antiqua"/>
          <w:color w:val="000000"/>
          <w:sz w:val="24"/>
        </w:rPr>
        <w:t>, Li X, Wang YP, Liu F, Liu YX, Li CX, Peng ZG, Gao LM, Jiang JD, Song DQ. Synthesis, structure-activity relationship and biological evaluation of novel N-substituted matrinic acid derivatives as host heat-stress cognate 70 (Hsc70) down-regulators. </w:t>
      </w:r>
      <w:r>
        <w:rPr>
          <w:rFonts w:ascii="Book Antiqua" w:hAnsi="Book Antiqua"/>
          <w:i/>
          <w:iCs/>
          <w:color w:val="000000"/>
          <w:sz w:val="24"/>
        </w:rPr>
        <w:t>Bioorg Med Chem Lett</w:t>
      </w:r>
      <w:r>
        <w:rPr>
          <w:rFonts w:ascii="Book Antiqua" w:hAnsi="Book Antiqua"/>
          <w:color w:val="000000"/>
          <w:sz w:val="24"/>
        </w:rPr>
        <w:t> 2011; </w:t>
      </w:r>
      <w:r>
        <w:rPr>
          <w:rFonts w:ascii="Book Antiqua" w:hAnsi="Book Antiqua"/>
          <w:b/>
          <w:bCs/>
          <w:color w:val="000000"/>
          <w:sz w:val="24"/>
        </w:rPr>
        <w:t>21</w:t>
      </w:r>
      <w:r>
        <w:rPr>
          <w:rFonts w:ascii="Book Antiqua" w:hAnsi="Book Antiqua"/>
          <w:color w:val="000000"/>
          <w:sz w:val="24"/>
        </w:rPr>
        <w:t>: 4732-4735 [PMID: 21757347 DOI: 10.1016/j.bmcl.2011.06.071]</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121 </w:t>
      </w:r>
      <w:r>
        <w:rPr>
          <w:rFonts w:ascii="Book Antiqua" w:hAnsi="Book Antiqua"/>
          <w:b/>
          <w:bCs/>
          <w:color w:val="000000"/>
          <w:sz w:val="24"/>
        </w:rPr>
        <w:t>Peng ZG</w:t>
      </w:r>
      <w:r>
        <w:rPr>
          <w:rFonts w:ascii="Book Antiqua" w:hAnsi="Book Antiqua"/>
          <w:color w:val="000000"/>
          <w:sz w:val="24"/>
        </w:rPr>
        <w:t>, Fan B, Du NN, Wang YP, Gao LM, Li YH, Li YH, Liu F, You XF, Han YX, Zhao ZY, Cen S, Li JR, Song DQ, Jiang JD. Small molecular compounds that inhibit hepatitis C virus replication through destabilizing heat shock cognate 70 messenger RNA. </w:t>
      </w:r>
      <w:r>
        <w:rPr>
          <w:rFonts w:ascii="Book Antiqua" w:hAnsi="Book Antiqua"/>
          <w:i/>
          <w:iCs/>
          <w:color w:val="000000"/>
          <w:sz w:val="24"/>
        </w:rPr>
        <w:t>Hepatology</w:t>
      </w:r>
      <w:r>
        <w:rPr>
          <w:rFonts w:ascii="Book Antiqua" w:hAnsi="Book Antiqua"/>
          <w:color w:val="000000"/>
          <w:sz w:val="24"/>
        </w:rPr>
        <w:t> 2010; </w:t>
      </w:r>
      <w:r>
        <w:rPr>
          <w:rFonts w:ascii="Book Antiqua" w:hAnsi="Book Antiqua"/>
          <w:b/>
          <w:bCs/>
          <w:color w:val="000000"/>
          <w:sz w:val="24"/>
        </w:rPr>
        <w:t>52</w:t>
      </w:r>
      <w:r>
        <w:rPr>
          <w:rFonts w:ascii="Book Antiqua" w:hAnsi="Book Antiqua"/>
          <w:color w:val="000000"/>
          <w:sz w:val="24"/>
        </w:rPr>
        <w:t>: 845-853 [PMID: 20593456 DOI: 10.1002/hep.23766]</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122 </w:t>
      </w:r>
      <w:r>
        <w:rPr>
          <w:rFonts w:ascii="Book Antiqua" w:hAnsi="Book Antiqua"/>
          <w:b/>
          <w:bCs/>
          <w:color w:val="000000"/>
          <w:sz w:val="24"/>
        </w:rPr>
        <w:t>Zhao HW</w:t>
      </w:r>
      <w:r>
        <w:rPr>
          <w:rFonts w:ascii="Book Antiqua" w:hAnsi="Book Antiqua"/>
          <w:color w:val="000000"/>
          <w:sz w:val="24"/>
        </w:rPr>
        <w:t>, Zhang ZF, Chai X, Li GQ, Cui HR, Wang HB, Meng YK, Liu HM, Wang JB, Li RS, Bai ZF, Xiao XH. Oxymatrine attenuates CCl4-induced hepatic fibrosis via modulation of TLR4-dependent inflammatory and TGF-β1 signaling pathways. </w:t>
      </w:r>
      <w:r>
        <w:rPr>
          <w:rFonts w:ascii="Book Antiqua" w:hAnsi="Book Antiqua"/>
          <w:i/>
          <w:iCs/>
          <w:color w:val="000000"/>
          <w:sz w:val="24"/>
        </w:rPr>
        <w:t>Int Immunopharmacol</w:t>
      </w:r>
      <w:r>
        <w:rPr>
          <w:rFonts w:ascii="Book Antiqua" w:hAnsi="Book Antiqua"/>
          <w:color w:val="000000"/>
          <w:sz w:val="24"/>
        </w:rPr>
        <w:t> 2016; </w:t>
      </w:r>
      <w:r>
        <w:rPr>
          <w:rFonts w:ascii="Book Antiqua" w:hAnsi="Book Antiqua"/>
          <w:b/>
          <w:bCs/>
          <w:color w:val="000000"/>
          <w:sz w:val="24"/>
        </w:rPr>
        <w:t>36</w:t>
      </w:r>
      <w:r>
        <w:rPr>
          <w:rFonts w:ascii="Book Antiqua" w:hAnsi="Book Antiqua"/>
          <w:color w:val="000000"/>
          <w:sz w:val="24"/>
        </w:rPr>
        <w:t>: 249-255 [PMID: 27179304 DOI: 10.1016/j.intimp.2016.04.040]</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123 </w:t>
      </w:r>
      <w:r>
        <w:rPr>
          <w:rFonts w:ascii="Book Antiqua" w:hAnsi="Book Antiqua"/>
          <w:b/>
          <w:bCs/>
          <w:color w:val="000000"/>
          <w:sz w:val="24"/>
        </w:rPr>
        <w:t>Chai NL</w:t>
      </w:r>
      <w:r>
        <w:rPr>
          <w:rFonts w:ascii="Book Antiqua" w:hAnsi="Book Antiqua"/>
          <w:color w:val="000000"/>
          <w:sz w:val="24"/>
        </w:rPr>
        <w:t>, Fu Q, Shi H, Cai CH, Wan J, Xu SP, Wu BY. Oxymatrine liposome attenuates hepatic fibrosis via targeting hepatic stellate cells. </w:t>
      </w:r>
      <w:r>
        <w:rPr>
          <w:rFonts w:ascii="Book Antiqua" w:hAnsi="Book Antiqua"/>
          <w:i/>
          <w:iCs/>
          <w:color w:val="000000"/>
          <w:sz w:val="24"/>
        </w:rPr>
        <w:t xml:space="preserve">World J Gastroenterol </w:t>
      </w:r>
      <w:r>
        <w:rPr>
          <w:rFonts w:ascii="Book Antiqua" w:hAnsi="Book Antiqua"/>
          <w:color w:val="000000"/>
          <w:sz w:val="24"/>
        </w:rPr>
        <w:t>2012; </w:t>
      </w:r>
      <w:r>
        <w:rPr>
          <w:rFonts w:ascii="Book Antiqua" w:hAnsi="Book Antiqua"/>
          <w:b/>
          <w:bCs/>
          <w:color w:val="000000"/>
          <w:sz w:val="24"/>
        </w:rPr>
        <w:t>18</w:t>
      </w:r>
      <w:r>
        <w:rPr>
          <w:rFonts w:ascii="Book Antiqua" w:hAnsi="Book Antiqua"/>
          <w:color w:val="000000"/>
          <w:sz w:val="24"/>
        </w:rPr>
        <w:t>: 4199-4206 [PMID: 22919254 DOI: 10.3748/wjg.v18.i31.4199]</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124 </w:t>
      </w:r>
      <w:r>
        <w:rPr>
          <w:rFonts w:ascii="Book Antiqua" w:hAnsi="Book Antiqua"/>
          <w:b/>
          <w:bCs/>
          <w:color w:val="000000"/>
          <w:sz w:val="24"/>
        </w:rPr>
        <w:t>Wu XL</w:t>
      </w:r>
      <w:r>
        <w:rPr>
          <w:rFonts w:ascii="Book Antiqua" w:hAnsi="Book Antiqua"/>
          <w:color w:val="000000"/>
          <w:sz w:val="24"/>
        </w:rPr>
        <w:t>, Zeng WZ, Jiang MD, Qin JP, Xu H. Effect of Oxymatrine on the TGFbeta-Smad signaling pathway in rats with CCl4-induced hepatic fibrosis. </w:t>
      </w:r>
      <w:r>
        <w:rPr>
          <w:rFonts w:ascii="Book Antiqua" w:hAnsi="Book Antiqua"/>
          <w:i/>
          <w:iCs/>
          <w:color w:val="000000"/>
          <w:sz w:val="24"/>
        </w:rPr>
        <w:t>World J Gastroenterol</w:t>
      </w:r>
      <w:r>
        <w:rPr>
          <w:rFonts w:ascii="Book Antiqua" w:hAnsi="Book Antiqua"/>
          <w:color w:val="000000"/>
          <w:sz w:val="24"/>
        </w:rPr>
        <w:t> 2008; </w:t>
      </w:r>
      <w:r>
        <w:rPr>
          <w:rFonts w:ascii="Book Antiqua" w:hAnsi="Book Antiqua"/>
          <w:b/>
          <w:bCs/>
          <w:color w:val="000000"/>
          <w:sz w:val="24"/>
        </w:rPr>
        <w:t>14</w:t>
      </w:r>
      <w:r>
        <w:rPr>
          <w:rFonts w:ascii="Book Antiqua" w:hAnsi="Book Antiqua"/>
          <w:color w:val="000000"/>
          <w:sz w:val="24"/>
        </w:rPr>
        <w:t>: 2100-2105 [PMID: 18395914 DOI: 10.3748/wjg.14.2100]</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125 </w:t>
      </w:r>
      <w:r>
        <w:rPr>
          <w:rFonts w:ascii="Book Antiqua" w:hAnsi="Book Antiqua"/>
          <w:b/>
          <w:bCs/>
          <w:color w:val="000000"/>
          <w:sz w:val="24"/>
        </w:rPr>
        <w:t>Shi GF</w:t>
      </w:r>
      <w:r>
        <w:rPr>
          <w:rFonts w:ascii="Book Antiqua" w:hAnsi="Book Antiqua"/>
          <w:color w:val="000000"/>
          <w:sz w:val="24"/>
        </w:rPr>
        <w:t>, Li Q. Effects of oxymatrine on experimental hepatic fibrosis and its mechanism in vivo. </w:t>
      </w:r>
      <w:r>
        <w:rPr>
          <w:rFonts w:ascii="Book Antiqua" w:hAnsi="Book Antiqua"/>
          <w:i/>
          <w:iCs/>
          <w:color w:val="000000"/>
          <w:sz w:val="24"/>
        </w:rPr>
        <w:t>World J Gastroenterol</w:t>
      </w:r>
      <w:r>
        <w:rPr>
          <w:rFonts w:ascii="Book Antiqua" w:hAnsi="Book Antiqua"/>
          <w:color w:val="000000"/>
          <w:sz w:val="24"/>
        </w:rPr>
        <w:t> 2005; </w:t>
      </w:r>
      <w:r>
        <w:rPr>
          <w:rFonts w:ascii="Book Antiqua" w:hAnsi="Book Antiqua"/>
          <w:b/>
          <w:bCs/>
          <w:color w:val="000000"/>
          <w:sz w:val="24"/>
        </w:rPr>
        <w:t>11</w:t>
      </w:r>
      <w:r>
        <w:rPr>
          <w:rFonts w:ascii="Book Antiqua" w:hAnsi="Book Antiqua"/>
          <w:color w:val="000000"/>
          <w:sz w:val="24"/>
        </w:rPr>
        <w:t>: 268-271 [PMID: 15633229 DOI: 10.3748/wjg.v11.i2.268]</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126 </w:t>
      </w:r>
      <w:r>
        <w:rPr>
          <w:rFonts w:ascii="Book Antiqua" w:hAnsi="Book Antiqua"/>
          <w:b/>
          <w:bCs/>
          <w:color w:val="000000"/>
          <w:sz w:val="24"/>
        </w:rPr>
        <w:t>Yang W</w:t>
      </w:r>
      <w:r>
        <w:rPr>
          <w:rFonts w:ascii="Book Antiqua" w:hAnsi="Book Antiqua"/>
          <w:color w:val="000000"/>
          <w:sz w:val="24"/>
        </w:rPr>
        <w:t xml:space="preserve">, Zeng M, Fan Z, Mao Y, Song Y, Jia Y, Lu L, Chen CW, Peng YS, Zhu HY. </w:t>
      </w:r>
      <w:r>
        <w:rPr>
          <w:rFonts w:ascii="Book Antiqua" w:hAnsi="Book Antiqua"/>
          <w:color w:val="000000"/>
          <w:sz w:val="24"/>
        </w:rPr>
        <w:lastRenderedPageBreak/>
        <w:t>[Prophylactic and therapeutic effect of oxymatrine on D-galactosamine-induced rat liver fibrosis]. </w:t>
      </w:r>
      <w:r>
        <w:rPr>
          <w:rFonts w:ascii="Book Antiqua" w:hAnsi="Book Antiqua"/>
          <w:i/>
          <w:iCs/>
          <w:color w:val="000000"/>
          <w:sz w:val="24"/>
        </w:rPr>
        <w:t>Zhonghua Gan Zang Bing Za Zhi</w:t>
      </w:r>
      <w:r>
        <w:rPr>
          <w:rFonts w:ascii="Book Antiqua" w:hAnsi="Book Antiqua"/>
          <w:color w:val="000000"/>
          <w:sz w:val="24"/>
        </w:rPr>
        <w:t> 2002; </w:t>
      </w:r>
      <w:r>
        <w:rPr>
          <w:rFonts w:ascii="Book Antiqua" w:hAnsi="Book Antiqua"/>
          <w:b/>
          <w:bCs/>
          <w:color w:val="000000"/>
          <w:sz w:val="24"/>
        </w:rPr>
        <w:t>10</w:t>
      </w:r>
      <w:r>
        <w:rPr>
          <w:rFonts w:ascii="Book Antiqua" w:hAnsi="Book Antiqua"/>
          <w:color w:val="000000"/>
          <w:sz w:val="24"/>
        </w:rPr>
        <w:t>: 193-196 [PMID: 12113677]</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127 </w:t>
      </w:r>
      <w:r>
        <w:rPr>
          <w:rFonts w:ascii="Book Antiqua" w:hAnsi="Book Antiqua"/>
          <w:b/>
          <w:bCs/>
          <w:color w:val="000000"/>
          <w:sz w:val="24"/>
        </w:rPr>
        <w:t>Liu Y</w:t>
      </w:r>
      <w:r>
        <w:rPr>
          <w:rFonts w:ascii="Book Antiqua" w:hAnsi="Book Antiqua"/>
          <w:color w:val="000000"/>
          <w:sz w:val="24"/>
        </w:rPr>
        <w:t>, Xu Y, Ji W, Li X, Sun B, Gao Q, Su C. Anti-tumor activities of matrine and oxymatrine: literature review. </w:t>
      </w:r>
      <w:r>
        <w:rPr>
          <w:rFonts w:ascii="Book Antiqua" w:hAnsi="Book Antiqua"/>
          <w:i/>
          <w:iCs/>
          <w:color w:val="000000"/>
          <w:sz w:val="24"/>
        </w:rPr>
        <w:t>Tumour Biol</w:t>
      </w:r>
      <w:r>
        <w:rPr>
          <w:rFonts w:ascii="Book Antiqua" w:hAnsi="Book Antiqua"/>
          <w:color w:val="000000"/>
          <w:sz w:val="24"/>
        </w:rPr>
        <w:t> 2014; </w:t>
      </w:r>
      <w:r>
        <w:rPr>
          <w:rFonts w:ascii="Book Antiqua" w:hAnsi="Book Antiqua"/>
          <w:b/>
          <w:bCs/>
          <w:color w:val="000000"/>
          <w:sz w:val="24"/>
        </w:rPr>
        <w:t>35</w:t>
      </w:r>
      <w:r>
        <w:rPr>
          <w:rFonts w:ascii="Book Antiqua" w:hAnsi="Book Antiqua"/>
          <w:color w:val="000000"/>
          <w:sz w:val="24"/>
        </w:rPr>
        <w:t>: 5111-5119 [PMID: 24526416 DOI: 10.1007/s13277-014-1680-z]</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128 </w:t>
      </w:r>
      <w:r>
        <w:rPr>
          <w:rFonts w:ascii="Book Antiqua" w:hAnsi="Book Antiqua"/>
          <w:b/>
          <w:bCs/>
          <w:color w:val="000000"/>
          <w:sz w:val="24"/>
        </w:rPr>
        <w:t>Lao Y</w:t>
      </w:r>
      <w:r>
        <w:rPr>
          <w:rFonts w:ascii="Book Antiqua" w:hAnsi="Book Antiqua"/>
          <w:color w:val="000000"/>
          <w:sz w:val="24"/>
        </w:rPr>
        <w:t>. [Clinical study on effect of matrine injection to protect the liver function for patients with primary hepatic carcinoma after trans-artery chemo-embolization (TAE)]. </w:t>
      </w:r>
      <w:r>
        <w:rPr>
          <w:rFonts w:ascii="Book Antiqua" w:hAnsi="Book Antiqua"/>
          <w:i/>
          <w:iCs/>
          <w:color w:val="000000"/>
          <w:sz w:val="24"/>
        </w:rPr>
        <w:t>Zhong Yao Cai</w:t>
      </w:r>
      <w:r>
        <w:rPr>
          <w:rFonts w:ascii="Book Antiqua" w:hAnsi="Book Antiqua"/>
          <w:color w:val="000000"/>
          <w:sz w:val="24"/>
        </w:rPr>
        <w:t> 2005; </w:t>
      </w:r>
      <w:r>
        <w:rPr>
          <w:rFonts w:ascii="Book Antiqua" w:hAnsi="Book Antiqua"/>
          <w:b/>
          <w:bCs/>
          <w:color w:val="000000"/>
          <w:sz w:val="24"/>
        </w:rPr>
        <w:t>28</w:t>
      </w:r>
      <w:r>
        <w:rPr>
          <w:rFonts w:ascii="Book Antiqua" w:hAnsi="Book Antiqua"/>
          <w:color w:val="000000"/>
          <w:sz w:val="24"/>
        </w:rPr>
        <w:t>: 637-638 [PMID: 16252735]</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129 </w:t>
      </w:r>
      <w:r>
        <w:rPr>
          <w:rFonts w:ascii="Book Antiqua" w:hAnsi="Book Antiqua"/>
          <w:b/>
          <w:bCs/>
          <w:color w:val="000000"/>
          <w:sz w:val="24"/>
        </w:rPr>
        <w:t>Weiskirchen R</w:t>
      </w:r>
      <w:r>
        <w:rPr>
          <w:rFonts w:ascii="Book Antiqua" w:hAnsi="Book Antiqua"/>
          <w:color w:val="000000"/>
          <w:sz w:val="24"/>
        </w:rPr>
        <w:t>. Hepatoprotective and Anti-fibrotic Agents: It's Time to Take the Next Step. </w:t>
      </w:r>
      <w:r>
        <w:rPr>
          <w:rFonts w:ascii="Book Antiqua" w:hAnsi="Book Antiqua"/>
          <w:i/>
          <w:iCs/>
          <w:color w:val="000000"/>
          <w:sz w:val="24"/>
        </w:rPr>
        <w:t>Front Pharmacol</w:t>
      </w:r>
      <w:r>
        <w:rPr>
          <w:rFonts w:ascii="Book Antiqua" w:hAnsi="Book Antiqua"/>
          <w:color w:val="000000"/>
          <w:sz w:val="24"/>
        </w:rPr>
        <w:t> 2016; </w:t>
      </w:r>
      <w:r>
        <w:rPr>
          <w:rFonts w:ascii="Book Antiqua" w:hAnsi="Book Antiqua"/>
          <w:b/>
          <w:bCs/>
          <w:color w:val="000000"/>
          <w:sz w:val="24"/>
        </w:rPr>
        <w:t>6</w:t>
      </w:r>
      <w:r>
        <w:rPr>
          <w:rFonts w:ascii="Book Antiqua" w:hAnsi="Book Antiqua"/>
          <w:color w:val="000000"/>
          <w:sz w:val="24"/>
        </w:rPr>
        <w:t>: 303 [PMID: 26779021 DOI: 10.3389/fphar.2015.00303]</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130 </w:t>
      </w:r>
      <w:r>
        <w:rPr>
          <w:rFonts w:ascii="Book Antiqua" w:hAnsi="Book Antiqua"/>
          <w:b/>
          <w:bCs/>
          <w:color w:val="000000"/>
          <w:sz w:val="24"/>
        </w:rPr>
        <w:t>Huang H</w:t>
      </w:r>
      <w:r>
        <w:rPr>
          <w:rFonts w:ascii="Book Antiqua" w:hAnsi="Book Antiqua"/>
          <w:color w:val="000000"/>
          <w:sz w:val="24"/>
        </w:rPr>
        <w:t>, Chen Y, Ye J. Inhibition of hepatitis C virus replication by peroxidation of arachidonate and restoration by vitamin E. </w:t>
      </w:r>
      <w:r>
        <w:rPr>
          <w:rFonts w:ascii="Book Antiqua" w:hAnsi="Book Antiqua"/>
          <w:i/>
          <w:iCs/>
          <w:color w:val="000000"/>
          <w:sz w:val="24"/>
        </w:rPr>
        <w:t>Proc Natl Acad Sci USA</w:t>
      </w:r>
      <w:r>
        <w:rPr>
          <w:rFonts w:ascii="Book Antiqua" w:hAnsi="Book Antiqua"/>
          <w:color w:val="000000"/>
          <w:sz w:val="24"/>
        </w:rPr>
        <w:t> 2007; </w:t>
      </w:r>
      <w:r>
        <w:rPr>
          <w:rFonts w:ascii="Book Antiqua" w:hAnsi="Book Antiqua"/>
          <w:b/>
          <w:bCs/>
          <w:color w:val="000000"/>
          <w:sz w:val="24"/>
        </w:rPr>
        <w:t>104</w:t>
      </w:r>
      <w:r>
        <w:rPr>
          <w:rFonts w:ascii="Book Antiqua" w:hAnsi="Book Antiqua"/>
          <w:color w:val="000000"/>
          <w:sz w:val="24"/>
        </w:rPr>
        <w:t>: 18666-18670 [PMID: 18003907 DOI: 10.1073/pnas.0708423104]</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131 </w:t>
      </w:r>
      <w:r>
        <w:rPr>
          <w:rFonts w:ascii="Book Antiqua" w:hAnsi="Book Antiqua"/>
          <w:b/>
          <w:bCs/>
          <w:color w:val="000000"/>
          <w:sz w:val="24"/>
        </w:rPr>
        <w:t>Melhem A</w:t>
      </w:r>
      <w:r>
        <w:rPr>
          <w:rFonts w:ascii="Book Antiqua" w:hAnsi="Book Antiqua"/>
          <w:color w:val="000000"/>
          <w:sz w:val="24"/>
        </w:rPr>
        <w:t>, Stern M, Shibolet O, Israeli E, Ackerman Z, Pappo O, Hemed N, Rowe M, Ohana H, Zabrecky G, Cohen R, Ilan Y. Treatment of chronic hepatitis C virus infection via antioxidants: results of a phase I clinical trial. </w:t>
      </w:r>
      <w:r>
        <w:rPr>
          <w:rFonts w:ascii="Book Antiqua" w:hAnsi="Book Antiqua"/>
          <w:i/>
          <w:iCs/>
          <w:color w:val="000000"/>
          <w:sz w:val="24"/>
        </w:rPr>
        <w:t>J Clin Gastroenterol</w:t>
      </w:r>
      <w:r>
        <w:rPr>
          <w:rFonts w:ascii="Book Antiqua" w:hAnsi="Book Antiqua"/>
          <w:color w:val="000000"/>
          <w:sz w:val="24"/>
        </w:rPr>
        <w:t> 2005; </w:t>
      </w:r>
      <w:r>
        <w:rPr>
          <w:rFonts w:ascii="Book Antiqua" w:hAnsi="Book Antiqua"/>
          <w:b/>
          <w:bCs/>
          <w:color w:val="000000"/>
          <w:sz w:val="24"/>
        </w:rPr>
        <w:t>39</w:t>
      </w:r>
      <w:r>
        <w:rPr>
          <w:rFonts w:ascii="Book Antiqua" w:hAnsi="Book Antiqua"/>
          <w:color w:val="000000"/>
          <w:sz w:val="24"/>
        </w:rPr>
        <w:t>: 737-742 [PMID: 16082287]</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132 </w:t>
      </w:r>
      <w:r>
        <w:rPr>
          <w:rFonts w:ascii="Book Antiqua" w:hAnsi="Book Antiqua"/>
          <w:b/>
          <w:bCs/>
          <w:color w:val="000000"/>
          <w:sz w:val="24"/>
        </w:rPr>
        <w:t>Tee HP</w:t>
      </w:r>
      <w:r>
        <w:rPr>
          <w:rFonts w:ascii="Book Antiqua" w:hAnsi="Book Antiqua"/>
          <w:color w:val="000000"/>
          <w:sz w:val="24"/>
        </w:rPr>
        <w:t>, Kaffes AJ. Non-small-bowel lesions encountered during double-balloon enteroscopy performed for obscure gastrointestinal bleeding. </w:t>
      </w:r>
      <w:r>
        <w:rPr>
          <w:rFonts w:ascii="Book Antiqua" w:hAnsi="Book Antiqua"/>
          <w:i/>
          <w:iCs/>
          <w:color w:val="000000"/>
          <w:sz w:val="24"/>
        </w:rPr>
        <w:t>World J Gastroenterol</w:t>
      </w:r>
      <w:r>
        <w:rPr>
          <w:rFonts w:ascii="Book Antiqua" w:hAnsi="Book Antiqua"/>
          <w:color w:val="000000"/>
          <w:sz w:val="24"/>
        </w:rPr>
        <w:t> 2010; </w:t>
      </w:r>
      <w:r>
        <w:rPr>
          <w:rFonts w:ascii="Book Antiqua" w:hAnsi="Book Antiqua"/>
          <w:b/>
          <w:bCs/>
          <w:color w:val="000000"/>
          <w:sz w:val="24"/>
        </w:rPr>
        <w:t>16</w:t>
      </w:r>
      <w:r>
        <w:rPr>
          <w:rFonts w:ascii="Book Antiqua" w:hAnsi="Book Antiqua"/>
          <w:color w:val="000000"/>
          <w:sz w:val="24"/>
        </w:rPr>
        <w:t>: 1885-1889 [PMID: 20397267 DOI: 10.3748/wjg.v16.i15.1885]</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133 </w:t>
      </w:r>
      <w:r>
        <w:rPr>
          <w:rFonts w:ascii="Book Antiqua" w:hAnsi="Book Antiqua"/>
          <w:b/>
          <w:bCs/>
          <w:color w:val="000000"/>
          <w:sz w:val="24"/>
        </w:rPr>
        <w:t>Beloqui O</w:t>
      </w:r>
      <w:r>
        <w:rPr>
          <w:rFonts w:ascii="Book Antiqua" w:hAnsi="Book Antiqua"/>
          <w:color w:val="000000"/>
          <w:sz w:val="24"/>
        </w:rPr>
        <w:t>, Prieto J, Suárez M, Gil B, Qian CH, García N, Civeira MP. N-acetyl cysteine enhances the response to interferon-alpha in chronic hepatitis C: a pilot study. </w:t>
      </w:r>
      <w:r>
        <w:rPr>
          <w:rFonts w:ascii="Book Antiqua" w:hAnsi="Book Antiqua"/>
          <w:i/>
          <w:iCs/>
          <w:color w:val="000000"/>
          <w:sz w:val="24"/>
        </w:rPr>
        <w:t>J Interferon Res</w:t>
      </w:r>
      <w:r>
        <w:rPr>
          <w:rFonts w:ascii="Book Antiqua" w:hAnsi="Book Antiqua"/>
          <w:color w:val="000000"/>
          <w:sz w:val="24"/>
        </w:rPr>
        <w:t> 1993; </w:t>
      </w:r>
      <w:r>
        <w:rPr>
          <w:rFonts w:ascii="Book Antiqua" w:hAnsi="Book Antiqua"/>
          <w:b/>
          <w:bCs/>
          <w:color w:val="000000"/>
          <w:sz w:val="24"/>
        </w:rPr>
        <w:t>13</w:t>
      </w:r>
      <w:r>
        <w:rPr>
          <w:rFonts w:ascii="Book Antiqua" w:hAnsi="Book Antiqua"/>
          <w:color w:val="000000"/>
          <w:sz w:val="24"/>
        </w:rPr>
        <w:t>: 279-282 [PMID: 8228388]</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134 </w:t>
      </w:r>
      <w:r>
        <w:rPr>
          <w:rFonts w:ascii="Book Antiqua" w:hAnsi="Book Antiqua"/>
          <w:b/>
          <w:bCs/>
          <w:color w:val="000000"/>
          <w:sz w:val="24"/>
        </w:rPr>
        <w:t>Yang XY</w:t>
      </w:r>
      <w:r>
        <w:rPr>
          <w:rFonts w:ascii="Book Antiqua" w:hAnsi="Book Antiqua"/>
          <w:color w:val="000000"/>
          <w:sz w:val="24"/>
        </w:rPr>
        <w:t>, Zhuo Q, Wu TX, Liu GJ. Bicyclol for chronic hepatitis C. </w:t>
      </w:r>
      <w:r>
        <w:rPr>
          <w:rFonts w:ascii="Book Antiqua" w:hAnsi="Book Antiqua"/>
          <w:i/>
          <w:iCs/>
          <w:color w:val="000000"/>
          <w:sz w:val="24"/>
        </w:rPr>
        <w:t>Cochrane Database Syst Rev</w:t>
      </w:r>
      <w:r>
        <w:rPr>
          <w:rFonts w:ascii="Book Antiqua" w:hAnsi="Book Antiqua"/>
          <w:color w:val="000000"/>
          <w:sz w:val="24"/>
        </w:rPr>
        <w:t> 2007; : CD004994 [PMID: 17253534 DOI: 10.1002/14651858.CD004994.pub2]</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135 </w:t>
      </w:r>
      <w:r>
        <w:rPr>
          <w:rFonts w:ascii="Book Antiqua" w:hAnsi="Book Antiqua"/>
          <w:b/>
          <w:bCs/>
          <w:color w:val="000000"/>
          <w:sz w:val="24"/>
        </w:rPr>
        <w:t>Liu GT</w:t>
      </w:r>
      <w:r>
        <w:rPr>
          <w:rFonts w:ascii="Book Antiqua" w:hAnsi="Book Antiqua"/>
          <w:color w:val="000000"/>
          <w:sz w:val="24"/>
        </w:rPr>
        <w:t>. Bicyclol: a novel drug for treating chronic viral hepatitis B and C. </w:t>
      </w:r>
      <w:r>
        <w:rPr>
          <w:rFonts w:ascii="Book Antiqua" w:hAnsi="Book Antiqua"/>
          <w:i/>
          <w:iCs/>
          <w:color w:val="000000"/>
          <w:sz w:val="24"/>
        </w:rPr>
        <w:t>Med Chem</w:t>
      </w:r>
      <w:r>
        <w:rPr>
          <w:rFonts w:ascii="Book Antiqua" w:hAnsi="Book Antiqua"/>
          <w:color w:val="000000"/>
          <w:sz w:val="24"/>
        </w:rPr>
        <w:t> 2009; </w:t>
      </w:r>
      <w:r>
        <w:rPr>
          <w:rFonts w:ascii="Book Antiqua" w:hAnsi="Book Antiqua"/>
          <w:b/>
          <w:bCs/>
          <w:color w:val="000000"/>
          <w:sz w:val="24"/>
        </w:rPr>
        <w:t>5</w:t>
      </w:r>
      <w:r>
        <w:rPr>
          <w:rFonts w:ascii="Book Antiqua" w:hAnsi="Book Antiqua"/>
          <w:color w:val="000000"/>
          <w:sz w:val="24"/>
        </w:rPr>
        <w:t>: 29-43 [PMID: 19149648 DOI: 10.2174/157340609787049316]</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136 </w:t>
      </w:r>
      <w:r>
        <w:rPr>
          <w:rFonts w:ascii="Book Antiqua" w:hAnsi="Book Antiqua"/>
          <w:b/>
          <w:bCs/>
          <w:color w:val="000000"/>
          <w:sz w:val="24"/>
        </w:rPr>
        <w:t>Zhen YZ</w:t>
      </w:r>
      <w:r>
        <w:rPr>
          <w:rFonts w:ascii="Book Antiqua" w:hAnsi="Book Antiqua"/>
          <w:color w:val="000000"/>
          <w:sz w:val="24"/>
        </w:rPr>
        <w:t>, Li NR, He HW, Zhao SS, Zhang GL, Hao XF, Shao RG. Protective effect of bicyclol against bile duct ligation-induced hepatic fibrosis in rats. </w:t>
      </w:r>
      <w:r>
        <w:rPr>
          <w:rFonts w:ascii="Book Antiqua" w:hAnsi="Book Antiqua"/>
          <w:i/>
          <w:iCs/>
          <w:color w:val="000000"/>
          <w:sz w:val="24"/>
        </w:rPr>
        <w:t xml:space="preserve">World J </w:t>
      </w:r>
      <w:r>
        <w:rPr>
          <w:rFonts w:ascii="Book Antiqua" w:hAnsi="Book Antiqua"/>
          <w:i/>
          <w:iCs/>
          <w:color w:val="000000"/>
          <w:sz w:val="24"/>
        </w:rPr>
        <w:lastRenderedPageBreak/>
        <w:t>Gastroenterol</w:t>
      </w:r>
      <w:r>
        <w:rPr>
          <w:rFonts w:ascii="Book Antiqua" w:hAnsi="Book Antiqua"/>
          <w:color w:val="000000"/>
          <w:sz w:val="24"/>
        </w:rPr>
        <w:t> 2015; </w:t>
      </w:r>
      <w:r>
        <w:rPr>
          <w:rFonts w:ascii="Book Antiqua" w:hAnsi="Book Antiqua"/>
          <w:b/>
          <w:bCs/>
          <w:color w:val="000000"/>
          <w:sz w:val="24"/>
        </w:rPr>
        <w:t>21</w:t>
      </w:r>
      <w:r>
        <w:rPr>
          <w:rFonts w:ascii="Book Antiqua" w:hAnsi="Book Antiqua"/>
          <w:color w:val="000000"/>
          <w:sz w:val="24"/>
        </w:rPr>
        <w:t>: 7155-7164 [PMID: 26109801 DOI: 10.3748/wjg.v21.i23.7155]</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137 </w:t>
      </w:r>
      <w:r>
        <w:rPr>
          <w:rFonts w:ascii="Book Antiqua" w:hAnsi="Book Antiqua"/>
          <w:b/>
          <w:bCs/>
          <w:color w:val="000000"/>
          <w:sz w:val="24"/>
        </w:rPr>
        <w:t>Gu Y</w:t>
      </w:r>
      <w:r>
        <w:rPr>
          <w:rFonts w:ascii="Book Antiqua" w:hAnsi="Book Antiqua"/>
          <w:color w:val="000000"/>
          <w:sz w:val="24"/>
        </w:rPr>
        <w:t>, Zhao J, Yao XM, Li Y. Effects of bicyclol on immunological liver fibrosis in rats. </w:t>
      </w:r>
      <w:r>
        <w:rPr>
          <w:rFonts w:ascii="Book Antiqua" w:hAnsi="Book Antiqua"/>
          <w:i/>
          <w:iCs/>
          <w:color w:val="000000"/>
          <w:sz w:val="24"/>
        </w:rPr>
        <w:t>J Asian Nat Prod Res</w:t>
      </w:r>
      <w:r>
        <w:rPr>
          <w:rFonts w:ascii="Book Antiqua" w:hAnsi="Book Antiqua"/>
          <w:color w:val="000000"/>
          <w:sz w:val="24"/>
        </w:rPr>
        <w:t> 2010; </w:t>
      </w:r>
      <w:r>
        <w:rPr>
          <w:rFonts w:ascii="Book Antiqua" w:hAnsi="Book Antiqua"/>
          <w:b/>
          <w:bCs/>
          <w:color w:val="000000"/>
          <w:sz w:val="24"/>
        </w:rPr>
        <w:t>12</w:t>
      </w:r>
      <w:r>
        <w:rPr>
          <w:rFonts w:ascii="Book Antiqua" w:hAnsi="Book Antiqua"/>
          <w:color w:val="000000"/>
          <w:sz w:val="24"/>
        </w:rPr>
        <w:t>: 388-398 [PMID: 20496196 DOI: 10.1080/10286021003789047]</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138 </w:t>
      </w:r>
      <w:r>
        <w:rPr>
          <w:rFonts w:ascii="Book Antiqua" w:hAnsi="Book Antiqua"/>
          <w:b/>
          <w:bCs/>
          <w:color w:val="000000"/>
          <w:sz w:val="24"/>
        </w:rPr>
        <w:t>Hu QW</w:t>
      </w:r>
      <w:r>
        <w:rPr>
          <w:rFonts w:ascii="Book Antiqua" w:hAnsi="Book Antiqua"/>
          <w:color w:val="000000"/>
          <w:sz w:val="24"/>
        </w:rPr>
        <w:t>, Liu GT. Effects of bicyclol on dimethylnitrosamine-induced liver fibrosis in mice and its mechanism of action. </w:t>
      </w:r>
      <w:r>
        <w:rPr>
          <w:rFonts w:ascii="Book Antiqua" w:hAnsi="Book Antiqua"/>
          <w:i/>
          <w:iCs/>
          <w:color w:val="000000"/>
          <w:sz w:val="24"/>
        </w:rPr>
        <w:t>Life Sci</w:t>
      </w:r>
      <w:r>
        <w:rPr>
          <w:rFonts w:ascii="Book Antiqua" w:hAnsi="Book Antiqua"/>
          <w:color w:val="000000"/>
          <w:sz w:val="24"/>
        </w:rPr>
        <w:t> 2006; </w:t>
      </w:r>
      <w:r>
        <w:rPr>
          <w:rFonts w:ascii="Book Antiqua" w:hAnsi="Book Antiqua"/>
          <w:b/>
          <w:bCs/>
          <w:color w:val="000000"/>
          <w:sz w:val="24"/>
        </w:rPr>
        <w:t>79</w:t>
      </w:r>
      <w:r>
        <w:rPr>
          <w:rFonts w:ascii="Book Antiqua" w:hAnsi="Book Antiqua"/>
          <w:color w:val="000000"/>
          <w:sz w:val="24"/>
        </w:rPr>
        <w:t>: 606-612 [PMID: 16603200 DOI: 10.1016/j.lfs.2006.02.025]</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139 </w:t>
      </w:r>
      <w:r>
        <w:rPr>
          <w:rFonts w:ascii="Book Antiqua" w:hAnsi="Book Antiqua"/>
          <w:b/>
          <w:bCs/>
          <w:color w:val="000000"/>
          <w:sz w:val="24"/>
        </w:rPr>
        <w:t>Li Y</w:t>
      </w:r>
      <w:r>
        <w:rPr>
          <w:rFonts w:ascii="Book Antiqua" w:hAnsi="Book Antiqua"/>
          <w:color w:val="000000"/>
          <w:sz w:val="24"/>
        </w:rPr>
        <w:t>, Li Y, Liu GT. [Protective effects of bicyclol on liver fibrosis induced by carbon tetrachloride]. </w:t>
      </w:r>
      <w:r>
        <w:rPr>
          <w:rFonts w:ascii="Book Antiqua" w:hAnsi="Book Antiqua"/>
          <w:i/>
          <w:iCs/>
          <w:color w:val="000000"/>
          <w:sz w:val="24"/>
        </w:rPr>
        <w:t>Zhonghua Yi Xue Za Zhi</w:t>
      </w:r>
      <w:r>
        <w:rPr>
          <w:rFonts w:ascii="Book Antiqua" w:hAnsi="Book Antiqua"/>
          <w:color w:val="000000"/>
          <w:sz w:val="24"/>
        </w:rPr>
        <w:t> 2004; </w:t>
      </w:r>
      <w:r>
        <w:rPr>
          <w:rFonts w:ascii="Book Antiqua" w:hAnsi="Book Antiqua"/>
          <w:b/>
          <w:bCs/>
          <w:color w:val="000000"/>
          <w:sz w:val="24"/>
        </w:rPr>
        <w:t>84</w:t>
      </w:r>
      <w:r>
        <w:rPr>
          <w:rFonts w:ascii="Book Antiqua" w:hAnsi="Book Antiqua"/>
          <w:color w:val="000000"/>
          <w:sz w:val="24"/>
        </w:rPr>
        <w:t>: 2096-2101 [PMID: 15730626 DOI: 10.3760/j:issn:0376-2491.2004.24.012]</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140 </w:t>
      </w:r>
      <w:r>
        <w:rPr>
          <w:rFonts w:ascii="Book Antiqua" w:hAnsi="Book Antiqua"/>
          <w:b/>
          <w:bCs/>
          <w:color w:val="000000"/>
          <w:sz w:val="24"/>
        </w:rPr>
        <w:t>Lou XE</w:t>
      </w:r>
      <w:r>
        <w:rPr>
          <w:rFonts w:ascii="Book Antiqua" w:hAnsi="Book Antiqua"/>
          <w:color w:val="000000"/>
          <w:sz w:val="24"/>
        </w:rPr>
        <w:t>, Xu N, Yao HP, Chen Z. Bicyclol attenuates pro-inflammatory cytokine and chemokine productions in CpG-DNA-stimulated L02 hepatocytes by inhibiting p65-NF-kappaB and p38-MAPK activation. </w:t>
      </w:r>
      <w:r>
        <w:rPr>
          <w:rFonts w:ascii="Book Antiqua" w:hAnsi="Book Antiqua"/>
          <w:i/>
          <w:iCs/>
          <w:color w:val="000000"/>
          <w:sz w:val="24"/>
        </w:rPr>
        <w:t>Pharmazie</w:t>
      </w:r>
      <w:r>
        <w:rPr>
          <w:rFonts w:ascii="Book Antiqua" w:hAnsi="Book Antiqua"/>
          <w:color w:val="000000"/>
          <w:sz w:val="24"/>
        </w:rPr>
        <w:t> 2010; </w:t>
      </w:r>
      <w:r>
        <w:rPr>
          <w:rFonts w:ascii="Book Antiqua" w:hAnsi="Book Antiqua"/>
          <w:b/>
          <w:bCs/>
          <w:color w:val="000000"/>
          <w:sz w:val="24"/>
        </w:rPr>
        <w:t>65</w:t>
      </w:r>
      <w:r>
        <w:rPr>
          <w:rFonts w:ascii="Book Antiqua" w:hAnsi="Book Antiqua"/>
          <w:color w:val="000000"/>
          <w:sz w:val="24"/>
        </w:rPr>
        <w:t>: 206-212 [PMID: 20383942 DOI: 10.1691/ph.2010.9679]</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141 </w:t>
      </w:r>
      <w:r>
        <w:rPr>
          <w:rFonts w:ascii="Book Antiqua" w:hAnsi="Book Antiqua"/>
          <w:b/>
          <w:bCs/>
          <w:color w:val="000000"/>
          <w:sz w:val="24"/>
        </w:rPr>
        <w:t>Paracha UZ</w:t>
      </w:r>
      <w:r>
        <w:rPr>
          <w:rFonts w:ascii="Book Antiqua" w:hAnsi="Book Antiqua"/>
          <w:color w:val="000000"/>
          <w:sz w:val="24"/>
        </w:rPr>
        <w:t>, Fatima K, Alqahtani M, Chaudhary A, Abuzenadah A, Damanhouri G, Qadri I. Oxidative stress and hepatitis C virus. </w:t>
      </w:r>
      <w:r>
        <w:rPr>
          <w:rFonts w:ascii="Book Antiqua" w:hAnsi="Book Antiqua"/>
          <w:i/>
          <w:iCs/>
          <w:color w:val="000000"/>
          <w:sz w:val="24"/>
        </w:rPr>
        <w:t>Virol J</w:t>
      </w:r>
      <w:r>
        <w:rPr>
          <w:rFonts w:ascii="Book Antiqua" w:hAnsi="Book Antiqua"/>
          <w:color w:val="000000"/>
          <w:sz w:val="24"/>
        </w:rPr>
        <w:t> 2013; </w:t>
      </w:r>
      <w:r>
        <w:rPr>
          <w:rFonts w:ascii="Book Antiqua" w:hAnsi="Book Antiqua"/>
          <w:b/>
          <w:bCs/>
          <w:color w:val="000000"/>
          <w:sz w:val="24"/>
        </w:rPr>
        <w:t>10</w:t>
      </w:r>
      <w:r>
        <w:rPr>
          <w:rFonts w:ascii="Book Antiqua" w:hAnsi="Book Antiqua"/>
          <w:color w:val="000000"/>
          <w:sz w:val="24"/>
        </w:rPr>
        <w:t>: 251 [PMID: 23923986 DOI: 10.1186/1743-422X-10-251]</w:t>
      </w:r>
    </w:p>
    <w:p w:rsidR="00371BB0" w:rsidRDefault="00371BB0" w:rsidP="00371BB0">
      <w:pPr>
        <w:adjustRightInd w:val="0"/>
        <w:snapToGrid w:val="0"/>
        <w:spacing w:line="360" w:lineRule="auto"/>
        <w:rPr>
          <w:rFonts w:ascii="Book Antiqua" w:hAnsi="Book Antiqua"/>
          <w:color w:val="000000"/>
          <w:sz w:val="24"/>
        </w:rPr>
      </w:pPr>
    </w:p>
    <w:p w:rsidR="00371BB0" w:rsidRDefault="00371BB0" w:rsidP="00371BB0">
      <w:pPr>
        <w:wordWrap w:val="0"/>
        <w:adjustRightInd w:val="0"/>
        <w:snapToGrid w:val="0"/>
        <w:spacing w:line="360" w:lineRule="auto"/>
        <w:jc w:val="right"/>
        <w:rPr>
          <w:rFonts w:ascii="Book Antiqua" w:hAnsi="Book Antiqua"/>
          <w:b/>
          <w:bCs/>
          <w:sz w:val="24"/>
        </w:rPr>
      </w:pPr>
      <w:bookmarkStart w:id="164" w:name="OLE_LINK1169"/>
      <w:bookmarkStart w:id="165" w:name="OLE_LINK1074"/>
      <w:bookmarkStart w:id="166" w:name="OLE_LINK1175"/>
      <w:bookmarkStart w:id="167" w:name="OLE_LINK1158"/>
      <w:bookmarkStart w:id="168" w:name="OLE_LINK1056"/>
      <w:bookmarkStart w:id="169" w:name="OLE_LINK1288"/>
      <w:bookmarkStart w:id="170" w:name="OLE_LINK1241"/>
      <w:bookmarkStart w:id="171" w:name="OLE_LINK1200"/>
      <w:bookmarkStart w:id="172" w:name="OLE_LINK1167"/>
      <w:bookmarkStart w:id="173" w:name="OLE_LINK1137"/>
      <w:bookmarkStart w:id="174" w:name="OLE_LINK1174"/>
      <w:bookmarkStart w:id="175" w:name="OLE_LINK1059"/>
      <w:bookmarkStart w:id="176" w:name="OLE_LINK930"/>
      <w:bookmarkStart w:id="177" w:name="OLE_LINK911"/>
      <w:bookmarkStart w:id="178" w:name="OLE_LINK946"/>
      <w:bookmarkStart w:id="179" w:name="OLE_LINK1052"/>
      <w:bookmarkStart w:id="180" w:name="OLE_LINK993"/>
      <w:bookmarkStart w:id="181" w:name="OLE_LINK992"/>
      <w:bookmarkStart w:id="182" w:name="OLE_LINK906"/>
      <w:bookmarkStart w:id="183" w:name="OLE_LINK909"/>
      <w:bookmarkStart w:id="184" w:name="OLE_LINK847"/>
      <w:bookmarkStart w:id="185" w:name="OLE_LINK1030"/>
      <w:bookmarkStart w:id="186" w:name="OLE_LINK981"/>
      <w:bookmarkStart w:id="187" w:name="OLE_LINK943"/>
      <w:bookmarkStart w:id="188" w:name="OLE_LINK891"/>
      <w:bookmarkStart w:id="189" w:name="OLE_LINK1106"/>
      <w:bookmarkStart w:id="190" w:name="OLE_LINK1076"/>
      <w:bookmarkStart w:id="191" w:name="OLE_LINK1049"/>
      <w:bookmarkStart w:id="192" w:name="OLE_LINK1018"/>
      <w:bookmarkStart w:id="193" w:name="OLE_LINK980"/>
      <w:bookmarkStart w:id="194" w:name="OLE_LINK908"/>
      <w:bookmarkStart w:id="195" w:name="OLE_LINK856"/>
      <w:bookmarkStart w:id="196" w:name="OLE_LINK865"/>
      <w:bookmarkStart w:id="197" w:name="OLE_LINK826"/>
      <w:bookmarkStart w:id="198" w:name="OLE_LINK782"/>
      <w:bookmarkStart w:id="199" w:name="OLE_LINK889"/>
      <w:bookmarkStart w:id="200" w:name="OLE_LINK836"/>
      <w:bookmarkStart w:id="201" w:name="OLE_LINK2882"/>
      <w:bookmarkStart w:id="202" w:name="OLE_LINK792"/>
      <w:bookmarkStart w:id="203" w:name="OLE_LINK700"/>
      <w:bookmarkStart w:id="204" w:name="OLE_LINK642"/>
      <w:bookmarkStart w:id="205" w:name="OLE_LINK833"/>
      <w:bookmarkStart w:id="206" w:name="OLE_LINK781"/>
      <w:bookmarkStart w:id="207" w:name="OLE_LINK660"/>
      <w:bookmarkStart w:id="208" w:name="OLE_LINK801"/>
      <w:bookmarkStart w:id="209" w:name="OLE_LINK770"/>
      <w:bookmarkStart w:id="210" w:name="OLE_LINK716"/>
      <w:bookmarkStart w:id="211" w:name="OLE_LINK593"/>
      <w:bookmarkStart w:id="212" w:name="OLE_LINK714"/>
      <w:bookmarkStart w:id="213" w:name="OLE_LINK640"/>
      <w:bookmarkStart w:id="214" w:name="OLE_LINK582"/>
      <w:bookmarkStart w:id="215" w:name="OLE_LINK589"/>
      <w:bookmarkStart w:id="216" w:name="OLE_LINK542"/>
      <w:bookmarkStart w:id="217" w:name="OLE_LINK722"/>
      <w:bookmarkStart w:id="218" w:name="OLE_LINK688"/>
      <w:bookmarkStart w:id="219" w:name="OLE_LINK639"/>
      <w:bookmarkStart w:id="220" w:name="OLE_LINK581"/>
      <w:bookmarkStart w:id="221" w:name="OLE_LINK2700"/>
      <w:bookmarkStart w:id="222" w:name="OLE_LINK567"/>
      <w:bookmarkStart w:id="223" w:name="OLE_LINK480"/>
      <w:bookmarkStart w:id="224" w:name="OLE_LINK574"/>
      <w:bookmarkStart w:id="225" w:name="OLE_LINK572"/>
      <w:bookmarkStart w:id="226" w:name="OLE_LINK532"/>
      <w:bookmarkStart w:id="227" w:name="OLE_LINK491"/>
      <w:bookmarkStart w:id="228" w:name="OLE_LINK575"/>
      <w:bookmarkStart w:id="229" w:name="OLE_LINK519"/>
      <w:bookmarkStart w:id="230" w:name="OLE_LINK462"/>
      <w:bookmarkStart w:id="231" w:name="OLE_LINK471"/>
      <w:bookmarkStart w:id="232" w:name="OLE_LINK686"/>
      <w:bookmarkStart w:id="233" w:name="OLE_LINK648"/>
      <w:bookmarkStart w:id="234" w:name="OLE_LINK535"/>
      <w:bookmarkStart w:id="235" w:name="OLE_LINK489"/>
      <w:bookmarkStart w:id="236" w:name="OLE_LINK450"/>
      <w:bookmarkStart w:id="237" w:name="OLE_LINK303"/>
      <w:bookmarkStart w:id="238" w:name="OLE_LINK379"/>
      <w:bookmarkStart w:id="239" w:name="OLE_LINK384"/>
      <w:bookmarkStart w:id="240" w:name="OLE_LINK457"/>
      <w:bookmarkStart w:id="241" w:name="OLE_LINK1830"/>
      <w:bookmarkStart w:id="242" w:name="OLE_LINK334"/>
      <w:bookmarkStart w:id="243" w:name="OLE_LINK371"/>
      <w:bookmarkStart w:id="244" w:name="OLE_LINK346"/>
      <w:bookmarkStart w:id="245" w:name="OLE_LINK400"/>
      <w:bookmarkStart w:id="246" w:name="OLE_LINK385"/>
      <w:bookmarkStart w:id="247" w:name="OLE_LINK321"/>
      <w:bookmarkStart w:id="248" w:name="OLE_LINK304"/>
      <w:bookmarkStart w:id="249" w:name="OLE_LINK313"/>
      <w:bookmarkStart w:id="250" w:name="OLE_LINK282"/>
      <w:bookmarkStart w:id="251" w:name="OLE_LINK281"/>
      <w:bookmarkStart w:id="252" w:name="OLE_LINK250"/>
      <w:bookmarkStart w:id="253" w:name="OLE_LINK212"/>
      <w:bookmarkStart w:id="254" w:name="OLE_LINK226"/>
      <w:bookmarkStart w:id="255" w:name="OLE_LINK207"/>
      <w:bookmarkStart w:id="256" w:name="OLE_LINK225"/>
      <w:bookmarkStart w:id="257" w:name="OLE_LINK254"/>
      <w:bookmarkStart w:id="258" w:name="OLE_LINK387"/>
      <w:bookmarkStart w:id="259" w:name="OLE_LINK320"/>
      <w:bookmarkStart w:id="260" w:name="OLE_LINK148"/>
      <w:bookmarkStart w:id="261" w:name="OLE_LINK386"/>
      <w:r>
        <w:rPr>
          <w:rFonts w:ascii="Book Antiqua" w:hAnsi="Book Antiqua"/>
          <w:b/>
          <w:bCs/>
          <w:sz w:val="24"/>
        </w:rPr>
        <w:t xml:space="preserve">P-Reviewer: </w:t>
      </w:r>
      <w:r>
        <w:rPr>
          <w:rFonts w:ascii="Book Antiqua" w:hAnsi="Book Antiqua"/>
          <w:bCs/>
          <w:sz w:val="24"/>
        </w:rPr>
        <w:t>Ciccone M, Tenca A</w:t>
      </w:r>
    </w:p>
    <w:p w:rsidR="00371BB0" w:rsidRDefault="00371BB0" w:rsidP="00371BB0">
      <w:pPr>
        <w:wordWrap w:val="0"/>
        <w:adjustRightInd w:val="0"/>
        <w:snapToGrid w:val="0"/>
        <w:spacing w:line="360" w:lineRule="auto"/>
        <w:jc w:val="right"/>
        <w:rPr>
          <w:rFonts w:ascii="Book Antiqua" w:hAnsi="Book Antiqua"/>
          <w:sz w:val="24"/>
        </w:rPr>
      </w:pPr>
      <w:r>
        <w:rPr>
          <w:rFonts w:ascii="Book Antiqua" w:hAnsi="Book Antiqua"/>
          <w:b/>
          <w:bCs/>
          <w:sz w:val="24"/>
        </w:rPr>
        <w:t>S-Editor:</w:t>
      </w:r>
      <w:r>
        <w:rPr>
          <w:rFonts w:ascii="Book Antiqua" w:hAnsi="Book Antiqua"/>
          <w:sz w:val="24"/>
        </w:rPr>
        <w:t xml:space="preserve"> Ma RY </w:t>
      </w:r>
      <w:r>
        <w:rPr>
          <w:rFonts w:ascii="Book Antiqua" w:hAnsi="Book Antiqua"/>
          <w:b/>
          <w:bCs/>
          <w:sz w:val="24"/>
        </w:rPr>
        <w:t>L-Editor:</w:t>
      </w:r>
      <w:r>
        <w:rPr>
          <w:rFonts w:ascii="Book Antiqua" w:hAnsi="Book Antiqua"/>
          <w:sz w:val="24"/>
        </w:rPr>
        <w:t xml:space="preserve"> Wang TQ </w:t>
      </w:r>
      <w:r>
        <w:rPr>
          <w:rFonts w:ascii="Book Antiqua" w:hAnsi="Book Antiqua"/>
          <w:b/>
          <w:bCs/>
          <w:sz w:val="24"/>
        </w:rPr>
        <w:t>E-Editor:</w:t>
      </w:r>
    </w:p>
    <w:p w:rsidR="00371BB0" w:rsidRDefault="00371BB0" w:rsidP="00371BB0">
      <w:pPr>
        <w:shd w:val="clear" w:color="auto" w:fill="FFFFFF"/>
        <w:adjustRightInd w:val="0"/>
        <w:snapToGrid w:val="0"/>
        <w:spacing w:line="360" w:lineRule="auto"/>
        <w:rPr>
          <w:rFonts w:ascii="Book Antiqua" w:hAnsi="Book Antiqua" w:cs="Helvetica"/>
          <w:b/>
          <w:sz w:val="24"/>
        </w:rPr>
      </w:pPr>
      <w:bookmarkStart w:id="262" w:name="OLE_LINK881"/>
      <w:bookmarkStart w:id="263" w:name="OLE_LINK880"/>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ascii="Book Antiqua" w:hAnsi="Book Antiqua" w:cs="Helvetica"/>
          <w:b/>
          <w:sz w:val="24"/>
        </w:rPr>
        <w:t xml:space="preserve">Specialty type: </w:t>
      </w:r>
      <w:r>
        <w:rPr>
          <w:rFonts w:ascii="Book Antiqua" w:hAnsi="Book Antiqua" w:cs="Helvetica"/>
          <w:sz w:val="24"/>
        </w:rPr>
        <w:t>Gastroenterology and hepatology</w:t>
      </w:r>
    </w:p>
    <w:p w:rsidR="00371BB0" w:rsidRDefault="00371BB0" w:rsidP="00371BB0">
      <w:pPr>
        <w:shd w:val="clear" w:color="auto" w:fill="FFFFFF"/>
        <w:adjustRightInd w:val="0"/>
        <w:snapToGrid w:val="0"/>
        <w:spacing w:line="360" w:lineRule="auto"/>
        <w:rPr>
          <w:rFonts w:ascii="Book Antiqua" w:hAnsi="Book Antiqua" w:cs="Helvetica"/>
          <w:b/>
          <w:sz w:val="24"/>
        </w:rPr>
      </w:pPr>
      <w:r>
        <w:rPr>
          <w:rFonts w:ascii="Book Antiqua" w:hAnsi="Book Antiqua" w:cs="Helvetica"/>
          <w:b/>
          <w:sz w:val="24"/>
        </w:rPr>
        <w:t xml:space="preserve">Country of origin: </w:t>
      </w:r>
      <w:r>
        <w:rPr>
          <w:rFonts w:ascii="Book Antiqua" w:hAnsi="Book Antiqua" w:cs="Helvetica"/>
          <w:sz w:val="24"/>
          <w:lang w:val="en-CA"/>
        </w:rPr>
        <w:t>China</w:t>
      </w:r>
    </w:p>
    <w:p w:rsidR="00371BB0" w:rsidRDefault="00371BB0" w:rsidP="00371BB0">
      <w:pPr>
        <w:shd w:val="clear" w:color="auto" w:fill="FFFFFF"/>
        <w:adjustRightInd w:val="0"/>
        <w:snapToGrid w:val="0"/>
        <w:spacing w:line="360" w:lineRule="auto"/>
        <w:rPr>
          <w:rFonts w:ascii="Book Antiqua" w:hAnsi="Book Antiqua" w:cs="Helvetica"/>
          <w:b/>
          <w:sz w:val="24"/>
        </w:rPr>
      </w:pPr>
      <w:r>
        <w:rPr>
          <w:rFonts w:ascii="Book Antiqua" w:hAnsi="Book Antiqua" w:cs="Helvetica"/>
          <w:b/>
          <w:sz w:val="24"/>
        </w:rPr>
        <w:t>Peer-review report classification</w:t>
      </w:r>
    </w:p>
    <w:p w:rsidR="00371BB0" w:rsidRDefault="00371BB0" w:rsidP="00371BB0">
      <w:pPr>
        <w:shd w:val="clear" w:color="auto" w:fill="FFFFFF"/>
        <w:adjustRightInd w:val="0"/>
        <w:snapToGrid w:val="0"/>
        <w:spacing w:line="360" w:lineRule="auto"/>
        <w:rPr>
          <w:rFonts w:ascii="Book Antiqua" w:hAnsi="Book Antiqua" w:cs="Helvetica"/>
          <w:sz w:val="24"/>
        </w:rPr>
      </w:pPr>
      <w:r>
        <w:rPr>
          <w:rFonts w:ascii="Book Antiqua" w:hAnsi="Book Antiqua" w:cs="Helvetica"/>
          <w:sz w:val="24"/>
        </w:rPr>
        <w:t>Grade A (Excellent): A</w:t>
      </w:r>
    </w:p>
    <w:p w:rsidR="00371BB0" w:rsidRDefault="00371BB0" w:rsidP="00371BB0">
      <w:pPr>
        <w:shd w:val="clear" w:color="auto" w:fill="FFFFFF"/>
        <w:adjustRightInd w:val="0"/>
        <w:snapToGrid w:val="0"/>
        <w:spacing w:line="360" w:lineRule="auto"/>
        <w:rPr>
          <w:rFonts w:ascii="Book Antiqua" w:hAnsi="Book Antiqua" w:cs="Helvetica"/>
          <w:sz w:val="24"/>
        </w:rPr>
      </w:pPr>
      <w:r>
        <w:rPr>
          <w:rFonts w:ascii="Book Antiqua" w:hAnsi="Book Antiqua" w:cs="Helvetica"/>
          <w:sz w:val="24"/>
        </w:rPr>
        <w:t>Grade B (Very good): B</w:t>
      </w:r>
    </w:p>
    <w:p w:rsidR="00371BB0" w:rsidRDefault="00371BB0" w:rsidP="00371BB0">
      <w:pPr>
        <w:shd w:val="clear" w:color="auto" w:fill="FFFFFF"/>
        <w:adjustRightInd w:val="0"/>
        <w:snapToGrid w:val="0"/>
        <w:spacing w:line="360" w:lineRule="auto"/>
        <w:rPr>
          <w:rFonts w:ascii="Book Antiqua" w:hAnsi="Book Antiqua" w:cs="Helvetica"/>
          <w:sz w:val="24"/>
        </w:rPr>
      </w:pPr>
      <w:r>
        <w:rPr>
          <w:rFonts w:ascii="Book Antiqua" w:hAnsi="Book Antiqua" w:cs="Helvetica"/>
          <w:sz w:val="24"/>
        </w:rPr>
        <w:t>Grade C (Good): 0</w:t>
      </w:r>
    </w:p>
    <w:p w:rsidR="00371BB0" w:rsidRDefault="00371BB0" w:rsidP="00371BB0">
      <w:pPr>
        <w:shd w:val="clear" w:color="auto" w:fill="FFFFFF"/>
        <w:adjustRightInd w:val="0"/>
        <w:snapToGrid w:val="0"/>
        <w:spacing w:line="360" w:lineRule="auto"/>
        <w:rPr>
          <w:rFonts w:ascii="Book Antiqua" w:hAnsi="Book Antiqua" w:cs="Helvetica"/>
          <w:sz w:val="24"/>
        </w:rPr>
      </w:pPr>
      <w:r>
        <w:rPr>
          <w:rFonts w:ascii="Book Antiqua" w:hAnsi="Book Antiqua" w:cs="Helvetica"/>
          <w:sz w:val="24"/>
        </w:rPr>
        <w:t>Grade D (Fair): 0</w:t>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cs="Helvetica"/>
          <w:sz w:val="24"/>
        </w:rPr>
        <w:t>Grade E (Poor): 0</w:t>
      </w:r>
      <w:bookmarkEnd w:id="261"/>
      <w:bookmarkEnd w:id="262"/>
      <w:bookmarkEnd w:id="263"/>
    </w:p>
    <w:bookmarkEnd w:id="163"/>
    <w:p w:rsidR="00371BB0" w:rsidRDefault="00371BB0" w:rsidP="00371BB0">
      <w:pPr>
        <w:widowControl/>
        <w:adjustRightInd w:val="0"/>
        <w:snapToGrid w:val="0"/>
        <w:spacing w:line="360" w:lineRule="auto"/>
        <w:rPr>
          <w:rFonts w:ascii="Book Antiqua" w:hAnsi="Book Antiqua"/>
          <w:color w:val="000000"/>
          <w:sz w:val="24"/>
        </w:rPr>
      </w:pPr>
      <w:r>
        <w:rPr>
          <w:rFonts w:ascii="Book Antiqua" w:hAnsi="Book Antiqua"/>
          <w:color w:val="000000"/>
          <w:sz w:val="24"/>
        </w:rPr>
        <w:br w:type="page"/>
      </w:r>
    </w:p>
    <w:p w:rsidR="00371BB0" w:rsidRDefault="00371BB0" w:rsidP="00371BB0">
      <w:pPr>
        <w:adjustRightInd w:val="0"/>
        <w:snapToGrid w:val="0"/>
        <w:spacing w:line="360" w:lineRule="auto"/>
        <w:rPr>
          <w:rFonts w:ascii="Book Antiqua" w:hAnsi="Book Antiqua"/>
          <w:color w:val="000000"/>
          <w:sz w:val="24"/>
        </w:rPr>
      </w:pPr>
      <w:r>
        <w:rPr>
          <w:rFonts w:ascii="Book Antiqua" w:eastAsia="等线" w:hAnsi="Book Antiqua"/>
          <w:b/>
          <w:bCs/>
          <w:color w:val="000000"/>
          <w:kern w:val="0"/>
          <w:sz w:val="24"/>
        </w:rPr>
        <w:lastRenderedPageBreak/>
        <w:t xml:space="preserve">Table </w:t>
      </w:r>
      <w:bookmarkStart w:id="264" w:name="_Hlk524812937"/>
      <w:r>
        <w:rPr>
          <w:rFonts w:ascii="Book Antiqua" w:eastAsia="等线" w:hAnsi="Book Antiqua"/>
          <w:b/>
          <w:bCs/>
          <w:color w:val="000000"/>
          <w:kern w:val="0"/>
          <w:sz w:val="24"/>
        </w:rPr>
        <w:t xml:space="preserve">1 Potential inflammatory </w:t>
      </w:r>
      <w:bookmarkStart w:id="265" w:name="OLE_LINK134"/>
      <w:bookmarkStart w:id="266" w:name="OLE_LINK133"/>
      <w:r>
        <w:rPr>
          <w:rFonts w:ascii="Book Antiqua" w:eastAsia="等线" w:hAnsi="Book Antiqua"/>
          <w:b/>
          <w:bCs/>
          <w:color w:val="000000"/>
          <w:kern w:val="0"/>
          <w:sz w:val="24"/>
        </w:rPr>
        <w:t>biomarker</w:t>
      </w:r>
      <w:bookmarkEnd w:id="265"/>
      <w:bookmarkEnd w:id="266"/>
      <w:r>
        <w:rPr>
          <w:rFonts w:ascii="Book Antiqua" w:eastAsia="等线" w:hAnsi="Book Antiqua"/>
          <w:b/>
          <w:bCs/>
          <w:color w:val="000000"/>
          <w:kern w:val="0"/>
          <w:sz w:val="24"/>
        </w:rPr>
        <w:t>s of hepatitis C</w:t>
      </w:r>
      <w:bookmarkEnd w:id="264"/>
      <w:r>
        <w:rPr>
          <w:rFonts w:ascii="Book Antiqua" w:hAnsi="Book Antiqua"/>
          <w:color w:val="000000"/>
          <w:sz w:val="24"/>
        </w:rPr>
        <w:t xml:space="preserve"> </w:t>
      </w:r>
    </w:p>
    <w:tbl>
      <w:tblPr>
        <w:tblW w:w="9495" w:type="dxa"/>
        <w:jc w:val="center"/>
        <w:tblLayout w:type="fixed"/>
        <w:tblLook w:val="04A0" w:firstRow="1" w:lastRow="0" w:firstColumn="1" w:lastColumn="0" w:noHBand="0" w:noVBand="1"/>
      </w:tblPr>
      <w:tblGrid>
        <w:gridCol w:w="1558"/>
        <w:gridCol w:w="6271"/>
        <w:gridCol w:w="1666"/>
      </w:tblGrid>
      <w:tr w:rsidR="00371BB0" w:rsidTr="00371BB0">
        <w:trPr>
          <w:trHeight w:val="528"/>
          <w:jc w:val="center"/>
        </w:trPr>
        <w:tc>
          <w:tcPr>
            <w:tcW w:w="1557" w:type="dxa"/>
            <w:tcBorders>
              <w:top w:val="single" w:sz="4" w:space="0" w:color="auto"/>
              <w:left w:val="nil"/>
              <w:bottom w:val="single" w:sz="4" w:space="0" w:color="auto"/>
              <w:right w:val="nil"/>
            </w:tcBorders>
            <w:noWrap/>
            <w:vAlign w:val="center"/>
            <w:hideMark/>
          </w:tcPr>
          <w:p w:rsidR="00371BB0" w:rsidRDefault="00371BB0">
            <w:pPr>
              <w:widowControl/>
              <w:adjustRightInd w:val="0"/>
              <w:snapToGrid w:val="0"/>
              <w:spacing w:line="360" w:lineRule="auto"/>
              <w:rPr>
                <w:rFonts w:ascii="Book Antiqua" w:eastAsia="等线" w:hAnsi="Book Antiqua"/>
                <w:b/>
                <w:bCs/>
                <w:color w:val="000000"/>
                <w:kern w:val="0"/>
                <w:sz w:val="24"/>
              </w:rPr>
            </w:pPr>
            <w:r>
              <w:rPr>
                <w:rFonts w:ascii="Book Antiqua" w:eastAsia="等线" w:hAnsi="Book Antiqua"/>
                <w:b/>
                <w:bCs/>
                <w:color w:val="000000"/>
                <w:kern w:val="0"/>
                <w:sz w:val="24"/>
              </w:rPr>
              <w:t>Biomarker</w:t>
            </w:r>
          </w:p>
        </w:tc>
        <w:tc>
          <w:tcPr>
            <w:tcW w:w="6266" w:type="dxa"/>
            <w:tcBorders>
              <w:top w:val="single" w:sz="4" w:space="0" w:color="auto"/>
              <w:left w:val="nil"/>
              <w:bottom w:val="single" w:sz="4" w:space="0" w:color="auto"/>
              <w:right w:val="nil"/>
            </w:tcBorders>
            <w:noWrap/>
            <w:vAlign w:val="center"/>
            <w:hideMark/>
          </w:tcPr>
          <w:p w:rsidR="00371BB0" w:rsidRDefault="00371BB0">
            <w:pPr>
              <w:widowControl/>
              <w:adjustRightInd w:val="0"/>
              <w:snapToGrid w:val="0"/>
              <w:spacing w:line="360" w:lineRule="auto"/>
              <w:jc w:val="center"/>
              <w:rPr>
                <w:rFonts w:ascii="Book Antiqua" w:eastAsia="等线" w:hAnsi="Book Antiqua"/>
                <w:b/>
                <w:bCs/>
                <w:color w:val="000000"/>
                <w:kern w:val="0"/>
                <w:sz w:val="24"/>
              </w:rPr>
            </w:pPr>
            <w:r>
              <w:rPr>
                <w:rFonts w:ascii="Book Antiqua" w:eastAsia="等线" w:hAnsi="Book Antiqua"/>
                <w:b/>
                <w:bCs/>
                <w:color w:val="000000"/>
                <w:kern w:val="0"/>
                <w:sz w:val="24"/>
              </w:rPr>
              <w:t>Clinical relevance</w:t>
            </w:r>
          </w:p>
        </w:tc>
        <w:tc>
          <w:tcPr>
            <w:tcW w:w="1665" w:type="dxa"/>
            <w:tcBorders>
              <w:top w:val="single" w:sz="4" w:space="0" w:color="auto"/>
              <w:left w:val="nil"/>
              <w:bottom w:val="single" w:sz="4" w:space="0" w:color="auto"/>
              <w:right w:val="nil"/>
            </w:tcBorders>
            <w:noWrap/>
            <w:vAlign w:val="center"/>
            <w:hideMark/>
          </w:tcPr>
          <w:p w:rsidR="00371BB0" w:rsidRDefault="00371BB0">
            <w:pPr>
              <w:widowControl/>
              <w:adjustRightInd w:val="0"/>
              <w:snapToGrid w:val="0"/>
              <w:spacing w:line="360" w:lineRule="auto"/>
              <w:jc w:val="center"/>
              <w:rPr>
                <w:rFonts w:ascii="Book Antiqua" w:eastAsia="等线" w:hAnsi="Book Antiqua"/>
                <w:b/>
                <w:bCs/>
                <w:color w:val="000000"/>
                <w:kern w:val="0"/>
                <w:sz w:val="24"/>
              </w:rPr>
            </w:pPr>
            <w:r>
              <w:rPr>
                <w:rFonts w:ascii="Book Antiqua" w:eastAsia="等线" w:hAnsi="Book Antiqua"/>
                <w:b/>
                <w:bCs/>
                <w:color w:val="000000"/>
                <w:kern w:val="0"/>
                <w:sz w:val="24"/>
              </w:rPr>
              <w:t>Ref.</w:t>
            </w:r>
          </w:p>
        </w:tc>
      </w:tr>
      <w:tr w:rsidR="00371BB0" w:rsidTr="00371BB0">
        <w:trPr>
          <w:trHeight w:val="1044"/>
          <w:jc w:val="center"/>
        </w:trPr>
        <w:tc>
          <w:tcPr>
            <w:tcW w:w="1557" w:type="dxa"/>
            <w:tcBorders>
              <w:top w:val="single" w:sz="4" w:space="0" w:color="auto"/>
              <w:left w:val="nil"/>
              <w:bottom w:val="nil"/>
              <w:right w:val="nil"/>
            </w:tcBorders>
            <w:noWrap/>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TNF-α</w:t>
            </w:r>
          </w:p>
        </w:tc>
        <w:tc>
          <w:tcPr>
            <w:tcW w:w="6266" w:type="dxa"/>
            <w:tcBorders>
              <w:top w:val="single" w:sz="4" w:space="0" w:color="auto"/>
              <w:left w:val="nil"/>
              <w:bottom w:val="nil"/>
              <w:right w:val="nil"/>
            </w:tcBorders>
            <w:vAlign w:val="center"/>
            <w:hideMark/>
          </w:tcPr>
          <w:p w:rsidR="00371BB0" w:rsidRDefault="00371BB0">
            <w:pPr>
              <w:widowControl/>
              <w:adjustRightInd w:val="0"/>
              <w:snapToGrid w:val="0"/>
              <w:spacing w:line="360" w:lineRule="auto"/>
              <w:jc w:val="center"/>
              <w:rPr>
                <w:rFonts w:ascii="Book Antiqua" w:eastAsia="等线" w:hAnsi="Book Antiqua"/>
                <w:color w:val="000000"/>
                <w:kern w:val="0"/>
                <w:sz w:val="24"/>
              </w:rPr>
            </w:pPr>
            <w:r>
              <w:rPr>
                <w:rFonts w:ascii="Book Antiqua" w:eastAsia="等线" w:hAnsi="Book Antiqua"/>
                <w:color w:val="000000"/>
                <w:kern w:val="0"/>
                <w:sz w:val="24"/>
              </w:rPr>
              <w:t>Promoting development of insulin resistance and diabetes during HCV infection; Hepatic TNF-α was associated with increased inflammatory activity, hepatic fibrosis, liver injury and HCC;</w:t>
            </w:r>
          </w:p>
        </w:tc>
        <w:tc>
          <w:tcPr>
            <w:tcW w:w="1665" w:type="dxa"/>
            <w:tcBorders>
              <w:top w:val="single" w:sz="4" w:space="0" w:color="auto"/>
              <w:left w:val="nil"/>
              <w:bottom w:val="nil"/>
              <w:right w:val="nil"/>
            </w:tcBorders>
            <w:vAlign w:val="center"/>
            <w:hideMark/>
          </w:tcPr>
          <w:p w:rsidR="00371BB0" w:rsidRDefault="00371BB0">
            <w:pPr>
              <w:widowControl/>
              <w:adjustRightInd w:val="0"/>
              <w:snapToGrid w:val="0"/>
              <w:spacing w:line="360" w:lineRule="auto"/>
              <w:jc w:val="center"/>
              <w:rPr>
                <w:rFonts w:ascii="Book Antiqua" w:eastAsia="等线" w:hAnsi="Book Antiqua"/>
                <w:color w:val="000000"/>
                <w:kern w:val="0"/>
                <w:sz w:val="24"/>
              </w:rPr>
            </w:pPr>
            <w:r>
              <w:rPr>
                <w:rFonts w:ascii="Book Antiqua" w:eastAsia="等线" w:hAnsi="Book Antiqua"/>
                <w:color w:val="000000"/>
                <w:kern w:val="0"/>
                <w:sz w:val="24"/>
              </w:rPr>
              <w:t>[15-19]</w:t>
            </w:r>
          </w:p>
        </w:tc>
      </w:tr>
      <w:tr w:rsidR="00371BB0" w:rsidTr="00371BB0">
        <w:trPr>
          <w:trHeight w:val="833"/>
          <w:jc w:val="center"/>
        </w:trPr>
        <w:tc>
          <w:tcPr>
            <w:tcW w:w="1557" w:type="dxa"/>
            <w:noWrap/>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IL-6</w:t>
            </w:r>
          </w:p>
        </w:tc>
        <w:tc>
          <w:tcPr>
            <w:tcW w:w="6266" w:type="dxa"/>
            <w:vAlign w:val="center"/>
            <w:hideMark/>
          </w:tcPr>
          <w:p w:rsidR="00371BB0" w:rsidRDefault="00371BB0">
            <w:pPr>
              <w:widowControl/>
              <w:adjustRightInd w:val="0"/>
              <w:snapToGrid w:val="0"/>
              <w:spacing w:line="360" w:lineRule="auto"/>
              <w:jc w:val="center"/>
              <w:rPr>
                <w:rFonts w:ascii="Book Antiqua" w:eastAsia="等线" w:hAnsi="Book Antiqua"/>
                <w:color w:val="000000"/>
                <w:kern w:val="0"/>
                <w:sz w:val="24"/>
              </w:rPr>
            </w:pPr>
            <w:r>
              <w:rPr>
                <w:rFonts w:ascii="Book Antiqua" w:eastAsia="等线" w:hAnsi="Book Antiqua"/>
                <w:color w:val="000000"/>
                <w:kern w:val="0"/>
                <w:sz w:val="24"/>
              </w:rPr>
              <w:t>Evaluating the progression of CHC to cirrhosis; Plasma IL-6 positively correlated with illness duration and viral load in HBV/HCV co-infected patients.</w:t>
            </w:r>
          </w:p>
        </w:tc>
        <w:tc>
          <w:tcPr>
            <w:tcW w:w="1665" w:type="dxa"/>
            <w:vAlign w:val="center"/>
            <w:hideMark/>
          </w:tcPr>
          <w:p w:rsidR="00371BB0" w:rsidRDefault="00371BB0">
            <w:pPr>
              <w:widowControl/>
              <w:adjustRightInd w:val="0"/>
              <w:snapToGrid w:val="0"/>
              <w:spacing w:line="360" w:lineRule="auto"/>
              <w:jc w:val="center"/>
              <w:rPr>
                <w:rFonts w:ascii="Book Antiqua" w:eastAsia="等线" w:hAnsi="Book Antiqua"/>
                <w:color w:val="000000"/>
                <w:kern w:val="0"/>
                <w:sz w:val="24"/>
              </w:rPr>
            </w:pPr>
            <w:r>
              <w:rPr>
                <w:rFonts w:ascii="Book Antiqua" w:eastAsia="等线" w:hAnsi="Book Antiqua"/>
                <w:color w:val="000000"/>
                <w:kern w:val="0"/>
                <w:sz w:val="24"/>
              </w:rPr>
              <w:t>[13,20]</w:t>
            </w:r>
          </w:p>
        </w:tc>
      </w:tr>
      <w:tr w:rsidR="00371BB0" w:rsidTr="00371BB0">
        <w:trPr>
          <w:trHeight w:val="860"/>
          <w:jc w:val="center"/>
        </w:trPr>
        <w:tc>
          <w:tcPr>
            <w:tcW w:w="1557" w:type="dxa"/>
            <w:noWrap/>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IL-8</w:t>
            </w:r>
          </w:p>
        </w:tc>
        <w:tc>
          <w:tcPr>
            <w:tcW w:w="6266" w:type="dxa"/>
            <w:vAlign w:val="center"/>
            <w:hideMark/>
          </w:tcPr>
          <w:p w:rsidR="00371BB0" w:rsidRDefault="00371BB0">
            <w:pPr>
              <w:widowControl/>
              <w:adjustRightInd w:val="0"/>
              <w:snapToGrid w:val="0"/>
              <w:spacing w:line="360" w:lineRule="auto"/>
              <w:jc w:val="center"/>
              <w:rPr>
                <w:rFonts w:ascii="Book Antiqua" w:eastAsia="等线" w:hAnsi="Book Antiqua"/>
                <w:color w:val="000000"/>
                <w:kern w:val="0"/>
                <w:sz w:val="24"/>
              </w:rPr>
            </w:pPr>
            <w:r>
              <w:rPr>
                <w:rFonts w:ascii="Book Antiqua" w:eastAsia="等线" w:hAnsi="Book Antiqua"/>
                <w:color w:val="000000"/>
                <w:kern w:val="0"/>
                <w:sz w:val="24"/>
              </w:rPr>
              <w:t>Associated with interferon therapy non-response and high histologic activities in CHC patients.</w:t>
            </w:r>
          </w:p>
        </w:tc>
        <w:tc>
          <w:tcPr>
            <w:tcW w:w="1665" w:type="dxa"/>
            <w:vAlign w:val="center"/>
            <w:hideMark/>
          </w:tcPr>
          <w:p w:rsidR="00371BB0" w:rsidRDefault="00371BB0">
            <w:pPr>
              <w:widowControl/>
              <w:adjustRightInd w:val="0"/>
              <w:snapToGrid w:val="0"/>
              <w:spacing w:line="360" w:lineRule="auto"/>
              <w:jc w:val="center"/>
              <w:rPr>
                <w:rFonts w:ascii="Book Antiqua" w:eastAsia="等线" w:hAnsi="Book Antiqua"/>
                <w:color w:val="000000"/>
                <w:kern w:val="0"/>
                <w:sz w:val="24"/>
              </w:rPr>
            </w:pPr>
            <w:r>
              <w:rPr>
                <w:rFonts w:ascii="Book Antiqua" w:eastAsia="等线" w:hAnsi="Book Antiqua"/>
                <w:color w:val="000000"/>
                <w:kern w:val="0"/>
                <w:sz w:val="24"/>
              </w:rPr>
              <w:t>[29,30]</w:t>
            </w:r>
          </w:p>
        </w:tc>
      </w:tr>
      <w:tr w:rsidR="00371BB0" w:rsidTr="00371BB0">
        <w:trPr>
          <w:trHeight w:val="999"/>
          <w:jc w:val="center"/>
        </w:trPr>
        <w:tc>
          <w:tcPr>
            <w:tcW w:w="1557" w:type="dxa"/>
            <w:noWrap/>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IL-18</w:t>
            </w:r>
          </w:p>
        </w:tc>
        <w:tc>
          <w:tcPr>
            <w:tcW w:w="6266" w:type="dxa"/>
            <w:vAlign w:val="center"/>
            <w:hideMark/>
          </w:tcPr>
          <w:p w:rsidR="00371BB0" w:rsidRDefault="00371BB0">
            <w:pPr>
              <w:widowControl/>
              <w:adjustRightInd w:val="0"/>
              <w:snapToGrid w:val="0"/>
              <w:spacing w:line="360" w:lineRule="auto"/>
              <w:jc w:val="center"/>
              <w:rPr>
                <w:rFonts w:ascii="Book Antiqua" w:eastAsia="等线" w:hAnsi="Book Antiqua"/>
                <w:color w:val="000000"/>
                <w:kern w:val="0"/>
                <w:sz w:val="24"/>
              </w:rPr>
            </w:pPr>
            <w:r>
              <w:rPr>
                <w:rFonts w:ascii="Book Antiqua" w:eastAsia="等线" w:hAnsi="Book Antiqua"/>
                <w:color w:val="000000"/>
                <w:kern w:val="0"/>
                <w:sz w:val="24"/>
              </w:rPr>
              <w:t>Plasma IL-18 concentration was positively correlated with ALT and AST levels in HBV/HCV co-infected patients; A marker for evaluating the effect of IFN on the immune state.</w:t>
            </w:r>
          </w:p>
        </w:tc>
        <w:tc>
          <w:tcPr>
            <w:tcW w:w="1665" w:type="dxa"/>
            <w:vAlign w:val="center"/>
            <w:hideMark/>
          </w:tcPr>
          <w:p w:rsidR="00371BB0" w:rsidRDefault="00371BB0">
            <w:pPr>
              <w:widowControl/>
              <w:adjustRightInd w:val="0"/>
              <w:snapToGrid w:val="0"/>
              <w:spacing w:line="360" w:lineRule="auto"/>
              <w:jc w:val="center"/>
              <w:rPr>
                <w:rFonts w:ascii="Book Antiqua" w:eastAsia="等线" w:hAnsi="Book Antiqua"/>
                <w:color w:val="000000"/>
                <w:kern w:val="0"/>
                <w:sz w:val="24"/>
              </w:rPr>
            </w:pPr>
            <w:r>
              <w:rPr>
                <w:rFonts w:ascii="Book Antiqua" w:hAnsi="Book Antiqua"/>
                <w:color w:val="000000"/>
                <w:sz w:val="24"/>
              </w:rPr>
              <w:t>[20,21]</w:t>
            </w:r>
          </w:p>
        </w:tc>
      </w:tr>
      <w:tr w:rsidR="00371BB0" w:rsidTr="00371BB0">
        <w:trPr>
          <w:trHeight w:val="843"/>
          <w:jc w:val="center"/>
        </w:trPr>
        <w:tc>
          <w:tcPr>
            <w:tcW w:w="1557" w:type="dxa"/>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bookmarkStart w:id="267" w:name="OLE_LINK75"/>
            <w:r>
              <w:rPr>
                <w:rFonts w:ascii="Book Antiqua" w:eastAsia="等线" w:hAnsi="Book Antiqua"/>
                <w:color w:val="000000"/>
                <w:kern w:val="0"/>
                <w:sz w:val="24"/>
              </w:rPr>
              <w:t>CXCL-9</w:t>
            </w:r>
            <w:bookmarkEnd w:id="267"/>
          </w:p>
        </w:tc>
        <w:tc>
          <w:tcPr>
            <w:tcW w:w="6266" w:type="dxa"/>
            <w:vAlign w:val="center"/>
            <w:hideMark/>
          </w:tcPr>
          <w:p w:rsidR="00371BB0" w:rsidRDefault="00371BB0">
            <w:pPr>
              <w:widowControl/>
              <w:adjustRightInd w:val="0"/>
              <w:snapToGrid w:val="0"/>
              <w:spacing w:line="360" w:lineRule="auto"/>
              <w:jc w:val="center"/>
              <w:rPr>
                <w:rFonts w:ascii="Book Antiqua" w:eastAsia="等线" w:hAnsi="Book Antiqua"/>
                <w:color w:val="000000"/>
                <w:kern w:val="0"/>
                <w:sz w:val="24"/>
              </w:rPr>
            </w:pPr>
            <w:r>
              <w:rPr>
                <w:rFonts w:ascii="Book Antiqua" w:eastAsia="等线" w:hAnsi="Book Antiqua"/>
                <w:color w:val="000000"/>
                <w:kern w:val="0"/>
                <w:sz w:val="24"/>
              </w:rPr>
              <w:t>Potential marker for evaluating the progression of CHC to cirrhosis.</w:t>
            </w:r>
          </w:p>
        </w:tc>
        <w:tc>
          <w:tcPr>
            <w:tcW w:w="1665" w:type="dxa"/>
            <w:vAlign w:val="center"/>
            <w:hideMark/>
          </w:tcPr>
          <w:p w:rsidR="00371BB0" w:rsidRDefault="00371BB0">
            <w:pPr>
              <w:widowControl/>
              <w:adjustRightInd w:val="0"/>
              <w:snapToGrid w:val="0"/>
              <w:spacing w:line="360" w:lineRule="auto"/>
              <w:jc w:val="center"/>
              <w:rPr>
                <w:rFonts w:ascii="Book Antiqua" w:eastAsia="等线" w:hAnsi="Book Antiqua"/>
                <w:color w:val="000000"/>
                <w:kern w:val="0"/>
                <w:sz w:val="24"/>
              </w:rPr>
            </w:pPr>
            <w:r>
              <w:rPr>
                <w:rFonts w:ascii="Book Antiqua" w:eastAsia="等线" w:hAnsi="Book Antiqua"/>
                <w:color w:val="000000"/>
                <w:kern w:val="0"/>
                <w:sz w:val="24"/>
              </w:rPr>
              <w:t>[13,14]</w:t>
            </w:r>
          </w:p>
        </w:tc>
      </w:tr>
      <w:tr w:rsidR="00371BB0" w:rsidTr="00371BB0">
        <w:trPr>
          <w:trHeight w:val="983"/>
          <w:jc w:val="center"/>
        </w:trPr>
        <w:tc>
          <w:tcPr>
            <w:tcW w:w="1557" w:type="dxa"/>
            <w:tcBorders>
              <w:top w:val="nil"/>
              <w:left w:val="nil"/>
              <w:bottom w:val="single" w:sz="4" w:space="0" w:color="auto"/>
              <w:right w:val="nil"/>
            </w:tcBorders>
            <w:noWrap/>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CXCL-10</w:t>
            </w:r>
          </w:p>
        </w:tc>
        <w:tc>
          <w:tcPr>
            <w:tcW w:w="6266" w:type="dxa"/>
            <w:tcBorders>
              <w:top w:val="nil"/>
              <w:left w:val="nil"/>
              <w:bottom w:val="single" w:sz="4" w:space="0" w:color="auto"/>
              <w:right w:val="nil"/>
            </w:tcBorders>
            <w:vAlign w:val="center"/>
            <w:hideMark/>
          </w:tcPr>
          <w:p w:rsidR="00371BB0" w:rsidRDefault="00371BB0">
            <w:pPr>
              <w:widowControl/>
              <w:adjustRightInd w:val="0"/>
              <w:snapToGrid w:val="0"/>
              <w:spacing w:line="360" w:lineRule="auto"/>
              <w:jc w:val="center"/>
              <w:rPr>
                <w:rFonts w:ascii="Book Antiqua" w:eastAsia="等线" w:hAnsi="Book Antiqua"/>
                <w:color w:val="000000"/>
                <w:kern w:val="0"/>
                <w:sz w:val="24"/>
              </w:rPr>
            </w:pPr>
            <w:r>
              <w:rPr>
                <w:rFonts w:ascii="Book Antiqua" w:eastAsia="等线" w:hAnsi="Book Antiqua"/>
                <w:color w:val="000000"/>
                <w:kern w:val="0"/>
                <w:sz w:val="24"/>
              </w:rPr>
              <w:t>CXCL-10 level in hepatocytes correlated with histological severity and hepatic lobule inflammation; A marker of viral response and therapeutic outcome.</w:t>
            </w:r>
          </w:p>
        </w:tc>
        <w:tc>
          <w:tcPr>
            <w:tcW w:w="1665" w:type="dxa"/>
            <w:tcBorders>
              <w:top w:val="nil"/>
              <w:left w:val="nil"/>
              <w:bottom w:val="single" w:sz="4" w:space="0" w:color="auto"/>
              <w:right w:val="nil"/>
            </w:tcBorders>
            <w:vAlign w:val="center"/>
            <w:hideMark/>
          </w:tcPr>
          <w:p w:rsidR="00371BB0" w:rsidRDefault="00371BB0">
            <w:pPr>
              <w:widowControl/>
              <w:adjustRightInd w:val="0"/>
              <w:snapToGrid w:val="0"/>
              <w:spacing w:line="360" w:lineRule="auto"/>
              <w:jc w:val="center"/>
              <w:rPr>
                <w:rFonts w:ascii="Book Antiqua" w:eastAsia="等线" w:hAnsi="Book Antiqua"/>
                <w:color w:val="000000"/>
                <w:kern w:val="0"/>
                <w:sz w:val="24"/>
              </w:rPr>
            </w:pPr>
            <w:r>
              <w:rPr>
                <w:rFonts w:ascii="Book Antiqua" w:eastAsia="等线" w:hAnsi="Book Antiqua"/>
                <w:color w:val="000000"/>
                <w:kern w:val="0"/>
                <w:sz w:val="24"/>
              </w:rPr>
              <w:t>[5,13,14,23,24]</w:t>
            </w:r>
          </w:p>
        </w:tc>
      </w:tr>
    </w:tbl>
    <w:p w:rsidR="00371BB0" w:rsidRDefault="00371BB0" w:rsidP="00371BB0">
      <w:pPr>
        <w:adjustRightInd w:val="0"/>
        <w:snapToGrid w:val="0"/>
        <w:spacing w:line="360" w:lineRule="auto"/>
        <w:rPr>
          <w:rFonts w:ascii="Book Antiqua" w:eastAsia="等线" w:hAnsi="Book Antiqua"/>
          <w:color w:val="000000"/>
          <w:kern w:val="0"/>
          <w:sz w:val="24"/>
        </w:rPr>
      </w:pPr>
      <w:bookmarkStart w:id="268" w:name="OLE_LINK140"/>
      <w:bookmarkStart w:id="269" w:name="OLE_LINK139"/>
      <w:r>
        <w:rPr>
          <w:rFonts w:ascii="Book Antiqua" w:eastAsia="等线" w:hAnsi="Book Antiqua"/>
          <w:color w:val="000000"/>
          <w:kern w:val="0"/>
          <w:sz w:val="24"/>
        </w:rPr>
        <w:t xml:space="preserve">TNF-α: Tumor necrosis factor-α; </w:t>
      </w:r>
      <w:bookmarkEnd w:id="268"/>
      <w:bookmarkEnd w:id="269"/>
      <w:r>
        <w:rPr>
          <w:rFonts w:ascii="Book Antiqua" w:eastAsia="等线" w:hAnsi="Book Antiqua"/>
          <w:color w:val="000000"/>
          <w:kern w:val="0"/>
          <w:sz w:val="24"/>
        </w:rPr>
        <w:t xml:space="preserve">IL-6/-8/-18: Interleukin-6/-8/-18; </w:t>
      </w:r>
      <w:r>
        <w:rPr>
          <w:rFonts w:ascii="Book Antiqua" w:hAnsi="Book Antiqua"/>
          <w:color w:val="000000"/>
          <w:sz w:val="24"/>
        </w:rPr>
        <w:t xml:space="preserve">HCV: </w:t>
      </w:r>
      <w:bookmarkStart w:id="270" w:name="OLE_LINK113"/>
      <w:bookmarkStart w:id="271" w:name="OLE_LINK112"/>
      <w:r>
        <w:rPr>
          <w:rFonts w:ascii="Book Antiqua" w:hAnsi="Book Antiqua"/>
          <w:color w:val="000000"/>
          <w:sz w:val="24"/>
        </w:rPr>
        <w:t>Hepatitis C virus</w:t>
      </w:r>
      <w:bookmarkEnd w:id="270"/>
      <w:bookmarkEnd w:id="271"/>
      <w:r>
        <w:rPr>
          <w:rFonts w:ascii="Book Antiqua" w:hAnsi="Book Antiqua"/>
          <w:color w:val="000000"/>
          <w:sz w:val="24"/>
        </w:rPr>
        <w:t>; HCC: Hepatocellular carcinoma; CHC: Chronic hepatitis C; ALT: Alanine aminotransferase; AST: Aspartate aminotransferase; IFN: Interferon; HBV: Hepatitis B virus.</w:t>
      </w:r>
    </w:p>
    <w:p w:rsidR="00371BB0" w:rsidRDefault="00371BB0" w:rsidP="00371BB0">
      <w:pPr>
        <w:widowControl/>
        <w:spacing w:line="360" w:lineRule="auto"/>
        <w:jc w:val="left"/>
        <w:rPr>
          <w:rFonts w:ascii="Book Antiqua" w:eastAsia="等线" w:hAnsi="Book Antiqua"/>
          <w:color w:val="000000"/>
          <w:kern w:val="0"/>
          <w:sz w:val="24"/>
        </w:rPr>
        <w:sectPr w:rsidR="00371BB0">
          <w:pgSz w:w="11906" w:h="16838"/>
          <w:pgMar w:top="1418" w:right="1418" w:bottom="1418" w:left="1418" w:header="851" w:footer="992" w:gutter="0"/>
          <w:cols w:space="720"/>
          <w:docGrid w:type="lines" w:linePitch="312"/>
        </w:sectPr>
      </w:pPr>
    </w:p>
    <w:p w:rsidR="00371BB0" w:rsidRDefault="00371BB0" w:rsidP="00371BB0">
      <w:pPr>
        <w:adjustRightInd w:val="0"/>
        <w:snapToGrid w:val="0"/>
        <w:spacing w:line="360" w:lineRule="auto"/>
        <w:rPr>
          <w:rFonts w:ascii="Book Antiqua" w:eastAsia="等线" w:hAnsi="Book Antiqua"/>
          <w:b/>
          <w:bCs/>
          <w:color w:val="000000"/>
          <w:kern w:val="0"/>
          <w:sz w:val="24"/>
        </w:rPr>
      </w:pPr>
      <w:r>
        <w:rPr>
          <w:rFonts w:ascii="Book Antiqua" w:eastAsia="等线" w:hAnsi="Book Antiqua"/>
          <w:b/>
          <w:bCs/>
          <w:color w:val="000000"/>
          <w:kern w:val="0"/>
          <w:sz w:val="24"/>
        </w:rPr>
        <w:lastRenderedPageBreak/>
        <w:t>Table 2 Promising anti-inflammatory/hepatoprotective agents for chronic hepatitis C</w:t>
      </w:r>
    </w:p>
    <w:tbl>
      <w:tblPr>
        <w:tblW w:w="5189" w:type="pct"/>
        <w:jc w:val="center"/>
        <w:tblLook w:val="04A0" w:firstRow="1" w:lastRow="0" w:firstColumn="1" w:lastColumn="0" w:noHBand="0" w:noVBand="1"/>
      </w:tblPr>
      <w:tblGrid>
        <w:gridCol w:w="2080"/>
        <w:gridCol w:w="1662"/>
        <w:gridCol w:w="1454"/>
        <w:gridCol w:w="2586"/>
        <w:gridCol w:w="1933"/>
        <w:gridCol w:w="4061"/>
        <w:gridCol w:w="2036"/>
      </w:tblGrid>
      <w:tr w:rsidR="00371BB0" w:rsidTr="00371BB0">
        <w:trPr>
          <w:trHeight w:val="673"/>
          <w:jc w:val="center"/>
        </w:trPr>
        <w:tc>
          <w:tcPr>
            <w:tcW w:w="684" w:type="pct"/>
            <w:tcBorders>
              <w:top w:val="single" w:sz="4" w:space="0" w:color="auto"/>
              <w:left w:val="nil"/>
              <w:bottom w:val="single" w:sz="4" w:space="0" w:color="auto"/>
              <w:right w:val="nil"/>
            </w:tcBorders>
            <w:vAlign w:val="center"/>
            <w:hideMark/>
          </w:tcPr>
          <w:p w:rsidR="00371BB0" w:rsidRDefault="00371BB0">
            <w:pPr>
              <w:widowControl/>
              <w:adjustRightInd w:val="0"/>
              <w:snapToGrid w:val="0"/>
              <w:spacing w:line="360" w:lineRule="auto"/>
              <w:rPr>
                <w:rFonts w:ascii="Book Antiqua" w:eastAsia="等线" w:hAnsi="Book Antiqua"/>
                <w:b/>
                <w:bCs/>
                <w:color w:val="000000"/>
                <w:kern w:val="0"/>
                <w:sz w:val="24"/>
              </w:rPr>
            </w:pPr>
            <w:r>
              <w:rPr>
                <w:rFonts w:ascii="Book Antiqua" w:eastAsia="等线" w:hAnsi="Book Antiqua"/>
                <w:b/>
                <w:bCs/>
                <w:color w:val="000000"/>
                <w:kern w:val="0"/>
                <w:sz w:val="24"/>
              </w:rPr>
              <w:t>Compound</w:t>
            </w:r>
          </w:p>
        </w:tc>
        <w:tc>
          <w:tcPr>
            <w:tcW w:w="522" w:type="pct"/>
            <w:tcBorders>
              <w:top w:val="single" w:sz="4" w:space="0" w:color="auto"/>
              <w:left w:val="nil"/>
              <w:bottom w:val="single" w:sz="4" w:space="0" w:color="auto"/>
              <w:right w:val="nil"/>
            </w:tcBorders>
            <w:vAlign w:val="center"/>
            <w:hideMark/>
          </w:tcPr>
          <w:p w:rsidR="00371BB0" w:rsidRDefault="00371BB0">
            <w:pPr>
              <w:widowControl/>
              <w:adjustRightInd w:val="0"/>
              <w:snapToGrid w:val="0"/>
              <w:spacing w:line="360" w:lineRule="auto"/>
              <w:rPr>
                <w:rFonts w:ascii="Book Antiqua" w:eastAsia="等线" w:hAnsi="Book Antiqua"/>
                <w:b/>
                <w:bCs/>
                <w:color w:val="000000"/>
                <w:kern w:val="0"/>
                <w:sz w:val="24"/>
              </w:rPr>
            </w:pPr>
            <w:r>
              <w:rPr>
                <w:rFonts w:ascii="Book Antiqua" w:eastAsia="等线" w:hAnsi="Book Antiqua"/>
                <w:b/>
                <w:bCs/>
                <w:color w:val="000000"/>
                <w:kern w:val="0"/>
                <w:sz w:val="24"/>
              </w:rPr>
              <w:t>Chemical category</w:t>
            </w:r>
          </w:p>
        </w:tc>
        <w:tc>
          <w:tcPr>
            <w:tcW w:w="456" w:type="pct"/>
            <w:tcBorders>
              <w:top w:val="single" w:sz="4" w:space="0" w:color="auto"/>
              <w:left w:val="nil"/>
              <w:bottom w:val="single" w:sz="4" w:space="0" w:color="auto"/>
              <w:right w:val="nil"/>
            </w:tcBorders>
            <w:vAlign w:val="center"/>
            <w:hideMark/>
          </w:tcPr>
          <w:p w:rsidR="00371BB0" w:rsidRDefault="00371BB0">
            <w:pPr>
              <w:widowControl/>
              <w:adjustRightInd w:val="0"/>
              <w:snapToGrid w:val="0"/>
              <w:spacing w:line="360" w:lineRule="auto"/>
              <w:rPr>
                <w:rFonts w:ascii="Book Antiqua" w:eastAsia="等线" w:hAnsi="Book Antiqua"/>
                <w:b/>
                <w:bCs/>
                <w:color w:val="000000"/>
                <w:kern w:val="0"/>
                <w:sz w:val="24"/>
              </w:rPr>
            </w:pPr>
            <w:r>
              <w:rPr>
                <w:rFonts w:ascii="Book Antiqua" w:eastAsia="等线" w:hAnsi="Book Antiqua"/>
                <w:b/>
                <w:bCs/>
                <w:color w:val="000000"/>
                <w:kern w:val="0"/>
                <w:sz w:val="24"/>
              </w:rPr>
              <w:t>Formula</w:t>
            </w:r>
          </w:p>
        </w:tc>
        <w:tc>
          <w:tcPr>
            <w:tcW w:w="812" w:type="pct"/>
            <w:tcBorders>
              <w:top w:val="single" w:sz="4" w:space="0" w:color="auto"/>
              <w:left w:val="nil"/>
              <w:bottom w:val="single" w:sz="4" w:space="0" w:color="auto"/>
              <w:right w:val="nil"/>
            </w:tcBorders>
            <w:vAlign w:val="center"/>
            <w:hideMark/>
          </w:tcPr>
          <w:p w:rsidR="00371BB0" w:rsidRDefault="00371BB0">
            <w:pPr>
              <w:widowControl/>
              <w:adjustRightInd w:val="0"/>
              <w:snapToGrid w:val="0"/>
              <w:spacing w:line="360" w:lineRule="auto"/>
              <w:rPr>
                <w:rFonts w:ascii="Book Antiqua" w:eastAsia="等线" w:hAnsi="Book Antiqua"/>
                <w:b/>
                <w:bCs/>
                <w:color w:val="000000"/>
                <w:kern w:val="0"/>
                <w:sz w:val="24"/>
              </w:rPr>
            </w:pPr>
            <w:r>
              <w:rPr>
                <w:rFonts w:ascii="Book Antiqua" w:eastAsia="等线" w:hAnsi="Book Antiqua"/>
                <w:b/>
                <w:bCs/>
                <w:color w:val="000000"/>
                <w:kern w:val="0"/>
                <w:sz w:val="24"/>
              </w:rPr>
              <w:t>Chemical structure</w:t>
            </w:r>
          </w:p>
        </w:tc>
        <w:tc>
          <w:tcPr>
            <w:tcW w:w="614" w:type="pct"/>
            <w:tcBorders>
              <w:top w:val="single" w:sz="4" w:space="0" w:color="auto"/>
              <w:left w:val="nil"/>
              <w:bottom w:val="single" w:sz="4" w:space="0" w:color="auto"/>
              <w:right w:val="nil"/>
            </w:tcBorders>
            <w:vAlign w:val="center"/>
            <w:hideMark/>
          </w:tcPr>
          <w:p w:rsidR="00371BB0" w:rsidRDefault="00371BB0">
            <w:pPr>
              <w:widowControl/>
              <w:adjustRightInd w:val="0"/>
              <w:snapToGrid w:val="0"/>
              <w:spacing w:line="360" w:lineRule="auto"/>
              <w:rPr>
                <w:rFonts w:ascii="Book Antiqua" w:eastAsia="等线" w:hAnsi="Book Antiqua"/>
                <w:b/>
                <w:bCs/>
                <w:color w:val="000000"/>
                <w:kern w:val="0"/>
                <w:sz w:val="24"/>
              </w:rPr>
            </w:pPr>
            <w:r>
              <w:rPr>
                <w:rFonts w:ascii="Book Antiqua" w:eastAsia="等线" w:hAnsi="Book Antiqua"/>
                <w:b/>
                <w:bCs/>
                <w:color w:val="000000"/>
                <w:kern w:val="0"/>
                <w:sz w:val="24"/>
              </w:rPr>
              <w:t>Mechanism of anti-HCV</w:t>
            </w:r>
          </w:p>
        </w:tc>
        <w:tc>
          <w:tcPr>
            <w:tcW w:w="1274" w:type="pct"/>
            <w:tcBorders>
              <w:top w:val="single" w:sz="4" w:space="0" w:color="auto"/>
              <w:left w:val="nil"/>
              <w:bottom w:val="single" w:sz="4" w:space="0" w:color="auto"/>
              <w:right w:val="nil"/>
            </w:tcBorders>
            <w:vAlign w:val="center"/>
            <w:hideMark/>
          </w:tcPr>
          <w:p w:rsidR="00371BB0" w:rsidRDefault="00371BB0">
            <w:pPr>
              <w:widowControl/>
              <w:adjustRightInd w:val="0"/>
              <w:snapToGrid w:val="0"/>
              <w:spacing w:line="360" w:lineRule="auto"/>
              <w:rPr>
                <w:rFonts w:ascii="Book Antiqua" w:eastAsia="等线" w:hAnsi="Book Antiqua"/>
                <w:b/>
                <w:bCs/>
                <w:color w:val="000000"/>
                <w:kern w:val="0"/>
                <w:sz w:val="24"/>
              </w:rPr>
            </w:pPr>
            <w:r>
              <w:rPr>
                <w:rFonts w:ascii="Book Antiqua" w:eastAsia="等线" w:hAnsi="Book Antiqua"/>
                <w:b/>
                <w:bCs/>
                <w:color w:val="000000"/>
                <w:kern w:val="0"/>
                <w:sz w:val="24"/>
              </w:rPr>
              <w:t>Major ani-inflammatory/hepatoprotective activity</w:t>
            </w:r>
          </w:p>
        </w:tc>
        <w:tc>
          <w:tcPr>
            <w:tcW w:w="639" w:type="pct"/>
            <w:tcBorders>
              <w:top w:val="single" w:sz="4" w:space="0" w:color="auto"/>
              <w:left w:val="nil"/>
              <w:bottom w:val="single" w:sz="4" w:space="0" w:color="auto"/>
              <w:right w:val="nil"/>
            </w:tcBorders>
            <w:vAlign w:val="center"/>
            <w:hideMark/>
          </w:tcPr>
          <w:p w:rsidR="00371BB0" w:rsidRDefault="00371BB0">
            <w:pPr>
              <w:widowControl/>
              <w:adjustRightInd w:val="0"/>
              <w:snapToGrid w:val="0"/>
              <w:spacing w:line="360" w:lineRule="auto"/>
              <w:rPr>
                <w:rFonts w:ascii="Book Antiqua" w:eastAsia="等线" w:hAnsi="Book Antiqua"/>
                <w:b/>
                <w:bCs/>
                <w:color w:val="000000"/>
                <w:kern w:val="0"/>
                <w:sz w:val="24"/>
              </w:rPr>
            </w:pPr>
            <w:r>
              <w:rPr>
                <w:rFonts w:ascii="Book Antiqua" w:eastAsia="等线" w:hAnsi="Book Antiqua"/>
                <w:b/>
                <w:bCs/>
                <w:color w:val="000000"/>
                <w:kern w:val="0"/>
                <w:sz w:val="24"/>
              </w:rPr>
              <w:t>Ref.</w:t>
            </w:r>
          </w:p>
        </w:tc>
      </w:tr>
      <w:tr w:rsidR="00371BB0" w:rsidTr="00371BB0">
        <w:trPr>
          <w:trHeight w:val="1346"/>
          <w:jc w:val="center"/>
        </w:trPr>
        <w:tc>
          <w:tcPr>
            <w:tcW w:w="684" w:type="pct"/>
            <w:tcBorders>
              <w:top w:val="single" w:sz="4" w:space="0" w:color="auto"/>
              <w:left w:val="nil"/>
              <w:bottom w:val="nil"/>
              <w:right w:val="nil"/>
            </w:tcBorders>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Silibinin</w:t>
            </w:r>
          </w:p>
        </w:tc>
        <w:tc>
          <w:tcPr>
            <w:tcW w:w="522" w:type="pct"/>
            <w:tcBorders>
              <w:top w:val="single" w:sz="4" w:space="0" w:color="auto"/>
              <w:left w:val="nil"/>
              <w:bottom w:val="nil"/>
              <w:right w:val="nil"/>
            </w:tcBorders>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Flavonoids</w:t>
            </w:r>
          </w:p>
        </w:tc>
        <w:tc>
          <w:tcPr>
            <w:tcW w:w="456" w:type="pct"/>
            <w:tcBorders>
              <w:top w:val="single" w:sz="4" w:space="0" w:color="auto"/>
              <w:left w:val="nil"/>
              <w:bottom w:val="nil"/>
              <w:right w:val="nil"/>
            </w:tcBorders>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C</w:t>
            </w:r>
            <w:r>
              <w:rPr>
                <w:rFonts w:ascii="Book Antiqua" w:eastAsia="等线" w:hAnsi="Book Antiqua"/>
                <w:color w:val="000000"/>
                <w:kern w:val="0"/>
                <w:sz w:val="24"/>
                <w:vertAlign w:val="subscript"/>
              </w:rPr>
              <w:t>25</w:t>
            </w:r>
            <w:r>
              <w:rPr>
                <w:rFonts w:ascii="Book Antiqua" w:eastAsia="等线" w:hAnsi="Book Antiqua"/>
                <w:color w:val="000000"/>
                <w:kern w:val="0"/>
                <w:sz w:val="24"/>
              </w:rPr>
              <w:t>H</w:t>
            </w:r>
            <w:r>
              <w:rPr>
                <w:rFonts w:ascii="Book Antiqua" w:eastAsia="等线" w:hAnsi="Book Antiqua"/>
                <w:color w:val="000000"/>
                <w:kern w:val="0"/>
                <w:sz w:val="24"/>
                <w:vertAlign w:val="subscript"/>
              </w:rPr>
              <w:t>22</w:t>
            </w:r>
            <w:r>
              <w:rPr>
                <w:rFonts w:ascii="Book Antiqua" w:eastAsia="等线" w:hAnsi="Book Antiqua"/>
                <w:color w:val="000000"/>
                <w:kern w:val="0"/>
                <w:sz w:val="24"/>
              </w:rPr>
              <w:t>O</w:t>
            </w:r>
            <w:r>
              <w:rPr>
                <w:rFonts w:ascii="Book Antiqua" w:eastAsia="等线" w:hAnsi="Book Antiqua"/>
                <w:color w:val="000000"/>
                <w:kern w:val="0"/>
                <w:sz w:val="24"/>
                <w:vertAlign w:val="subscript"/>
              </w:rPr>
              <w:t>10</w:t>
            </w:r>
          </w:p>
        </w:tc>
        <w:tc>
          <w:tcPr>
            <w:tcW w:w="812" w:type="pct"/>
            <w:tcBorders>
              <w:top w:val="single" w:sz="4" w:space="0" w:color="auto"/>
              <w:left w:val="nil"/>
              <w:bottom w:val="nil"/>
              <w:right w:val="nil"/>
            </w:tcBorders>
            <w:vAlign w:val="center"/>
            <w:hideMark/>
          </w:tcPr>
          <w:p w:rsidR="00371BB0" w:rsidRDefault="00371BB0">
            <w:pPr>
              <w:widowControl/>
              <w:adjustRightInd w:val="0"/>
              <w:snapToGrid w:val="0"/>
              <w:spacing w:line="360" w:lineRule="auto"/>
              <w:rPr>
                <w:rFonts w:ascii="Book Antiqua" w:eastAsia="等线" w:hAnsi="Book Antiqua"/>
                <w:color w:val="000000"/>
                <w:sz w:val="24"/>
              </w:rPr>
            </w:pPr>
            <w:r>
              <w:rPr>
                <w:rFonts w:ascii="Book Antiqua" w:hAnsi="Book Antiqua"/>
                <w:noProof/>
                <w:color w:val="000000"/>
                <w:sz w:val="24"/>
              </w:rPr>
              <w:drawing>
                <wp:inline distT="0" distB="0" distL="0" distR="0">
                  <wp:extent cx="1503045" cy="73152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045" cy="731520"/>
                          </a:xfrm>
                          <a:prstGeom prst="rect">
                            <a:avLst/>
                          </a:prstGeom>
                          <a:noFill/>
                          <a:ln>
                            <a:noFill/>
                          </a:ln>
                        </pic:spPr>
                      </pic:pic>
                    </a:graphicData>
                  </a:graphic>
                </wp:inline>
              </w:drawing>
            </w:r>
          </w:p>
        </w:tc>
        <w:tc>
          <w:tcPr>
            <w:tcW w:w="614" w:type="pct"/>
            <w:tcBorders>
              <w:top w:val="single" w:sz="4" w:space="0" w:color="auto"/>
              <w:left w:val="nil"/>
              <w:bottom w:val="nil"/>
              <w:right w:val="nil"/>
            </w:tcBorders>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Block viral entry, fusion, RNA and protein synthesis, N5SB polymerase activity and transmission.</w:t>
            </w:r>
          </w:p>
        </w:tc>
        <w:tc>
          <w:tcPr>
            <w:tcW w:w="1274" w:type="pct"/>
            <w:tcBorders>
              <w:top w:val="single" w:sz="4" w:space="0" w:color="auto"/>
              <w:left w:val="nil"/>
              <w:bottom w:val="nil"/>
              <w:right w:val="nil"/>
            </w:tcBorders>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 xml:space="preserve">Anti-oxidation, anti-inflammation, anti-proliferation and immunomodulation; Limit </w:t>
            </w:r>
            <w:r>
              <w:rPr>
                <w:rFonts w:ascii="Book Antiqua" w:eastAsia="等线" w:hAnsi="Book Antiqua"/>
                <w:i/>
                <w:color w:val="000000"/>
                <w:kern w:val="0"/>
                <w:sz w:val="24"/>
              </w:rPr>
              <w:t>de novo</w:t>
            </w:r>
            <w:r>
              <w:rPr>
                <w:rFonts w:ascii="Book Antiqua" w:eastAsia="等线" w:hAnsi="Book Antiqua"/>
                <w:color w:val="000000"/>
                <w:kern w:val="0"/>
                <w:sz w:val="24"/>
              </w:rPr>
              <w:t xml:space="preserve"> fibrogenesis-related inflammation and prevent carcinogenesis in hepatocellular carcinoma.</w:t>
            </w:r>
          </w:p>
        </w:tc>
        <w:tc>
          <w:tcPr>
            <w:tcW w:w="639" w:type="pct"/>
            <w:tcBorders>
              <w:top w:val="single" w:sz="4" w:space="0" w:color="auto"/>
              <w:left w:val="nil"/>
              <w:bottom w:val="nil"/>
              <w:right w:val="nil"/>
            </w:tcBorders>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[81-83,85]</w:t>
            </w:r>
          </w:p>
        </w:tc>
      </w:tr>
      <w:tr w:rsidR="00371BB0" w:rsidTr="00371BB0">
        <w:trPr>
          <w:trHeight w:val="1422"/>
          <w:jc w:val="center"/>
        </w:trPr>
        <w:tc>
          <w:tcPr>
            <w:tcW w:w="684"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Andrographolide</w:t>
            </w:r>
          </w:p>
        </w:tc>
        <w:tc>
          <w:tcPr>
            <w:tcW w:w="522"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Terpenoid</w:t>
            </w:r>
          </w:p>
        </w:tc>
        <w:tc>
          <w:tcPr>
            <w:tcW w:w="456"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C</w:t>
            </w:r>
            <w:r>
              <w:rPr>
                <w:rFonts w:ascii="Book Antiqua" w:eastAsia="等线" w:hAnsi="Book Antiqua"/>
                <w:color w:val="000000"/>
                <w:kern w:val="0"/>
                <w:sz w:val="24"/>
                <w:vertAlign w:val="subscript"/>
              </w:rPr>
              <w:t>20</w:t>
            </w:r>
            <w:r>
              <w:rPr>
                <w:rFonts w:ascii="Book Antiqua" w:eastAsia="等线" w:hAnsi="Book Antiqua"/>
                <w:color w:val="000000"/>
                <w:kern w:val="0"/>
                <w:sz w:val="24"/>
              </w:rPr>
              <w:t>H</w:t>
            </w:r>
            <w:r>
              <w:rPr>
                <w:rFonts w:ascii="Book Antiqua" w:eastAsia="等线" w:hAnsi="Book Antiqua"/>
                <w:color w:val="000000"/>
                <w:kern w:val="0"/>
                <w:sz w:val="24"/>
                <w:vertAlign w:val="subscript"/>
              </w:rPr>
              <w:t>30</w:t>
            </w:r>
            <w:r>
              <w:rPr>
                <w:rFonts w:ascii="Book Antiqua" w:eastAsia="等线" w:hAnsi="Book Antiqua"/>
                <w:color w:val="000000"/>
                <w:kern w:val="0"/>
                <w:sz w:val="24"/>
              </w:rPr>
              <w:t>O</w:t>
            </w:r>
            <w:r>
              <w:rPr>
                <w:rFonts w:ascii="Book Antiqua" w:eastAsia="等线" w:hAnsi="Book Antiqua"/>
                <w:color w:val="000000"/>
                <w:kern w:val="0"/>
                <w:sz w:val="24"/>
                <w:vertAlign w:val="subscript"/>
              </w:rPr>
              <w:t>5</w:t>
            </w:r>
          </w:p>
        </w:tc>
        <w:tc>
          <w:tcPr>
            <w:tcW w:w="812"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noProof/>
                <w:color w:val="000000"/>
                <w:kern w:val="0"/>
                <w:sz w:val="24"/>
              </w:rPr>
              <w:drawing>
                <wp:inline distT="0" distB="0" distL="0" distR="0">
                  <wp:extent cx="1391285" cy="68389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1285" cy="683895"/>
                          </a:xfrm>
                          <a:prstGeom prst="rect">
                            <a:avLst/>
                          </a:prstGeom>
                          <a:noFill/>
                          <a:ln>
                            <a:noFill/>
                          </a:ln>
                        </pic:spPr>
                      </pic:pic>
                    </a:graphicData>
                  </a:graphic>
                </wp:inline>
              </w:drawing>
            </w:r>
          </w:p>
        </w:tc>
        <w:tc>
          <w:tcPr>
            <w:tcW w:w="614"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 xml:space="preserve">Inhibit HCV protein synthesis, RNA replication and infection; Activate the antiviral IFN response and </w:t>
            </w:r>
            <w:r>
              <w:rPr>
                <w:rFonts w:ascii="Book Antiqua" w:eastAsia="等线" w:hAnsi="Book Antiqua"/>
                <w:color w:val="000000"/>
                <w:kern w:val="0"/>
                <w:sz w:val="24"/>
              </w:rPr>
              <w:lastRenderedPageBreak/>
              <w:t>suppress HCV NS3/4A protease activity.</w:t>
            </w:r>
          </w:p>
        </w:tc>
        <w:tc>
          <w:tcPr>
            <w:tcW w:w="1274"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lastRenderedPageBreak/>
              <w:t>Scavenge free radicals, decrease lipid peroxidation, regulate immune responses and prevent infection and cancer; Depletion of glutathione, induction of cytochrome P450, normalization of the levels of hepatitis markers.</w:t>
            </w:r>
          </w:p>
        </w:tc>
        <w:tc>
          <w:tcPr>
            <w:tcW w:w="639"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[78,93,96-98,101]</w:t>
            </w:r>
          </w:p>
        </w:tc>
      </w:tr>
      <w:tr w:rsidR="00371BB0" w:rsidTr="00371BB0">
        <w:trPr>
          <w:trHeight w:val="1353"/>
          <w:jc w:val="center"/>
        </w:trPr>
        <w:tc>
          <w:tcPr>
            <w:tcW w:w="684"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lastRenderedPageBreak/>
              <w:t>Curcumin</w:t>
            </w:r>
          </w:p>
        </w:tc>
        <w:tc>
          <w:tcPr>
            <w:tcW w:w="522"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Polyphenol</w:t>
            </w:r>
          </w:p>
        </w:tc>
        <w:tc>
          <w:tcPr>
            <w:tcW w:w="456"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C</w:t>
            </w:r>
            <w:r>
              <w:rPr>
                <w:rFonts w:ascii="Book Antiqua" w:eastAsia="等线" w:hAnsi="Book Antiqua"/>
                <w:color w:val="000000"/>
                <w:kern w:val="0"/>
                <w:sz w:val="24"/>
                <w:vertAlign w:val="subscript"/>
              </w:rPr>
              <w:t>21</w:t>
            </w:r>
            <w:r>
              <w:rPr>
                <w:rFonts w:ascii="Book Antiqua" w:eastAsia="等线" w:hAnsi="Book Antiqua"/>
                <w:color w:val="000000"/>
                <w:kern w:val="0"/>
                <w:sz w:val="24"/>
              </w:rPr>
              <w:t>H</w:t>
            </w:r>
            <w:r>
              <w:rPr>
                <w:rFonts w:ascii="Book Antiqua" w:eastAsia="等线" w:hAnsi="Book Antiqua"/>
                <w:color w:val="000000"/>
                <w:kern w:val="0"/>
                <w:sz w:val="24"/>
                <w:vertAlign w:val="subscript"/>
              </w:rPr>
              <w:t>20</w:t>
            </w:r>
            <w:r>
              <w:rPr>
                <w:rFonts w:ascii="Book Antiqua" w:eastAsia="等线" w:hAnsi="Book Antiqua"/>
                <w:color w:val="000000"/>
                <w:kern w:val="0"/>
                <w:sz w:val="24"/>
              </w:rPr>
              <w:t>O</w:t>
            </w:r>
            <w:r>
              <w:rPr>
                <w:rFonts w:ascii="Book Antiqua" w:eastAsia="等线" w:hAnsi="Book Antiqua"/>
                <w:color w:val="000000"/>
                <w:kern w:val="0"/>
                <w:sz w:val="24"/>
                <w:vertAlign w:val="subscript"/>
              </w:rPr>
              <w:t>6</w:t>
            </w:r>
          </w:p>
        </w:tc>
        <w:tc>
          <w:tcPr>
            <w:tcW w:w="812"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hAnsi="Book Antiqua"/>
                <w:noProof/>
                <w:color w:val="000000"/>
                <w:sz w:val="24"/>
              </w:rPr>
              <w:drawing>
                <wp:inline distT="0" distB="0" distL="0" distR="0">
                  <wp:extent cx="1463040" cy="548640"/>
                  <wp:effectExtent l="0" t="0" r="381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548640"/>
                          </a:xfrm>
                          <a:prstGeom prst="rect">
                            <a:avLst/>
                          </a:prstGeom>
                          <a:noFill/>
                          <a:ln>
                            <a:noFill/>
                          </a:ln>
                        </pic:spPr>
                      </pic:pic>
                    </a:graphicData>
                  </a:graphic>
                </wp:inline>
              </w:drawing>
            </w:r>
          </w:p>
        </w:tc>
        <w:tc>
          <w:tcPr>
            <w:tcW w:w="614"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bookmarkStart w:id="272" w:name="OLE_LINK135"/>
            <w:bookmarkStart w:id="273" w:name="OLE_LINK136"/>
            <w:r>
              <w:rPr>
                <w:rFonts w:ascii="Book Antiqua" w:eastAsia="等线" w:hAnsi="Book Antiqua"/>
                <w:color w:val="000000"/>
                <w:kern w:val="0"/>
                <w:sz w:val="24"/>
              </w:rPr>
              <w:t>Inhibit HCV replication</w:t>
            </w:r>
            <w:bookmarkEnd w:id="272"/>
            <w:bookmarkEnd w:id="273"/>
            <w:r>
              <w:rPr>
                <w:rFonts w:ascii="Book Antiqua" w:eastAsia="等线" w:hAnsi="Book Antiqua"/>
                <w:color w:val="000000"/>
                <w:kern w:val="0"/>
                <w:sz w:val="24"/>
              </w:rPr>
              <w:t xml:space="preserve"> by inducing HO-1- and </w:t>
            </w:r>
            <w:bookmarkStart w:id="274" w:name="OLE_LINK90"/>
            <w:bookmarkStart w:id="275" w:name="OLE_LINK91"/>
            <w:r>
              <w:rPr>
                <w:rFonts w:ascii="Book Antiqua" w:eastAsia="等线" w:hAnsi="Book Antiqua"/>
                <w:color w:val="000000"/>
                <w:kern w:val="0"/>
                <w:sz w:val="24"/>
              </w:rPr>
              <w:t>AKT</w:t>
            </w:r>
            <w:bookmarkEnd w:id="274"/>
            <w:bookmarkEnd w:id="275"/>
            <w:r>
              <w:rPr>
                <w:rFonts w:ascii="Book Antiqua" w:eastAsia="等线" w:hAnsi="Book Antiqua"/>
                <w:color w:val="000000"/>
                <w:kern w:val="0"/>
                <w:sz w:val="24"/>
              </w:rPr>
              <w:t>-related signaling pathways; Block viral entry into human hepatocytes.</w:t>
            </w:r>
          </w:p>
        </w:tc>
        <w:tc>
          <w:tcPr>
            <w:tcW w:w="1274"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Suppress severe cytokine storm, alleviate liver injury or fibrosis, inhibit HSC activation, suppress activation of leptin signaling, enhance AMP-activated protein kinase activity.</w:t>
            </w:r>
          </w:p>
        </w:tc>
        <w:tc>
          <w:tcPr>
            <w:tcW w:w="639"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[79,105-112]</w:t>
            </w:r>
          </w:p>
        </w:tc>
      </w:tr>
      <w:tr w:rsidR="00371BB0" w:rsidTr="00371BB0">
        <w:trPr>
          <w:trHeight w:val="1258"/>
          <w:jc w:val="center"/>
        </w:trPr>
        <w:tc>
          <w:tcPr>
            <w:tcW w:w="684"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hAnsi="Book Antiqua"/>
                <w:color w:val="000000"/>
                <w:sz w:val="24"/>
              </w:rPr>
              <w:t>Oxymatrine</w:t>
            </w:r>
          </w:p>
        </w:tc>
        <w:tc>
          <w:tcPr>
            <w:tcW w:w="522"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Alkaloids</w:t>
            </w:r>
          </w:p>
        </w:tc>
        <w:tc>
          <w:tcPr>
            <w:tcW w:w="456"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C</w:t>
            </w:r>
            <w:r>
              <w:rPr>
                <w:rFonts w:ascii="Book Antiqua" w:eastAsia="等线" w:hAnsi="Book Antiqua"/>
                <w:color w:val="000000"/>
                <w:kern w:val="0"/>
                <w:sz w:val="24"/>
                <w:vertAlign w:val="subscript"/>
              </w:rPr>
              <w:t>15</w:t>
            </w:r>
            <w:r>
              <w:rPr>
                <w:rFonts w:ascii="Book Antiqua" w:eastAsia="等线" w:hAnsi="Book Antiqua"/>
                <w:color w:val="000000"/>
                <w:kern w:val="0"/>
                <w:sz w:val="24"/>
              </w:rPr>
              <w:t>H</w:t>
            </w:r>
            <w:r>
              <w:rPr>
                <w:rFonts w:ascii="Book Antiqua" w:eastAsia="等线" w:hAnsi="Book Antiqua"/>
                <w:color w:val="000000"/>
                <w:kern w:val="0"/>
                <w:sz w:val="24"/>
                <w:vertAlign w:val="subscript"/>
              </w:rPr>
              <w:t>24</w:t>
            </w:r>
            <w:r>
              <w:rPr>
                <w:rFonts w:ascii="Book Antiqua" w:eastAsia="等线" w:hAnsi="Book Antiqua"/>
                <w:color w:val="000000"/>
                <w:kern w:val="0"/>
                <w:sz w:val="24"/>
              </w:rPr>
              <w:t>N</w:t>
            </w:r>
            <w:r>
              <w:rPr>
                <w:rFonts w:ascii="Book Antiqua" w:eastAsia="等线" w:hAnsi="Book Antiqua"/>
                <w:color w:val="000000"/>
                <w:kern w:val="0"/>
                <w:sz w:val="24"/>
                <w:vertAlign w:val="subscript"/>
              </w:rPr>
              <w:t>2</w:t>
            </w:r>
            <w:r>
              <w:rPr>
                <w:rFonts w:ascii="Book Antiqua" w:eastAsia="等线" w:hAnsi="Book Antiqua"/>
                <w:color w:val="000000"/>
                <w:kern w:val="0"/>
                <w:sz w:val="24"/>
              </w:rPr>
              <w:t>O</w:t>
            </w:r>
            <w:r>
              <w:rPr>
                <w:rFonts w:ascii="Book Antiqua" w:eastAsia="等线" w:hAnsi="Book Antiqua"/>
                <w:color w:val="000000"/>
                <w:kern w:val="0"/>
                <w:sz w:val="24"/>
                <w:vertAlign w:val="subscript"/>
              </w:rPr>
              <w:t>2</w:t>
            </w:r>
          </w:p>
        </w:tc>
        <w:tc>
          <w:tcPr>
            <w:tcW w:w="812"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hAnsi="Book Antiqua"/>
                <w:noProof/>
                <w:color w:val="000000"/>
                <w:sz w:val="24"/>
              </w:rPr>
              <w:drawing>
                <wp:inline distT="0" distB="0" distL="0" distR="0">
                  <wp:extent cx="962025" cy="779145"/>
                  <wp:effectExtent l="0" t="0" r="952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779145"/>
                          </a:xfrm>
                          <a:prstGeom prst="rect">
                            <a:avLst/>
                          </a:prstGeom>
                          <a:noFill/>
                          <a:ln>
                            <a:noFill/>
                          </a:ln>
                        </pic:spPr>
                      </pic:pic>
                    </a:graphicData>
                  </a:graphic>
                </wp:inline>
              </w:drawing>
            </w:r>
          </w:p>
        </w:tc>
        <w:tc>
          <w:tcPr>
            <w:tcW w:w="614"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 xml:space="preserve">Inhibit HCV replication by destabilizing heat stress cognate 70 </w:t>
            </w:r>
            <w:r>
              <w:rPr>
                <w:rFonts w:ascii="Book Antiqua" w:eastAsia="等线" w:hAnsi="Book Antiqua"/>
                <w:color w:val="000000"/>
                <w:kern w:val="0"/>
                <w:sz w:val="24"/>
              </w:rPr>
              <w:lastRenderedPageBreak/>
              <w:t>mRNA and downregulating the expression of Hsc70.</w:t>
            </w:r>
          </w:p>
        </w:tc>
        <w:tc>
          <w:tcPr>
            <w:tcW w:w="1274"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lastRenderedPageBreak/>
              <w:t xml:space="preserve">Reduce serum transaminase or alkaline phosphatase level, modulate TLR4-dependent inflammatory pathways, attenuate liver injury and improve </w:t>
            </w:r>
            <w:r>
              <w:rPr>
                <w:rFonts w:ascii="Book Antiqua" w:eastAsia="等线" w:hAnsi="Book Antiqua"/>
                <w:color w:val="000000"/>
                <w:kern w:val="0"/>
                <w:sz w:val="24"/>
              </w:rPr>
              <w:lastRenderedPageBreak/>
              <w:t xml:space="preserve">experimental hepatic fibrosis, exert anti-cancer effects; Treatment of chemotherapy-induced hepatotoxicity. </w:t>
            </w:r>
          </w:p>
        </w:tc>
        <w:tc>
          <w:tcPr>
            <w:tcW w:w="639" w:type="pct"/>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lastRenderedPageBreak/>
              <w:t>[118-120,122-126]</w:t>
            </w:r>
          </w:p>
        </w:tc>
      </w:tr>
      <w:tr w:rsidR="00371BB0" w:rsidTr="00371BB0">
        <w:trPr>
          <w:trHeight w:val="3431"/>
          <w:jc w:val="center"/>
        </w:trPr>
        <w:tc>
          <w:tcPr>
            <w:tcW w:w="684" w:type="pct"/>
            <w:tcBorders>
              <w:top w:val="nil"/>
              <w:left w:val="nil"/>
              <w:bottom w:val="single" w:sz="4" w:space="0" w:color="auto"/>
              <w:right w:val="nil"/>
            </w:tcBorders>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lastRenderedPageBreak/>
              <w:t>Bicyclol</w:t>
            </w:r>
          </w:p>
        </w:tc>
        <w:tc>
          <w:tcPr>
            <w:tcW w:w="522" w:type="pct"/>
            <w:tcBorders>
              <w:top w:val="nil"/>
              <w:left w:val="nil"/>
              <w:bottom w:val="single" w:sz="4" w:space="0" w:color="auto"/>
              <w:right w:val="nil"/>
            </w:tcBorders>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Herb-derived synthetic compounds</w:t>
            </w:r>
          </w:p>
        </w:tc>
        <w:tc>
          <w:tcPr>
            <w:tcW w:w="456" w:type="pct"/>
            <w:tcBorders>
              <w:top w:val="nil"/>
              <w:left w:val="nil"/>
              <w:bottom w:val="single" w:sz="4" w:space="0" w:color="auto"/>
              <w:right w:val="nil"/>
            </w:tcBorders>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C</w:t>
            </w:r>
            <w:r>
              <w:rPr>
                <w:rFonts w:ascii="Book Antiqua" w:eastAsia="等线" w:hAnsi="Book Antiqua"/>
                <w:color w:val="000000"/>
                <w:kern w:val="0"/>
                <w:sz w:val="24"/>
                <w:vertAlign w:val="subscript"/>
              </w:rPr>
              <w:t>19</w:t>
            </w:r>
            <w:r>
              <w:rPr>
                <w:rFonts w:ascii="Book Antiqua" w:eastAsia="等线" w:hAnsi="Book Antiqua"/>
                <w:color w:val="000000"/>
                <w:kern w:val="0"/>
                <w:sz w:val="24"/>
              </w:rPr>
              <w:t>H</w:t>
            </w:r>
            <w:r>
              <w:rPr>
                <w:rFonts w:ascii="Book Antiqua" w:eastAsia="等线" w:hAnsi="Book Antiqua"/>
                <w:color w:val="000000"/>
                <w:kern w:val="0"/>
                <w:sz w:val="24"/>
                <w:vertAlign w:val="subscript"/>
              </w:rPr>
              <w:t>18</w:t>
            </w:r>
            <w:r>
              <w:rPr>
                <w:rFonts w:ascii="Book Antiqua" w:eastAsia="等线" w:hAnsi="Book Antiqua"/>
                <w:color w:val="000000"/>
                <w:kern w:val="0"/>
                <w:sz w:val="24"/>
              </w:rPr>
              <w:t>O</w:t>
            </w:r>
            <w:r>
              <w:rPr>
                <w:rFonts w:ascii="Book Antiqua" w:eastAsia="等线" w:hAnsi="Book Antiqua"/>
                <w:color w:val="000000"/>
                <w:kern w:val="0"/>
                <w:sz w:val="24"/>
                <w:vertAlign w:val="subscript"/>
              </w:rPr>
              <w:t>9</w:t>
            </w:r>
            <w:r>
              <w:rPr>
                <w:rFonts w:ascii="Book Antiqua" w:eastAsia="等线" w:hAnsi="Book Antiqua"/>
                <w:color w:val="000000"/>
                <w:kern w:val="0"/>
                <w:sz w:val="24"/>
              </w:rPr>
              <w:t xml:space="preserve"> </w:t>
            </w:r>
          </w:p>
        </w:tc>
        <w:tc>
          <w:tcPr>
            <w:tcW w:w="812" w:type="pct"/>
            <w:tcBorders>
              <w:top w:val="nil"/>
              <w:left w:val="nil"/>
              <w:bottom w:val="single" w:sz="4" w:space="0" w:color="auto"/>
              <w:right w:val="nil"/>
            </w:tcBorders>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hAnsi="Book Antiqua"/>
                <w:noProof/>
                <w:color w:val="000000"/>
                <w:sz w:val="24"/>
              </w:rPr>
              <w:drawing>
                <wp:inline distT="0" distB="0" distL="0" distR="0">
                  <wp:extent cx="739775" cy="930275"/>
                  <wp:effectExtent l="0" t="0" r="317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9775" cy="930275"/>
                          </a:xfrm>
                          <a:prstGeom prst="rect">
                            <a:avLst/>
                          </a:prstGeom>
                          <a:noFill/>
                          <a:ln>
                            <a:noFill/>
                          </a:ln>
                        </pic:spPr>
                      </pic:pic>
                    </a:graphicData>
                  </a:graphic>
                </wp:inline>
              </w:drawing>
            </w:r>
          </w:p>
        </w:tc>
        <w:tc>
          <w:tcPr>
            <w:tcW w:w="614" w:type="pct"/>
            <w:tcBorders>
              <w:top w:val="nil"/>
              <w:left w:val="nil"/>
              <w:bottom w:val="single" w:sz="4" w:space="0" w:color="auto"/>
              <w:right w:val="nil"/>
            </w:tcBorders>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Decrease HCV load in the clinic without reported mechanism.</w:t>
            </w:r>
          </w:p>
        </w:tc>
        <w:tc>
          <w:tcPr>
            <w:tcW w:w="1274" w:type="pct"/>
            <w:tcBorders>
              <w:top w:val="nil"/>
              <w:left w:val="nil"/>
              <w:bottom w:val="single" w:sz="4" w:space="0" w:color="auto"/>
              <w:right w:val="nil"/>
            </w:tcBorders>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Exert hepatoprotective and anti-inflammatory effects in chemical-, immunological-, fatty-, drug-induced and surgery-caused liver injury animal models; Prevent hepatic fibrosis induced by CCl</w:t>
            </w:r>
            <w:r>
              <w:rPr>
                <w:rFonts w:ascii="Book Antiqua" w:eastAsia="等线" w:hAnsi="Book Antiqua"/>
                <w:color w:val="000000"/>
                <w:kern w:val="0"/>
                <w:sz w:val="24"/>
                <w:vertAlign w:val="subscript"/>
              </w:rPr>
              <w:t>4</w:t>
            </w:r>
            <w:r>
              <w:rPr>
                <w:rFonts w:ascii="Book Antiqua" w:eastAsia="等线" w:hAnsi="Book Antiqua"/>
                <w:color w:val="000000"/>
                <w:kern w:val="0"/>
                <w:sz w:val="24"/>
              </w:rPr>
              <w:t>, dimethylnitrosamine, bovine serum albumin and bile duct ligation.</w:t>
            </w:r>
          </w:p>
        </w:tc>
        <w:tc>
          <w:tcPr>
            <w:tcW w:w="639" w:type="pct"/>
            <w:tcBorders>
              <w:top w:val="nil"/>
              <w:left w:val="nil"/>
              <w:bottom w:val="single" w:sz="4" w:space="0" w:color="auto"/>
              <w:right w:val="nil"/>
            </w:tcBorders>
            <w:vAlign w:val="center"/>
            <w:hideMark/>
          </w:tcPr>
          <w:p w:rsidR="00371BB0" w:rsidRDefault="00371BB0">
            <w:pPr>
              <w:widowControl/>
              <w:adjustRightInd w:val="0"/>
              <w:snapToGrid w:val="0"/>
              <w:spacing w:line="360" w:lineRule="auto"/>
              <w:rPr>
                <w:rFonts w:ascii="Book Antiqua" w:eastAsia="等线" w:hAnsi="Book Antiqua"/>
                <w:color w:val="000000"/>
                <w:kern w:val="0"/>
                <w:sz w:val="24"/>
              </w:rPr>
            </w:pPr>
            <w:r>
              <w:rPr>
                <w:rFonts w:ascii="Book Antiqua" w:eastAsia="等线" w:hAnsi="Book Antiqua"/>
                <w:color w:val="000000"/>
                <w:kern w:val="0"/>
                <w:sz w:val="24"/>
              </w:rPr>
              <w:t>[127,134,136-139]</w:t>
            </w:r>
          </w:p>
        </w:tc>
      </w:tr>
    </w:tbl>
    <w:p w:rsidR="00371BB0" w:rsidRDefault="00371BB0" w:rsidP="00371BB0">
      <w:pPr>
        <w:adjustRightInd w:val="0"/>
        <w:snapToGrid w:val="0"/>
        <w:spacing w:line="360" w:lineRule="auto"/>
        <w:rPr>
          <w:rFonts w:ascii="Book Antiqua" w:hAnsi="Book Antiqua"/>
          <w:color w:val="000000"/>
          <w:sz w:val="24"/>
        </w:rPr>
      </w:pPr>
      <w:r>
        <w:rPr>
          <w:rFonts w:ascii="Book Antiqua" w:hAnsi="Book Antiqua"/>
          <w:color w:val="000000"/>
          <w:sz w:val="24"/>
        </w:rPr>
        <w:t xml:space="preserve">HCV: </w:t>
      </w:r>
      <w:bookmarkStart w:id="276" w:name="OLE_LINK138"/>
      <w:bookmarkStart w:id="277" w:name="OLE_LINK114"/>
      <w:r>
        <w:rPr>
          <w:rFonts w:ascii="Book Antiqua" w:hAnsi="Book Antiqua"/>
          <w:color w:val="000000"/>
          <w:sz w:val="24"/>
        </w:rPr>
        <w:t>Hepatitis C virus</w:t>
      </w:r>
      <w:bookmarkEnd w:id="276"/>
      <w:bookmarkEnd w:id="277"/>
      <w:r>
        <w:rPr>
          <w:rFonts w:ascii="Book Antiqua" w:hAnsi="Book Antiqua"/>
          <w:color w:val="000000"/>
          <w:sz w:val="24"/>
        </w:rPr>
        <w:t xml:space="preserve">; IFN: Interferon; NS: Non-structural; </w:t>
      </w:r>
      <w:r>
        <w:rPr>
          <w:rFonts w:ascii="Book Antiqua" w:eastAsia="等线" w:hAnsi="Book Antiqua"/>
          <w:color w:val="000000"/>
          <w:kern w:val="0"/>
          <w:sz w:val="24"/>
        </w:rPr>
        <w:t xml:space="preserve">HO-1: </w:t>
      </w:r>
      <w:r>
        <w:rPr>
          <w:rFonts w:ascii="Book Antiqua" w:hAnsi="Book Antiqua"/>
          <w:color w:val="000000"/>
          <w:sz w:val="24"/>
        </w:rPr>
        <w:t>Heme oxygenase-1</w:t>
      </w:r>
      <w:r>
        <w:rPr>
          <w:rFonts w:ascii="Book Antiqua" w:eastAsia="等线" w:hAnsi="Book Antiqua"/>
          <w:color w:val="000000"/>
          <w:kern w:val="0"/>
          <w:sz w:val="24"/>
        </w:rPr>
        <w:t>; TLR: Toll-like receptor.</w:t>
      </w:r>
    </w:p>
    <w:p w:rsidR="00371BB0" w:rsidRDefault="00371BB0" w:rsidP="00371BB0">
      <w:pPr>
        <w:widowControl/>
        <w:spacing w:line="360" w:lineRule="auto"/>
        <w:jc w:val="left"/>
        <w:rPr>
          <w:rFonts w:ascii="Book Antiqua" w:hAnsi="Book Antiqua"/>
          <w:color w:val="000000"/>
          <w:sz w:val="24"/>
        </w:rPr>
        <w:sectPr w:rsidR="00371BB0">
          <w:pgSz w:w="16838" w:h="11906" w:orient="landscape"/>
          <w:pgMar w:top="1418" w:right="1418" w:bottom="1418" w:left="1418" w:header="851" w:footer="992" w:gutter="0"/>
          <w:cols w:space="720"/>
          <w:docGrid w:type="lines" w:linePitch="312"/>
        </w:sectPr>
      </w:pPr>
    </w:p>
    <w:p w:rsidR="00371BB0" w:rsidRDefault="00371BB0" w:rsidP="00371BB0">
      <w:pPr>
        <w:adjustRightInd w:val="0"/>
        <w:snapToGrid w:val="0"/>
        <w:spacing w:line="360" w:lineRule="auto"/>
        <w:rPr>
          <w:rFonts w:ascii="Book Antiqua" w:hAnsi="Book Antiqua"/>
          <w:b/>
          <w:color w:val="000000"/>
          <w:sz w:val="24"/>
        </w:rPr>
      </w:pPr>
    </w:p>
    <w:p w:rsidR="00371BB0" w:rsidRDefault="00371BB0" w:rsidP="00371BB0">
      <w:pPr>
        <w:adjustRightInd w:val="0"/>
        <w:snapToGrid w:val="0"/>
        <w:spacing w:line="360" w:lineRule="auto"/>
        <w:rPr>
          <w:rFonts w:ascii="Book Antiqua" w:hAnsi="Book Antiqua"/>
          <w:b/>
          <w:color w:val="000000"/>
          <w:sz w:val="24"/>
        </w:rPr>
      </w:pPr>
      <w:r>
        <w:rPr>
          <w:rFonts w:ascii="Book Antiqua" w:hAnsi="Book Antiqua"/>
          <w:b/>
          <w:noProof/>
          <w:color w:val="000000"/>
          <w:sz w:val="24"/>
        </w:rPr>
        <w:drawing>
          <wp:inline distT="0" distB="0" distL="0" distR="0">
            <wp:extent cx="3959860" cy="37611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59860" cy="3761105"/>
                    </a:xfrm>
                    <a:prstGeom prst="rect">
                      <a:avLst/>
                    </a:prstGeom>
                    <a:noFill/>
                    <a:ln>
                      <a:noFill/>
                    </a:ln>
                  </pic:spPr>
                </pic:pic>
              </a:graphicData>
            </a:graphic>
          </wp:inline>
        </w:drawing>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b/>
          <w:color w:val="000000"/>
          <w:sz w:val="24"/>
        </w:rPr>
        <w:t xml:space="preserve">Figure 1 Mechanisms of hepatitis C virus-induced inflammation. </w:t>
      </w:r>
      <w:r>
        <w:rPr>
          <w:rFonts w:ascii="Book Antiqua" w:hAnsi="Book Antiqua"/>
          <w:color w:val="000000"/>
          <w:sz w:val="24"/>
        </w:rPr>
        <w:t>Hepatitis C virus</w:t>
      </w:r>
      <w:r>
        <w:rPr>
          <w:rFonts w:ascii="Book Antiqua" w:hAnsi="Book Antiqua"/>
          <w:bCs/>
          <w:color w:val="000000"/>
          <w:sz w:val="24"/>
        </w:rPr>
        <w:t xml:space="preserve"> (HCV) RNA triggers T</w:t>
      </w:r>
      <w:r>
        <w:rPr>
          <w:rFonts w:ascii="Book Antiqua" w:hAnsi="Book Antiqua"/>
          <w:color w:val="000000"/>
          <w:sz w:val="24"/>
        </w:rPr>
        <w:t xml:space="preserve">oll-like receptor mediated nuclear factor (NF)-κB activation and inflammatory cytokine release, while HCV proteins mainly lead to oxidative and endoplasmic reticulum stress and potassium efflux, causing the Nod-like receptor pyrin domain containing inflammasome activation. The released inflammatory factors bind to their corresponding receptors and then directly induce NF-κB activation or indirectly lead to signalling pathway mediated downstream inflammatory response. HCV: Hepatitis C virus; ERS: Endoplasmic reticulum stress; AP-1: Activating protein-1; ASC: Apoptosis-associated speck-like protein containing CARD; DAMP: Damage associated molecular patterns; mtDNA: Mitochondrial DNA; MyD88: Myeloid differentiation factor 88; NLRP3: Nod-like receptor pyrin domain containing 3; ROS: Reactive oxygen species; vRNA: Viral RNA; </w:t>
      </w:r>
      <w:r>
        <w:rPr>
          <w:rFonts w:ascii="Book Antiqua" w:eastAsia="等线" w:hAnsi="Book Antiqua"/>
          <w:color w:val="000000"/>
          <w:kern w:val="0"/>
          <w:sz w:val="24"/>
        </w:rPr>
        <w:t>TLR: Toll-like receptor;</w:t>
      </w:r>
      <w:r>
        <w:rPr>
          <w:rFonts w:ascii="Book Antiqua" w:hAnsi="Book Antiqua"/>
          <w:b/>
          <w:color w:val="000000"/>
          <w:sz w:val="24"/>
        </w:rPr>
        <w:t xml:space="preserve"> </w:t>
      </w:r>
      <w:r>
        <w:rPr>
          <w:rFonts w:ascii="Book Antiqua" w:eastAsia="等线" w:hAnsi="Book Antiqua"/>
          <w:color w:val="000000"/>
          <w:kern w:val="0"/>
          <w:sz w:val="24"/>
        </w:rPr>
        <w:t>TNF-α: Tumor necrosis factor-α; IL: Interleukin</w:t>
      </w:r>
      <w:r>
        <w:rPr>
          <w:rFonts w:ascii="Book Antiqua" w:hAnsi="Book Antiqua"/>
          <w:color w:val="000000"/>
          <w:sz w:val="24"/>
        </w:rPr>
        <w:t>.</w:t>
      </w:r>
    </w:p>
    <w:p w:rsidR="00371BB0" w:rsidRDefault="00371BB0" w:rsidP="00371BB0">
      <w:pPr>
        <w:widowControl/>
        <w:jc w:val="left"/>
        <w:rPr>
          <w:rFonts w:ascii="Book Antiqua" w:hAnsi="Book Antiqua"/>
          <w:color w:val="000000"/>
          <w:sz w:val="24"/>
        </w:rPr>
      </w:pPr>
      <w:r>
        <w:rPr>
          <w:rFonts w:ascii="Book Antiqua" w:hAnsi="Book Antiqua"/>
          <w:color w:val="000000"/>
          <w:sz w:val="24"/>
        </w:rPr>
        <w:br w:type="page"/>
      </w:r>
    </w:p>
    <w:p w:rsidR="00371BB0" w:rsidRDefault="00371BB0" w:rsidP="00371BB0">
      <w:pPr>
        <w:adjustRightInd w:val="0"/>
        <w:snapToGrid w:val="0"/>
        <w:spacing w:line="360" w:lineRule="auto"/>
        <w:rPr>
          <w:rFonts w:ascii="Book Antiqua" w:hAnsi="Book Antiqua"/>
          <w:b/>
          <w:color w:val="000000"/>
          <w:sz w:val="24"/>
        </w:rPr>
      </w:pPr>
      <w:r>
        <w:rPr>
          <w:rFonts w:ascii="Book Antiqua" w:hAnsi="Book Antiqua"/>
          <w:b/>
          <w:noProof/>
          <w:color w:val="000000"/>
          <w:sz w:val="24"/>
        </w:rPr>
        <w:lastRenderedPageBreak/>
        <w:drawing>
          <wp:inline distT="0" distB="0" distL="0" distR="0">
            <wp:extent cx="4460875" cy="32918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0875" cy="3291840"/>
                    </a:xfrm>
                    <a:prstGeom prst="rect">
                      <a:avLst/>
                    </a:prstGeom>
                    <a:noFill/>
                    <a:ln>
                      <a:noFill/>
                    </a:ln>
                  </pic:spPr>
                </pic:pic>
              </a:graphicData>
            </a:graphic>
          </wp:inline>
        </w:drawing>
      </w:r>
    </w:p>
    <w:p w:rsidR="00371BB0" w:rsidRDefault="00371BB0" w:rsidP="00371BB0">
      <w:pPr>
        <w:adjustRightInd w:val="0"/>
        <w:snapToGrid w:val="0"/>
        <w:spacing w:line="360" w:lineRule="auto"/>
        <w:rPr>
          <w:rFonts w:ascii="Book Antiqua" w:hAnsi="Book Antiqua"/>
          <w:color w:val="000000"/>
          <w:sz w:val="24"/>
        </w:rPr>
      </w:pPr>
      <w:r>
        <w:rPr>
          <w:rFonts w:ascii="Book Antiqua" w:hAnsi="Book Antiqua"/>
          <w:b/>
          <w:color w:val="000000"/>
          <w:sz w:val="24"/>
        </w:rPr>
        <w:t xml:space="preserve">Figure 2 Inflammatory cascade responses in the hepatic microenvironment. </w:t>
      </w:r>
      <w:r>
        <w:rPr>
          <w:rFonts w:ascii="Book Antiqua" w:hAnsi="Book Antiqua"/>
          <w:color w:val="000000"/>
          <w:sz w:val="24"/>
        </w:rPr>
        <w:t>Crosstalk among parenchymal cells (hepatocytes), non-parenchymal liver cells (Kupffer cells and hepatic stellate cells) and recruited immune cells (macrophages, mast cells, dendritic cells and natural killer cells) plus hepatitis C virus replication in the hepatic microenvironment mediates inflammatory cascade signalling and exacerbates liver injury and disease progression. HSC: Hepatic stellate cells; NK: Natural killer; HCV: Hepatitis C virus.</w:t>
      </w:r>
    </w:p>
    <w:p w:rsidR="00371BB0" w:rsidRDefault="00371BB0" w:rsidP="00371BB0"/>
    <w:p w:rsidR="003B7584" w:rsidRPr="00371BB0" w:rsidRDefault="003B7584"/>
    <w:sectPr w:rsidR="003B7584" w:rsidRPr="00371B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F2" w:rsidRDefault="00136AF2" w:rsidP="00526B13">
      <w:r>
        <w:separator/>
      </w:r>
    </w:p>
  </w:endnote>
  <w:endnote w:type="continuationSeparator" w:id="0">
    <w:p w:rsidR="00136AF2" w:rsidRDefault="00136AF2" w:rsidP="0052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Roman">
    <w:altName w:val="Times New Roman"/>
    <w:charset w:val="00"/>
    <w:family w:val="roman"/>
    <w:pitch w:val="default"/>
  </w:font>
  <w:font w:name="AdvP3EAA99">
    <w:altName w:val="Segoe Print"/>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F2" w:rsidRDefault="00136AF2" w:rsidP="00526B13">
      <w:r>
        <w:separator/>
      </w:r>
    </w:p>
  </w:footnote>
  <w:footnote w:type="continuationSeparator" w:id="0">
    <w:p w:rsidR="00136AF2" w:rsidRDefault="00136AF2" w:rsidP="00526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B0"/>
    <w:rsid w:val="00107EBD"/>
    <w:rsid w:val="00136AF2"/>
    <w:rsid w:val="00154B68"/>
    <w:rsid w:val="001853A1"/>
    <w:rsid w:val="001E21D8"/>
    <w:rsid w:val="002572DB"/>
    <w:rsid w:val="002B3FAC"/>
    <w:rsid w:val="002D2207"/>
    <w:rsid w:val="00330A37"/>
    <w:rsid w:val="00371BB0"/>
    <w:rsid w:val="003B7584"/>
    <w:rsid w:val="003C5E50"/>
    <w:rsid w:val="003D12CA"/>
    <w:rsid w:val="0046062B"/>
    <w:rsid w:val="004D5956"/>
    <w:rsid w:val="00526B13"/>
    <w:rsid w:val="00596905"/>
    <w:rsid w:val="005A6091"/>
    <w:rsid w:val="007C1A09"/>
    <w:rsid w:val="008372B8"/>
    <w:rsid w:val="00875E4A"/>
    <w:rsid w:val="00897EF2"/>
    <w:rsid w:val="008D6EFF"/>
    <w:rsid w:val="008E757E"/>
    <w:rsid w:val="008F1131"/>
    <w:rsid w:val="008F36F7"/>
    <w:rsid w:val="0095265B"/>
    <w:rsid w:val="00960F67"/>
    <w:rsid w:val="009E073E"/>
    <w:rsid w:val="00AA362B"/>
    <w:rsid w:val="00C5490A"/>
    <w:rsid w:val="00CB479A"/>
    <w:rsid w:val="00D04A4C"/>
    <w:rsid w:val="00D84FDA"/>
    <w:rsid w:val="00DA470E"/>
    <w:rsid w:val="00DE4C46"/>
    <w:rsid w:val="00E35CC2"/>
    <w:rsid w:val="00EC6079"/>
    <w:rsid w:val="00ED2D75"/>
    <w:rsid w:val="00F52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Body Text" w:uiPriority="99" w:qFormat="1"/>
    <w:lsdException w:name="Subtitle" w:qFormat="1"/>
    <w:lsdException w:name="Date" w:uiPriority="99" w:qFormat="1"/>
    <w:lsdException w:name="Hyperlink" w:qFormat="1"/>
    <w:lsdException w:name="FollowedHyperlink" w:qFormat="1"/>
    <w:lsdException w:name="Strong" w:qFormat="1"/>
    <w:lsdException w:name="Emphasis" w:qFormat="1"/>
    <w:lsdException w:name="Plain Text" w:uiPriority="99" w:qFormat="1"/>
    <w:lsdException w:name="Normal (Web)" w:uiPriority="99" w:qFormat="1"/>
    <w:lsdException w:name="annotation subject" w:uiPriority="99" w:qFormat="1"/>
    <w:lsdException w:name="No List" w:uiPriority="99"/>
    <w:lsdException w:name="Balloon Text" w:uiPriority="99" w:qFormat="1"/>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BB0"/>
    <w:pPr>
      <w:widowControl w:val="0"/>
      <w:jc w:val="both"/>
    </w:pPr>
    <w:rPr>
      <w:kern w:val="2"/>
      <w:sz w:val="21"/>
    </w:rPr>
  </w:style>
  <w:style w:type="paragraph" w:styleId="1">
    <w:name w:val="heading 1"/>
    <w:basedOn w:val="a"/>
    <w:next w:val="a"/>
    <w:link w:val="1Char"/>
    <w:qFormat/>
    <w:rsid w:val="00371BB0"/>
    <w:pPr>
      <w:keepNext/>
      <w:framePr w:hSpace="180" w:wrap="around" w:vAnchor="page" w:hAnchor="margin" w:y="1753"/>
      <w:spacing w:line="360" w:lineRule="auto"/>
      <w:outlineLvl w:val="0"/>
    </w:pPr>
    <w:rPr>
      <w:b/>
      <w:bCs/>
      <w:kern w:val="44"/>
      <w:sz w:val="44"/>
      <w:szCs w:val="44"/>
    </w:rPr>
  </w:style>
  <w:style w:type="paragraph" w:styleId="2">
    <w:name w:val="heading 2"/>
    <w:basedOn w:val="a"/>
    <w:next w:val="a"/>
    <w:link w:val="2Char"/>
    <w:semiHidden/>
    <w:unhideWhenUsed/>
    <w:qFormat/>
    <w:rsid w:val="00371BB0"/>
    <w:pPr>
      <w:spacing w:before="100" w:beforeAutospacing="1" w:after="100" w:afterAutospacing="1" w:line="276" w:lineRule="auto"/>
      <w:jc w:val="left"/>
      <w:outlineLvl w:val="1"/>
    </w:pPr>
    <w:rPr>
      <w:rFonts w:ascii="宋体" w:hAnsi="宋体" w:cs="宋体"/>
      <w:b/>
      <w:kern w:val="0"/>
      <w:sz w:val="36"/>
      <w:szCs w:val="36"/>
    </w:rPr>
  </w:style>
  <w:style w:type="paragraph" w:styleId="3">
    <w:name w:val="heading 3"/>
    <w:basedOn w:val="a"/>
    <w:next w:val="a"/>
    <w:link w:val="3Char"/>
    <w:semiHidden/>
    <w:unhideWhenUsed/>
    <w:qFormat/>
    <w:rsid w:val="00371BB0"/>
    <w:pPr>
      <w:keepNext/>
      <w:outlineLvl w:val="2"/>
    </w:pPr>
    <w:rPr>
      <w:b/>
      <w:bCs/>
      <w:kern w:val="0"/>
      <w:sz w:val="32"/>
      <w:szCs w:val="32"/>
    </w:rPr>
  </w:style>
  <w:style w:type="paragraph" w:styleId="4">
    <w:name w:val="heading 4"/>
    <w:basedOn w:val="a"/>
    <w:next w:val="a"/>
    <w:link w:val="4Char"/>
    <w:semiHidden/>
    <w:unhideWhenUsed/>
    <w:qFormat/>
    <w:rsid w:val="00371BB0"/>
    <w:pPr>
      <w:spacing w:before="100" w:beforeAutospacing="1" w:after="100" w:afterAutospacing="1" w:line="276" w:lineRule="auto"/>
      <w:jc w:val="left"/>
      <w:outlineLvl w:val="3"/>
    </w:pPr>
    <w:rPr>
      <w:rFonts w:ascii="宋体" w:hAnsi="宋体" w:cs="宋体"/>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71BB0"/>
    <w:rPr>
      <w:b/>
      <w:bCs/>
      <w:kern w:val="44"/>
      <w:sz w:val="44"/>
      <w:szCs w:val="44"/>
    </w:rPr>
  </w:style>
  <w:style w:type="character" w:customStyle="1" w:styleId="2Char">
    <w:name w:val="标题 2 Char"/>
    <w:basedOn w:val="a0"/>
    <w:link w:val="2"/>
    <w:semiHidden/>
    <w:rsid w:val="00371BB0"/>
    <w:rPr>
      <w:rFonts w:ascii="宋体" w:hAnsi="宋体" w:cs="宋体"/>
      <w:b/>
      <w:sz w:val="36"/>
      <w:szCs w:val="36"/>
    </w:rPr>
  </w:style>
  <w:style w:type="character" w:customStyle="1" w:styleId="3Char">
    <w:name w:val="标题 3 Char"/>
    <w:basedOn w:val="a0"/>
    <w:link w:val="3"/>
    <w:semiHidden/>
    <w:rsid w:val="00371BB0"/>
    <w:rPr>
      <w:b/>
      <w:bCs/>
      <w:sz w:val="32"/>
      <w:szCs w:val="32"/>
    </w:rPr>
  </w:style>
  <w:style w:type="character" w:customStyle="1" w:styleId="4Char">
    <w:name w:val="标题 4 Char"/>
    <w:basedOn w:val="a0"/>
    <w:link w:val="4"/>
    <w:semiHidden/>
    <w:rsid w:val="00371BB0"/>
    <w:rPr>
      <w:rFonts w:ascii="宋体" w:hAnsi="宋体" w:cs="宋体"/>
      <w:b/>
      <w:sz w:val="24"/>
      <w:szCs w:val="24"/>
    </w:rPr>
  </w:style>
  <w:style w:type="character" w:styleId="a3">
    <w:name w:val="Hyperlink"/>
    <w:unhideWhenUsed/>
    <w:qFormat/>
    <w:rsid w:val="00371BB0"/>
    <w:rPr>
      <w:rFonts w:ascii="Times New Roman" w:hAnsi="Times New Roman" w:cs="Times New Roman" w:hint="default"/>
      <w:color w:val="0000FF"/>
      <w:u w:val="single"/>
    </w:rPr>
  </w:style>
  <w:style w:type="character" w:styleId="a4">
    <w:name w:val="FollowedHyperlink"/>
    <w:unhideWhenUsed/>
    <w:qFormat/>
    <w:rsid w:val="00371BB0"/>
    <w:rPr>
      <w:color w:val="800080"/>
      <w:u w:val="single"/>
    </w:rPr>
  </w:style>
  <w:style w:type="character" w:styleId="a5">
    <w:name w:val="Strong"/>
    <w:qFormat/>
    <w:rsid w:val="00371BB0"/>
    <w:rPr>
      <w:rFonts w:ascii="Times New Roman" w:hAnsi="Times New Roman" w:cs="Times New Roman" w:hint="default"/>
      <w:b/>
      <w:bCs w:val="0"/>
    </w:rPr>
  </w:style>
  <w:style w:type="paragraph" w:styleId="a6">
    <w:name w:val="Normal (Web)"/>
    <w:basedOn w:val="a"/>
    <w:uiPriority w:val="99"/>
    <w:unhideWhenUsed/>
    <w:qFormat/>
    <w:rsid w:val="00371BB0"/>
    <w:pPr>
      <w:widowControl/>
      <w:spacing w:before="100" w:beforeAutospacing="1" w:after="100" w:afterAutospacing="1"/>
      <w:jc w:val="left"/>
    </w:pPr>
    <w:rPr>
      <w:rFonts w:eastAsia="Times New Roman"/>
      <w:kern w:val="0"/>
      <w:sz w:val="24"/>
      <w:szCs w:val="24"/>
    </w:rPr>
  </w:style>
  <w:style w:type="paragraph" w:styleId="a7">
    <w:name w:val="annotation text"/>
    <w:basedOn w:val="a"/>
    <w:link w:val="Char"/>
    <w:uiPriority w:val="99"/>
    <w:unhideWhenUsed/>
    <w:qFormat/>
    <w:rsid w:val="00371BB0"/>
    <w:pPr>
      <w:jc w:val="left"/>
    </w:pPr>
  </w:style>
  <w:style w:type="character" w:customStyle="1" w:styleId="Char">
    <w:name w:val="批注文字 Char"/>
    <w:basedOn w:val="a0"/>
    <w:link w:val="a7"/>
    <w:uiPriority w:val="99"/>
    <w:qFormat/>
    <w:rsid w:val="00371BB0"/>
    <w:rPr>
      <w:kern w:val="2"/>
      <w:sz w:val="21"/>
    </w:rPr>
  </w:style>
  <w:style w:type="paragraph" w:styleId="a8">
    <w:name w:val="header"/>
    <w:basedOn w:val="a"/>
    <w:link w:val="Char0"/>
    <w:uiPriority w:val="99"/>
    <w:unhideWhenUsed/>
    <w:qFormat/>
    <w:rsid w:val="00371BB0"/>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8"/>
    <w:uiPriority w:val="99"/>
    <w:rsid w:val="00371BB0"/>
    <w:rPr>
      <w:sz w:val="18"/>
      <w:szCs w:val="18"/>
    </w:rPr>
  </w:style>
  <w:style w:type="paragraph" w:styleId="a9">
    <w:name w:val="footer"/>
    <w:basedOn w:val="a"/>
    <w:link w:val="Char1"/>
    <w:uiPriority w:val="99"/>
    <w:unhideWhenUsed/>
    <w:qFormat/>
    <w:rsid w:val="00371BB0"/>
    <w:pPr>
      <w:tabs>
        <w:tab w:val="center" w:pos="4153"/>
        <w:tab w:val="right" w:pos="8306"/>
      </w:tabs>
      <w:snapToGrid w:val="0"/>
      <w:jc w:val="left"/>
    </w:pPr>
    <w:rPr>
      <w:kern w:val="0"/>
      <w:sz w:val="18"/>
      <w:szCs w:val="18"/>
    </w:rPr>
  </w:style>
  <w:style w:type="character" w:customStyle="1" w:styleId="Char1">
    <w:name w:val="页脚 Char"/>
    <w:basedOn w:val="a0"/>
    <w:link w:val="a9"/>
    <w:uiPriority w:val="99"/>
    <w:rsid w:val="00371BB0"/>
    <w:rPr>
      <w:sz w:val="18"/>
      <w:szCs w:val="18"/>
    </w:rPr>
  </w:style>
  <w:style w:type="paragraph" w:styleId="aa">
    <w:name w:val="Body Text"/>
    <w:basedOn w:val="a"/>
    <w:link w:val="Char2"/>
    <w:uiPriority w:val="99"/>
    <w:unhideWhenUsed/>
    <w:qFormat/>
    <w:rsid w:val="00371BB0"/>
    <w:rPr>
      <w:kern w:val="0"/>
      <w:sz w:val="20"/>
    </w:rPr>
  </w:style>
  <w:style w:type="character" w:customStyle="1" w:styleId="Char2">
    <w:name w:val="正文文本 Char"/>
    <w:basedOn w:val="a0"/>
    <w:link w:val="aa"/>
    <w:uiPriority w:val="99"/>
    <w:rsid w:val="00371BB0"/>
  </w:style>
  <w:style w:type="paragraph" w:styleId="ab">
    <w:name w:val="Date"/>
    <w:basedOn w:val="a"/>
    <w:next w:val="a"/>
    <w:link w:val="Char3"/>
    <w:uiPriority w:val="99"/>
    <w:unhideWhenUsed/>
    <w:qFormat/>
    <w:rsid w:val="00371BB0"/>
    <w:pPr>
      <w:ind w:leftChars="2500" w:left="100"/>
    </w:pPr>
    <w:rPr>
      <w:kern w:val="0"/>
      <w:sz w:val="20"/>
    </w:rPr>
  </w:style>
  <w:style w:type="character" w:customStyle="1" w:styleId="Char3">
    <w:name w:val="日期 Char"/>
    <w:basedOn w:val="a0"/>
    <w:link w:val="ab"/>
    <w:uiPriority w:val="99"/>
    <w:rsid w:val="00371BB0"/>
  </w:style>
  <w:style w:type="paragraph" w:styleId="ac">
    <w:name w:val="Plain Text"/>
    <w:basedOn w:val="a"/>
    <w:link w:val="Char4"/>
    <w:uiPriority w:val="99"/>
    <w:unhideWhenUsed/>
    <w:qFormat/>
    <w:rsid w:val="00371BB0"/>
    <w:rPr>
      <w:rFonts w:ascii="宋体" w:hAnsi="Courier New"/>
      <w:kern w:val="0"/>
      <w:sz w:val="20"/>
      <w:szCs w:val="21"/>
    </w:rPr>
  </w:style>
  <w:style w:type="character" w:customStyle="1" w:styleId="Char4">
    <w:name w:val="纯文本 Char"/>
    <w:basedOn w:val="a0"/>
    <w:link w:val="ac"/>
    <w:uiPriority w:val="99"/>
    <w:rsid w:val="00371BB0"/>
    <w:rPr>
      <w:rFonts w:ascii="宋体" w:hAnsi="Courier New"/>
      <w:szCs w:val="21"/>
    </w:rPr>
  </w:style>
  <w:style w:type="paragraph" w:styleId="ad">
    <w:name w:val="annotation subject"/>
    <w:basedOn w:val="a7"/>
    <w:next w:val="a7"/>
    <w:link w:val="Char5"/>
    <w:uiPriority w:val="99"/>
    <w:unhideWhenUsed/>
    <w:qFormat/>
    <w:rsid w:val="00371BB0"/>
    <w:rPr>
      <w:b/>
      <w:bCs/>
    </w:rPr>
  </w:style>
  <w:style w:type="character" w:customStyle="1" w:styleId="Char5">
    <w:name w:val="批注主题 Char"/>
    <w:basedOn w:val="Char"/>
    <w:link w:val="ad"/>
    <w:uiPriority w:val="99"/>
    <w:qFormat/>
    <w:rsid w:val="00371BB0"/>
    <w:rPr>
      <w:b/>
      <w:bCs/>
      <w:kern w:val="2"/>
      <w:sz w:val="21"/>
    </w:rPr>
  </w:style>
  <w:style w:type="paragraph" w:styleId="ae">
    <w:name w:val="Balloon Text"/>
    <w:basedOn w:val="a"/>
    <w:link w:val="Char6"/>
    <w:uiPriority w:val="99"/>
    <w:unhideWhenUsed/>
    <w:qFormat/>
    <w:rsid w:val="00371BB0"/>
    <w:rPr>
      <w:kern w:val="0"/>
      <w:sz w:val="2"/>
    </w:rPr>
  </w:style>
  <w:style w:type="character" w:customStyle="1" w:styleId="Char6">
    <w:name w:val="批注框文本 Char"/>
    <w:basedOn w:val="a0"/>
    <w:link w:val="ae"/>
    <w:uiPriority w:val="99"/>
    <w:qFormat/>
    <w:rsid w:val="00371BB0"/>
    <w:rPr>
      <w:sz w:val="2"/>
    </w:rPr>
  </w:style>
  <w:style w:type="paragraph" w:styleId="af">
    <w:name w:val="No Spacing"/>
    <w:uiPriority w:val="99"/>
    <w:qFormat/>
    <w:rsid w:val="00371BB0"/>
    <w:rPr>
      <w:rFonts w:ascii="Calibri" w:hAnsi="Calibri"/>
      <w:sz w:val="22"/>
      <w:szCs w:val="22"/>
    </w:rPr>
  </w:style>
  <w:style w:type="paragraph" w:styleId="af0">
    <w:name w:val="List Paragraph"/>
    <w:basedOn w:val="a"/>
    <w:uiPriority w:val="99"/>
    <w:qFormat/>
    <w:rsid w:val="00371BB0"/>
    <w:pPr>
      <w:spacing w:after="200" w:line="276" w:lineRule="auto"/>
      <w:ind w:firstLineChars="200" w:firstLine="420"/>
    </w:pPr>
    <w:rPr>
      <w:rFonts w:ascii="Calibri" w:hAnsi="Calibri"/>
      <w:szCs w:val="24"/>
    </w:rPr>
  </w:style>
  <w:style w:type="paragraph" w:customStyle="1" w:styleId="af1">
    <w:name w:val="题目"/>
    <w:basedOn w:val="a"/>
    <w:uiPriority w:val="99"/>
    <w:qFormat/>
    <w:rsid w:val="00371BB0"/>
    <w:pPr>
      <w:suppressAutoHyphens/>
      <w:autoSpaceDE w:val="0"/>
      <w:autoSpaceDN w:val="0"/>
      <w:adjustRightInd w:val="0"/>
      <w:spacing w:line="420" w:lineRule="atLeast"/>
      <w:jc w:val="left"/>
    </w:pPr>
    <w:rPr>
      <w:rFonts w:ascii="Tahoma" w:hAnsi="Tahoma" w:cs="Tahoma"/>
      <w:b/>
      <w:bCs/>
      <w:color w:val="000000"/>
      <w:kern w:val="0"/>
      <w:sz w:val="32"/>
      <w:szCs w:val="32"/>
      <w:lang w:val="zh-CN"/>
    </w:rPr>
  </w:style>
  <w:style w:type="paragraph" w:customStyle="1" w:styleId="af2">
    <w:name w:val="暥專"/>
    <w:basedOn w:val="a"/>
    <w:uiPriority w:val="99"/>
    <w:qFormat/>
    <w:rsid w:val="00371BB0"/>
    <w:pPr>
      <w:autoSpaceDE w:val="0"/>
      <w:autoSpaceDN w:val="0"/>
      <w:adjustRightInd w:val="0"/>
      <w:spacing w:line="230" w:lineRule="atLeast"/>
    </w:pPr>
    <w:rPr>
      <w:rFonts w:eastAsia="宋体 Italic"/>
      <w:color w:val="000000"/>
      <w:spacing w:val="-2"/>
      <w:kern w:val="0"/>
      <w:sz w:val="18"/>
      <w:szCs w:val="18"/>
    </w:rPr>
  </w:style>
  <w:style w:type="paragraph" w:customStyle="1" w:styleId="E-1">
    <w:name w:val="E梫-1"/>
    <w:basedOn w:val="a"/>
    <w:uiPriority w:val="99"/>
    <w:qFormat/>
    <w:rsid w:val="00371BB0"/>
    <w:pPr>
      <w:autoSpaceDE w:val="0"/>
      <w:autoSpaceDN w:val="0"/>
      <w:adjustRightInd w:val="0"/>
      <w:spacing w:line="230" w:lineRule="atLeast"/>
    </w:pPr>
    <w:rPr>
      <w:rFonts w:ascii="Tahoma" w:eastAsia="宋体 Italic" w:hAnsi="Tahoma" w:cs="Tahoma"/>
      <w:color w:val="000000"/>
      <w:spacing w:val="-1"/>
      <w:kern w:val="0"/>
      <w:sz w:val="19"/>
      <w:szCs w:val="19"/>
    </w:rPr>
  </w:style>
  <w:style w:type="paragraph" w:customStyle="1" w:styleId="Revision1">
    <w:name w:val="Revision1"/>
    <w:uiPriority w:val="99"/>
    <w:semiHidden/>
    <w:qFormat/>
    <w:rsid w:val="00371BB0"/>
    <w:pPr>
      <w:spacing w:after="200" w:line="276" w:lineRule="auto"/>
    </w:pPr>
    <w:rPr>
      <w:rFonts w:ascii="Calibri" w:hAnsi="Calibri"/>
      <w:kern w:val="2"/>
      <w:sz w:val="21"/>
      <w:szCs w:val="24"/>
    </w:rPr>
  </w:style>
  <w:style w:type="paragraph" w:customStyle="1" w:styleId="10">
    <w:name w:val="修订1"/>
    <w:uiPriority w:val="99"/>
    <w:semiHidden/>
    <w:qFormat/>
    <w:rsid w:val="00371BB0"/>
    <w:rPr>
      <w:rFonts w:ascii="Calibri" w:hAnsi="Calibri"/>
      <w:kern w:val="2"/>
      <w:sz w:val="21"/>
      <w:szCs w:val="24"/>
    </w:rPr>
  </w:style>
  <w:style w:type="paragraph" w:customStyle="1" w:styleId="11">
    <w:name w:val="正文1"/>
    <w:uiPriority w:val="99"/>
    <w:qFormat/>
    <w:rsid w:val="00371BB0"/>
    <w:pPr>
      <w:spacing w:line="276" w:lineRule="auto"/>
    </w:pPr>
    <w:rPr>
      <w:rFonts w:ascii="Arial" w:hAnsi="Arial" w:cs="Arial"/>
      <w:color w:val="000000"/>
      <w:sz w:val="22"/>
      <w:lang w:val="pl-PL" w:eastAsia="pl-PL"/>
    </w:rPr>
  </w:style>
  <w:style w:type="character" w:styleId="af3">
    <w:name w:val="annotation reference"/>
    <w:uiPriority w:val="99"/>
    <w:unhideWhenUsed/>
    <w:qFormat/>
    <w:rsid w:val="00371BB0"/>
    <w:rPr>
      <w:sz w:val="21"/>
      <w:szCs w:val="21"/>
    </w:rPr>
  </w:style>
  <w:style w:type="character" w:styleId="af4">
    <w:name w:val="page number"/>
    <w:unhideWhenUsed/>
    <w:rsid w:val="00371BB0"/>
    <w:rPr>
      <w:rFonts w:ascii="Times New Roman" w:hAnsi="Times New Roman" w:cs="Times New Roman" w:hint="default"/>
    </w:rPr>
  </w:style>
  <w:style w:type="character" w:customStyle="1" w:styleId="apple-converted-space">
    <w:name w:val="apple-converted-space"/>
    <w:rsid w:val="00371BB0"/>
  </w:style>
  <w:style w:type="character" w:customStyle="1" w:styleId="nobrwithwbr">
    <w:name w:val="nobrwithwbr"/>
    <w:basedOn w:val="a0"/>
    <w:rsid w:val="00371BB0"/>
  </w:style>
  <w:style w:type="character" w:customStyle="1" w:styleId="hps">
    <w:name w:val="hps"/>
    <w:rsid w:val="00371BB0"/>
    <w:rPr>
      <w:rFonts w:ascii="Times New Roman" w:hAnsi="Times New Roman" w:cs="Times New Roman" w:hint="default"/>
    </w:rPr>
  </w:style>
  <w:style w:type="character" w:customStyle="1" w:styleId="fontstyle01">
    <w:name w:val="fontstyle01"/>
    <w:qFormat/>
    <w:rsid w:val="00371BB0"/>
    <w:rPr>
      <w:rFonts w:ascii="Times-Roman" w:eastAsia="Times-Roman" w:hAnsi="Times-Roman" w:cs="Times-Roman" w:hint="default"/>
      <w:color w:val="000000"/>
      <w:sz w:val="18"/>
      <w:szCs w:val="18"/>
    </w:rPr>
  </w:style>
  <w:style w:type="character" w:customStyle="1" w:styleId="fontstyle11">
    <w:name w:val="fontstyle11"/>
    <w:qFormat/>
    <w:rsid w:val="00371BB0"/>
    <w:rPr>
      <w:rFonts w:ascii="AdvP3EAA99" w:eastAsia="AdvP3EAA99" w:hAnsi="AdvP3EAA99" w:cs="AdvP3EAA99" w:hint="default"/>
      <w:color w:val="000000"/>
      <w:sz w:val="18"/>
      <w:szCs w:val="18"/>
    </w:rPr>
  </w:style>
  <w:style w:type="character" w:customStyle="1" w:styleId="fontstyle21">
    <w:name w:val="fontstyle21"/>
    <w:qFormat/>
    <w:rsid w:val="00371BB0"/>
    <w:rPr>
      <w:rFonts w:ascii="AdvP3EAA99" w:eastAsia="AdvP3EAA99" w:hAnsi="AdvP3EAA99" w:cs="AdvP3EAA99" w:hint="default"/>
      <w:color w:val="000000"/>
      <w:sz w:val="18"/>
      <w:szCs w:val="18"/>
    </w:rPr>
  </w:style>
  <w:style w:type="character" w:customStyle="1" w:styleId="fontstyle31">
    <w:name w:val="fontstyle31"/>
    <w:qFormat/>
    <w:rsid w:val="00371BB0"/>
    <w:rPr>
      <w:rFonts w:ascii="Times New Roman" w:hAnsi="Times New Roman" w:cs="Times New Roman" w:hint="default"/>
      <w:b/>
      <w:bCs w:val="0"/>
      <w:color w:val="000000"/>
      <w:sz w:val="24"/>
      <w:szCs w:val="24"/>
    </w:rPr>
  </w:style>
  <w:style w:type="character" w:customStyle="1" w:styleId="12">
    <w:name w:val="未处理的提及1"/>
    <w:uiPriority w:val="99"/>
    <w:semiHidden/>
    <w:rsid w:val="00371BB0"/>
    <w:rPr>
      <w:color w:val="605E5C"/>
      <w:shd w:val="clear" w:color="auto" w:fill="E1DFDD"/>
    </w:rPr>
  </w:style>
  <w:style w:type="character" w:customStyle="1" w:styleId="highlight">
    <w:name w:val="highlight"/>
    <w:rsid w:val="00371BB0"/>
  </w:style>
  <w:style w:type="table" w:styleId="af5">
    <w:name w:val="Table Grid"/>
    <w:basedOn w:val="a1"/>
    <w:uiPriority w:val="39"/>
    <w:rsid w:val="00371B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Body Text" w:uiPriority="99" w:qFormat="1"/>
    <w:lsdException w:name="Subtitle" w:qFormat="1"/>
    <w:lsdException w:name="Date" w:uiPriority="99" w:qFormat="1"/>
    <w:lsdException w:name="Hyperlink" w:qFormat="1"/>
    <w:lsdException w:name="FollowedHyperlink" w:qFormat="1"/>
    <w:lsdException w:name="Strong" w:qFormat="1"/>
    <w:lsdException w:name="Emphasis" w:qFormat="1"/>
    <w:lsdException w:name="Plain Text" w:uiPriority="99" w:qFormat="1"/>
    <w:lsdException w:name="Normal (Web)" w:uiPriority="99" w:qFormat="1"/>
    <w:lsdException w:name="annotation subject" w:uiPriority="99" w:qFormat="1"/>
    <w:lsdException w:name="No List" w:uiPriority="99"/>
    <w:lsdException w:name="Balloon Text" w:uiPriority="99" w:qFormat="1"/>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BB0"/>
    <w:pPr>
      <w:widowControl w:val="0"/>
      <w:jc w:val="both"/>
    </w:pPr>
    <w:rPr>
      <w:kern w:val="2"/>
      <w:sz w:val="21"/>
    </w:rPr>
  </w:style>
  <w:style w:type="paragraph" w:styleId="1">
    <w:name w:val="heading 1"/>
    <w:basedOn w:val="a"/>
    <w:next w:val="a"/>
    <w:link w:val="1Char"/>
    <w:qFormat/>
    <w:rsid w:val="00371BB0"/>
    <w:pPr>
      <w:keepNext/>
      <w:framePr w:hSpace="180" w:wrap="around" w:vAnchor="page" w:hAnchor="margin" w:y="1753"/>
      <w:spacing w:line="360" w:lineRule="auto"/>
      <w:outlineLvl w:val="0"/>
    </w:pPr>
    <w:rPr>
      <w:b/>
      <w:bCs/>
      <w:kern w:val="44"/>
      <w:sz w:val="44"/>
      <w:szCs w:val="44"/>
    </w:rPr>
  </w:style>
  <w:style w:type="paragraph" w:styleId="2">
    <w:name w:val="heading 2"/>
    <w:basedOn w:val="a"/>
    <w:next w:val="a"/>
    <w:link w:val="2Char"/>
    <w:semiHidden/>
    <w:unhideWhenUsed/>
    <w:qFormat/>
    <w:rsid w:val="00371BB0"/>
    <w:pPr>
      <w:spacing w:before="100" w:beforeAutospacing="1" w:after="100" w:afterAutospacing="1" w:line="276" w:lineRule="auto"/>
      <w:jc w:val="left"/>
      <w:outlineLvl w:val="1"/>
    </w:pPr>
    <w:rPr>
      <w:rFonts w:ascii="宋体" w:hAnsi="宋体" w:cs="宋体"/>
      <w:b/>
      <w:kern w:val="0"/>
      <w:sz w:val="36"/>
      <w:szCs w:val="36"/>
    </w:rPr>
  </w:style>
  <w:style w:type="paragraph" w:styleId="3">
    <w:name w:val="heading 3"/>
    <w:basedOn w:val="a"/>
    <w:next w:val="a"/>
    <w:link w:val="3Char"/>
    <w:semiHidden/>
    <w:unhideWhenUsed/>
    <w:qFormat/>
    <w:rsid w:val="00371BB0"/>
    <w:pPr>
      <w:keepNext/>
      <w:outlineLvl w:val="2"/>
    </w:pPr>
    <w:rPr>
      <w:b/>
      <w:bCs/>
      <w:kern w:val="0"/>
      <w:sz w:val="32"/>
      <w:szCs w:val="32"/>
    </w:rPr>
  </w:style>
  <w:style w:type="paragraph" w:styleId="4">
    <w:name w:val="heading 4"/>
    <w:basedOn w:val="a"/>
    <w:next w:val="a"/>
    <w:link w:val="4Char"/>
    <w:semiHidden/>
    <w:unhideWhenUsed/>
    <w:qFormat/>
    <w:rsid w:val="00371BB0"/>
    <w:pPr>
      <w:spacing w:before="100" w:beforeAutospacing="1" w:after="100" w:afterAutospacing="1" w:line="276" w:lineRule="auto"/>
      <w:jc w:val="left"/>
      <w:outlineLvl w:val="3"/>
    </w:pPr>
    <w:rPr>
      <w:rFonts w:ascii="宋体" w:hAnsi="宋体" w:cs="宋体"/>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71BB0"/>
    <w:rPr>
      <w:b/>
      <w:bCs/>
      <w:kern w:val="44"/>
      <w:sz w:val="44"/>
      <w:szCs w:val="44"/>
    </w:rPr>
  </w:style>
  <w:style w:type="character" w:customStyle="1" w:styleId="2Char">
    <w:name w:val="标题 2 Char"/>
    <w:basedOn w:val="a0"/>
    <w:link w:val="2"/>
    <w:semiHidden/>
    <w:rsid w:val="00371BB0"/>
    <w:rPr>
      <w:rFonts w:ascii="宋体" w:hAnsi="宋体" w:cs="宋体"/>
      <w:b/>
      <w:sz w:val="36"/>
      <w:szCs w:val="36"/>
    </w:rPr>
  </w:style>
  <w:style w:type="character" w:customStyle="1" w:styleId="3Char">
    <w:name w:val="标题 3 Char"/>
    <w:basedOn w:val="a0"/>
    <w:link w:val="3"/>
    <w:semiHidden/>
    <w:rsid w:val="00371BB0"/>
    <w:rPr>
      <w:b/>
      <w:bCs/>
      <w:sz w:val="32"/>
      <w:szCs w:val="32"/>
    </w:rPr>
  </w:style>
  <w:style w:type="character" w:customStyle="1" w:styleId="4Char">
    <w:name w:val="标题 4 Char"/>
    <w:basedOn w:val="a0"/>
    <w:link w:val="4"/>
    <w:semiHidden/>
    <w:rsid w:val="00371BB0"/>
    <w:rPr>
      <w:rFonts w:ascii="宋体" w:hAnsi="宋体" w:cs="宋体"/>
      <w:b/>
      <w:sz w:val="24"/>
      <w:szCs w:val="24"/>
    </w:rPr>
  </w:style>
  <w:style w:type="character" w:styleId="a3">
    <w:name w:val="Hyperlink"/>
    <w:unhideWhenUsed/>
    <w:qFormat/>
    <w:rsid w:val="00371BB0"/>
    <w:rPr>
      <w:rFonts w:ascii="Times New Roman" w:hAnsi="Times New Roman" w:cs="Times New Roman" w:hint="default"/>
      <w:color w:val="0000FF"/>
      <w:u w:val="single"/>
    </w:rPr>
  </w:style>
  <w:style w:type="character" w:styleId="a4">
    <w:name w:val="FollowedHyperlink"/>
    <w:unhideWhenUsed/>
    <w:qFormat/>
    <w:rsid w:val="00371BB0"/>
    <w:rPr>
      <w:color w:val="800080"/>
      <w:u w:val="single"/>
    </w:rPr>
  </w:style>
  <w:style w:type="character" w:styleId="a5">
    <w:name w:val="Strong"/>
    <w:qFormat/>
    <w:rsid w:val="00371BB0"/>
    <w:rPr>
      <w:rFonts w:ascii="Times New Roman" w:hAnsi="Times New Roman" w:cs="Times New Roman" w:hint="default"/>
      <w:b/>
      <w:bCs w:val="0"/>
    </w:rPr>
  </w:style>
  <w:style w:type="paragraph" w:styleId="a6">
    <w:name w:val="Normal (Web)"/>
    <w:basedOn w:val="a"/>
    <w:uiPriority w:val="99"/>
    <w:unhideWhenUsed/>
    <w:qFormat/>
    <w:rsid w:val="00371BB0"/>
    <w:pPr>
      <w:widowControl/>
      <w:spacing w:before="100" w:beforeAutospacing="1" w:after="100" w:afterAutospacing="1"/>
      <w:jc w:val="left"/>
    </w:pPr>
    <w:rPr>
      <w:rFonts w:eastAsia="Times New Roman"/>
      <w:kern w:val="0"/>
      <w:sz w:val="24"/>
      <w:szCs w:val="24"/>
    </w:rPr>
  </w:style>
  <w:style w:type="paragraph" w:styleId="a7">
    <w:name w:val="annotation text"/>
    <w:basedOn w:val="a"/>
    <w:link w:val="Char"/>
    <w:uiPriority w:val="99"/>
    <w:unhideWhenUsed/>
    <w:qFormat/>
    <w:rsid w:val="00371BB0"/>
    <w:pPr>
      <w:jc w:val="left"/>
    </w:pPr>
  </w:style>
  <w:style w:type="character" w:customStyle="1" w:styleId="Char">
    <w:name w:val="批注文字 Char"/>
    <w:basedOn w:val="a0"/>
    <w:link w:val="a7"/>
    <w:uiPriority w:val="99"/>
    <w:qFormat/>
    <w:rsid w:val="00371BB0"/>
    <w:rPr>
      <w:kern w:val="2"/>
      <w:sz w:val="21"/>
    </w:rPr>
  </w:style>
  <w:style w:type="paragraph" w:styleId="a8">
    <w:name w:val="header"/>
    <w:basedOn w:val="a"/>
    <w:link w:val="Char0"/>
    <w:uiPriority w:val="99"/>
    <w:unhideWhenUsed/>
    <w:qFormat/>
    <w:rsid w:val="00371BB0"/>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8"/>
    <w:uiPriority w:val="99"/>
    <w:rsid w:val="00371BB0"/>
    <w:rPr>
      <w:sz w:val="18"/>
      <w:szCs w:val="18"/>
    </w:rPr>
  </w:style>
  <w:style w:type="paragraph" w:styleId="a9">
    <w:name w:val="footer"/>
    <w:basedOn w:val="a"/>
    <w:link w:val="Char1"/>
    <w:uiPriority w:val="99"/>
    <w:unhideWhenUsed/>
    <w:qFormat/>
    <w:rsid w:val="00371BB0"/>
    <w:pPr>
      <w:tabs>
        <w:tab w:val="center" w:pos="4153"/>
        <w:tab w:val="right" w:pos="8306"/>
      </w:tabs>
      <w:snapToGrid w:val="0"/>
      <w:jc w:val="left"/>
    </w:pPr>
    <w:rPr>
      <w:kern w:val="0"/>
      <w:sz w:val="18"/>
      <w:szCs w:val="18"/>
    </w:rPr>
  </w:style>
  <w:style w:type="character" w:customStyle="1" w:styleId="Char1">
    <w:name w:val="页脚 Char"/>
    <w:basedOn w:val="a0"/>
    <w:link w:val="a9"/>
    <w:uiPriority w:val="99"/>
    <w:rsid w:val="00371BB0"/>
    <w:rPr>
      <w:sz w:val="18"/>
      <w:szCs w:val="18"/>
    </w:rPr>
  </w:style>
  <w:style w:type="paragraph" w:styleId="aa">
    <w:name w:val="Body Text"/>
    <w:basedOn w:val="a"/>
    <w:link w:val="Char2"/>
    <w:uiPriority w:val="99"/>
    <w:unhideWhenUsed/>
    <w:qFormat/>
    <w:rsid w:val="00371BB0"/>
    <w:rPr>
      <w:kern w:val="0"/>
      <w:sz w:val="20"/>
    </w:rPr>
  </w:style>
  <w:style w:type="character" w:customStyle="1" w:styleId="Char2">
    <w:name w:val="正文文本 Char"/>
    <w:basedOn w:val="a0"/>
    <w:link w:val="aa"/>
    <w:uiPriority w:val="99"/>
    <w:rsid w:val="00371BB0"/>
  </w:style>
  <w:style w:type="paragraph" w:styleId="ab">
    <w:name w:val="Date"/>
    <w:basedOn w:val="a"/>
    <w:next w:val="a"/>
    <w:link w:val="Char3"/>
    <w:uiPriority w:val="99"/>
    <w:unhideWhenUsed/>
    <w:qFormat/>
    <w:rsid w:val="00371BB0"/>
    <w:pPr>
      <w:ind w:leftChars="2500" w:left="100"/>
    </w:pPr>
    <w:rPr>
      <w:kern w:val="0"/>
      <w:sz w:val="20"/>
    </w:rPr>
  </w:style>
  <w:style w:type="character" w:customStyle="1" w:styleId="Char3">
    <w:name w:val="日期 Char"/>
    <w:basedOn w:val="a0"/>
    <w:link w:val="ab"/>
    <w:uiPriority w:val="99"/>
    <w:rsid w:val="00371BB0"/>
  </w:style>
  <w:style w:type="paragraph" w:styleId="ac">
    <w:name w:val="Plain Text"/>
    <w:basedOn w:val="a"/>
    <w:link w:val="Char4"/>
    <w:uiPriority w:val="99"/>
    <w:unhideWhenUsed/>
    <w:qFormat/>
    <w:rsid w:val="00371BB0"/>
    <w:rPr>
      <w:rFonts w:ascii="宋体" w:hAnsi="Courier New"/>
      <w:kern w:val="0"/>
      <w:sz w:val="20"/>
      <w:szCs w:val="21"/>
    </w:rPr>
  </w:style>
  <w:style w:type="character" w:customStyle="1" w:styleId="Char4">
    <w:name w:val="纯文本 Char"/>
    <w:basedOn w:val="a0"/>
    <w:link w:val="ac"/>
    <w:uiPriority w:val="99"/>
    <w:rsid w:val="00371BB0"/>
    <w:rPr>
      <w:rFonts w:ascii="宋体" w:hAnsi="Courier New"/>
      <w:szCs w:val="21"/>
    </w:rPr>
  </w:style>
  <w:style w:type="paragraph" w:styleId="ad">
    <w:name w:val="annotation subject"/>
    <w:basedOn w:val="a7"/>
    <w:next w:val="a7"/>
    <w:link w:val="Char5"/>
    <w:uiPriority w:val="99"/>
    <w:unhideWhenUsed/>
    <w:qFormat/>
    <w:rsid w:val="00371BB0"/>
    <w:rPr>
      <w:b/>
      <w:bCs/>
    </w:rPr>
  </w:style>
  <w:style w:type="character" w:customStyle="1" w:styleId="Char5">
    <w:name w:val="批注主题 Char"/>
    <w:basedOn w:val="Char"/>
    <w:link w:val="ad"/>
    <w:uiPriority w:val="99"/>
    <w:qFormat/>
    <w:rsid w:val="00371BB0"/>
    <w:rPr>
      <w:b/>
      <w:bCs/>
      <w:kern w:val="2"/>
      <w:sz w:val="21"/>
    </w:rPr>
  </w:style>
  <w:style w:type="paragraph" w:styleId="ae">
    <w:name w:val="Balloon Text"/>
    <w:basedOn w:val="a"/>
    <w:link w:val="Char6"/>
    <w:uiPriority w:val="99"/>
    <w:unhideWhenUsed/>
    <w:qFormat/>
    <w:rsid w:val="00371BB0"/>
    <w:rPr>
      <w:kern w:val="0"/>
      <w:sz w:val="2"/>
    </w:rPr>
  </w:style>
  <w:style w:type="character" w:customStyle="1" w:styleId="Char6">
    <w:name w:val="批注框文本 Char"/>
    <w:basedOn w:val="a0"/>
    <w:link w:val="ae"/>
    <w:uiPriority w:val="99"/>
    <w:qFormat/>
    <w:rsid w:val="00371BB0"/>
    <w:rPr>
      <w:sz w:val="2"/>
    </w:rPr>
  </w:style>
  <w:style w:type="paragraph" w:styleId="af">
    <w:name w:val="No Spacing"/>
    <w:uiPriority w:val="99"/>
    <w:qFormat/>
    <w:rsid w:val="00371BB0"/>
    <w:rPr>
      <w:rFonts w:ascii="Calibri" w:hAnsi="Calibri"/>
      <w:sz w:val="22"/>
      <w:szCs w:val="22"/>
    </w:rPr>
  </w:style>
  <w:style w:type="paragraph" w:styleId="af0">
    <w:name w:val="List Paragraph"/>
    <w:basedOn w:val="a"/>
    <w:uiPriority w:val="99"/>
    <w:qFormat/>
    <w:rsid w:val="00371BB0"/>
    <w:pPr>
      <w:spacing w:after="200" w:line="276" w:lineRule="auto"/>
      <w:ind w:firstLineChars="200" w:firstLine="420"/>
    </w:pPr>
    <w:rPr>
      <w:rFonts w:ascii="Calibri" w:hAnsi="Calibri"/>
      <w:szCs w:val="24"/>
    </w:rPr>
  </w:style>
  <w:style w:type="paragraph" w:customStyle="1" w:styleId="af1">
    <w:name w:val="题目"/>
    <w:basedOn w:val="a"/>
    <w:uiPriority w:val="99"/>
    <w:qFormat/>
    <w:rsid w:val="00371BB0"/>
    <w:pPr>
      <w:suppressAutoHyphens/>
      <w:autoSpaceDE w:val="0"/>
      <w:autoSpaceDN w:val="0"/>
      <w:adjustRightInd w:val="0"/>
      <w:spacing w:line="420" w:lineRule="atLeast"/>
      <w:jc w:val="left"/>
    </w:pPr>
    <w:rPr>
      <w:rFonts w:ascii="Tahoma" w:hAnsi="Tahoma" w:cs="Tahoma"/>
      <w:b/>
      <w:bCs/>
      <w:color w:val="000000"/>
      <w:kern w:val="0"/>
      <w:sz w:val="32"/>
      <w:szCs w:val="32"/>
      <w:lang w:val="zh-CN"/>
    </w:rPr>
  </w:style>
  <w:style w:type="paragraph" w:customStyle="1" w:styleId="af2">
    <w:name w:val="暥專"/>
    <w:basedOn w:val="a"/>
    <w:uiPriority w:val="99"/>
    <w:qFormat/>
    <w:rsid w:val="00371BB0"/>
    <w:pPr>
      <w:autoSpaceDE w:val="0"/>
      <w:autoSpaceDN w:val="0"/>
      <w:adjustRightInd w:val="0"/>
      <w:spacing w:line="230" w:lineRule="atLeast"/>
    </w:pPr>
    <w:rPr>
      <w:rFonts w:eastAsia="宋体 Italic"/>
      <w:color w:val="000000"/>
      <w:spacing w:val="-2"/>
      <w:kern w:val="0"/>
      <w:sz w:val="18"/>
      <w:szCs w:val="18"/>
    </w:rPr>
  </w:style>
  <w:style w:type="paragraph" w:customStyle="1" w:styleId="E-1">
    <w:name w:val="E梫-1"/>
    <w:basedOn w:val="a"/>
    <w:uiPriority w:val="99"/>
    <w:qFormat/>
    <w:rsid w:val="00371BB0"/>
    <w:pPr>
      <w:autoSpaceDE w:val="0"/>
      <w:autoSpaceDN w:val="0"/>
      <w:adjustRightInd w:val="0"/>
      <w:spacing w:line="230" w:lineRule="atLeast"/>
    </w:pPr>
    <w:rPr>
      <w:rFonts w:ascii="Tahoma" w:eastAsia="宋体 Italic" w:hAnsi="Tahoma" w:cs="Tahoma"/>
      <w:color w:val="000000"/>
      <w:spacing w:val="-1"/>
      <w:kern w:val="0"/>
      <w:sz w:val="19"/>
      <w:szCs w:val="19"/>
    </w:rPr>
  </w:style>
  <w:style w:type="paragraph" w:customStyle="1" w:styleId="Revision1">
    <w:name w:val="Revision1"/>
    <w:uiPriority w:val="99"/>
    <w:semiHidden/>
    <w:qFormat/>
    <w:rsid w:val="00371BB0"/>
    <w:pPr>
      <w:spacing w:after="200" w:line="276" w:lineRule="auto"/>
    </w:pPr>
    <w:rPr>
      <w:rFonts w:ascii="Calibri" w:hAnsi="Calibri"/>
      <w:kern w:val="2"/>
      <w:sz w:val="21"/>
      <w:szCs w:val="24"/>
    </w:rPr>
  </w:style>
  <w:style w:type="paragraph" w:customStyle="1" w:styleId="10">
    <w:name w:val="修订1"/>
    <w:uiPriority w:val="99"/>
    <w:semiHidden/>
    <w:qFormat/>
    <w:rsid w:val="00371BB0"/>
    <w:rPr>
      <w:rFonts w:ascii="Calibri" w:hAnsi="Calibri"/>
      <w:kern w:val="2"/>
      <w:sz w:val="21"/>
      <w:szCs w:val="24"/>
    </w:rPr>
  </w:style>
  <w:style w:type="paragraph" w:customStyle="1" w:styleId="11">
    <w:name w:val="正文1"/>
    <w:uiPriority w:val="99"/>
    <w:qFormat/>
    <w:rsid w:val="00371BB0"/>
    <w:pPr>
      <w:spacing w:line="276" w:lineRule="auto"/>
    </w:pPr>
    <w:rPr>
      <w:rFonts w:ascii="Arial" w:hAnsi="Arial" w:cs="Arial"/>
      <w:color w:val="000000"/>
      <w:sz w:val="22"/>
      <w:lang w:val="pl-PL" w:eastAsia="pl-PL"/>
    </w:rPr>
  </w:style>
  <w:style w:type="character" w:styleId="af3">
    <w:name w:val="annotation reference"/>
    <w:uiPriority w:val="99"/>
    <w:unhideWhenUsed/>
    <w:qFormat/>
    <w:rsid w:val="00371BB0"/>
    <w:rPr>
      <w:sz w:val="21"/>
      <w:szCs w:val="21"/>
    </w:rPr>
  </w:style>
  <w:style w:type="character" w:styleId="af4">
    <w:name w:val="page number"/>
    <w:unhideWhenUsed/>
    <w:rsid w:val="00371BB0"/>
    <w:rPr>
      <w:rFonts w:ascii="Times New Roman" w:hAnsi="Times New Roman" w:cs="Times New Roman" w:hint="default"/>
    </w:rPr>
  </w:style>
  <w:style w:type="character" w:customStyle="1" w:styleId="apple-converted-space">
    <w:name w:val="apple-converted-space"/>
    <w:rsid w:val="00371BB0"/>
  </w:style>
  <w:style w:type="character" w:customStyle="1" w:styleId="nobrwithwbr">
    <w:name w:val="nobrwithwbr"/>
    <w:basedOn w:val="a0"/>
    <w:rsid w:val="00371BB0"/>
  </w:style>
  <w:style w:type="character" w:customStyle="1" w:styleId="hps">
    <w:name w:val="hps"/>
    <w:rsid w:val="00371BB0"/>
    <w:rPr>
      <w:rFonts w:ascii="Times New Roman" w:hAnsi="Times New Roman" w:cs="Times New Roman" w:hint="default"/>
    </w:rPr>
  </w:style>
  <w:style w:type="character" w:customStyle="1" w:styleId="fontstyle01">
    <w:name w:val="fontstyle01"/>
    <w:qFormat/>
    <w:rsid w:val="00371BB0"/>
    <w:rPr>
      <w:rFonts w:ascii="Times-Roman" w:eastAsia="Times-Roman" w:hAnsi="Times-Roman" w:cs="Times-Roman" w:hint="default"/>
      <w:color w:val="000000"/>
      <w:sz w:val="18"/>
      <w:szCs w:val="18"/>
    </w:rPr>
  </w:style>
  <w:style w:type="character" w:customStyle="1" w:styleId="fontstyle11">
    <w:name w:val="fontstyle11"/>
    <w:qFormat/>
    <w:rsid w:val="00371BB0"/>
    <w:rPr>
      <w:rFonts w:ascii="AdvP3EAA99" w:eastAsia="AdvP3EAA99" w:hAnsi="AdvP3EAA99" w:cs="AdvP3EAA99" w:hint="default"/>
      <w:color w:val="000000"/>
      <w:sz w:val="18"/>
      <w:szCs w:val="18"/>
    </w:rPr>
  </w:style>
  <w:style w:type="character" w:customStyle="1" w:styleId="fontstyle21">
    <w:name w:val="fontstyle21"/>
    <w:qFormat/>
    <w:rsid w:val="00371BB0"/>
    <w:rPr>
      <w:rFonts w:ascii="AdvP3EAA99" w:eastAsia="AdvP3EAA99" w:hAnsi="AdvP3EAA99" w:cs="AdvP3EAA99" w:hint="default"/>
      <w:color w:val="000000"/>
      <w:sz w:val="18"/>
      <w:szCs w:val="18"/>
    </w:rPr>
  </w:style>
  <w:style w:type="character" w:customStyle="1" w:styleId="fontstyle31">
    <w:name w:val="fontstyle31"/>
    <w:qFormat/>
    <w:rsid w:val="00371BB0"/>
    <w:rPr>
      <w:rFonts w:ascii="Times New Roman" w:hAnsi="Times New Roman" w:cs="Times New Roman" w:hint="default"/>
      <w:b/>
      <w:bCs w:val="0"/>
      <w:color w:val="000000"/>
      <w:sz w:val="24"/>
      <w:szCs w:val="24"/>
    </w:rPr>
  </w:style>
  <w:style w:type="character" w:customStyle="1" w:styleId="12">
    <w:name w:val="未处理的提及1"/>
    <w:uiPriority w:val="99"/>
    <w:semiHidden/>
    <w:rsid w:val="00371BB0"/>
    <w:rPr>
      <w:color w:val="605E5C"/>
      <w:shd w:val="clear" w:color="auto" w:fill="E1DFDD"/>
    </w:rPr>
  </w:style>
  <w:style w:type="character" w:customStyle="1" w:styleId="highlight">
    <w:name w:val="highlight"/>
    <w:rsid w:val="00371BB0"/>
  </w:style>
  <w:style w:type="table" w:styleId="af5">
    <w:name w:val="Table Grid"/>
    <w:basedOn w:val="a1"/>
    <w:uiPriority w:val="39"/>
    <w:rsid w:val="00371B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12602</Words>
  <Characters>71837</Characters>
  <Application>Microsoft Office Word</Application>
  <DocSecurity>0</DocSecurity>
  <Lines>598</Lines>
  <Paragraphs>168</Paragraphs>
  <ScaleCrop>false</ScaleCrop>
  <Company>Hewlett-Packard Company</Company>
  <LinksUpToDate>false</LinksUpToDate>
  <CharactersWithSpaces>84271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Shuai Ma</dc:creator>
  <cp:lastModifiedBy>Shuai Ma</cp:lastModifiedBy>
  <cp:revision>2</cp:revision>
  <dcterms:created xsi:type="dcterms:W3CDTF">2018-12-21T08:38:00Z</dcterms:created>
  <dcterms:modified xsi:type="dcterms:W3CDTF">2018-12-21T08:39:00Z</dcterms:modified>
</cp:coreProperties>
</file>