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6A9CE" w14:textId="15EAFBA6" w:rsidR="00025BAB" w:rsidRPr="00A624C2" w:rsidRDefault="00025BAB" w:rsidP="0028587F">
      <w:pPr>
        <w:spacing w:after="0" w:line="360" w:lineRule="auto"/>
        <w:jc w:val="both"/>
        <w:outlineLvl w:val="0"/>
        <w:rPr>
          <w:rFonts w:ascii="Book Antiqua" w:eastAsia="Arial Unicode MS" w:hAnsi="Book Antiqua"/>
          <w:b/>
          <w:color w:val="000000"/>
          <w:sz w:val="24"/>
          <w:szCs w:val="24"/>
          <w:u w:color="000000"/>
          <w:lang w:eastAsia="zh-CN"/>
        </w:rPr>
      </w:pPr>
      <w:r w:rsidRPr="00A624C2">
        <w:rPr>
          <w:rFonts w:ascii="Book Antiqua" w:eastAsia="Arial Unicode MS" w:hAnsi="Book Antiqua"/>
          <w:b/>
          <w:color w:val="000000"/>
          <w:sz w:val="24"/>
          <w:szCs w:val="24"/>
          <w:u w:color="000000"/>
          <w:lang w:eastAsia="zh-CN"/>
        </w:rPr>
        <w:t xml:space="preserve">Name of Journal: </w:t>
      </w:r>
      <w:r w:rsidRPr="00A624C2">
        <w:rPr>
          <w:rFonts w:ascii="Book Antiqua" w:hAnsi="Book Antiqua" w:cs="Times"/>
          <w:b/>
          <w:i/>
          <w:sz w:val="24"/>
          <w:szCs w:val="24"/>
          <w:lang w:val="es-ES"/>
        </w:rPr>
        <w:t>World Journal of Gastroenterology</w:t>
      </w:r>
    </w:p>
    <w:p w14:paraId="039CF7EA" w14:textId="0254CAE5" w:rsidR="00025BAB" w:rsidRPr="00A624C2" w:rsidRDefault="00025BAB" w:rsidP="0028587F">
      <w:pPr>
        <w:spacing w:after="0" w:line="360" w:lineRule="auto"/>
        <w:jc w:val="both"/>
        <w:outlineLvl w:val="0"/>
        <w:rPr>
          <w:rFonts w:ascii="Book Antiqua" w:eastAsia="Arial Unicode MS" w:hAnsi="Book Antiqua"/>
          <w:b/>
          <w:color w:val="000000"/>
          <w:sz w:val="24"/>
          <w:szCs w:val="24"/>
          <w:u w:color="000000"/>
          <w:lang w:eastAsia="zh-CN"/>
        </w:rPr>
      </w:pPr>
      <w:r w:rsidRPr="00A624C2">
        <w:rPr>
          <w:rFonts w:ascii="Book Antiqua" w:eastAsia="Arial Unicode MS" w:hAnsi="Book Antiqua"/>
          <w:b/>
          <w:color w:val="000000"/>
          <w:sz w:val="24"/>
          <w:szCs w:val="24"/>
          <w:u w:color="000000"/>
          <w:lang w:eastAsia="zh-CN"/>
        </w:rPr>
        <w:t>Manuscript NO: 43431</w:t>
      </w:r>
    </w:p>
    <w:p w14:paraId="37DF88B3" w14:textId="4C842264" w:rsidR="00025BAB" w:rsidRPr="00A624C2" w:rsidRDefault="00025BAB" w:rsidP="0028587F">
      <w:pPr>
        <w:spacing w:after="0" w:line="360" w:lineRule="auto"/>
        <w:jc w:val="both"/>
        <w:outlineLvl w:val="0"/>
        <w:rPr>
          <w:rFonts w:ascii="Book Antiqua" w:eastAsia="Arial Unicode MS" w:hAnsi="Book Antiqua"/>
          <w:b/>
          <w:i/>
          <w:color w:val="000000"/>
          <w:sz w:val="24"/>
          <w:szCs w:val="24"/>
          <w:u w:color="000000"/>
          <w:lang w:eastAsia="zh-CN"/>
        </w:rPr>
      </w:pPr>
      <w:bookmarkStart w:id="0" w:name="OLE_LINK3"/>
      <w:bookmarkStart w:id="1" w:name="OLE_LINK4"/>
      <w:r w:rsidRPr="00A624C2">
        <w:rPr>
          <w:rFonts w:ascii="Book Antiqua" w:hAnsi="Book Antiqua"/>
          <w:b/>
          <w:color w:val="000000"/>
          <w:sz w:val="24"/>
          <w:szCs w:val="24"/>
          <w:shd w:val="clear" w:color="auto" w:fill="FFFFFF"/>
        </w:rPr>
        <w:t>Manuscript Type</w:t>
      </w:r>
      <w:bookmarkEnd w:id="0"/>
      <w:bookmarkEnd w:id="1"/>
      <w:r w:rsidRPr="00A624C2">
        <w:rPr>
          <w:rFonts w:ascii="Book Antiqua" w:eastAsia="Arial Unicode MS" w:hAnsi="Book Antiqua"/>
          <w:b/>
          <w:color w:val="000000"/>
          <w:sz w:val="24"/>
          <w:szCs w:val="24"/>
          <w:u w:color="000000"/>
          <w:lang w:eastAsia="zh-CN"/>
        </w:rPr>
        <w:t>: ORIGINAL ARTICLE</w:t>
      </w:r>
    </w:p>
    <w:p w14:paraId="61E03767" w14:textId="77777777" w:rsidR="00025BAB" w:rsidRPr="00A624C2" w:rsidRDefault="00025BAB" w:rsidP="0028587F">
      <w:pPr>
        <w:widowControl w:val="0"/>
        <w:autoSpaceDE w:val="0"/>
        <w:autoSpaceDN w:val="0"/>
        <w:adjustRightInd w:val="0"/>
        <w:spacing w:after="0" w:line="360" w:lineRule="auto"/>
        <w:jc w:val="both"/>
        <w:rPr>
          <w:rFonts w:ascii="Book Antiqua" w:eastAsia="宋体" w:hAnsi="Book Antiqua" w:cs="Times"/>
          <w:sz w:val="24"/>
          <w:szCs w:val="24"/>
          <w:lang w:val="es-ES" w:eastAsia="zh-CN"/>
        </w:rPr>
      </w:pPr>
    </w:p>
    <w:p w14:paraId="5085112C" w14:textId="4775A245" w:rsidR="008E7712" w:rsidRPr="00A624C2" w:rsidRDefault="00025BAB" w:rsidP="0028587F">
      <w:pPr>
        <w:widowControl w:val="0"/>
        <w:autoSpaceDE w:val="0"/>
        <w:autoSpaceDN w:val="0"/>
        <w:adjustRightInd w:val="0"/>
        <w:spacing w:after="0" w:line="360" w:lineRule="auto"/>
        <w:jc w:val="both"/>
        <w:rPr>
          <w:rFonts w:ascii="Book Antiqua" w:eastAsia="宋体" w:hAnsi="Book Antiqua" w:cs="Times"/>
          <w:b/>
          <w:i/>
          <w:sz w:val="24"/>
          <w:szCs w:val="24"/>
          <w:lang w:val="es-ES" w:eastAsia="zh-CN"/>
        </w:rPr>
      </w:pPr>
      <w:r w:rsidRPr="00A624C2">
        <w:rPr>
          <w:rFonts w:ascii="Book Antiqua" w:eastAsia="Arial Unicode MS" w:hAnsi="Book Antiqua"/>
          <w:b/>
          <w:i/>
          <w:color w:val="000000"/>
          <w:sz w:val="24"/>
          <w:szCs w:val="24"/>
          <w:u w:color="000000"/>
          <w:lang w:eastAsia="zh-CN"/>
        </w:rPr>
        <w:t>Prospective Study</w:t>
      </w:r>
    </w:p>
    <w:p w14:paraId="6527F86E" w14:textId="1E110973" w:rsidR="00081837" w:rsidRPr="00A624C2" w:rsidRDefault="00081837" w:rsidP="0028587F">
      <w:pPr>
        <w:spacing w:after="0" w:line="360" w:lineRule="auto"/>
        <w:jc w:val="both"/>
        <w:rPr>
          <w:rFonts w:ascii="Book Antiqua" w:hAnsi="Book Antiqua"/>
          <w:b/>
          <w:sz w:val="24"/>
          <w:szCs w:val="24"/>
          <w:lang w:val="en-US"/>
        </w:rPr>
      </w:pPr>
      <w:r w:rsidRPr="00A624C2">
        <w:rPr>
          <w:rFonts w:ascii="Book Antiqua" w:hAnsi="Book Antiqua"/>
          <w:b/>
          <w:sz w:val="24"/>
          <w:szCs w:val="24"/>
        </w:rPr>
        <w:t xml:space="preserve">Endoscopic response to </w:t>
      </w:r>
      <w:r w:rsidR="00725BC4" w:rsidRPr="00A624C2">
        <w:rPr>
          <w:rFonts w:ascii="Book Antiqua" w:hAnsi="Book Antiqua"/>
          <w:b/>
          <w:sz w:val="24"/>
          <w:szCs w:val="24"/>
          <w:lang w:val="en-US"/>
        </w:rPr>
        <w:t>tumor necrosis factor</w:t>
      </w:r>
      <w:r w:rsidR="00725BC4" w:rsidRPr="00A624C2">
        <w:rPr>
          <w:rFonts w:ascii="Book Antiqua" w:eastAsia="宋体" w:hAnsi="Book Antiqua"/>
          <w:b/>
          <w:sz w:val="24"/>
          <w:szCs w:val="24"/>
          <w:lang w:val="en-US" w:eastAsia="zh-CN"/>
        </w:rPr>
        <w:t xml:space="preserve"> </w:t>
      </w:r>
      <w:r w:rsidRPr="00A624C2">
        <w:rPr>
          <w:rFonts w:ascii="Book Antiqua" w:hAnsi="Book Antiqua"/>
          <w:b/>
          <w:sz w:val="24"/>
          <w:szCs w:val="24"/>
        </w:rPr>
        <w:t>inhibitors predict</w:t>
      </w:r>
      <w:r w:rsidR="001C1403" w:rsidRPr="00A624C2">
        <w:rPr>
          <w:rFonts w:ascii="Book Antiqua" w:hAnsi="Book Antiqua"/>
          <w:b/>
          <w:sz w:val="24"/>
          <w:szCs w:val="24"/>
        </w:rPr>
        <w:t>s</w:t>
      </w:r>
      <w:r w:rsidRPr="00A624C2">
        <w:rPr>
          <w:rFonts w:ascii="Book Antiqua" w:hAnsi="Book Antiqua"/>
          <w:b/>
          <w:sz w:val="24"/>
          <w:szCs w:val="24"/>
        </w:rPr>
        <w:t xml:space="preserve"> long t</w:t>
      </w:r>
      <w:r w:rsidR="008E7712" w:rsidRPr="00A624C2">
        <w:rPr>
          <w:rFonts w:ascii="Book Antiqua" w:hAnsi="Book Antiqua"/>
          <w:b/>
          <w:sz w:val="24"/>
          <w:szCs w:val="24"/>
        </w:rPr>
        <w:t>erm benefits in Crohn’s disease</w:t>
      </w:r>
    </w:p>
    <w:p w14:paraId="0D64C02A" w14:textId="77777777" w:rsidR="008E7712" w:rsidRPr="00A624C2" w:rsidRDefault="008E7712" w:rsidP="0028587F">
      <w:pPr>
        <w:spacing w:after="0" w:line="360" w:lineRule="auto"/>
        <w:jc w:val="both"/>
        <w:rPr>
          <w:rFonts w:ascii="Book Antiqua" w:eastAsia="宋体" w:hAnsi="Book Antiqua"/>
          <w:sz w:val="24"/>
          <w:szCs w:val="24"/>
          <w:lang w:eastAsia="zh-CN"/>
        </w:rPr>
      </w:pPr>
    </w:p>
    <w:p w14:paraId="18F409BC" w14:textId="2CA6B60D" w:rsidR="001C1403" w:rsidRPr="00A624C2" w:rsidRDefault="00972FCD" w:rsidP="0028587F">
      <w:pPr>
        <w:spacing w:after="0" w:line="360" w:lineRule="auto"/>
        <w:jc w:val="both"/>
        <w:rPr>
          <w:rFonts w:ascii="Book Antiqua" w:eastAsia="宋体" w:hAnsi="Book Antiqua"/>
          <w:sz w:val="24"/>
          <w:szCs w:val="24"/>
          <w:lang w:eastAsia="zh-CN"/>
        </w:rPr>
      </w:pPr>
      <w:r w:rsidRPr="00A624C2">
        <w:rPr>
          <w:rFonts w:ascii="Book Antiqua" w:hAnsi="Book Antiqua"/>
          <w:sz w:val="24"/>
          <w:szCs w:val="24"/>
        </w:rPr>
        <w:t xml:space="preserve">Alfaro I </w:t>
      </w:r>
      <w:r w:rsidRPr="00A624C2">
        <w:rPr>
          <w:rFonts w:ascii="Book Antiqua" w:hAnsi="Book Antiqua"/>
          <w:i/>
          <w:sz w:val="24"/>
          <w:szCs w:val="24"/>
        </w:rPr>
        <w:t>et al</w:t>
      </w:r>
      <w:r w:rsidRPr="00A624C2">
        <w:rPr>
          <w:rFonts w:ascii="Book Antiqua" w:hAnsi="Book Antiqua"/>
          <w:sz w:val="24"/>
          <w:szCs w:val="24"/>
        </w:rPr>
        <w:t xml:space="preserve">. Endoscopic response </w:t>
      </w:r>
      <w:r w:rsidR="001C1403" w:rsidRPr="00A624C2">
        <w:rPr>
          <w:rFonts w:ascii="Book Antiqua" w:hAnsi="Book Antiqua"/>
          <w:sz w:val="24"/>
          <w:szCs w:val="24"/>
        </w:rPr>
        <w:t xml:space="preserve">predicts outcomes in </w:t>
      </w:r>
      <w:r w:rsidR="00725BC4" w:rsidRPr="00A624C2">
        <w:rPr>
          <w:rFonts w:ascii="Book Antiqua" w:eastAsia="宋体" w:hAnsi="Book Antiqua"/>
          <w:sz w:val="24"/>
          <w:szCs w:val="24"/>
          <w:lang w:eastAsia="zh-CN"/>
        </w:rPr>
        <w:t>CD</w:t>
      </w:r>
    </w:p>
    <w:p w14:paraId="41202F62" w14:textId="77777777" w:rsidR="008E7712" w:rsidRPr="00A624C2" w:rsidRDefault="008E7712" w:rsidP="0028587F">
      <w:pPr>
        <w:spacing w:after="0" w:line="360" w:lineRule="auto"/>
        <w:jc w:val="both"/>
        <w:rPr>
          <w:rFonts w:ascii="Book Antiqua" w:eastAsia="宋体" w:hAnsi="Book Antiqua"/>
          <w:sz w:val="24"/>
          <w:szCs w:val="24"/>
          <w:lang w:val="es-ES" w:eastAsia="zh-CN"/>
        </w:rPr>
      </w:pPr>
    </w:p>
    <w:p w14:paraId="4A5C25B3" w14:textId="54FE26BE" w:rsidR="00972FCD" w:rsidRPr="00A624C2" w:rsidRDefault="00972FCD" w:rsidP="0028587F">
      <w:pPr>
        <w:spacing w:after="0" w:line="360" w:lineRule="auto"/>
        <w:jc w:val="both"/>
        <w:rPr>
          <w:rFonts w:ascii="Book Antiqua" w:eastAsia="宋体" w:hAnsi="Book Antiqua"/>
          <w:sz w:val="24"/>
          <w:szCs w:val="24"/>
          <w:lang w:val="es-ES" w:eastAsia="zh-CN"/>
        </w:rPr>
      </w:pPr>
      <w:r w:rsidRPr="00A624C2">
        <w:rPr>
          <w:rFonts w:ascii="Book Antiqua" w:hAnsi="Book Antiqua"/>
          <w:sz w:val="24"/>
          <w:szCs w:val="24"/>
          <w:lang w:val="es-ES"/>
        </w:rPr>
        <w:t xml:space="preserve">Ignacio Alfaro, </w:t>
      </w:r>
      <w:r w:rsidRPr="00A624C2">
        <w:rPr>
          <w:rFonts w:ascii="Book Antiqua" w:eastAsia="Calibri" w:hAnsi="Book Antiqua" w:cs="Times New Roman"/>
          <w:sz w:val="24"/>
          <w:szCs w:val="24"/>
          <w:lang w:val="es-ES"/>
        </w:rPr>
        <w:t>Maria Carme Masamunt</w:t>
      </w:r>
      <w:r w:rsidRPr="00A624C2">
        <w:rPr>
          <w:rFonts w:ascii="Book Antiqua" w:hAnsi="Book Antiqua"/>
          <w:sz w:val="24"/>
          <w:szCs w:val="24"/>
          <w:lang w:val="es-ES"/>
        </w:rPr>
        <w:t xml:space="preserve">, Nuria Planell, </w:t>
      </w:r>
      <w:r w:rsidRPr="00A624C2">
        <w:rPr>
          <w:rFonts w:ascii="Book Antiqua" w:eastAsia="Calibri" w:hAnsi="Book Antiqua" w:cs="Times New Roman"/>
          <w:sz w:val="24"/>
          <w:szCs w:val="24"/>
          <w:lang w:val="es-ES"/>
        </w:rPr>
        <w:t>Alicia López-García</w:t>
      </w:r>
      <w:r w:rsidRPr="00A624C2">
        <w:rPr>
          <w:rFonts w:ascii="Book Antiqua" w:hAnsi="Book Antiqua"/>
          <w:sz w:val="24"/>
          <w:szCs w:val="24"/>
          <w:lang w:val="es-ES"/>
        </w:rPr>
        <w:t>, Jesús Castro, Marta Gallego, Rebeca Barastegui, Angel Giner, Alejandro Vara, Azucena</w:t>
      </w:r>
      <w:r w:rsidRPr="00A624C2">
        <w:rPr>
          <w:rFonts w:ascii="Book Antiqua" w:hAnsi="Book Antiqua"/>
          <w:sz w:val="24"/>
          <w:szCs w:val="24"/>
          <w:vertAlign w:val="superscript"/>
          <w:lang w:val="es-ES"/>
        </w:rPr>
        <w:t xml:space="preserve"> </w:t>
      </w:r>
      <w:r w:rsidRPr="00A624C2">
        <w:rPr>
          <w:rFonts w:ascii="Book Antiqua" w:hAnsi="Book Antiqua"/>
          <w:sz w:val="24"/>
          <w:szCs w:val="24"/>
          <w:lang w:val="es-ES"/>
        </w:rPr>
        <w:t>Salas, Elena Ric</w:t>
      </w:r>
      <w:r w:rsidR="0028587F" w:rsidRPr="00A624C2">
        <w:rPr>
          <w:rFonts w:ascii="Book Antiqua" w:hAnsi="Book Antiqua"/>
          <w:sz w:val="24"/>
          <w:szCs w:val="24"/>
          <w:lang w:val="es-ES"/>
        </w:rPr>
        <w:t>art, Julián Panés, Ingrid Ordás</w:t>
      </w:r>
    </w:p>
    <w:p w14:paraId="47EB3FF2" w14:textId="77777777" w:rsidR="008E7712" w:rsidRPr="00A624C2" w:rsidRDefault="008E7712" w:rsidP="0028587F">
      <w:pPr>
        <w:spacing w:after="0" w:line="360" w:lineRule="auto"/>
        <w:jc w:val="both"/>
        <w:rPr>
          <w:rFonts w:ascii="Book Antiqua" w:eastAsia="宋体" w:hAnsi="Book Antiqua"/>
          <w:b/>
          <w:sz w:val="24"/>
          <w:szCs w:val="24"/>
          <w:lang w:val="es-ES" w:eastAsia="zh-CN"/>
        </w:rPr>
      </w:pPr>
    </w:p>
    <w:p w14:paraId="6F93A3B6" w14:textId="4C9B33B1" w:rsidR="00972FCD" w:rsidRPr="00A624C2" w:rsidRDefault="00972FCD" w:rsidP="0028587F">
      <w:pPr>
        <w:pStyle w:val="ae"/>
        <w:spacing w:after="0" w:line="360" w:lineRule="auto"/>
        <w:jc w:val="both"/>
        <w:rPr>
          <w:rFonts w:ascii="Book Antiqua" w:eastAsia="宋体" w:hAnsi="Book Antiqua" w:cs="Arial Unicode MS"/>
          <w:sz w:val="24"/>
          <w:szCs w:val="24"/>
          <w:lang w:eastAsia="zh-CN"/>
        </w:rPr>
      </w:pPr>
      <w:r w:rsidRPr="00A624C2">
        <w:rPr>
          <w:rFonts w:ascii="Book Antiqua" w:hAnsi="Book Antiqua"/>
          <w:b/>
          <w:sz w:val="24"/>
          <w:szCs w:val="24"/>
          <w:lang w:val="es-ES"/>
        </w:rPr>
        <w:t xml:space="preserve">Ignacio Alfaro, </w:t>
      </w:r>
      <w:r w:rsidRPr="00A624C2">
        <w:rPr>
          <w:rFonts w:ascii="Book Antiqua" w:eastAsia="Calibri" w:hAnsi="Book Antiqua" w:cs="Times New Roman"/>
          <w:b/>
          <w:sz w:val="24"/>
          <w:szCs w:val="24"/>
          <w:lang w:val="es-ES"/>
        </w:rPr>
        <w:t>Maria Carme Masamunt</w:t>
      </w:r>
      <w:r w:rsidRPr="00A624C2">
        <w:rPr>
          <w:rFonts w:ascii="Book Antiqua" w:hAnsi="Book Antiqua"/>
          <w:b/>
          <w:sz w:val="24"/>
          <w:szCs w:val="24"/>
          <w:lang w:val="es-ES"/>
        </w:rPr>
        <w:t xml:space="preserve">, </w:t>
      </w:r>
      <w:r w:rsidR="006A5AA9" w:rsidRPr="00A624C2">
        <w:rPr>
          <w:rFonts w:ascii="Book Antiqua" w:eastAsia="Calibri" w:hAnsi="Book Antiqua" w:cs="Times New Roman"/>
          <w:b/>
          <w:sz w:val="24"/>
          <w:szCs w:val="24"/>
          <w:lang w:val="es-ES"/>
        </w:rPr>
        <w:t>Alicia López-García</w:t>
      </w:r>
      <w:r w:rsidR="006A5AA9" w:rsidRPr="00A624C2">
        <w:rPr>
          <w:rFonts w:ascii="Book Antiqua" w:hAnsi="Book Antiqua" w:cs="Helvetica"/>
          <w:b/>
          <w:i/>
          <w:sz w:val="24"/>
          <w:szCs w:val="24"/>
          <w:lang w:val="es-ES" w:eastAsia="es-ES"/>
        </w:rPr>
        <w:t xml:space="preserve"> , </w:t>
      </w:r>
      <w:r w:rsidR="006A5AA9" w:rsidRPr="00A624C2">
        <w:rPr>
          <w:rFonts w:ascii="Book Antiqua" w:hAnsi="Book Antiqua"/>
          <w:b/>
          <w:sz w:val="24"/>
          <w:szCs w:val="24"/>
          <w:lang w:val="es-ES"/>
        </w:rPr>
        <w:t>Jesús Castro</w:t>
      </w:r>
      <w:r w:rsidR="006A5AA9" w:rsidRPr="00A624C2">
        <w:rPr>
          <w:rFonts w:ascii="Book Antiqua" w:hAnsi="Book Antiqua" w:cs="Helvetica"/>
          <w:b/>
          <w:i/>
          <w:sz w:val="24"/>
          <w:szCs w:val="24"/>
          <w:lang w:val="es-ES" w:eastAsia="es-ES"/>
        </w:rPr>
        <w:t xml:space="preserve"> , </w:t>
      </w:r>
      <w:r w:rsidR="006A5AA9" w:rsidRPr="00A624C2">
        <w:rPr>
          <w:rFonts w:ascii="Book Antiqua" w:hAnsi="Book Antiqua"/>
          <w:b/>
          <w:sz w:val="24"/>
          <w:szCs w:val="24"/>
          <w:lang w:val="es-ES"/>
        </w:rPr>
        <w:t>Marta Gallego</w:t>
      </w:r>
      <w:r w:rsidR="006A5AA9" w:rsidRPr="00A624C2">
        <w:rPr>
          <w:rFonts w:ascii="Book Antiqua" w:hAnsi="Book Antiqua" w:cs="Helvetica"/>
          <w:b/>
          <w:i/>
          <w:sz w:val="24"/>
          <w:szCs w:val="24"/>
          <w:lang w:val="es-ES" w:eastAsia="es-ES"/>
        </w:rPr>
        <w:t xml:space="preserve"> , </w:t>
      </w:r>
      <w:r w:rsidR="006A5AA9" w:rsidRPr="00A624C2">
        <w:rPr>
          <w:rFonts w:ascii="Book Antiqua" w:hAnsi="Book Antiqua"/>
          <w:b/>
          <w:sz w:val="24"/>
          <w:szCs w:val="24"/>
          <w:lang w:val="es-ES"/>
        </w:rPr>
        <w:t>Rebeca Barastegui, Angel Giner, Alejandro Vara, Elena Ricart, Julián Panés</w:t>
      </w:r>
      <w:r w:rsidR="006A5AA9" w:rsidRPr="00A624C2">
        <w:rPr>
          <w:rFonts w:ascii="Book Antiqua" w:hAnsi="Book Antiqua" w:cs="Helvetica"/>
          <w:b/>
          <w:sz w:val="24"/>
          <w:szCs w:val="24"/>
          <w:lang w:val="es-ES" w:eastAsia="es-ES"/>
        </w:rPr>
        <w:t>,</w:t>
      </w:r>
      <w:r w:rsidR="006A5AA9" w:rsidRPr="00A624C2">
        <w:rPr>
          <w:rFonts w:ascii="Book Antiqua" w:hAnsi="Book Antiqua" w:cs="Helvetica"/>
          <w:b/>
          <w:i/>
          <w:sz w:val="24"/>
          <w:szCs w:val="24"/>
          <w:lang w:val="es-ES" w:eastAsia="es-ES"/>
        </w:rPr>
        <w:t xml:space="preserve"> </w:t>
      </w:r>
      <w:r w:rsidR="006A5AA9" w:rsidRPr="00A624C2">
        <w:rPr>
          <w:rFonts w:ascii="Book Antiqua" w:hAnsi="Book Antiqua"/>
          <w:b/>
          <w:sz w:val="24"/>
          <w:szCs w:val="24"/>
          <w:lang w:val="es-ES"/>
        </w:rPr>
        <w:t>Ingrid Ordás</w:t>
      </w:r>
      <w:r w:rsidR="0028587F" w:rsidRPr="00A624C2">
        <w:rPr>
          <w:rFonts w:ascii="Book Antiqua" w:eastAsia="宋体" w:hAnsi="Book Antiqua" w:cs="Helvetica"/>
          <w:b/>
          <w:i/>
          <w:sz w:val="24"/>
          <w:szCs w:val="24"/>
          <w:lang w:val="es-ES" w:eastAsia="zh-CN"/>
        </w:rPr>
        <w:t xml:space="preserve">, </w:t>
      </w:r>
      <w:r w:rsidRPr="00A624C2">
        <w:rPr>
          <w:rFonts w:ascii="Book Antiqua" w:hAnsi="Book Antiqua" w:cs="Helvetica"/>
          <w:sz w:val="24"/>
          <w:szCs w:val="24"/>
          <w:lang w:val="es-ES" w:eastAsia="es-ES"/>
        </w:rPr>
        <w:t xml:space="preserve">Gastroenterology Department, Hospital </w:t>
      </w:r>
      <w:r w:rsidR="0028587F" w:rsidRPr="00A624C2">
        <w:rPr>
          <w:rFonts w:ascii="Book Antiqua" w:hAnsi="Book Antiqua" w:cs="Helvetica"/>
          <w:sz w:val="24"/>
          <w:szCs w:val="24"/>
          <w:lang w:val="es-ES" w:eastAsia="es-ES"/>
        </w:rPr>
        <w:t xml:space="preserve">Clínic de Barcelona, </w:t>
      </w:r>
      <w:r w:rsidRPr="00A624C2">
        <w:rPr>
          <w:rFonts w:ascii="Book Antiqua" w:hAnsi="Book Antiqua" w:cs="Helvetica"/>
          <w:sz w:val="24"/>
          <w:szCs w:val="24"/>
          <w:lang w:val="es-ES" w:eastAsia="es-ES"/>
        </w:rPr>
        <w:t>Barcelona</w:t>
      </w:r>
      <w:r w:rsidR="001C1403" w:rsidRPr="00A624C2">
        <w:rPr>
          <w:rFonts w:ascii="Book Antiqua" w:eastAsia="宋体" w:hAnsi="Book Antiqua" w:cs="Helvetica"/>
          <w:sz w:val="24"/>
          <w:szCs w:val="24"/>
          <w:lang w:val="es-ES" w:eastAsia="zh-CN"/>
        </w:rPr>
        <w:t xml:space="preserve"> 08036,</w:t>
      </w:r>
      <w:r w:rsidR="0028587F" w:rsidRPr="00A624C2">
        <w:rPr>
          <w:rFonts w:ascii="Book Antiqua" w:hAnsi="Book Antiqua" w:cs="Helvetica"/>
          <w:sz w:val="24"/>
          <w:szCs w:val="24"/>
          <w:lang w:val="es-ES" w:eastAsia="es-ES"/>
        </w:rPr>
        <w:t xml:space="preserve"> Spain</w:t>
      </w:r>
    </w:p>
    <w:p w14:paraId="2A9E4A55" w14:textId="77777777" w:rsidR="00972FCD" w:rsidRPr="00A624C2" w:rsidRDefault="00972FCD" w:rsidP="0028587F">
      <w:pPr>
        <w:autoSpaceDE w:val="0"/>
        <w:autoSpaceDN w:val="0"/>
        <w:adjustRightInd w:val="0"/>
        <w:spacing w:after="0" w:line="360" w:lineRule="auto"/>
        <w:jc w:val="both"/>
        <w:rPr>
          <w:rFonts w:ascii="Book Antiqua" w:hAnsi="Book Antiqua" w:cs="Helvetica"/>
          <w:i/>
          <w:sz w:val="24"/>
          <w:szCs w:val="24"/>
          <w:lang w:val="es-ES" w:eastAsia="es-ES"/>
        </w:rPr>
      </w:pPr>
    </w:p>
    <w:p w14:paraId="4A2909BF" w14:textId="19D5380E" w:rsidR="00972FCD" w:rsidRPr="00A624C2" w:rsidRDefault="00972FCD" w:rsidP="0028587F">
      <w:pPr>
        <w:pStyle w:val="ae"/>
        <w:spacing w:after="0" w:line="360" w:lineRule="auto"/>
        <w:jc w:val="both"/>
        <w:rPr>
          <w:rFonts w:ascii="Book Antiqua" w:eastAsia="宋体" w:hAnsi="Book Antiqua" w:cs="Arial Unicode MS"/>
          <w:sz w:val="24"/>
          <w:szCs w:val="24"/>
          <w:lang w:eastAsia="zh-CN"/>
        </w:rPr>
      </w:pPr>
      <w:r w:rsidRPr="00A624C2">
        <w:rPr>
          <w:rFonts w:ascii="Book Antiqua" w:hAnsi="Book Antiqua"/>
          <w:b/>
          <w:sz w:val="24"/>
          <w:szCs w:val="24"/>
          <w:lang w:val="es-ES"/>
        </w:rPr>
        <w:t>Nuria Planell,</w:t>
      </w:r>
      <w:r w:rsidR="006A5AA9" w:rsidRPr="00A624C2">
        <w:rPr>
          <w:rFonts w:ascii="Book Antiqua" w:hAnsi="Book Antiqua"/>
          <w:b/>
          <w:sz w:val="24"/>
          <w:szCs w:val="24"/>
          <w:lang w:val="es-ES"/>
        </w:rPr>
        <w:t xml:space="preserve"> Azucena</w:t>
      </w:r>
      <w:r w:rsidR="006A5AA9" w:rsidRPr="00A624C2">
        <w:rPr>
          <w:rFonts w:ascii="Book Antiqua" w:hAnsi="Book Antiqua"/>
          <w:b/>
          <w:sz w:val="24"/>
          <w:szCs w:val="24"/>
          <w:vertAlign w:val="superscript"/>
          <w:lang w:val="es-ES"/>
        </w:rPr>
        <w:t xml:space="preserve"> </w:t>
      </w:r>
      <w:r w:rsidR="006A5AA9" w:rsidRPr="00A624C2">
        <w:rPr>
          <w:rFonts w:ascii="Book Antiqua" w:hAnsi="Book Antiqua"/>
          <w:b/>
          <w:sz w:val="24"/>
          <w:szCs w:val="24"/>
          <w:lang w:val="es-ES"/>
        </w:rPr>
        <w:t>Salas</w:t>
      </w:r>
      <w:r w:rsidR="008E7712" w:rsidRPr="00A624C2">
        <w:rPr>
          <w:rFonts w:ascii="Book Antiqua" w:eastAsia="宋体" w:hAnsi="Book Antiqua"/>
          <w:b/>
          <w:sz w:val="24"/>
          <w:szCs w:val="24"/>
          <w:lang w:val="es-ES" w:eastAsia="zh-CN"/>
        </w:rPr>
        <w:t>,</w:t>
      </w:r>
      <w:r w:rsidRPr="00A624C2">
        <w:rPr>
          <w:rFonts w:ascii="Book Antiqua" w:hAnsi="Book Antiqua"/>
          <w:sz w:val="24"/>
          <w:szCs w:val="24"/>
          <w:lang w:val="es-ES"/>
        </w:rPr>
        <w:t xml:space="preserve"> I</w:t>
      </w:r>
      <w:r w:rsidRPr="00A624C2">
        <w:rPr>
          <w:rFonts w:ascii="Book Antiqua" w:hAnsi="Book Antiqua" w:cs="Helvetica"/>
          <w:bCs/>
          <w:sz w:val="24"/>
          <w:szCs w:val="24"/>
          <w:lang w:eastAsia="es-ES"/>
        </w:rPr>
        <w:t>nstitut d'Investigacions Biomèdiques August Pi i Sunyer (IDIBAPS)</w:t>
      </w:r>
      <w:r w:rsidRPr="00A624C2">
        <w:rPr>
          <w:rFonts w:ascii="Book Antiqua" w:hAnsi="Book Antiqua" w:cs="Helvetica"/>
          <w:sz w:val="24"/>
          <w:szCs w:val="24"/>
          <w:lang w:eastAsia="es-ES"/>
        </w:rPr>
        <w:t>, University of Barcelona, Barcelona</w:t>
      </w:r>
      <w:r w:rsidR="001C1403" w:rsidRPr="00A624C2">
        <w:rPr>
          <w:rFonts w:ascii="Book Antiqua" w:eastAsia="宋体" w:hAnsi="Book Antiqua" w:cs="Helvetica"/>
          <w:sz w:val="24"/>
          <w:szCs w:val="24"/>
          <w:lang w:eastAsia="zh-CN"/>
        </w:rPr>
        <w:t xml:space="preserve"> 08036,</w:t>
      </w:r>
      <w:r w:rsidR="00840477" w:rsidRPr="00A624C2">
        <w:rPr>
          <w:rFonts w:ascii="Book Antiqua" w:hAnsi="Book Antiqua" w:cs="Helvetica"/>
          <w:sz w:val="24"/>
          <w:szCs w:val="24"/>
          <w:lang w:eastAsia="es-ES"/>
        </w:rPr>
        <w:t xml:space="preserve"> Spain</w:t>
      </w:r>
    </w:p>
    <w:p w14:paraId="51511F20" w14:textId="6869570E" w:rsidR="00972FCD" w:rsidRPr="00A624C2" w:rsidRDefault="00972FCD" w:rsidP="0028587F">
      <w:pPr>
        <w:spacing w:after="0" w:line="360" w:lineRule="auto"/>
        <w:jc w:val="both"/>
        <w:rPr>
          <w:rFonts w:ascii="Book Antiqua" w:hAnsi="Book Antiqua"/>
          <w:b/>
          <w:sz w:val="24"/>
          <w:szCs w:val="24"/>
          <w:lang w:val="es-ES"/>
        </w:rPr>
      </w:pPr>
    </w:p>
    <w:p w14:paraId="2C0EADF7" w14:textId="0ED8CACA" w:rsidR="00081837" w:rsidRPr="00A624C2" w:rsidRDefault="00840477" w:rsidP="0028587F">
      <w:pPr>
        <w:spacing w:after="0" w:line="360" w:lineRule="auto"/>
        <w:jc w:val="both"/>
        <w:rPr>
          <w:rFonts w:ascii="Book Antiqua" w:eastAsia="宋体" w:hAnsi="Book Antiqua" w:cs="Times New Roman"/>
          <w:sz w:val="24"/>
          <w:szCs w:val="24"/>
          <w:lang w:eastAsia="zh-CN"/>
        </w:rPr>
      </w:pPr>
      <w:r w:rsidRPr="00A624C2">
        <w:rPr>
          <w:rFonts w:ascii="Book Antiqua" w:hAnsi="Book Antiqua"/>
          <w:b/>
          <w:bCs/>
          <w:color w:val="333333"/>
          <w:sz w:val="24"/>
          <w:szCs w:val="24"/>
          <w:shd w:val="clear" w:color="auto" w:fill="FFFFFF"/>
        </w:rPr>
        <w:t>ORCID number</w:t>
      </w:r>
      <w:r w:rsidRPr="00A624C2">
        <w:rPr>
          <w:rFonts w:ascii="Book Antiqua" w:hAnsi="Book Antiqua"/>
          <w:b/>
          <w:color w:val="000000"/>
          <w:sz w:val="24"/>
          <w:szCs w:val="24"/>
          <w:lang w:val="en-GB"/>
        </w:rPr>
        <w:t>:</w:t>
      </w:r>
      <w:r w:rsidR="00081837" w:rsidRPr="00A624C2">
        <w:rPr>
          <w:rFonts w:ascii="Book Antiqua" w:hAnsi="Book Antiqua" w:cs="Times"/>
          <w:sz w:val="24"/>
          <w:szCs w:val="24"/>
          <w:lang w:val="es-ES"/>
        </w:rPr>
        <w:t xml:space="preserve"> </w:t>
      </w:r>
      <w:r w:rsidR="00081837" w:rsidRPr="00A624C2">
        <w:rPr>
          <w:rFonts w:ascii="Book Antiqua" w:hAnsi="Book Antiqua"/>
          <w:sz w:val="24"/>
          <w:szCs w:val="24"/>
          <w:lang w:val="es-ES"/>
        </w:rPr>
        <w:t>Ignacio Alfaro</w:t>
      </w:r>
      <w:r w:rsidRPr="00A624C2">
        <w:rPr>
          <w:rFonts w:ascii="Book Antiqua" w:eastAsia="宋体" w:hAnsi="Book Antiqua"/>
          <w:sz w:val="24"/>
          <w:szCs w:val="24"/>
          <w:lang w:val="es-ES" w:eastAsia="zh-CN"/>
        </w:rPr>
        <w:t xml:space="preserve"> </w:t>
      </w:r>
      <w:r w:rsidR="00081837" w:rsidRPr="00A624C2">
        <w:rPr>
          <w:rFonts w:ascii="Book Antiqua" w:hAnsi="Book Antiqua"/>
          <w:sz w:val="24"/>
          <w:szCs w:val="24"/>
          <w:lang w:val="es-ES"/>
        </w:rPr>
        <w:t>(</w:t>
      </w:r>
      <w:r w:rsidR="00081837" w:rsidRPr="00A624C2">
        <w:rPr>
          <w:rFonts w:ascii="Book Antiqua" w:eastAsia="Times New Roman" w:hAnsi="Book Antiqua" w:cs="Times New Roman"/>
          <w:color w:val="000000"/>
          <w:sz w:val="24"/>
          <w:szCs w:val="24"/>
          <w:shd w:val="clear" w:color="auto" w:fill="FFFFFF"/>
          <w:lang w:eastAsia="es-ES"/>
        </w:rPr>
        <w:t>0000-0002-1823-3182</w:t>
      </w:r>
      <w:r w:rsidR="00081837" w:rsidRPr="00A624C2">
        <w:rPr>
          <w:rFonts w:ascii="Book Antiqua" w:hAnsi="Book Antiqua"/>
          <w:sz w:val="24"/>
          <w:szCs w:val="24"/>
          <w:lang w:val="es-ES"/>
        </w:rPr>
        <w:t>)</w:t>
      </w:r>
      <w:r w:rsidRPr="00A624C2">
        <w:rPr>
          <w:rFonts w:ascii="Book Antiqua" w:eastAsia="宋体" w:hAnsi="Book Antiqua"/>
          <w:sz w:val="24"/>
          <w:szCs w:val="24"/>
          <w:lang w:val="es-ES" w:eastAsia="zh-CN"/>
        </w:rPr>
        <w:t>;</w:t>
      </w:r>
      <w:r w:rsidR="00081837" w:rsidRPr="00A624C2">
        <w:rPr>
          <w:rFonts w:ascii="Book Antiqua" w:hAnsi="Book Antiqua"/>
          <w:sz w:val="24"/>
          <w:szCs w:val="24"/>
          <w:lang w:val="es-ES"/>
        </w:rPr>
        <w:t xml:space="preserve"> </w:t>
      </w:r>
      <w:r w:rsidR="00081837" w:rsidRPr="00A624C2">
        <w:rPr>
          <w:rFonts w:ascii="Book Antiqua" w:eastAsia="Calibri" w:hAnsi="Book Antiqua" w:cs="Times New Roman"/>
          <w:sz w:val="24"/>
          <w:szCs w:val="24"/>
          <w:lang w:val="es-ES"/>
        </w:rPr>
        <w:t>Maria Carme Masamunt</w:t>
      </w:r>
      <w:r w:rsidRPr="00A624C2">
        <w:rPr>
          <w:rFonts w:ascii="Book Antiqua" w:eastAsia="宋体" w:hAnsi="Book Antiqua" w:cs="Times New Roman"/>
          <w:sz w:val="24"/>
          <w:szCs w:val="24"/>
          <w:lang w:val="es-ES" w:eastAsia="zh-CN"/>
        </w:rPr>
        <w:t xml:space="preserve"> </w:t>
      </w:r>
      <w:r w:rsidR="00081837" w:rsidRPr="00A624C2">
        <w:rPr>
          <w:rFonts w:ascii="Book Antiqua" w:hAnsi="Book Antiqua"/>
          <w:sz w:val="24"/>
          <w:szCs w:val="24"/>
          <w:lang w:val="es-ES"/>
        </w:rPr>
        <w:t>(</w:t>
      </w:r>
      <w:r w:rsidR="00081837" w:rsidRPr="00A624C2">
        <w:rPr>
          <w:rFonts w:ascii="Book Antiqua" w:eastAsia="Times New Roman" w:hAnsi="Book Antiqua" w:cs="Times New Roman"/>
          <w:color w:val="000000"/>
          <w:sz w:val="24"/>
          <w:szCs w:val="24"/>
          <w:shd w:val="clear" w:color="auto" w:fill="FFFFFF"/>
          <w:lang w:eastAsia="es-ES"/>
        </w:rPr>
        <w:t>0000-0001-8736-1623</w:t>
      </w:r>
      <w:r w:rsidR="00081837" w:rsidRPr="00A624C2">
        <w:rPr>
          <w:rFonts w:ascii="Book Antiqua" w:hAnsi="Book Antiqua"/>
          <w:sz w:val="24"/>
          <w:szCs w:val="24"/>
          <w:lang w:val="es-ES"/>
        </w:rPr>
        <w:t>)</w:t>
      </w:r>
      <w:r w:rsidRPr="00A624C2">
        <w:rPr>
          <w:rFonts w:ascii="Book Antiqua" w:eastAsia="宋体" w:hAnsi="Book Antiqua"/>
          <w:sz w:val="24"/>
          <w:szCs w:val="24"/>
          <w:lang w:val="es-ES" w:eastAsia="zh-CN"/>
        </w:rPr>
        <w:t>;</w:t>
      </w:r>
      <w:r w:rsidR="00081837" w:rsidRPr="00A624C2">
        <w:rPr>
          <w:rFonts w:ascii="Book Antiqua" w:hAnsi="Book Antiqua"/>
          <w:sz w:val="24"/>
          <w:szCs w:val="24"/>
          <w:lang w:val="es-ES"/>
        </w:rPr>
        <w:t xml:space="preserve"> Nuria Planell</w:t>
      </w:r>
      <w:r w:rsidR="00081837" w:rsidRPr="00A624C2">
        <w:rPr>
          <w:rFonts w:ascii="Book Antiqua" w:hAnsi="Book Antiqua"/>
          <w:sz w:val="24"/>
          <w:szCs w:val="24"/>
          <w:vertAlign w:val="superscript"/>
          <w:lang w:val="es-ES"/>
        </w:rPr>
        <w:t xml:space="preserve"> </w:t>
      </w:r>
      <w:r w:rsidR="00081837" w:rsidRPr="00A624C2">
        <w:rPr>
          <w:rFonts w:ascii="Book Antiqua" w:eastAsia="Calibri" w:hAnsi="Book Antiqua" w:cs="Times New Roman"/>
          <w:sz w:val="24"/>
          <w:szCs w:val="24"/>
          <w:lang w:val="es-ES"/>
        </w:rPr>
        <w:t>(</w:t>
      </w:r>
      <w:r w:rsidR="00081837" w:rsidRPr="00A624C2">
        <w:rPr>
          <w:rFonts w:ascii="Book Antiqua" w:eastAsia="Times New Roman" w:hAnsi="Book Antiqua" w:cs="Times New Roman"/>
          <w:color w:val="000000"/>
          <w:sz w:val="24"/>
          <w:szCs w:val="24"/>
          <w:shd w:val="clear" w:color="auto" w:fill="FFFFFF"/>
          <w:lang w:eastAsia="es-ES"/>
        </w:rPr>
        <w:t>0000-0001-7550-2433</w:t>
      </w:r>
      <w:r w:rsidR="00081837" w:rsidRPr="00A624C2">
        <w:rPr>
          <w:rFonts w:ascii="Book Antiqua" w:eastAsia="Calibri" w:hAnsi="Book Antiqua" w:cs="Times New Roman"/>
          <w:sz w:val="24"/>
          <w:szCs w:val="24"/>
          <w:lang w:val="es-ES"/>
        </w:rPr>
        <w:t>)</w:t>
      </w:r>
      <w:r w:rsidRPr="00A624C2">
        <w:rPr>
          <w:rFonts w:ascii="Book Antiqua" w:eastAsia="宋体" w:hAnsi="Book Antiqua" w:cs="Times New Roman"/>
          <w:sz w:val="24"/>
          <w:szCs w:val="24"/>
          <w:lang w:val="es-ES" w:eastAsia="zh-CN"/>
        </w:rPr>
        <w:t>;</w:t>
      </w:r>
      <w:r w:rsidR="00081837" w:rsidRPr="00A624C2">
        <w:rPr>
          <w:rFonts w:ascii="Book Antiqua" w:eastAsia="Calibri" w:hAnsi="Book Antiqua" w:cs="Times New Roman"/>
          <w:sz w:val="24"/>
          <w:szCs w:val="24"/>
          <w:lang w:val="es-ES"/>
        </w:rPr>
        <w:t xml:space="preserve"> Alicia López-García (</w:t>
      </w:r>
      <w:r w:rsidR="00081837" w:rsidRPr="00A624C2">
        <w:rPr>
          <w:rFonts w:ascii="Book Antiqua" w:eastAsia="Times New Roman" w:hAnsi="Book Antiqua" w:cs="Times New Roman"/>
          <w:color w:val="000000"/>
          <w:sz w:val="24"/>
          <w:szCs w:val="24"/>
          <w:shd w:val="clear" w:color="auto" w:fill="FFFFFF"/>
          <w:lang w:eastAsia="es-ES"/>
        </w:rPr>
        <w:t>0000-0001-9268-4259</w:t>
      </w:r>
      <w:r w:rsidR="00081837" w:rsidRPr="00A624C2">
        <w:rPr>
          <w:rFonts w:ascii="Book Antiqua" w:eastAsia="Calibri" w:hAnsi="Book Antiqua" w:cs="Times New Roman"/>
          <w:sz w:val="24"/>
          <w:szCs w:val="24"/>
          <w:lang w:val="es-ES"/>
        </w:rPr>
        <w:t>)</w:t>
      </w:r>
      <w:r w:rsidRPr="00A624C2">
        <w:rPr>
          <w:rFonts w:ascii="Book Antiqua" w:eastAsia="宋体" w:hAnsi="Book Antiqua"/>
          <w:sz w:val="24"/>
          <w:szCs w:val="24"/>
          <w:lang w:val="es-ES" w:eastAsia="zh-CN"/>
        </w:rPr>
        <w:t>;</w:t>
      </w:r>
      <w:r w:rsidR="00081837" w:rsidRPr="00A624C2">
        <w:rPr>
          <w:rFonts w:ascii="Book Antiqua" w:hAnsi="Book Antiqua"/>
          <w:sz w:val="24"/>
          <w:szCs w:val="24"/>
          <w:lang w:val="es-ES"/>
        </w:rPr>
        <w:t xml:space="preserve"> Jesús Castro (</w:t>
      </w:r>
      <w:r w:rsidR="00081837" w:rsidRPr="00A624C2">
        <w:rPr>
          <w:rFonts w:ascii="Book Antiqua" w:eastAsia="Times New Roman" w:hAnsi="Book Antiqua" w:cs="Times New Roman"/>
          <w:color w:val="000000"/>
          <w:sz w:val="24"/>
          <w:szCs w:val="24"/>
          <w:shd w:val="clear" w:color="auto" w:fill="FFFFFF"/>
          <w:lang w:eastAsia="es-ES"/>
        </w:rPr>
        <w:t>0000-0002-2269-7385</w:t>
      </w:r>
      <w:r w:rsidR="00081837" w:rsidRPr="00A624C2">
        <w:rPr>
          <w:rFonts w:ascii="Book Antiqua" w:hAnsi="Book Antiqua"/>
          <w:sz w:val="24"/>
          <w:szCs w:val="24"/>
          <w:lang w:val="es-ES"/>
        </w:rPr>
        <w:t>)</w:t>
      </w:r>
      <w:r w:rsidRPr="00A624C2">
        <w:rPr>
          <w:rFonts w:ascii="Book Antiqua" w:eastAsia="宋体" w:hAnsi="Book Antiqua"/>
          <w:sz w:val="24"/>
          <w:szCs w:val="24"/>
          <w:lang w:val="es-ES" w:eastAsia="zh-CN"/>
        </w:rPr>
        <w:t>;</w:t>
      </w:r>
      <w:r w:rsidR="00081837" w:rsidRPr="00A624C2">
        <w:rPr>
          <w:rFonts w:ascii="Book Antiqua" w:hAnsi="Book Antiqua"/>
          <w:sz w:val="24"/>
          <w:szCs w:val="24"/>
          <w:lang w:val="es-ES"/>
        </w:rPr>
        <w:t xml:space="preserve"> Marta Gallego</w:t>
      </w:r>
      <w:r w:rsidR="00081837" w:rsidRPr="00A624C2">
        <w:rPr>
          <w:rFonts w:ascii="Book Antiqua" w:hAnsi="Book Antiqua"/>
          <w:sz w:val="24"/>
          <w:szCs w:val="24"/>
          <w:vertAlign w:val="superscript"/>
          <w:lang w:val="es-ES"/>
        </w:rPr>
        <w:t xml:space="preserve"> </w:t>
      </w:r>
      <w:r w:rsidR="00081837" w:rsidRPr="00A624C2">
        <w:rPr>
          <w:rFonts w:ascii="Book Antiqua" w:hAnsi="Book Antiqua"/>
          <w:sz w:val="24"/>
          <w:szCs w:val="24"/>
          <w:lang w:val="es-ES"/>
        </w:rPr>
        <w:t>(</w:t>
      </w:r>
      <w:r w:rsidR="00081837" w:rsidRPr="00A624C2">
        <w:rPr>
          <w:rFonts w:ascii="Book Antiqua" w:eastAsia="Times New Roman" w:hAnsi="Book Antiqua" w:cs="Times New Roman"/>
          <w:color w:val="000000"/>
          <w:sz w:val="24"/>
          <w:szCs w:val="24"/>
          <w:shd w:val="clear" w:color="auto" w:fill="FFFFFF"/>
          <w:lang w:eastAsia="es-ES"/>
        </w:rPr>
        <w:t>0000-0001-9761-3070</w:t>
      </w:r>
      <w:r w:rsidRPr="00A624C2">
        <w:rPr>
          <w:rFonts w:ascii="Book Antiqua" w:hAnsi="Book Antiqua"/>
          <w:sz w:val="24"/>
          <w:szCs w:val="24"/>
          <w:lang w:val="es-ES"/>
        </w:rPr>
        <w:t>)</w:t>
      </w:r>
      <w:r w:rsidRPr="00A624C2">
        <w:rPr>
          <w:rFonts w:ascii="Book Antiqua" w:eastAsia="宋体" w:hAnsi="Book Antiqua"/>
          <w:sz w:val="24"/>
          <w:szCs w:val="24"/>
          <w:lang w:val="es-ES" w:eastAsia="zh-CN"/>
        </w:rPr>
        <w:t>;</w:t>
      </w:r>
      <w:r w:rsidR="00081837" w:rsidRPr="00A624C2">
        <w:rPr>
          <w:rFonts w:ascii="Book Antiqua" w:hAnsi="Book Antiqua"/>
          <w:sz w:val="24"/>
          <w:szCs w:val="24"/>
          <w:lang w:val="es-ES"/>
        </w:rPr>
        <w:t xml:space="preserve"> Rebeca Barastegui (</w:t>
      </w:r>
      <w:r w:rsidR="00081837" w:rsidRPr="00A624C2">
        <w:rPr>
          <w:rFonts w:ascii="Book Antiqua" w:eastAsia="Times New Roman" w:hAnsi="Book Antiqua" w:cs="Times New Roman"/>
          <w:color w:val="000000"/>
          <w:sz w:val="24"/>
          <w:szCs w:val="24"/>
          <w:shd w:val="clear" w:color="auto" w:fill="FFFFFF"/>
          <w:lang w:eastAsia="es-ES"/>
        </w:rPr>
        <w:t>0000-0002-8370-8498</w:t>
      </w:r>
      <w:r w:rsidR="00081837" w:rsidRPr="00A624C2">
        <w:rPr>
          <w:rFonts w:ascii="Book Antiqua" w:hAnsi="Book Antiqua"/>
          <w:sz w:val="24"/>
          <w:szCs w:val="24"/>
          <w:lang w:val="es-ES"/>
        </w:rPr>
        <w:t>)</w:t>
      </w:r>
      <w:r w:rsidRPr="00A624C2">
        <w:rPr>
          <w:rFonts w:ascii="Book Antiqua" w:eastAsia="宋体" w:hAnsi="Book Antiqua"/>
          <w:sz w:val="24"/>
          <w:szCs w:val="24"/>
          <w:lang w:val="es-ES" w:eastAsia="zh-CN"/>
        </w:rPr>
        <w:t>;</w:t>
      </w:r>
      <w:r w:rsidR="00081837" w:rsidRPr="00A624C2">
        <w:rPr>
          <w:rFonts w:ascii="Book Antiqua" w:hAnsi="Book Antiqua"/>
          <w:sz w:val="24"/>
          <w:szCs w:val="24"/>
          <w:lang w:val="es-ES"/>
        </w:rPr>
        <w:t xml:space="preserve"> Angel Giner (</w:t>
      </w:r>
      <w:r w:rsidR="00081837" w:rsidRPr="00A624C2">
        <w:rPr>
          <w:rFonts w:ascii="Book Antiqua" w:eastAsia="Times New Roman" w:hAnsi="Book Antiqua" w:cs="Times New Roman"/>
          <w:color w:val="000000"/>
          <w:sz w:val="24"/>
          <w:szCs w:val="24"/>
          <w:shd w:val="clear" w:color="auto" w:fill="FFFFFF"/>
          <w:lang w:eastAsia="es-ES"/>
        </w:rPr>
        <w:t>0000-0001-8314-1172</w:t>
      </w:r>
      <w:r w:rsidR="00081837" w:rsidRPr="00A624C2">
        <w:rPr>
          <w:rFonts w:ascii="Book Antiqua" w:hAnsi="Book Antiqua"/>
          <w:sz w:val="24"/>
          <w:szCs w:val="24"/>
          <w:lang w:val="es-ES"/>
        </w:rPr>
        <w:t>)</w:t>
      </w:r>
      <w:r w:rsidRPr="00A624C2">
        <w:rPr>
          <w:rFonts w:ascii="Book Antiqua" w:eastAsia="宋体" w:hAnsi="Book Antiqua"/>
          <w:sz w:val="24"/>
          <w:szCs w:val="24"/>
          <w:lang w:val="es-ES" w:eastAsia="zh-CN"/>
        </w:rPr>
        <w:t>;</w:t>
      </w:r>
      <w:r w:rsidR="00081837" w:rsidRPr="00A624C2">
        <w:rPr>
          <w:rFonts w:ascii="Book Antiqua" w:hAnsi="Book Antiqua"/>
          <w:sz w:val="24"/>
          <w:szCs w:val="24"/>
          <w:lang w:val="es-ES"/>
        </w:rPr>
        <w:t xml:space="preserve"> Alejandro Vara (</w:t>
      </w:r>
      <w:r w:rsidR="00081837" w:rsidRPr="00A624C2">
        <w:rPr>
          <w:rFonts w:ascii="Book Antiqua" w:eastAsia="Times New Roman" w:hAnsi="Book Antiqua" w:cs="Times New Roman"/>
          <w:color w:val="000000"/>
          <w:sz w:val="24"/>
          <w:szCs w:val="24"/>
          <w:shd w:val="clear" w:color="auto" w:fill="FFFFFF"/>
          <w:lang w:eastAsia="es-ES"/>
        </w:rPr>
        <w:t>0000-0003-2218-0535</w:t>
      </w:r>
      <w:r w:rsidR="00081837" w:rsidRPr="00A624C2">
        <w:rPr>
          <w:rFonts w:ascii="Book Antiqua" w:hAnsi="Book Antiqua"/>
          <w:sz w:val="24"/>
          <w:szCs w:val="24"/>
          <w:lang w:val="es-ES"/>
        </w:rPr>
        <w:t>)</w:t>
      </w:r>
      <w:r w:rsidRPr="00A624C2">
        <w:rPr>
          <w:rFonts w:ascii="Book Antiqua" w:eastAsia="宋体" w:hAnsi="Book Antiqua"/>
          <w:sz w:val="24"/>
          <w:szCs w:val="24"/>
          <w:lang w:val="es-ES" w:eastAsia="zh-CN"/>
        </w:rPr>
        <w:t>;</w:t>
      </w:r>
      <w:r w:rsidR="00081837" w:rsidRPr="00A624C2">
        <w:rPr>
          <w:rFonts w:ascii="Book Antiqua" w:hAnsi="Book Antiqua"/>
          <w:sz w:val="24"/>
          <w:szCs w:val="24"/>
          <w:lang w:val="es-ES"/>
        </w:rPr>
        <w:t xml:space="preserve"> Azucena</w:t>
      </w:r>
      <w:r w:rsidR="00081837" w:rsidRPr="00A624C2">
        <w:rPr>
          <w:rFonts w:ascii="Book Antiqua" w:hAnsi="Book Antiqua"/>
          <w:sz w:val="24"/>
          <w:szCs w:val="24"/>
          <w:vertAlign w:val="superscript"/>
          <w:lang w:val="es-ES"/>
        </w:rPr>
        <w:t xml:space="preserve"> </w:t>
      </w:r>
      <w:r w:rsidR="00081837" w:rsidRPr="00A624C2">
        <w:rPr>
          <w:rFonts w:ascii="Book Antiqua" w:hAnsi="Book Antiqua"/>
          <w:sz w:val="24"/>
          <w:szCs w:val="24"/>
          <w:lang w:val="es-ES"/>
        </w:rPr>
        <w:t>Salas (</w:t>
      </w:r>
      <w:r w:rsidR="00081837" w:rsidRPr="00A624C2">
        <w:rPr>
          <w:rFonts w:ascii="Book Antiqua" w:eastAsia="Times New Roman" w:hAnsi="Book Antiqua" w:cs="Times New Roman"/>
          <w:color w:val="000000"/>
          <w:sz w:val="24"/>
          <w:szCs w:val="24"/>
          <w:shd w:val="clear" w:color="auto" w:fill="FFFFFF"/>
          <w:lang w:eastAsia="es-ES"/>
        </w:rPr>
        <w:t>0000-0003-4572-2907</w:t>
      </w:r>
      <w:r w:rsidR="00081837" w:rsidRPr="00A624C2">
        <w:rPr>
          <w:rFonts w:ascii="Book Antiqua" w:hAnsi="Book Antiqua"/>
          <w:sz w:val="24"/>
          <w:szCs w:val="24"/>
          <w:lang w:val="es-ES"/>
        </w:rPr>
        <w:t>)</w:t>
      </w:r>
      <w:r w:rsidRPr="00A624C2">
        <w:rPr>
          <w:rFonts w:ascii="Book Antiqua" w:eastAsia="宋体" w:hAnsi="Book Antiqua"/>
          <w:sz w:val="24"/>
          <w:szCs w:val="24"/>
          <w:lang w:val="es-ES" w:eastAsia="zh-CN"/>
        </w:rPr>
        <w:t>;</w:t>
      </w:r>
      <w:r w:rsidR="00081837" w:rsidRPr="00A624C2">
        <w:rPr>
          <w:rFonts w:ascii="Book Antiqua" w:hAnsi="Book Antiqua"/>
          <w:sz w:val="24"/>
          <w:szCs w:val="24"/>
          <w:lang w:val="es-ES"/>
        </w:rPr>
        <w:t xml:space="preserve"> Elena Ricart (</w:t>
      </w:r>
      <w:r w:rsidR="00081837" w:rsidRPr="00A624C2">
        <w:rPr>
          <w:rFonts w:ascii="Book Antiqua" w:eastAsia="Times New Roman" w:hAnsi="Book Antiqua" w:cs="Times New Roman"/>
          <w:color w:val="000000"/>
          <w:sz w:val="24"/>
          <w:szCs w:val="24"/>
          <w:shd w:val="clear" w:color="auto" w:fill="FFFFFF"/>
          <w:lang w:eastAsia="es-ES"/>
        </w:rPr>
        <w:t>0000-0003-3354-1594</w:t>
      </w:r>
      <w:r w:rsidR="00081837" w:rsidRPr="00A624C2">
        <w:rPr>
          <w:rFonts w:ascii="Book Antiqua" w:hAnsi="Book Antiqua"/>
          <w:sz w:val="24"/>
          <w:szCs w:val="24"/>
          <w:lang w:val="es-ES"/>
        </w:rPr>
        <w:t>)</w:t>
      </w:r>
      <w:r w:rsidRPr="00A624C2">
        <w:rPr>
          <w:rFonts w:ascii="Book Antiqua" w:eastAsia="宋体" w:hAnsi="Book Antiqua"/>
          <w:sz w:val="24"/>
          <w:szCs w:val="24"/>
          <w:lang w:val="es-ES" w:eastAsia="zh-CN"/>
        </w:rPr>
        <w:t>;</w:t>
      </w:r>
      <w:r w:rsidR="00081837" w:rsidRPr="00A624C2">
        <w:rPr>
          <w:rFonts w:ascii="Book Antiqua" w:hAnsi="Book Antiqua"/>
          <w:sz w:val="24"/>
          <w:szCs w:val="24"/>
          <w:lang w:val="es-ES"/>
        </w:rPr>
        <w:t xml:space="preserve"> Julián Panés</w:t>
      </w:r>
      <w:r w:rsidR="00081837" w:rsidRPr="00A624C2">
        <w:rPr>
          <w:rFonts w:ascii="Book Antiqua" w:hAnsi="Book Antiqua"/>
          <w:sz w:val="24"/>
          <w:szCs w:val="24"/>
          <w:vertAlign w:val="superscript"/>
          <w:lang w:val="es-ES"/>
        </w:rPr>
        <w:t xml:space="preserve"> </w:t>
      </w:r>
      <w:r w:rsidR="00081837" w:rsidRPr="00A624C2">
        <w:rPr>
          <w:rFonts w:ascii="Book Antiqua" w:hAnsi="Book Antiqua"/>
          <w:sz w:val="24"/>
          <w:szCs w:val="24"/>
          <w:lang w:val="es-ES"/>
        </w:rPr>
        <w:t>(</w:t>
      </w:r>
      <w:r w:rsidR="00081837" w:rsidRPr="00A624C2">
        <w:rPr>
          <w:rFonts w:ascii="Book Antiqua" w:eastAsia="Times New Roman" w:hAnsi="Book Antiqua" w:cs="Times New Roman"/>
          <w:color w:val="000000"/>
          <w:sz w:val="24"/>
          <w:szCs w:val="24"/>
          <w:shd w:val="clear" w:color="auto" w:fill="FFFFFF"/>
          <w:lang w:eastAsia="es-ES"/>
        </w:rPr>
        <w:t>0000-0002-4971-6902</w:t>
      </w:r>
      <w:r w:rsidR="00081837" w:rsidRPr="00A624C2">
        <w:rPr>
          <w:rFonts w:ascii="Book Antiqua" w:hAnsi="Book Antiqua"/>
          <w:sz w:val="24"/>
          <w:szCs w:val="24"/>
          <w:lang w:val="es-ES"/>
        </w:rPr>
        <w:t>)</w:t>
      </w:r>
      <w:r w:rsidRPr="00A624C2">
        <w:rPr>
          <w:rFonts w:ascii="Book Antiqua" w:eastAsia="宋体" w:hAnsi="Book Antiqua"/>
          <w:sz w:val="24"/>
          <w:szCs w:val="24"/>
          <w:lang w:val="es-ES" w:eastAsia="zh-CN"/>
        </w:rPr>
        <w:t>;</w:t>
      </w:r>
      <w:r w:rsidR="00081837" w:rsidRPr="00A624C2">
        <w:rPr>
          <w:rFonts w:ascii="Book Antiqua" w:hAnsi="Book Antiqua"/>
          <w:sz w:val="24"/>
          <w:szCs w:val="24"/>
          <w:lang w:val="es-ES"/>
        </w:rPr>
        <w:t xml:space="preserve"> Ingrid Ordás (</w:t>
      </w:r>
      <w:r w:rsidR="00081837" w:rsidRPr="00A624C2">
        <w:rPr>
          <w:rFonts w:ascii="Book Antiqua" w:eastAsia="Times New Roman" w:hAnsi="Book Antiqua" w:cs="Times New Roman"/>
          <w:color w:val="000000"/>
          <w:sz w:val="24"/>
          <w:szCs w:val="24"/>
          <w:shd w:val="clear" w:color="auto" w:fill="FFFFFF"/>
          <w:lang w:eastAsia="es-ES"/>
        </w:rPr>
        <w:t>0000-0001-7632-0340</w:t>
      </w:r>
      <w:r w:rsidR="00081837" w:rsidRPr="00A624C2">
        <w:rPr>
          <w:rFonts w:ascii="Book Antiqua" w:hAnsi="Book Antiqua"/>
          <w:sz w:val="24"/>
          <w:szCs w:val="24"/>
          <w:lang w:val="es-ES"/>
        </w:rPr>
        <w:t>)</w:t>
      </w:r>
      <w:r w:rsidRPr="00A624C2">
        <w:rPr>
          <w:rFonts w:ascii="Book Antiqua" w:eastAsia="宋体" w:hAnsi="Book Antiqua"/>
          <w:sz w:val="24"/>
          <w:szCs w:val="24"/>
          <w:lang w:val="es-ES" w:eastAsia="zh-CN"/>
        </w:rPr>
        <w:t>.</w:t>
      </w:r>
    </w:p>
    <w:p w14:paraId="494FACB3" w14:textId="77777777" w:rsidR="00081837" w:rsidRPr="00A624C2" w:rsidRDefault="00081837" w:rsidP="0028587F">
      <w:pPr>
        <w:widowControl w:val="0"/>
        <w:autoSpaceDE w:val="0"/>
        <w:autoSpaceDN w:val="0"/>
        <w:adjustRightInd w:val="0"/>
        <w:spacing w:after="0" w:line="360" w:lineRule="auto"/>
        <w:jc w:val="both"/>
        <w:rPr>
          <w:rFonts w:ascii="Book Antiqua" w:hAnsi="Book Antiqua"/>
          <w:sz w:val="24"/>
          <w:szCs w:val="24"/>
          <w:lang w:val="es-ES"/>
        </w:rPr>
      </w:pPr>
    </w:p>
    <w:p w14:paraId="0E1923E7" w14:textId="2BD8A627" w:rsidR="00081837" w:rsidRPr="00A624C2" w:rsidRDefault="00840477" w:rsidP="0028587F">
      <w:pPr>
        <w:widowControl w:val="0"/>
        <w:autoSpaceDE w:val="0"/>
        <w:autoSpaceDN w:val="0"/>
        <w:adjustRightInd w:val="0"/>
        <w:spacing w:after="0" w:line="360" w:lineRule="auto"/>
        <w:jc w:val="both"/>
        <w:rPr>
          <w:rFonts w:ascii="Book Antiqua" w:hAnsi="Book Antiqua" w:cs="Book Antiqua"/>
          <w:sz w:val="24"/>
          <w:szCs w:val="24"/>
          <w:lang w:val="es-ES"/>
        </w:rPr>
      </w:pPr>
      <w:r w:rsidRPr="00A624C2">
        <w:rPr>
          <w:rFonts w:ascii="Book Antiqua" w:hAnsi="Book Antiqua" w:cs="Arial"/>
          <w:b/>
          <w:sz w:val="24"/>
          <w:szCs w:val="24"/>
        </w:rPr>
        <w:t>Author contributions</w:t>
      </w:r>
      <w:r w:rsidRPr="00A624C2">
        <w:rPr>
          <w:rFonts w:ascii="Book Antiqua" w:hAnsi="Book Antiqua" w:cs="Arial"/>
          <w:b/>
          <w:sz w:val="24"/>
          <w:szCs w:val="24"/>
          <w:lang w:eastAsia="zh-CN"/>
        </w:rPr>
        <w:t>:</w:t>
      </w:r>
      <w:r w:rsidR="00081837" w:rsidRPr="00A624C2">
        <w:rPr>
          <w:rFonts w:ascii="Book Antiqua" w:hAnsi="Book Antiqua" w:cs="Book Antiqua"/>
          <w:sz w:val="24"/>
          <w:szCs w:val="24"/>
          <w:lang w:val="es-ES"/>
        </w:rPr>
        <w:t xml:space="preserve"> </w:t>
      </w:r>
      <w:r w:rsidR="002B70E3" w:rsidRPr="00A624C2">
        <w:rPr>
          <w:rFonts w:ascii="Book Antiqua" w:hAnsi="Book Antiqua" w:cs="Book Antiqua"/>
          <w:sz w:val="24"/>
          <w:szCs w:val="24"/>
          <w:lang w:val="es-ES"/>
        </w:rPr>
        <w:t>Alfaro</w:t>
      </w:r>
      <w:r w:rsidRPr="00A624C2">
        <w:rPr>
          <w:rFonts w:ascii="Book Antiqua" w:eastAsia="宋体" w:hAnsi="Book Antiqua" w:cs="Book Antiqua"/>
          <w:sz w:val="24"/>
          <w:szCs w:val="24"/>
          <w:lang w:val="es-ES" w:eastAsia="zh-CN"/>
        </w:rPr>
        <w:t xml:space="preserve"> I</w:t>
      </w:r>
      <w:r w:rsidR="002B70E3" w:rsidRPr="00A624C2">
        <w:rPr>
          <w:rFonts w:ascii="Book Antiqua" w:hAnsi="Book Antiqua" w:cs="Book Antiqua"/>
          <w:sz w:val="24"/>
          <w:szCs w:val="24"/>
          <w:lang w:val="es-ES"/>
        </w:rPr>
        <w:t>, Salas</w:t>
      </w:r>
      <w:r w:rsidRPr="00A624C2">
        <w:rPr>
          <w:rFonts w:ascii="Book Antiqua" w:eastAsia="宋体" w:hAnsi="Book Antiqua" w:cs="Book Antiqua"/>
          <w:sz w:val="24"/>
          <w:szCs w:val="24"/>
          <w:lang w:val="es-ES" w:eastAsia="zh-CN"/>
        </w:rPr>
        <w:t xml:space="preserve"> A</w:t>
      </w:r>
      <w:r w:rsidR="002B70E3" w:rsidRPr="00A624C2">
        <w:rPr>
          <w:rFonts w:ascii="Book Antiqua" w:hAnsi="Book Antiqua" w:cs="Book Antiqua"/>
          <w:sz w:val="24"/>
          <w:szCs w:val="24"/>
          <w:lang w:val="es-ES"/>
        </w:rPr>
        <w:t>, Ricart</w:t>
      </w:r>
      <w:r w:rsidRPr="00A624C2">
        <w:rPr>
          <w:rFonts w:ascii="Book Antiqua" w:eastAsia="宋体" w:hAnsi="Book Antiqua" w:cs="Book Antiqua"/>
          <w:sz w:val="24"/>
          <w:szCs w:val="24"/>
          <w:lang w:val="es-ES" w:eastAsia="zh-CN"/>
        </w:rPr>
        <w:t xml:space="preserve"> E</w:t>
      </w:r>
      <w:r w:rsidR="002B70E3" w:rsidRPr="00A624C2">
        <w:rPr>
          <w:rFonts w:ascii="Book Antiqua" w:hAnsi="Book Antiqua" w:cs="Book Antiqua"/>
          <w:sz w:val="24"/>
          <w:szCs w:val="24"/>
          <w:lang w:val="es-ES"/>
        </w:rPr>
        <w:t xml:space="preserve">, Panés </w:t>
      </w:r>
      <w:r w:rsidRPr="00A624C2">
        <w:rPr>
          <w:rFonts w:ascii="Book Antiqua" w:eastAsia="宋体" w:hAnsi="Book Antiqua" w:cs="Book Antiqua"/>
          <w:sz w:val="24"/>
          <w:szCs w:val="24"/>
          <w:lang w:val="es-ES" w:eastAsia="zh-CN"/>
        </w:rPr>
        <w:t xml:space="preserve">J </w:t>
      </w:r>
      <w:r w:rsidR="002B70E3" w:rsidRPr="00A624C2">
        <w:rPr>
          <w:rFonts w:ascii="Book Antiqua" w:hAnsi="Book Antiqua" w:cs="Book Antiqua"/>
          <w:sz w:val="24"/>
          <w:szCs w:val="24"/>
          <w:lang w:val="es-ES"/>
        </w:rPr>
        <w:t xml:space="preserve">and Ordás </w:t>
      </w:r>
      <w:r w:rsidRPr="00A624C2">
        <w:rPr>
          <w:rFonts w:ascii="Book Antiqua" w:eastAsia="宋体" w:hAnsi="Book Antiqua" w:cs="Book Antiqua"/>
          <w:sz w:val="24"/>
          <w:szCs w:val="24"/>
          <w:lang w:val="es-ES" w:eastAsia="zh-CN"/>
        </w:rPr>
        <w:t xml:space="preserve">I </w:t>
      </w:r>
      <w:bookmarkStart w:id="2" w:name="OLE_LINK422"/>
      <w:bookmarkStart w:id="3" w:name="OLE_LINK423"/>
      <w:r w:rsidRPr="00A624C2">
        <w:rPr>
          <w:rFonts w:ascii="Book Antiqua" w:hAnsi="Book Antiqua" w:cs="Book Antiqua"/>
          <w:sz w:val="24"/>
          <w:szCs w:val="24"/>
          <w:lang w:val="es-ES"/>
        </w:rPr>
        <w:t xml:space="preserve">contributed </w:t>
      </w:r>
      <w:r w:rsidR="00081837" w:rsidRPr="00A624C2">
        <w:rPr>
          <w:rFonts w:ascii="Book Antiqua" w:hAnsi="Book Antiqua" w:cs="Book Antiqua"/>
          <w:sz w:val="24"/>
          <w:szCs w:val="24"/>
          <w:lang w:val="es-ES"/>
        </w:rPr>
        <w:t xml:space="preserve">to </w:t>
      </w:r>
      <w:bookmarkEnd w:id="2"/>
      <w:bookmarkEnd w:id="3"/>
      <w:r w:rsidR="00081837" w:rsidRPr="00A624C2">
        <w:rPr>
          <w:rFonts w:ascii="Book Antiqua" w:hAnsi="Book Antiqua" w:cs="Book Antiqua"/>
          <w:sz w:val="24"/>
          <w:szCs w:val="24"/>
          <w:lang w:val="es-ES"/>
        </w:rPr>
        <w:lastRenderedPageBreak/>
        <w:t xml:space="preserve">study conception and design; </w:t>
      </w:r>
      <w:r w:rsidR="002B70E3" w:rsidRPr="00A624C2">
        <w:rPr>
          <w:rFonts w:ascii="Book Antiqua" w:hAnsi="Book Antiqua" w:cs="Book Antiqua"/>
          <w:sz w:val="24"/>
          <w:szCs w:val="24"/>
          <w:lang w:val="es-ES"/>
        </w:rPr>
        <w:t>Masamunt</w:t>
      </w:r>
      <w:r w:rsidR="00EE7DFB" w:rsidRPr="00A624C2">
        <w:rPr>
          <w:rFonts w:ascii="Book Antiqua" w:eastAsia="宋体" w:hAnsi="Book Antiqua" w:cs="Book Antiqua"/>
          <w:sz w:val="24"/>
          <w:szCs w:val="24"/>
          <w:lang w:val="es-ES" w:eastAsia="zh-CN"/>
        </w:rPr>
        <w:t xml:space="preserve"> MC</w:t>
      </w:r>
      <w:r w:rsidR="002B70E3" w:rsidRPr="00A624C2">
        <w:rPr>
          <w:rFonts w:ascii="Book Antiqua" w:hAnsi="Book Antiqua" w:cs="Book Antiqua"/>
          <w:sz w:val="24"/>
          <w:szCs w:val="24"/>
          <w:lang w:val="es-ES"/>
        </w:rPr>
        <w:t xml:space="preserve">, </w:t>
      </w:r>
      <w:r w:rsidR="002B70E3" w:rsidRPr="00A624C2">
        <w:rPr>
          <w:rFonts w:ascii="Book Antiqua" w:eastAsia="Calibri" w:hAnsi="Book Antiqua" w:cs="Times New Roman"/>
          <w:sz w:val="24"/>
          <w:szCs w:val="24"/>
          <w:lang w:val="es-ES"/>
        </w:rPr>
        <w:t>López-García</w:t>
      </w:r>
      <w:r w:rsidR="00EE7DFB" w:rsidRPr="00A624C2">
        <w:rPr>
          <w:rFonts w:ascii="Book Antiqua" w:eastAsia="宋体" w:hAnsi="Book Antiqua" w:cs="Times New Roman"/>
          <w:sz w:val="24"/>
          <w:szCs w:val="24"/>
          <w:lang w:val="es-ES" w:eastAsia="zh-CN"/>
        </w:rPr>
        <w:t xml:space="preserve"> A</w:t>
      </w:r>
      <w:r w:rsidR="002B70E3" w:rsidRPr="00A624C2">
        <w:rPr>
          <w:rFonts w:ascii="Book Antiqua" w:hAnsi="Book Antiqua" w:cs="Helvetica"/>
          <w:i/>
          <w:sz w:val="24"/>
          <w:szCs w:val="24"/>
          <w:lang w:val="es-ES" w:eastAsia="es-ES"/>
        </w:rPr>
        <w:t xml:space="preserve">, </w:t>
      </w:r>
      <w:r w:rsidR="002B70E3" w:rsidRPr="00A624C2">
        <w:rPr>
          <w:rFonts w:ascii="Book Antiqua" w:hAnsi="Book Antiqua"/>
          <w:sz w:val="24"/>
          <w:szCs w:val="24"/>
          <w:lang w:val="es-ES"/>
        </w:rPr>
        <w:t>Castro</w:t>
      </w:r>
      <w:r w:rsidR="00EE7DFB" w:rsidRPr="00A624C2">
        <w:rPr>
          <w:rFonts w:ascii="Book Antiqua" w:eastAsia="宋体" w:hAnsi="Book Antiqua"/>
          <w:sz w:val="24"/>
          <w:szCs w:val="24"/>
          <w:lang w:val="es-ES" w:eastAsia="zh-CN"/>
        </w:rPr>
        <w:t xml:space="preserve"> J</w:t>
      </w:r>
      <w:r w:rsidR="002B70E3" w:rsidRPr="00A624C2">
        <w:rPr>
          <w:rFonts w:ascii="Book Antiqua" w:hAnsi="Book Antiqua" w:cs="Helvetica"/>
          <w:i/>
          <w:sz w:val="24"/>
          <w:szCs w:val="24"/>
          <w:lang w:val="es-ES" w:eastAsia="es-ES"/>
        </w:rPr>
        <w:t xml:space="preserve">, </w:t>
      </w:r>
      <w:r w:rsidR="002B70E3" w:rsidRPr="00A624C2">
        <w:rPr>
          <w:rFonts w:ascii="Book Antiqua" w:hAnsi="Book Antiqua"/>
          <w:sz w:val="24"/>
          <w:szCs w:val="24"/>
          <w:lang w:val="es-ES"/>
        </w:rPr>
        <w:t>Gallego</w:t>
      </w:r>
      <w:r w:rsidR="002B70E3" w:rsidRPr="00A624C2">
        <w:rPr>
          <w:rFonts w:ascii="Book Antiqua" w:hAnsi="Book Antiqua" w:cs="Helvetica"/>
          <w:i/>
          <w:sz w:val="24"/>
          <w:szCs w:val="24"/>
          <w:lang w:val="es-ES" w:eastAsia="es-ES"/>
        </w:rPr>
        <w:t xml:space="preserve"> </w:t>
      </w:r>
      <w:r w:rsidR="00EE7DFB" w:rsidRPr="00A624C2">
        <w:rPr>
          <w:rFonts w:ascii="Book Antiqua" w:eastAsia="宋体" w:hAnsi="Book Antiqua" w:cs="Helvetica"/>
          <w:sz w:val="24"/>
          <w:szCs w:val="24"/>
          <w:lang w:val="es-ES" w:eastAsia="zh-CN"/>
        </w:rPr>
        <w:t>M</w:t>
      </w:r>
      <w:r w:rsidR="002B70E3" w:rsidRPr="00A624C2">
        <w:rPr>
          <w:rFonts w:ascii="Book Antiqua" w:hAnsi="Book Antiqua" w:cs="Helvetica"/>
          <w:i/>
          <w:sz w:val="24"/>
          <w:szCs w:val="24"/>
          <w:lang w:val="es-ES" w:eastAsia="es-ES"/>
        </w:rPr>
        <w:t xml:space="preserve">, </w:t>
      </w:r>
      <w:r w:rsidR="002B70E3" w:rsidRPr="00A624C2">
        <w:rPr>
          <w:rFonts w:ascii="Book Antiqua" w:hAnsi="Book Antiqua"/>
          <w:sz w:val="24"/>
          <w:szCs w:val="24"/>
          <w:lang w:val="es-ES"/>
        </w:rPr>
        <w:t>Barastegui</w:t>
      </w:r>
      <w:r w:rsidR="00EE7DFB" w:rsidRPr="00A624C2">
        <w:rPr>
          <w:rFonts w:ascii="Book Antiqua" w:eastAsia="宋体" w:hAnsi="Book Antiqua"/>
          <w:sz w:val="24"/>
          <w:szCs w:val="24"/>
          <w:lang w:val="es-ES" w:eastAsia="zh-CN"/>
        </w:rPr>
        <w:t xml:space="preserve"> R</w:t>
      </w:r>
      <w:r w:rsidR="002B70E3" w:rsidRPr="00A624C2">
        <w:rPr>
          <w:rFonts w:ascii="Book Antiqua" w:hAnsi="Book Antiqua"/>
          <w:sz w:val="24"/>
          <w:szCs w:val="24"/>
          <w:lang w:val="es-ES"/>
        </w:rPr>
        <w:t xml:space="preserve">, Giner </w:t>
      </w:r>
      <w:r w:rsidR="00EE7DFB" w:rsidRPr="00A624C2">
        <w:rPr>
          <w:rFonts w:ascii="Book Antiqua" w:eastAsia="宋体" w:hAnsi="Book Antiqua"/>
          <w:sz w:val="24"/>
          <w:szCs w:val="24"/>
          <w:lang w:val="es-ES" w:eastAsia="zh-CN"/>
        </w:rPr>
        <w:t xml:space="preserve">A </w:t>
      </w:r>
      <w:r w:rsidR="002B70E3" w:rsidRPr="00A624C2">
        <w:rPr>
          <w:rFonts w:ascii="Book Antiqua" w:hAnsi="Book Antiqua"/>
          <w:sz w:val="24"/>
          <w:szCs w:val="24"/>
          <w:lang w:val="es-ES"/>
        </w:rPr>
        <w:t>and Vara</w:t>
      </w:r>
      <w:r w:rsidR="002B70E3" w:rsidRPr="00A624C2">
        <w:rPr>
          <w:rFonts w:ascii="Book Antiqua" w:hAnsi="Book Antiqua" w:cs="Book Antiqua"/>
          <w:sz w:val="24"/>
          <w:szCs w:val="24"/>
          <w:lang w:val="es-ES"/>
        </w:rPr>
        <w:t xml:space="preserve"> </w:t>
      </w:r>
      <w:r w:rsidR="00EE7DFB" w:rsidRPr="00A624C2">
        <w:rPr>
          <w:rFonts w:ascii="Book Antiqua" w:eastAsia="宋体" w:hAnsi="Book Antiqua" w:cs="Book Antiqua"/>
          <w:sz w:val="24"/>
          <w:szCs w:val="24"/>
          <w:lang w:val="es-ES" w:eastAsia="zh-CN"/>
        </w:rPr>
        <w:t xml:space="preserve">A </w:t>
      </w:r>
      <w:r w:rsidR="00081837" w:rsidRPr="00A624C2">
        <w:rPr>
          <w:rFonts w:ascii="Book Antiqua" w:hAnsi="Book Antiqua" w:cs="Book Antiqua"/>
          <w:sz w:val="24"/>
          <w:szCs w:val="24"/>
          <w:lang w:val="es-ES"/>
        </w:rPr>
        <w:t>contributed to</w:t>
      </w:r>
      <w:r w:rsidR="00EE7DFB" w:rsidRPr="00A624C2">
        <w:rPr>
          <w:rFonts w:ascii="Book Antiqua" w:hAnsi="Book Antiqua" w:cs="Book Antiqua"/>
          <w:sz w:val="24"/>
          <w:szCs w:val="24"/>
          <w:lang w:val="es-ES"/>
        </w:rPr>
        <w:t xml:space="preserve"> patients recruitment and data acquisition</w:t>
      </w:r>
      <w:r w:rsidR="00EE7DFB" w:rsidRPr="00A624C2">
        <w:rPr>
          <w:rFonts w:ascii="Book Antiqua" w:eastAsia="宋体" w:hAnsi="Book Antiqua" w:cs="Book Antiqua"/>
          <w:sz w:val="24"/>
          <w:szCs w:val="24"/>
          <w:lang w:val="es-ES" w:eastAsia="zh-CN"/>
        </w:rPr>
        <w:t>;</w:t>
      </w:r>
      <w:r w:rsidR="002B70E3" w:rsidRPr="00A624C2">
        <w:rPr>
          <w:rFonts w:ascii="Book Antiqua" w:hAnsi="Book Antiqua" w:cs="Book Antiqua"/>
          <w:sz w:val="24"/>
          <w:szCs w:val="24"/>
          <w:lang w:val="es-ES"/>
        </w:rPr>
        <w:t xml:space="preserve"> Planell </w:t>
      </w:r>
      <w:r w:rsidR="00EE7DFB" w:rsidRPr="00A624C2">
        <w:rPr>
          <w:rFonts w:ascii="Book Antiqua" w:eastAsia="宋体" w:hAnsi="Book Antiqua" w:cs="Book Antiqua"/>
          <w:sz w:val="24"/>
          <w:szCs w:val="24"/>
          <w:lang w:val="es-ES" w:eastAsia="zh-CN"/>
        </w:rPr>
        <w:t xml:space="preserve">N </w:t>
      </w:r>
      <w:r w:rsidR="00EE7DFB" w:rsidRPr="00A624C2">
        <w:rPr>
          <w:rFonts w:ascii="Book Antiqua" w:hAnsi="Book Antiqua" w:cs="Book Antiqua"/>
          <w:sz w:val="24"/>
          <w:szCs w:val="24"/>
          <w:lang w:val="es-ES"/>
        </w:rPr>
        <w:t xml:space="preserve">contributed to </w:t>
      </w:r>
      <w:r w:rsidR="00081837" w:rsidRPr="00A624C2">
        <w:rPr>
          <w:rFonts w:ascii="Book Antiqua" w:hAnsi="Book Antiqua" w:cs="Book Antiqua"/>
          <w:sz w:val="24"/>
          <w:szCs w:val="24"/>
          <w:lang w:val="es-ES"/>
        </w:rPr>
        <w:t>d</w:t>
      </w:r>
      <w:r w:rsidR="00EE7DFB" w:rsidRPr="00A624C2">
        <w:rPr>
          <w:rFonts w:ascii="Book Antiqua" w:hAnsi="Book Antiqua" w:cs="Book Antiqua"/>
          <w:sz w:val="24"/>
          <w:szCs w:val="24"/>
          <w:lang w:val="es-ES"/>
        </w:rPr>
        <w:t>ata analysis and interpretation</w:t>
      </w:r>
      <w:r w:rsidR="00EE7DFB" w:rsidRPr="00A624C2">
        <w:rPr>
          <w:rFonts w:ascii="Book Antiqua" w:eastAsia="宋体" w:hAnsi="Book Antiqua" w:cs="Book Antiqua"/>
          <w:sz w:val="24"/>
          <w:szCs w:val="24"/>
          <w:lang w:val="es-ES" w:eastAsia="zh-CN"/>
        </w:rPr>
        <w:t>;</w:t>
      </w:r>
      <w:r w:rsidR="002B70E3" w:rsidRPr="00A624C2">
        <w:rPr>
          <w:rFonts w:ascii="Book Antiqua" w:hAnsi="Book Antiqua" w:cs="Book Antiqua"/>
          <w:sz w:val="24"/>
          <w:szCs w:val="24"/>
          <w:lang w:val="es-ES"/>
        </w:rPr>
        <w:t xml:space="preserve"> Alfaro </w:t>
      </w:r>
      <w:r w:rsidR="00EE7DFB" w:rsidRPr="00A624C2">
        <w:rPr>
          <w:rFonts w:ascii="Book Antiqua" w:eastAsia="宋体" w:hAnsi="Book Antiqua" w:cs="Book Antiqua"/>
          <w:sz w:val="24"/>
          <w:szCs w:val="24"/>
          <w:lang w:val="es-ES" w:eastAsia="zh-CN"/>
        </w:rPr>
        <w:t xml:space="preserve">I </w:t>
      </w:r>
      <w:r w:rsidR="00EE7DFB" w:rsidRPr="00A624C2">
        <w:rPr>
          <w:rFonts w:ascii="Book Antiqua" w:hAnsi="Book Antiqua" w:cs="Book Antiqua"/>
          <w:sz w:val="24"/>
          <w:szCs w:val="24"/>
          <w:lang w:val="es-ES"/>
        </w:rPr>
        <w:t xml:space="preserve">contributed to </w:t>
      </w:r>
      <w:r w:rsidR="00081837" w:rsidRPr="00A624C2">
        <w:rPr>
          <w:rFonts w:ascii="Book Antiqua" w:hAnsi="Book Antiqua" w:cs="Book Antiqua"/>
          <w:sz w:val="24"/>
          <w:szCs w:val="24"/>
          <w:lang w:val="es-ES"/>
        </w:rPr>
        <w:t xml:space="preserve">writing of article; </w:t>
      </w:r>
      <w:r w:rsidR="002B70E3" w:rsidRPr="00A624C2">
        <w:rPr>
          <w:rFonts w:ascii="Book Antiqua" w:hAnsi="Book Antiqua" w:cs="Book Antiqua"/>
          <w:sz w:val="24"/>
          <w:szCs w:val="24"/>
          <w:lang w:val="es-ES"/>
        </w:rPr>
        <w:t xml:space="preserve">Panés </w:t>
      </w:r>
      <w:r w:rsidR="00EE7DFB" w:rsidRPr="00A624C2">
        <w:rPr>
          <w:rFonts w:ascii="Book Antiqua" w:eastAsia="宋体" w:hAnsi="Book Antiqua" w:cs="Book Antiqua"/>
          <w:sz w:val="24"/>
          <w:szCs w:val="24"/>
          <w:lang w:val="es-ES" w:eastAsia="zh-CN"/>
        </w:rPr>
        <w:t xml:space="preserve">J </w:t>
      </w:r>
      <w:r w:rsidR="002B70E3" w:rsidRPr="00A624C2">
        <w:rPr>
          <w:rFonts w:ascii="Book Antiqua" w:hAnsi="Book Antiqua" w:cs="Book Antiqua"/>
          <w:sz w:val="24"/>
          <w:szCs w:val="24"/>
          <w:lang w:val="es-ES"/>
        </w:rPr>
        <w:t xml:space="preserve">and Ordás </w:t>
      </w:r>
      <w:r w:rsidR="00EE7DFB" w:rsidRPr="00A624C2">
        <w:rPr>
          <w:rFonts w:ascii="Book Antiqua" w:eastAsia="宋体" w:hAnsi="Book Antiqua" w:cs="Book Antiqua"/>
          <w:sz w:val="24"/>
          <w:szCs w:val="24"/>
          <w:lang w:val="es-ES" w:eastAsia="zh-CN"/>
        </w:rPr>
        <w:t xml:space="preserve">I </w:t>
      </w:r>
      <w:r w:rsidR="002B70E3" w:rsidRPr="00A624C2">
        <w:rPr>
          <w:rFonts w:ascii="Book Antiqua" w:hAnsi="Book Antiqua" w:cs="Book Antiqua"/>
          <w:sz w:val="24"/>
          <w:szCs w:val="24"/>
          <w:lang w:val="es-ES"/>
        </w:rPr>
        <w:t>contributed to</w:t>
      </w:r>
      <w:r w:rsidR="00EE7DFB" w:rsidRPr="00A624C2">
        <w:rPr>
          <w:rFonts w:ascii="Book Antiqua" w:hAnsi="Book Antiqua" w:cs="Book Antiqua"/>
          <w:sz w:val="24"/>
          <w:szCs w:val="24"/>
          <w:lang w:val="es-ES"/>
        </w:rPr>
        <w:t xml:space="preserve"> editing and reviewing</w:t>
      </w:r>
      <w:r w:rsidR="00EE7DFB" w:rsidRPr="00A624C2">
        <w:rPr>
          <w:rFonts w:ascii="Book Antiqua" w:eastAsia="宋体" w:hAnsi="Book Antiqua" w:cs="Book Antiqua"/>
          <w:sz w:val="24"/>
          <w:szCs w:val="24"/>
          <w:lang w:val="es-ES" w:eastAsia="zh-CN"/>
        </w:rPr>
        <w:t>;</w:t>
      </w:r>
      <w:r w:rsidR="00996EC9" w:rsidRPr="00A624C2">
        <w:rPr>
          <w:rFonts w:ascii="Book Antiqua" w:hAnsi="Book Antiqua" w:cs="Book Antiqua"/>
          <w:sz w:val="24"/>
          <w:szCs w:val="24"/>
          <w:lang w:val="es-ES"/>
        </w:rPr>
        <w:t xml:space="preserve"> </w:t>
      </w:r>
      <w:r w:rsidR="00EE7DFB" w:rsidRPr="00A624C2">
        <w:rPr>
          <w:rFonts w:ascii="Book Antiqua" w:hAnsi="Book Antiqua" w:cs="Book Antiqua"/>
          <w:sz w:val="24"/>
          <w:szCs w:val="24"/>
          <w:lang w:val="es-ES"/>
        </w:rPr>
        <w:t>a</w:t>
      </w:r>
      <w:r w:rsidR="00996EC9" w:rsidRPr="00A624C2">
        <w:rPr>
          <w:rFonts w:ascii="Book Antiqua" w:hAnsi="Book Antiqua" w:cs="Book Antiqua"/>
          <w:sz w:val="24"/>
          <w:szCs w:val="24"/>
          <w:lang w:val="es-ES"/>
        </w:rPr>
        <w:t>ll aut</w:t>
      </w:r>
      <w:r w:rsidR="002B70E3" w:rsidRPr="00A624C2">
        <w:rPr>
          <w:rFonts w:ascii="Book Antiqua" w:hAnsi="Book Antiqua" w:cs="Book Antiqua"/>
          <w:sz w:val="24"/>
          <w:szCs w:val="24"/>
          <w:lang w:val="es-ES"/>
        </w:rPr>
        <w:t>hr</w:t>
      </w:r>
      <w:r w:rsidR="00996EC9" w:rsidRPr="00A624C2">
        <w:rPr>
          <w:rFonts w:ascii="Book Antiqua" w:hAnsi="Book Antiqua" w:cs="Book Antiqua"/>
          <w:sz w:val="24"/>
          <w:szCs w:val="24"/>
          <w:lang w:val="es-ES"/>
        </w:rPr>
        <w:t>o</w:t>
      </w:r>
      <w:r w:rsidR="002B70E3" w:rsidRPr="00A624C2">
        <w:rPr>
          <w:rFonts w:ascii="Book Antiqua" w:hAnsi="Book Antiqua" w:cs="Book Antiqua"/>
          <w:sz w:val="24"/>
          <w:szCs w:val="24"/>
          <w:lang w:val="es-ES"/>
        </w:rPr>
        <w:t>s ap</w:t>
      </w:r>
      <w:r w:rsidR="00996EC9" w:rsidRPr="00A624C2">
        <w:rPr>
          <w:rFonts w:ascii="Book Antiqua" w:hAnsi="Book Antiqua" w:cs="Book Antiqua"/>
          <w:sz w:val="24"/>
          <w:szCs w:val="24"/>
          <w:lang w:val="es-ES"/>
        </w:rPr>
        <w:t>prove the fi</w:t>
      </w:r>
      <w:r w:rsidR="002B70E3" w:rsidRPr="00A624C2">
        <w:rPr>
          <w:rFonts w:ascii="Book Antiqua" w:hAnsi="Book Antiqua" w:cs="Book Antiqua"/>
          <w:sz w:val="24"/>
          <w:szCs w:val="24"/>
          <w:lang w:val="es-ES"/>
        </w:rPr>
        <w:t>n</w:t>
      </w:r>
      <w:r w:rsidR="00996EC9" w:rsidRPr="00A624C2">
        <w:rPr>
          <w:rFonts w:ascii="Book Antiqua" w:hAnsi="Book Antiqua" w:cs="Book Antiqua"/>
          <w:sz w:val="24"/>
          <w:szCs w:val="24"/>
          <w:lang w:val="es-ES"/>
        </w:rPr>
        <w:t>a</w:t>
      </w:r>
      <w:r w:rsidR="002B70E3" w:rsidRPr="00A624C2">
        <w:rPr>
          <w:rFonts w:ascii="Book Antiqua" w:hAnsi="Book Antiqua" w:cs="Book Antiqua"/>
          <w:sz w:val="24"/>
          <w:szCs w:val="24"/>
          <w:lang w:val="es-ES"/>
        </w:rPr>
        <w:t xml:space="preserve">l versión of the </w:t>
      </w:r>
      <w:r w:rsidR="00081837" w:rsidRPr="00A624C2">
        <w:rPr>
          <w:rFonts w:ascii="Book Antiqua" w:hAnsi="Book Antiqua" w:cs="Book Antiqua"/>
          <w:sz w:val="24"/>
          <w:szCs w:val="24"/>
          <w:lang w:val="es-ES"/>
        </w:rPr>
        <w:t xml:space="preserve">article. </w:t>
      </w:r>
    </w:p>
    <w:p w14:paraId="34FFA50F" w14:textId="77777777" w:rsidR="005C25B4" w:rsidRPr="00A624C2" w:rsidRDefault="005C25B4" w:rsidP="0028587F">
      <w:pPr>
        <w:widowControl w:val="0"/>
        <w:autoSpaceDE w:val="0"/>
        <w:autoSpaceDN w:val="0"/>
        <w:adjustRightInd w:val="0"/>
        <w:spacing w:after="0" w:line="360" w:lineRule="auto"/>
        <w:jc w:val="both"/>
        <w:rPr>
          <w:rFonts w:ascii="Book Antiqua" w:eastAsia="宋体" w:hAnsi="Book Antiqua" w:cs="Times"/>
          <w:sz w:val="24"/>
          <w:szCs w:val="24"/>
          <w:lang w:val="es-ES" w:eastAsia="zh-CN"/>
        </w:rPr>
      </w:pPr>
    </w:p>
    <w:p w14:paraId="7583022C" w14:textId="08221653" w:rsidR="00081837" w:rsidRPr="00A624C2" w:rsidRDefault="00081837" w:rsidP="0028587F">
      <w:pPr>
        <w:widowControl w:val="0"/>
        <w:autoSpaceDE w:val="0"/>
        <w:autoSpaceDN w:val="0"/>
        <w:adjustRightInd w:val="0"/>
        <w:spacing w:after="0" w:line="360" w:lineRule="auto"/>
        <w:jc w:val="both"/>
        <w:rPr>
          <w:rFonts w:ascii="Book Antiqua" w:eastAsia="宋体" w:hAnsi="Book Antiqua" w:cs="Times"/>
          <w:sz w:val="24"/>
          <w:szCs w:val="24"/>
          <w:lang w:val="es-ES" w:eastAsia="zh-CN"/>
        </w:rPr>
      </w:pPr>
      <w:r w:rsidRPr="00A624C2">
        <w:rPr>
          <w:rFonts w:ascii="Book Antiqua" w:hAnsi="Book Antiqua" w:cs="Times"/>
          <w:b/>
          <w:sz w:val="24"/>
          <w:szCs w:val="24"/>
          <w:lang w:val="es-ES"/>
        </w:rPr>
        <w:t xml:space="preserve">Supported by </w:t>
      </w:r>
      <w:r w:rsidR="001E6859" w:rsidRPr="00A624C2">
        <w:rPr>
          <w:rFonts w:ascii="Book Antiqua" w:hAnsi="Book Antiqua" w:cs="Book Antiqua"/>
          <w:sz w:val="24"/>
          <w:szCs w:val="24"/>
          <w:lang w:val="es-ES"/>
        </w:rPr>
        <w:t>t</w:t>
      </w:r>
      <w:r w:rsidR="001A6DD4" w:rsidRPr="00A624C2">
        <w:rPr>
          <w:rFonts w:ascii="Book Antiqua" w:hAnsi="Book Antiqua" w:cs="Book Antiqua"/>
          <w:sz w:val="24"/>
          <w:szCs w:val="24"/>
          <w:lang w:val="es-ES"/>
        </w:rPr>
        <w:t xml:space="preserve">he </w:t>
      </w:r>
      <w:r w:rsidRPr="00A624C2">
        <w:rPr>
          <w:rFonts w:ascii="Book Antiqua" w:hAnsi="Book Antiqua" w:cs="Book Antiqua"/>
          <w:sz w:val="24"/>
          <w:szCs w:val="24"/>
          <w:lang w:val="es-ES"/>
        </w:rPr>
        <w:t>Leona M. And Ha</w:t>
      </w:r>
      <w:r w:rsidR="001E6859" w:rsidRPr="00A624C2">
        <w:rPr>
          <w:rFonts w:ascii="Book Antiqua" w:hAnsi="Book Antiqua" w:cs="Book Antiqua"/>
          <w:sz w:val="24"/>
          <w:szCs w:val="24"/>
          <w:lang w:val="es-ES"/>
        </w:rPr>
        <w:t>rry B Helmsley Charitable Trust</w:t>
      </w:r>
      <w:r w:rsidR="001E6859" w:rsidRPr="00A624C2">
        <w:rPr>
          <w:rFonts w:ascii="Book Antiqua" w:eastAsia="宋体" w:hAnsi="Book Antiqua" w:cs="Book Antiqua"/>
          <w:sz w:val="24"/>
          <w:szCs w:val="24"/>
          <w:lang w:val="es-ES" w:eastAsia="zh-CN"/>
        </w:rPr>
        <w:t xml:space="preserve"> </w:t>
      </w:r>
      <w:r w:rsidR="001E6859" w:rsidRPr="00A624C2">
        <w:rPr>
          <w:rFonts w:ascii="Book Antiqua" w:hAnsi="Book Antiqua"/>
          <w:sz w:val="24"/>
          <w:szCs w:val="24"/>
        </w:rPr>
        <w:t>2015PG-IBD005</w:t>
      </w:r>
      <w:r w:rsidR="001E6859" w:rsidRPr="00A624C2">
        <w:rPr>
          <w:rFonts w:ascii="Book Antiqua" w:eastAsia="宋体" w:hAnsi="Book Antiqua" w:cs="Book Antiqua"/>
          <w:sz w:val="24"/>
          <w:szCs w:val="24"/>
          <w:lang w:val="es-ES" w:eastAsia="zh-CN"/>
        </w:rPr>
        <w:t>.</w:t>
      </w:r>
    </w:p>
    <w:p w14:paraId="28838D88" w14:textId="77777777" w:rsidR="005C25B4" w:rsidRPr="00A624C2" w:rsidRDefault="005C25B4" w:rsidP="0028587F">
      <w:pPr>
        <w:widowControl w:val="0"/>
        <w:autoSpaceDE w:val="0"/>
        <w:autoSpaceDN w:val="0"/>
        <w:adjustRightInd w:val="0"/>
        <w:spacing w:after="0" w:line="360" w:lineRule="auto"/>
        <w:jc w:val="both"/>
        <w:rPr>
          <w:rFonts w:ascii="Book Antiqua" w:eastAsia="宋体" w:hAnsi="Book Antiqua" w:cs="Times"/>
          <w:sz w:val="24"/>
          <w:szCs w:val="24"/>
          <w:lang w:eastAsia="zh-CN"/>
        </w:rPr>
      </w:pPr>
    </w:p>
    <w:p w14:paraId="36D75FD3" w14:textId="08BD35ED" w:rsidR="005C25B4" w:rsidRPr="00A624C2" w:rsidRDefault="003A75B8" w:rsidP="0028587F">
      <w:pPr>
        <w:widowControl w:val="0"/>
        <w:autoSpaceDE w:val="0"/>
        <w:autoSpaceDN w:val="0"/>
        <w:adjustRightInd w:val="0"/>
        <w:spacing w:after="0" w:line="360" w:lineRule="auto"/>
        <w:jc w:val="both"/>
        <w:rPr>
          <w:rFonts w:ascii="Book Antiqua" w:eastAsia="Times New Roman" w:hAnsi="Book Antiqua" w:cs="TimesNewRomanPS-BoldItalicMT"/>
          <w:bCs/>
          <w:iCs/>
          <w:sz w:val="24"/>
          <w:szCs w:val="24"/>
        </w:rPr>
      </w:pPr>
      <w:r w:rsidRPr="00A624C2">
        <w:rPr>
          <w:rFonts w:ascii="Book Antiqua" w:hAnsi="Book Antiqua" w:cs="Arial"/>
          <w:b/>
          <w:sz w:val="24"/>
          <w:szCs w:val="24"/>
          <w:lang w:eastAsia="zh-CN"/>
        </w:rPr>
        <w:t>Institutional review board statement:</w:t>
      </w:r>
      <w:r w:rsidRPr="00A624C2">
        <w:rPr>
          <w:rFonts w:ascii="Book Antiqua" w:hAnsi="Book Antiqua" w:cs="Times"/>
          <w:sz w:val="24"/>
          <w:szCs w:val="24"/>
          <w:lang w:val="es-ES"/>
        </w:rPr>
        <w:t xml:space="preserve"> </w:t>
      </w:r>
      <w:r w:rsidR="00177257" w:rsidRPr="00A624C2">
        <w:rPr>
          <w:rFonts w:ascii="Book Antiqua" w:eastAsia="Times New Roman" w:hAnsi="Book Antiqua" w:cs="TimesNewRomanPS-BoldItalicMT"/>
          <w:bCs/>
          <w:iCs/>
          <w:sz w:val="24"/>
          <w:szCs w:val="24"/>
        </w:rPr>
        <w:t>The study was reviewed and approved by the Hospital Clinic of Barcelona Institutional Review Board.</w:t>
      </w:r>
    </w:p>
    <w:p w14:paraId="20485C1D" w14:textId="77777777" w:rsidR="003A75B8" w:rsidRPr="00A624C2" w:rsidRDefault="003A75B8" w:rsidP="0028587F">
      <w:pPr>
        <w:widowControl w:val="0"/>
        <w:autoSpaceDE w:val="0"/>
        <w:autoSpaceDN w:val="0"/>
        <w:adjustRightInd w:val="0"/>
        <w:spacing w:after="0" w:line="360" w:lineRule="auto"/>
        <w:jc w:val="both"/>
        <w:rPr>
          <w:rFonts w:ascii="Book Antiqua" w:eastAsia="宋体" w:hAnsi="Book Antiqua" w:cs="Times"/>
          <w:sz w:val="24"/>
          <w:szCs w:val="24"/>
          <w:lang w:val="es-ES" w:eastAsia="zh-CN"/>
        </w:rPr>
      </w:pPr>
    </w:p>
    <w:p w14:paraId="7EFD7036" w14:textId="0BA4C67A" w:rsidR="005C25B4" w:rsidRPr="00A624C2" w:rsidRDefault="003A75B8" w:rsidP="0028587F">
      <w:pPr>
        <w:widowControl w:val="0"/>
        <w:autoSpaceDE w:val="0"/>
        <w:autoSpaceDN w:val="0"/>
        <w:adjustRightInd w:val="0"/>
        <w:spacing w:after="0" w:line="360" w:lineRule="auto"/>
        <w:jc w:val="both"/>
        <w:rPr>
          <w:rFonts w:ascii="Book Antiqua" w:eastAsia="宋体" w:hAnsi="Book Antiqua"/>
          <w:sz w:val="24"/>
          <w:szCs w:val="24"/>
          <w:lang w:eastAsia="zh-CN"/>
        </w:rPr>
      </w:pPr>
      <w:r w:rsidRPr="00A624C2">
        <w:rPr>
          <w:rFonts w:ascii="Book Antiqua" w:hAnsi="Book Antiqua" w:cs="Arial"/>
          <w:b/>
          <w:sz w:val="24"/>
          <w:szCs w:val="24"/>
          <w:lang w:eastAsia="zh-CN"/>
        </w:rPr>
        <w:t>Informed consent statement:</w:t>
      </w:r>
      <w:r w:rsidR="00081837" w:rsidRPr="00A624C2">
        <w:rPr>
          <w:rFonts w:ascii="Book Antiqua" w:hAnsi="Book Antiqua" w:cs="Times"/>
          <w:sz w:val="24"/>
          <w:szCs w:val="24"/>
          <w:lang w:val="es-ES"/>
        </w:rPr>
        <w:t xml:space="preserve"> </w:t>
      </w:r>
      <w:r w:rsidR="00177257" w:rsidRPr="00A624C2">
        <w:rPr>
          <w:rFonts w:ascii="Book Antiqua" w:hAnsi="Book Antiqua"/>
          <w:sz w:val="24"/>
          <w:szCs w:val="24"/>
        </w:rPr>
        <w:t>All study participants or their legal guardian provided informed written consent about personal and medical data collection prior to study enrolment.</w:t>
      </w:r>
    </w:p>
    <w:p w14:paraId="4B5EDDBB" w14:textId="77777777" w:rsidR="003A75B8" w:rsidRPr="00A624C2" w:rsidRDefault="003A75B8" w:rsidP="0028587F">
      <w:pPr>
        <w:widowControl w:val="0"/>
        <w:autoSpaceDE w:val="0"/>
        <w:autoSpaceDN w:val="0"/>
        <w:adjustRightInd w:val="0"/>
        <w:spacing w:after="0" w:line="360" w:lineRule="auto"/>
        <w:jc w:val="both"/>
        <w:rPr>
          <w:rFonts w:ascii="Book Antiqua" w:eastAsia="宋体" w:hAnsi="Book Antiqua" w:cs="Times"/>
          <w:sz w:val="24"/>
          <w:szCs w:val="24"/>
          <w:lang w:val="es-ES" w:eastAsia="zh-CN"/>
        </w:rPr>
      </w:pPr>
    </w:p>
    <w:p w14:paraId="526F6053" w14:textId="6D3ACFD5" w:rsidR="00081837" w:rsidRPr="00A624C2" w:rsidRDefault="003A75B8" w:rsidP="0028587F">
      <w:pPr>
        <w:widowControl w:val="0"/>
        <w:autoSpaceDE w:val="0"/>
        <w:autoSpaceDN w:val="0"/>
        <w:adjustRightInd w:val="0"/>
        <w:spacing w:after="0" w:line="360" w:lineRule="auto"/>
        <w:jc w:val="both"/>
        <w:rPr>
          <w:rFonts w:ascii="Book Antiqua" w:eastAsia="宋体" w:hAnsi="Book Antiqua" w:cs="Times"/>
          <w:sz w:val="24"/>
          <w:szCs w:val="24"/>
          <w:lang w:val="es-ES" w:eastAsia="zh-CN"/>
        </w:rPr>
      </w:pPr>
      <w:r w:rsidRPr="00A624C2">
        <w:rPr>
          <w:rFonts w:ascii="Book Antiqua" w:hAnsi="Book Antiqua" w:cs="Arial"/>
          <w:b/>
          <w:sz w:val="24"/>
          <w:szCs w:val="24"/>
          <w:lang w:eastAsia="zh-CN"/>
        </w:rPr>
        <w:t>Conflict-of-interest statement:</w:t>
      </w:r>
      <w:r w:rsidR="00081837" w:rsidRPr="00A624C2">
        <w:rPr>
          <w:rFonts w:ascii="Book Antiqua" w:hAnsi="Book Antiqua" w:cs="Times"/>
          <w:sz w:val="24"/>
          <w:szCs w:val="24"/>
          <w:lang w:val="es-ES"/>
        </w:rPr>
        <w:t xml:space="preserve"> </w:t>
      </w:r>
      <w:r w:rsidR="00177257" w:rsidRPr="00A624C2">
        <w:rPr>
          <w:rFonts w:ascii="Book Antiqua" w:hAnsi="Book Antiqua"/>
          <w:sz w:val="24"/>
          <w:szCs w:val="24"/>
        </w:rPr>
        <w:t>All the Authors have no conflict of interest related to the manuscript.</w:t>
      </w:r>
    </w:p>
    <w:p w14:paraId="3E696C97" w14:textId="77777777" w:rsidR="005C25B4" w:rsidRPr="00A624C2" w:rsidRDefault="005C25B4" w:rsidP="0028587F">
      <w:pPr>
        <w:widowControl w:val="0"/>
        <w:autoSpaceDE w:val="0"/>
        <w:autoSpaceDN w:val="0"/>
        <w:adjustRightInd w:val="0"/>
        <w:spacing w:after="0" w:line="360" w:lineRule="auto"/>
        <w:jc w:val="both"/>
        <w:rPr>
          <w:rFonts w:ascii="Book Antiqua" w:eastAsia="宋体" w:hAnsi="Book Antiqua" w:cs="Times"/>
          <w:sz w:val="24"/>
          <w:szCs w:val="24"/>
          <w:lang w:val="es-ES" w:eastAsia="zh-CN"/>
        </w:rPr>
      </w:pPr>
    </w:p>
    <w:p w14:paraId="520971C3" w14:textId="25CD4731" w:rsidR="003A75B8" w:rsidRPr="00A624C2" w:rsidRDefault="003A75B8" w:rsidP="003A75B8">
      <w:pPr>
        <w:spacing w:after="0" w:line="360" w:lineRule="auto"/>
        <w:jc w:val="both"/>
        <w:rPr>
          <w:rFonts w:ascii="Book Antiqua" w:eastAsia="宋体" w:hAnsi="Book Antiqua" w:cs="Arial"/>
          <w:color w:val="333333"/>
          <w:sz w:val="24"/>
          <w:szCs w:val="24"/>
          <w:lang w:eastAsia="zh-CN"/>
        </w:rPr>
      </w:pPr>
      <w:r w:rsidRPr="00A624C2">
        <w:rPr>
          <w:rFonts w:ascii="Book Antiqua" w:hAnsi="Book Antiqua" w:cs="Arial"/>
          <w:b/>
          <w:sz w:val="24"/>
          <w:szCs w:val="24"/>
          <w:lang w:eastAsia="zh-CN"/>
        </w:rPr>
        <w:t>Data sharing statement:</w:t>
      </w:r>
      <w:r w:rsidRPr="00A624C2">
        <w:rPr>
          <w:rFonts w:ascii="Book Antiqua" w:eastAsia="宋体" w:hAnsi="Book Antiqua" w:cs="Arial"/>
          <w:b/>
          <w:sz w:val="24"/>
          <w:szCs w:val="24"/>
          <w:lang w:eastAsia="zh-CN"/>
        </w:rPr>
        <w:t xml:space="preserve"> </w:t>
      </w:r>
      <w:r w:rsidRPr="00A624C2">
        <w:rPr>
          <w:rFonts w:ascii="Book Antiqua" w:eastAsia="Times New Roman" w:hAnsi="Book Antiqua" w:cs="Arial"/>
          <w:color w:val="333333"/>
          <w:sz w:val="24"/>
          <w:szCs w:val="24"/>
          <w:lang w:eastAsia="es-ES"/>
        </w:rPr>
        <w:t>All available data can be obtained by contacting the corresponding author</w:t>
      </w:r>
    </w:p>
    <w:p w14:paraId="69738210" w14:textId="77777777" w:rsidR="003A75B8" w:rsidRPr="00A624C2" w:rsidRDefault="003A75B8" w:rsidP="0028587F">
      <w:pPr>
        <w:widowControl w:val="0"/>
        <w:autoSpaceDE w:val="0"/>
        <w:autoSpaceDN w:val="0"/>
        <w:adjustRightInd w:val="0"/>
        <w:spacing w:after="0" w:line="360" w:lineRule="auto"/>
        <w:jc w:val="both"/>
        <w:rPr>
          <w:rFonts w:ascii="Book Antiqua" w:eastAsia="宋体" w:hAnsi="Book Antiqua" w:cs="Times"/>
          <w:sz w:val="24"/>
          <w:szCs w:val="24"/>
          <w:lang w:val="es-ES" w:eastAsia="zh-CN"/>
        </w:rPr>
      </w:pPr>
    </w:p>
    <w:p w14:paraId="15DA29B2" w14:textId="57A7187B" w:rsidR="00F24CE5" w:rsidRPr="00A624C2" w:rsidRDefault="003A75B8" w:rsidP="003A75B8">
      <w:pPr>
        <w:snapToGrid w:val="0"/>
        <w:spacing w:after="0" w:line="360" w:lineRule="auto"/>
        <w:jc w:val="both"/>
        <w:rPr>
          <w:rFonts w:ascii="Book Antiqua" w:hAnsi="Book Antiqua"/>
          <w:b/>
          <w:bCs/>
          <w:color w:val="000000"/>
          <w:sz w:val="24"/>
        </w:rPr>
      </w:pPr>
      <w:r w:rsidRPr="00A624C2">
        <w:rPr>
          <w:rFonts w:ascii="Book Antiqua" w:hAnsi="Book Antiqua"/>
          <w:b/>
          <w:bCs/>
          <w:color w:val="000000"/>
          <w:sz w:val="24"/>
        </w:rPr>
        <w:t>CONSORT 2010 statement:</w:t>
      </w:r>
      <w:r w:rsidRPr="00A624C2">
        <w:rPr>
          <w:rFonts w:ascii="Book Antiqua" w:eastAsia="宋体" w:hAnsi="Book Antiqua"/>
          <w:b/>
          <w:bCs/>
          <w:color w:val="000000"/>
          <w:sz w:val="24"/>
          <w:lang w:eastAsia="zh-CN"/>
        </w:rPr>
        <w:t xml:space="preserve"> </w:t>
      </w:r>
      <w:r w:rsidR="00484D67" w:rsidRPr="00A624C2">
        <w:rPr>
          <w:rFonts w:ascii="Book Antiqua" w:hAnsi="Book Antiqua" w:cs="Garamond"/>
          <w:color w:val="000000"/>
          <w:sz w:val="24"/>
          <w:szCs w:val="24"/>
        </w:rPr>
        <w:t>The authors have read the CONSORT 2010 Statement, and the manuscript was prepared and revised according to the CONSORT 2010</w:t>
      </w:r>
      <w:r w:rsidRPr="00A624C2">
        <w:rPr>
          <w:rFonts w:ascii="Book Antiqua" w:eastAsia="宋体" w:hAnsi="Book Antiqua" w:cs="Garamond"/>
          <w:color w:val="000000"/>
          <w:sz w:val="24"/>
          <w:szCs w:val="24"/>
          <w:lang w:eastAsia="zh-CN"/>
        </w:rPr>
        <w:t xml:space="preserve"> </w:t>
      </w:r>
      <w:r w:rsidR="00484D67" w:rsidRPr="00A624C2">
        <w:rPr>
          <w:rFonts w:ascii="Book Antiqua" w:hAnsi="Book Antiqua" w:cs="Garamond"/>
          <w:color w:val="000000"/>
          <w:sz w:val="24"/>
          <w:szCs w:val="24"/>
        </w:rPr>
        <w:t>Statement.</w:t>
      </w:r>
    </w:p>
    <w:p w14:paraId="5CDFF41E" w14:textId="77777777" w:rsidR="005C25B4" w:rsidRPr="00A624C2" w:rsidRDefault="005C25B4" w:rsidP="0028587F">
      <w:pPr>
        <w:widowControl w:val="0"/>
        <w:autoSpaceDE w:val="0"/>
        <w:autoSpaceDN w:val="0"/>
        <w:adjustRightInd w:val="0"/>
        <w:spacing w:after="0" w:line="360" w:lineRule="auto"/>
        <w:jc w:val="both"/>
        <w:rPr>
          <w:rFonts w:ascii="Book Antiqua" w:eastAsia="宋体" w:hAnsi="Book Antiqua" w:cs="Times"/>
          <w:sz w:val="24"/>
          <w:szCs w:val="24"/>
          <w:lang w:val="es-ES" w:eastAsia="zh-CN"/>
        </w:rPr>
      </w:pPr>
    </w:p>
    <w:p w14:paraId="732C358C" w14:textId="77777777" w:rsidR="003A75B8" w:rsidRPr="00A624C2" w:rsidRDefault="003A75B8" w:rsidP="003A75B8">
      <w:pPr>
        <w:spacing w:after="0" w:line="360" w:lineRule="auto"/>
        <w:jc w:val="both"/>
        <w:rPr>
          <w:rFonts w:ascii="Book Antiqua" w:eastAsia="宋体" w:hAnsi="Book Antiqua" w:cs="宋体"/>
          <w:color w:val="000000" w:themeColor="text1"/>
          <w:sz w:val="24"/>
          <w:szCs w:val="24"/>
          <w:u w:val="single"/>
          <w:lang w:eastAsia="zh-CN"/>
        </w:rPr>
      </w:pPr>
      <w:r w:rsidRPr="00A624C2">
        <w:rPr>
          <w:rFonts w:ascii="Book Antiqua" w:eastAsia="宋体" w:hAnsi="Book Antiqua" w:cs="宋体"/>
          <w:b/>
          <w:color w:val="000000" w:themeColor="text1"/>
          <w:sz w:val="24"/>
          <w:szCs w:val="24"/>
          <w:lang w:eastAsia="zh-CN"/>
        </w:rPr>
        <w:t xml:space="preserve">Open-Access: </w:t>
      </w:r>
      <w:r w:rsidRPr="00A624C2">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A624C2">
        <w:rPr>
          <w:rFonts w:ascii="Book Antiqua" w:eastAsia="宋体" w:hAnsi="Book Antiqua" w:cs="宋体"/>
          <w:color w:val="000000" w:themeColor="text1"/>
          <w:sz w:val="24"/>
          <w:szCs w:val="24"/>
          <w:lang w:eastAsia="zh-CN"/>
        </w:rPr>
        <w:lastRenderedPageBreak/>
        <w:t xml:space="preserve">provided the original work is properly cited and the use is non-commercial. See: </w:t>
      </w:r>
      <w:r w:rsidR="001E48E3" w:rsidRPr="00A624C2">
        <w:rPr>
          <w:rFonts w:ascii="Book Antiqua" w:hAnsi="Book Antiqua"/>
        </w:rPr>
        <w:fldChar w:fldCharType="begin"/>
      </w:r>
      <w:r w:rsidR="001E48E3" w:rsidRPr="00A624C2">
        <w:rPr>
          <w:rFonts w:ascii="Book Antiqua" w:hAnsi="Book Antiqua"/>
        </w:rPr>
        <w:instrText xml:space="preserve"> HYPERLINK "http://creativecommons.org/licenses/by-nc/4.0/" </w:instrText>
      </w:r>
      <w:r w:rsidR="001E48E3" w:rsidRPr="00A624C2">
        <w:rPr>
          <w:rFonts w:ascii="Book Antiqua" w:hAnsi="Book Antiqua"/>
        </w:rPr>
        <w:fldChar w:fldCharType="separate"/>
      </w:r>
      <w:r w:rsidRPr="00A624C2">
        <w:rPr>
          <w:rFonts w:ascii="Book Antiqua" w:eastAsia="宋体" w:hAnsi="Book Antiqua" w:cs="宋体"/>
          <w:color w:val="000000" w:themeColor="text1"/>
          <w:sz w:val="24"/>
          <w:szCs w:val="24"/>
          <w:lang w:eastAsia="zh-CN"/>
        </w:rPr>
        <w:t>http://creativecommons.org/licenses/by-nc/4.0/</w:t>
      </w:r>
      <w:r w:rsidR="001E48E3" w:rsidRPr="00A624C2">
        <w:rPr>
          <w:rFonts w:ascii="Book Antiqua" w:eastAsia="宋体" w:hAnsi="Book Antiqua" w:cs="宋体"/>
          <w:color w:val="000000" w:themeColor="text1"/>
          <w:sz w:val="24"/>
          <w:szCs w:val="24"/>
          <w:lang w:eastAsia="zh-CN"/>
        </w:rPr>
        <w:fldChar w:fldCharType="end"/>
      </w:r>
    </w:p>
    <w:p w14:paraId="020F4415" w14:textId="77777777" w:rsidR="003A75B8" w:rsidRPr="00A624C2" w:rsidRDefault="003A75B8" w:rsidP="003A75B8">
      <w:pPr>
        <w:spacing w:after="0" w:line="360" w:lineRule="auto"/>
        <w:jc w:val="both"/>
        <w:rPr>
          <w:rFonts w:ascii="Book Antiqua" w:eastAsia="宋体" w:hAnsi="Book Antiqua" w:cs="宋体"/>
          <w:color w:val="000000" w:themeColor="text1"/>
          <w:sz w:val="24"/>
          <w:szCs w:val="24"/>
          <w:u w:val="single"/>
          <w:lang w:eastAsia="zh-CN"/>
        </w:rPr>
      </w:pPr>
    </w:p>
    <w:p w14:paraId="1EB395A6" w14:textId="7F2C066E" w:rsidR="003A75B8" w:rsidRPr="00A624C2" w:rsidRDefault="003A75B8" w:rsidP="003A75B8">
      <w:pPr>
        <w:spacing w:after="0" w:line="360" w:lineRule="auto"/>
        <w:jc w:val="both"/>
        <w:rPr>
          <w:rFonts w:ascii="Book Antiqua" w:eastAsia="宋体" w:hAnsi="Book Antiqua" w:cs="宋体"/>
          <w:b/>
          <w:color w:val="000000" w:themeColor="text1"/>
          <w:sz w:val="24"/>
          <w:szCs w:val="24"/>
          <w:lang w:eastAsia="zh-CN"/>
        </w:rPr>
      </w:pPr>
      <w:r w:rsidRPr="00A624C2">
        <w:rPr>
          <w:rFonts w:ascii="Book Antiqua" w:eastAsia="宋体" w:hAnsi="Book Antiqua" w:cs="宋体"/>
          <w:b/>
          <w:color w:val="000000" w:themeColor="text1"/>
          <w:sz w:val="24"/>
          <w:szCs w:val="24"/>
          <w:lang w:eastAsia="zh-CN"/>
        </w:rPr>
        <w:t xml:space="preserve">Manuscript source: </w:t>
      </w:r>
      <w:r w:rsidR="009E4206" w:rsidRPr="00A624C2">
        <w:rPr>
          <w:rFonts w:ascii="Book Antiqua" w:eastAsia="宋体" w:hAnsi="Book Antiqua" w:cs="宋体"/>
          <w:color w:val="000000" w:themeColor="text1"/>
          <w:sz w:val="24"/>
          <w:szCs w:val="24"/>
          <w:lang w:eastAsia="zh-CN"/>
        </w:rPr>
        <w:t>Unsolicited manuscript</w:t>
      </w:r>
    </w:p>
    <w:p w14:paraId="30882CD2" w14:textId="77777777" w:rsidR="003A75B8" w:rsidRPr="00A624C2" w:rsidRDefault="003A75B8" w:rsidP="0028587F">
      <w:pPr>
        <w:widowControl w:val="0"/>
        <w:autoSpaceDE w:val="0"/>
        <w:autoSpaceDN w:val="0"/>
        <w:adjustRightInd w:val="0"/>
        <w:spacing w:after="0" w:line="360" w:lineRule="auto"/>
        <w:jc w:val="both"/>
        <w:rPr>
          <w:rFonts w:ascii="Book Antiqua" w:eastAsia="宋体" w:hAnsi="Book Antiqua" w:cs="Times"/>
          <w:sz w:val="24"/>
          <w:szCs w:val="24"/>
          <w:lang w:eastAsia="zh-CN"/>
        </w:rPr>
      </w:pPr>
    </w:p>
    <w:p w14:paraId="32998C39" w14:textId="4313CA81" w:rsidR="006121F8" w:rsidRPr="00A624C2" w:rsidRDefault="003A75B8" w:rsidP="0028587F">
      <w:pPr>
        <w:widowControl w:val="0"/>
        <w:autoSpaceDE w:val="0"/>
        <w:autoSpaceDN w:val="0"/>
        <w:adjustRightInd w:val="0"/>
        <w:spacing w:after="0" w:line="360" w:lineRule="auto"/>
        <w:jc w:val="both"/>
        <w:rPr>
          <w:rFonts w:ascii="Book Antiqua" w:eastAsia="宋体" w:hAnsi="Book Antiqua" w:cs="AdvTTae86113c"/>
          <w:color w:val="000000"/>
          <w:sz w:val="24"/>
          <w:szCs w:val="24"/>
          <w:lang w:val="es-ES" w:eastAsia="zh-CN"/>
        </w:rPr>
      </w:pPr>
      <w:r w:rsidRPr="00A624C2">
        <w:rPr>
          <w:rFonts w:ascii="Book Antiqua" w:hAnsi="Book Antiqua"/>
          <w:b/>
          <w:sz w:val="24"/>
          <w:szCs w:val="24"/>
        </w:rPr>
        <w:t>Correspond</w:t>
      </w:r>
      <w:r w:rsidRPr="00A624C2">
        <w:rPr>
          <w:rFonts w:ascii="Book Antiqua" w:eastAsia="宋体" w:hAnsi="Book Antiqua"/>
          <w:b/>
          <w:sz w:val="24"/>
          <w:szCs w:val="24"/>
          <w:lang w:eastAsia="zh-CN"/>
        </w:rPr>
        <w:t>ing author</w:t>
      </w:r>
      <w:r w:rsidRPr="00A624C2">
        <w:rPr>
          <w:rFonts w:ascii="Book Antiqua" w:hAnsi="Book Antiqua"/>
          <w:b/>
          <w:sz w:val="24"/>
          <w:szCs w:val="24"/>
        </w:rPr>
        <w:t>:</w:t>
      </w:r>
      <w:r w:rsidR="00081837" w:rsidRPr="00A624C2">
        <w:rPr>
          <w:rFonts w:ascii="Book Antiqua" w:hAnsi="Book Antiqua" w:cs="Times"/>
          <w:sz w:val="24"/>
          <w:szCs w:val="24"/>
          <w:lang w:val="es-ES"/>
        </w:rPr>
        <w:t xml:space="preserve"> </w:t>
      </w:r>
      <w:r w:rsidR="00081837" w:rsidRPr="00A624C2">
        <w:rPr>
          <w:rFonts w:ascii="Book Antiqua" w:hAnsi="Book Antiqua"/>
          <w:b/>
          <w:sz w:val="24"/>
          <w:szCs w:val="24"/>
        </w:rPr>
        <w:t>Ingrid Ordás</w:t>
      </w:r>
      <w:r w:rsidRPr="00A624C2">
        <w:rPr>
          <w:rFonts w:ascii="Book Antiqua" w:eastAsia="Calibri" w:hAnsi="Book Antiqua" w:cs="Times New Roman"/>
          <w:b/>
          <w:sz w:val="24"/>
          <w:szCs w:val="24"/>
        </w:rPr>
        <w:t>, MD, PhD</w:t>
      </w:r>
      <w:r w:rsidR="00081837" w:rsidRPr="00A624C2">
        <w:rPr>
          <w:rFonts w:ascii="Book Antiqua" w:eastAsia="Calibri" w:hAnsi="Book Antiqua" w:cs="Times New Roman"/>
          <w:b/>
          <w:sz w:val="24"/>
          <w:szCs w:val="24"/>
        </w:rPr>
        <w:t>,</w:t>
      </w:r>
      <w:r w:rsidRPr="00A624C2">
        <w:rPr>
          <w:rFonts w:ascii="Book Antiqua" w:eastAsia="宋体" w:hAnsi="Book Antiqua" w:cs="Times New Roman"/>
          <w:b/>
          <w:sz w:val="24"/>
          <w:szCs w:val="24"/>
          <w:lang w:eastAsia="zh-CN"/>
        </w:rPr>
        <w:t xml:space="preserve"> </w:t>
      </w:r>
      <w:r w:rsidR="009E4206" w:rsidRPr="00A624C2">
        <w:rPr>
          <w:rFonts w:ascii="Book Antiqua" w:eastAsia="宋体" w:hAnsi="Book Antiqua" w:cs="Times New Roman"/>
          <w:b/>
          <w:sz w:val="24"/>
          <w:szCs w:val="24"/>
          <w:lang w:eastAsia="zh-CN"/>
        </w:rPr>
        <w:t xml:space="preserve">Staff Physician, </w:t>
      </w:r>
      <w:r w:rsidR="00081837" w:rsidRPr="00A624C2">
        <w:rPr>
          <w:rFonts w:ascii="Book Antiqua" w:eastAsia="Calibri" w:hAnsi="Book Antiqua" w:cs="Times New Roman"/>
          <w:sz w:val="24"/>
          <w:szCs w:val="24"/>
          <w:lang w:val="es-ES"/>
        </w:rPr>
        <w:t>Gastroenterology Department</w:t>
      </w:r>
      <w:r w:rsidRPr="00A624C2">
        <w:rPr>
          <w:rFonts w:ascii="Book Antiqua" w:eastAsia="宋体" w:hAnsi="Book Antiqua" w:cs="Times New Roman"/>
          <w:sz w:val="24"/>
          <w:szCs w:val="24"/>
          <w:lang w:val="es-ES" w:eastAsia="zh-CN"/>
        </w:rPr>
        <w:t xml:space="preserve">, </w:t>
      </w:r>
      <w:r w:rsidR="00081837" w:rsidRPr="00A624C2">
        <w:rPr>
          <w:rFonts w:ascii="Book Antiqua" w:eastAsia="Calibri" w:hAnsi="Book Antiqua" w:cs="Times New Roman"/>
          <w:sz w:val="24"/>
          <w:szCs w:val="24"/>
          <w:lang w:val="es-ES"/>
        </w:rPr>
        <w:t>Hospital Clínic de Barcelona</w:t>
      </w:r>
      <w:r w:rsidR="00081837" w:rsidRPr="00A624C2">
        <w:rPr>
          <w:rFonts w:ascii="Book Antiqua" w:eastAsia="Calibri" w:hAnsi="Book Antiqua" w:cs="Times New Roman"/>
          <w:sz w:val="24"/>
          <w:szCs w:val="24"/>
        </w:rPr>
        <w:t xml:space="preserve">, </w:t>
      </w:r>
      <w:r w:rsidR="00081837" w:rsidRPr="00A624C2">
        <w:rPr>
          <w:rFonts w:ascii="Book Antiqua" w:eastAsia="Calibri" w:hAnsi="Book Antiqua" w:cs="AdvTTae86113c"/>
          <w:color w:val="000000"/>
          <w:sz w:val="24"/>
          <w:szCs w:val="24"/>
          <w:lang w:val="es-ES"/>
        </w:rPr>
        <w:t>Villarroel 170, Barcelona 08036, Spain.</w:t>
      </w:r>
      <w:r w:rsidRPr="00A624C2">
        <w:rPr>
          <w:rFonts w:ascii="Book Antiqua" w:eastAsia="宋体" w:hAnsi="Book Antiqua" w:cs="AdvTTae86113c"/>
          <w:color w:val="000000"/>
          <w:sz w:val="24"/>
          <w:szCs w:val="24"/>
          <w:lang w:val="es-ES" w:eastAsia="zh-CN"/>
        </w:rPr>
        <w:t xml:space="preserve"> </w:t>
      </w:r>
      <w:r w:rsidRPr="00A624C2">
        <w:rPr>
          <w:rFonts w:ascii="Book Antiqua" w:hAnsi="Book Antiqua" w:cs="AdvTTae86113c"/>
          <w:color w:val="000000"/>
          <w:sz w:val="24"/>
          <w:szCs w:val="24"/>
        </w:rPr>
        <w:t>iordas</w:t>
      </w:r>
      <w:r w:rsidRPr="00A624C2">
        <w:rPr>
          <w:rFonts w:ascii="Book Antiqua" w:eastAsia="Calibri" w:hAnsi="Book Antiqua" w:cs="AdvTTae86113c"/>
          <w:sz w:val="24"/>
          <w:szCs w:val="24"/>
        </w:rPr>
        <w:t>@clinic.cat</w:t>
      </w:r>
    </w:p>
    <w:p w14:paraId="7E321235" w14:textId="17B0CF6C" w:rsidR="006121F8" w:rsidRPr="00A624C2" w:rsidRDefault="003A75B8" w:rsidP="0028587F">
      <w:pPr>
        <w:widowControl w:val="0"/>
        <w:autoSpaceDE w:val="0"/>
        <w:autoSpaceDN w:val="0"/>
        <w:adjustRightInd w:val="0"/>
        <w:spacing w:after="0" w:line="360" w:lineRule="auto"/>
        <w:jc w:val="both"/>
        <w:rPr>
          <w:rFonts w:ascii="Book Antiqua" w:eastAsia="宋体" w:hAnsi="Book Antiqua" w:cs="AdvTTae86113c"/>
          <w:color w:val="000000"/>
          <w:sz w:val="24"/>
          <w:szCs w:val="24"/>
          <w:lang w:eastAsia="zh-CN"/>
        </w:rPr>
      </w:pPr>
      <w:r w:rsidRPr="00A624C2">
        <w:rPr>
          <w:rFonts w:ascii="Book Antiqua" w:hAnsi="Book Antiqua"/>
          <w:b/>
          <w:sz w:val="24"/>
          <w:szCs w:val="24"/>
          <w:lang w:eastAsia="zh-CN"/>
        </w:rPr>
        <w:t>Telephone</w:t>
      </w:r>
      <w:r w:rsidRPr="00A624C2">
        <w:rPr>
          <w:rFonts w:ascii="Book Antiqua" w:hAnsi="Book Antiqua"/>
          <w:b/>
          <w:sz w:val="24"/>
          <w:szCs w:val="24"/>
        </w:rPr>
        <w:t>:</w:t>
      </w:r>
      <w:r w:rsidRPr="00A624C2">
        <w:rPr>
          <w:rFonts w:ascii="Book Antiqua" w:eastAsia="宋体" w:hAnsi="Book Antiqua"/>
          <w:b/>
          <w:sz w:val="24"/>
          <w:szCs w:val="24"/>
          <w:lang w:eastAsia="zh-CN"/>
        </w:rPr>
        <w:t xml:space="preserve"> </w:t>
      </w:r>
      <w:r w:rsidRPr="00A624C2">
        <w:rPr>
          <w:rFonts w:ascii="Book Antiqua" w:eastAsia="Calibri" w:hAnsi="Book Antiqua" w:cs="AdvTTae86113c"/>
          <w:color w:val="000000"/>
          <w:sz w:val="24"/>
          <w:szCs w:val="24"/>
        </w:rPr>
        <w:t>+34</w:t>
      </w:r>
      <w:r w:rsidRPr="00A624C2">
        <w:rPr>
          <w:rFonts w:ascii="Book Antiqua" w:eastAsia="宋体" w:hAnsi="Book Antiqua" w:cs="AdvTTae86113c"/>
          <w:color w:val="000000"/>
          <w:sz w:val="24"/>
          <w:szCs w:val="24"/>
          <w:lang w:eastAsia="zh-CN"/>
        </w:rPr>
        <w:t>-</w:t>
      </w:r>
      <w:r w:rsidRPr="00A624C2">
        <w:rPr>
          <w:rFonts w:ascii="Book Antiqua" w:eastAsia="Calibri" w:hAnsi="Book Antiqua" w:cs="AdvTTae86113c"/>
          <w:color w:val="000000"/>
          <w:sz w:val="24"/>
          <w:szCs w:val="24"/>
        </w:rPr>
        <w:t>9322754</w:t>
      </w:r>
      <w:r w:rsidR="00484D67" w:rsidRPr="00A624C2">
        <w:rPr>
          <w:rFonts w:ascii="Book Antiqua" w:eastAsia="Calibri" w:hAnsi="Book Antiqua" w:cs="AdvTTae86113c"/>
          <w:color w:val="000000"/>
          <w:sz w:val="24"/>
          <w:szCs w:val="24"/>
        </w:rPr>
        <w:t>18</w:t>
      </w:r>
    </w:p>
    <w:p w14:paraId="5B253706" w14:textId="36E31BC2" w:rsidR="00484D67" w:rsidRPr="00A624C2" w:rsidRDefault="006121F8" w:rsidP="0028587F">
      <w:pPr>
        <w:spacing w:after="0" w:line="360" w:lineRule="auto"/>
        <w:jc w:val="both"/>
        <w:rPr>
          <w:rFonts w:ascii="Book Antiqua" w:eastAsia="Times New Roman" w:hAnsi="Book Antiqua" w:cs="Times New Roman"/>
          <w:sz w:val="24"/>
          <w:szCs w:val="24"/>
          <w:lang w:val="es-ES" w:eastAsia="en-US"/>
        </w:rPr>
      </w:pPr>
      <w:r w:rsidRPr="00A624C2">
        <w:rPr>
          <w:rFonts w:ascii="Book Antiqua" w:eastAsia="宋体" w:hAnsi="Book Antiqua" w:cs="AdvTTae86113c"/>
          <w:b/>
          <w:color w:val="000000"/>
          <w:sz w:val="24"/>
          <w:szCs w:val="24"/>
          <w:lang w:eastAsia="zh-CN"/>
        </w:rPr>
        <w:t>Fax</w:t>
      </w:r>
      <w:r w:rsidR="003A75B8" w:rsidRPr="00A624C2">
        <w:rPr>
          <w:rFonts w:ascii="Book Antiqua" w:eastAsia="宋体" w:hAnsi="Book Antiqua" w:cs="AdvTTae86113c"/>
          <w:b/>
          <w:color w:val="000000"/>
          <w:sz w:val="24"/>
          <w:szCs w:val="24"/>
          <w:lang w:eastAsia="zh-CN"/>
        </w:rPr>
        <w:t>:</w:t>
      </w:r>
      <w:r w:rsidR="00484D67" w:rsidRPr="00A624C2">
        <w:rPr>
          <w:rFonts w:ascii="Book Antiqua" w:eastAsia="宋体" w:hAnsi="Book Antiqua" w:cs="AdvTTae86113c"/>
          <w:b/>
          <w:color w:val="000000"/>
          <w:sz w:val="24"/>
          <w:szCs w:val="24"/>
          <w:lang w:val="es-ES_tradnl" w:eastAsia="zh-CN"/>
        </w:rPr>
        <w:t xml:space="preserve"> </w:t>
      </w:r>
      <w:r w:rsidR="003A75B8" w:rsidRPr="00A624C2">
        <w:rPr>
          <w:rFonts w:ascii="Book Antiqua" w:eastAsia="Times New Roman" w:hAnsi="Book Antiqua" w:cs="Arial"/>
          <w:sz w:val="24"/>
          <w:szCs w:val="24"/>
          <w:shd w:val="clear" w:color="auto" w:fill="FFFFFF"/>
          <w:lang w:val="es-ES" w:eastAsia="en-US"/>
        </w:rPr>
        <w:t>+34</w:t>
      </w:r>
      <w:r w:rsidR="003A75B8" w:rsidRPr="00A624C2">
        <w:rPr>
          <w:rFonts w:ascii="Book Antiqua" w:eastAsia="宋体" w:hAnsi="Book Antiqua" w:cs="Arial"/>
          <w:sz w:val="24"/>
          <w:szCs w:val="24"/>
          <w:shd w:val="clear" w:color="auto" w:fill="FFFFFF"/>
          <w:lang w:val="es-ES" w:eastAsia="zh-CN"/>
        </w:rPr>
        <w:t>-</w:t>
      </w:r>
      <w:r w:rsidR="003A75B8" w:rsidRPr="00A624C2">
        <w:rPr>
          <w:rFonts w:ascii="Book Antiqua" w:eastAsia="Times New Roman" w:hAnsi="Book Antiqua" w:cs="Arial"/>
          <w:sz w:val="24"/>
          <w:szCs w:val="24"/>
          <w:shd w:val="clear" w:color="auto" w:fill="FFFFFF"/>
          <w:lang w:val="es-ES" w:eastAsia="en-US"/>
        </w:rPr>
        <w:t>9322754</w:t>
      </w:r>
      <w:r w:rsidR="00484D67" w:rsidRPr="00A624C2">
        <w:rPr>
          <w:rFonts w:ascii="Book Antiqua" w:eastAsia="Times New Roman" w:hAnsi="Book Antiqua" w:cs="Arial"/>
          <w:sz w:val="24"/>
          <w:szCs w:val="24"/>
          <w:shd w:val="clear" w:color="auto" w:fill="FFFFFF"/>
          <w:lang w:val="es-ES" w:eastAsia="en-US"/>
        </w:rPr>
        <w:t>54</w:t>
      </w:r>
    </w:p>
    <w:p w14:paraId="667CDAD9" w14:textId="5623CDED" w:rsidR="006121F8" w:rsidRPr="00A624C2" w:rsidRDefault="006121F8" w:rsidP="0028587F">
      <w:pPr>
        <w:widowControl w:val="0"/>
        <w:autoSpaceDE w:val="0"/>
        <w:autoSpaceDN w:val="0"/>
        <w:adjustRightInd w:val="0"/>
        <w:spacing w:after="0" w:line="360" w:lineRule="auto"/>
        <w:jc w:val="both"/>
        <w:rPr>
          <w:rFonts w:ascii="Book Antiqua" w:eastAsia="宋体" w:hAnsi="Book Antiqua" w:cs="AdvTTae86113c"/>
          <w:color w:val="000000"/>
          <w:sz w:val="24"/>
          <w:szCs w:val="24"/>
          <w:lang w:val="es-ES_tradnl" w:eastAsia="zh-CN"/>
        </w:rPr>
      </w:pPr>
    </w:p>
    <w:p w14:paraId="53B1A945" w14:textId="29667C79" w:rsidR="003A75B8" w:rsidRPr="00A624C2" w:rsidRDefault="003A75B8" w:rsidP="003A75B8">
      <w:pPr>
        <w:spacing w:after="0" w:line="360" w:lineRule="auto"/>
        <w:rPr>
          <w:rFonts w:ascii="Book Antiqua" w:eastAsia="宋体" w:hAnsi="Book Antiqua"/>
          <w:b/>
          <w:sz w:val="24"/>
          <w:szCs w:val="24"/>
          <w:lang w:eastAsia="zh-CN"/>
        </w:rPr>
      </w:pPr>
      <w:bookmarkStart w:id="4" w:name="OLE_LINK75"/>
      <w:bookmarkStart w:id="5" w:name="OLE_LINK76"/>
      <w:bookmarkStart w:id="6" w:name="OLE_LINK269"/>
      <w:bookmarkStart w:id="7" w:name="OLE_LINK239"/>
      <w:r w:rsidRPr="00A624C2">
        <w:rPr>
          <w:rFonts w:ascii="Book Antiqua" w:hAnsi="Book Antiqua"/>
          <w:b/>
          <w:sz w:val="24"/>
          <w:szCs w:val="24"/>
        </w:rPr>
        <w:t xml:space="preserve">Received: </w:t>
      </w:r>
      <w:bookmarkStart w:id="8" w:name="OLE_LINK424"/>
      <w:bookmarkStart w:id="9" w:name="OLE_LINK425"/>
      <w:r w:rsidR="009E4206" w:rsidRPr="00A624C2">
        <w:rPr>
          <w:rFonts w:ascii="Book Antiqua" w:eastAsia="宋体" w:hAnsi="Book Antiqua"/>
          <w:sz w:val="24"/>
          <w:szCs w:val="24"/>
          <w:lang w:eastAsia="zh-CN"/>
        </w:rPr>
        <w:t>November 9, 2018</w:t>
      </w:r>
      <w:bookmarkEnd w:id="8"/>
      <w:bookmarkEnd w:id="9"/>
    </w:p>
    <w:p w14:paraId="61B794EE" w14:textId="4395EE64" w:rsidR="003A75B8" w:rsidRPr="00A624C2" w:rsidRDefault="003A75B8" w:rsidP="003A75B8">
      <w:pPr>
        <w:spacing w:after="0" w:line="360" w:lineRule="auto"/>
        <w:rPr>
          <w:rFonts w:ascii="Book Antiqua" w:hAnsi="Book Antiqua"/>
          <w:b/>
          <w:sz w:val="24"/>
          <w:szCs w:val="24"/>
        </w:rPr>
      </w:pPr>
      <w:r w:rsidRPr="00A624C2">
        <w:rPr>
          <w:rFonts w:ascii="Book Antiqua" w:hAnsi="Book Antiqua"/>
          <w:b/>
          <w:sz w:val="24"/>
          <w:szCs w:val="24"/>
        </w:rPr>
        <w:t xml:space="preserve">Peer-review started: </w:t>
      </w:r>
      <w:r w:rsidR="009E4206" w:rsidRPr="00A624C2">
        <w:rPr>
          <w:rFonts w:ascii="Book Antiqua" w:eastAsia="宋体" w:hAnsi="Book Antiqua"/>
          <w:sz w:val="24"/>
          <w:szCs w:val="24"/>
          <w:lang w:eastAsia="zh-CN"/>
        </w:rPr>
        <w:t>November 12, 2018</w:t>
      </w:r>
    </w:p>
    <w:p w14:paraId="5AD958A2" w14:textId="31C58F2E" w:rsidR="003A75B8" w:rsidRPr="00A624C2" w:rsidRDefault="003A75B8" w:rsidP="003A75B8">
      <w:pPr>
        <w:spacing w:after="0" w:line="360" w:lineRule="auto"/>
        <w:rPr>
          <w:rFonts w:ascii="Book Antiqua" w:eastAsia="宋体" w:hAnsi="Book Antiqua"/>
          <w:b/>
          <w:sz w:val="24"/>
          <w:szCs w:val="24"/>
          <w:lang w:eastAsia="zh-CN"/>
        </w:rPr>
      </w:pPr>
      <w:r w:rsidRPr="00A624C2">
        <w:rPr>
          <w:rFonts w:ascii="Book Antiqua" w:hAnsi="Book Antiqua"/>
          <w:b/>
          <w:sz w:val="24"/>
          <w:szCs w:val="24"/>
        </w:rPr>
        <w:t xml:space="preserve">First decision: </w:t>
      </w:r>
      <w:r w:rsidR="009E4206" w:rsidRPr="00A624C2">
        <w:rPr>
          <w:rFonts w:ascii="Book Antiqua" w:eastAsia="宋体" w:hAnsi="Book Antiqua"/>
          <w:sz w:val="24"/>
          <w:szCs w:val="24"/>
          <w:lang w:eastAsia="zh-CN"/>
        </w:rPr>
        <w:t>January 30, 2019</w:t>
      </w:r>
    </w:p>
    <w:p w14:paraId="5F2A2773" w14:textId="0312B274" w:rsidR="003A75B8" w:rsidRPr="00A624C2" w:rsidRDefault="003A75B8" w:rsidP="003A75B8">
      <w:pPr>
        <w:spacing w:after="0" w:line="360" w:lineRule="auto"/>
        <w:rPr>
          <w:rFonts w:ascii="Book Antiqua" w:eastAsia="宋体" w:hAnsi="Book Antiqua"/>
          <w:b/>
          <w:sz w:val="24"/>
          <w:szCs w:val="24"/>
          <w:lang w:eastAsia="zh-CN"/>
        </w:rPr>
      </w:pPr>
      <w:r w:rsidRPr="00A624C2">
        <w:rPr>
          <w:rFonts w:ascii="Book Antiqua" w:hAnsi="Book Antiqua"/>
          <w:b/>
          <w:sz w:val="24"/>
          <w:szCs w:val="24"/>
        </w:rPr>
        <w:t xml:space="preserve">Revised: </w:t>
      </w:r>
      <w:r w:rsidRPr="00A624C2">
        <w:rPr>
          <w:rFonts w:ascii="Book Antiqua" w:hAnsi="Book Antiqua"/>
          <w:sz w:val="24"/>
          <w:szCs w:val="24"/>
        </w:rPr>
        <w:t xml:space="preserve">February </w:t>
      </w:r>
      <w:r w:rsidR="009E4206" w:rsidRPr="00A624C2">
        <w:rPr>
          <w:rFonts w:ascii="Book Antiqua" w:eastAsia="宋体" w:hAnsi="Book Antiqua"/>
          <w:sz w:val="24"/>
          <w:szCs w:val="24"/>
          <w:lang w:eastAsia="zh-CN"/>
        </w:rPr>
        <w:t>26, 2019</w:t>
      </w:r>
    </w:p>
    <w:p w14:paraId="6F38567E" w14:textId="7273E093" w:rsidR="003A75B8" w:rsidRPr="00A624C2" w:rsidRDefault="003A75B8" w:rsidP="003A75B8">
      <w:pPr>
        <w:spacing w:after="0" w:line="360" w:lineRule="auto"/>
        <w:rPr>
          <w:rFonts w:ascii="Book Antiqua" w:hAnsi="Book Antiqua"/>
          <w:color w:val="000000"/>
          <w:sz w:val="24"/>
          <w:szCs w:val="24"/>
        </w:rPr>
      </w:pPr>
      <w:r w:rsidRPr="00A624C2">
        <w:rPr>
          <w:rFonts w:ascii="Book Antiqua" w:hAnsi="Book Antiqua"/>
          <w:b/>
          <w:sz w:val="24"/>
          <w:szCs w:val="24"/>
        </w:rPr>
        <w:t>Accepted:</w:t>
      </w:r>
      <w:r w:rsidR="0016375B" w:rsidRPr="00A624C2">
        <w:rPr>
          <w:rFonts w:ascii="Book Antiqua" w:hAnsi="Book Antiqua"/>
        </w:rPr>
        <w:t xml:space="preserve"> </w:t>
      </w:r>
      <w:r w:rsidR="0016375B" w:rsidRPr="00A624C2">
        <w:rPr>
          <w:rFonts w:ascii="Book Antiqua" w:hAnsi="Book Antiqua"/>
          <w:sz w:val="24"/>
          <w:szCs w:val="24"/>
        </w:rPr>
        <w:t>March 1, 2019</w:t>
      </w:r>
      <w:r w:rsidRPr="00A624C2">
        <w:rPr>
          <w:rFonts w:ascii="Book Antiqua" w:hAnsi="Book Antiqua"/>
          <w:b/>
          <w:sz w:val="24"/>
          <w:szCs w:val="24"/>
        </w:rPr>
        <w:t xml:space="preserve"> </w:t>
      </w:r>
    </w:p>
    <w:p w14:paraId="5F5B194E" w14:textId="1663691E" w:rsidR="003A75B8" w:rsidRPr="00A624C2" w:rsidRDefault="003A75B8" w:rsidP="003A75B8">
      <w:pPr>
        <w:spacing w:after="0" w:line="360" w:lineRule="auto"/>
        <w:rPr>
          <w:rFonts w:ascii="Book Antiqua" w:hAnsi="Book Antiqua"/>
          <w:b/>
          <w:sz w:val="24"/>
          <w:szCs w:val="24"/>
        </w:rPr>
      </w:pPr>
      <w:r w:rsidRPr="00A624C2">
        <w:rPr>
          <w:rFonts w:ascii="Book Antiqua" w:hAnsi="Book Antiqua"/>
          <w:b/>
          <w:sz w:val="24"/>
          <w:szCs w:val="24"/>
        </w:rPr>
        <w:t>Article in press:</w:t>
      </w:r>
      <w:r w:rsidR="00A624C2" w:rsidRPr="00A624C2">
        <w:rPr>
          <w:rFonts w:ascii="Book Antiqua" w:hAnsi="Book Antiqua"/>
          <w:sz w:val="24"/>
          <w:szCs w:val="24"/>
        </w:rPr>
        <w:t xml:space="preserve"> </w:t>
      </w:r>
      <w:r w:rsidR="00A624C2" w:rsidRPr="00A624C2">
        <w:rPr>
          <w:rFonts w:ascii="Book Antiqua" w:hAnsi="Book Antiqua"/>
          <w:sz w:val="24"/>
          <w:szCs w:val="24"/>
        </w:rPr>
        <w:t xml:space="preserve">March </w:t>
      </w:r>
      <w:r w:rsidR="00A624C2" w:rsidRPr="00A624C2">
        <w:rPr>
          <w:rFonts w:ascii="Book Antiqua" w:hAnsi="Book Antiqua"/>
          <w:sz w:val="24"/>
          <w:szCs w:val="24"/>
        </w:rPr>
        <w:t>2</w:t>
      </w:r>
      <w:r w:rsidR="00A624C2" w:rsidRPr="00A624C2">
        <w:rPr>
          <w:rFonts w:ascii="Book Antiqua" w:hAnsi="Book Antiqua"/>
          <w:sz w:val="24"/>
          <w:szCs w:val="24"/>
        </w:rPr>
        <w:t>, 2019</w:t>
      </w:r>
    </w:p>
    <w:p w14:paraId="44E6B701" w14:textId="6BB94752" w:rsidR="003A75B8" w:rsidRPr="00A624C2" w:rsidRDefault="003A75B8" w:rsidP="003A75B8">
      <w:pPr>
        <w:spacing w:after="0" w:line="360" w:lineRule="auto"/>
        <w:rPr>
          <w:rFonts w:ascii="Book Antiqua" w:hAnsi="Book Antiqua"/>
          <w:b/>
          <w:sz w:val="24"/>
          <w:szCs w:val="24"/>
        </w:rPr>
      </w:pPr>
      <w:r w:rsidRPr="00A624C2">
        <w:rPr>
          <w:rFonts w:ascii="Book Antiqua" w:hAnsi="Book Antiqua"/>
          <w:b/>
          <w:sz w:val="24"/>
          <w:szCs w:val="24"/>
        </w:rPr>
        <w:t>Published online:</w:t>
      </w:r>
      <w:r w:rsidR="00A624C2" w:rsidRPr="00A624C2">
        <w:rPr>
          <w:rFonts w:ascii="Book Antiqua" w:hAnsi="Book Antiqua"/>
          <w:sz w:val="24"/>
          <w:szCs w:val="24"/>
        </w:rPr>
        <w:t xml:space="preserve"> April </w:t>
      </w:r>
      <w:r w:rsidR="00A624C2" w:rsidRPr="00A624C2">
        <w:rPr>
          <w:rFonts w:ascii="Book Antiqua" w:hAnsi="Book Antiqua"/>
          <w:sz w:val="24"/>
          <w:szCs w:val="24"/>
        </w:rPr>
        <w:t>1</w:t>
      </w:r>
      <w:r w:rsidR="00A624C2" w:rsidRPr="00A624C2">
        <w:rPr>
          <w:rFonts w:ascii="Book Antiqua" w:hAnsi="Book Antiqua"/>
          <w:sz w:val="24"/>
          <w:szCs w:val="24"/>
        </w:rPr>
        <w:t>4</w:t>
      </w:r>
      <w:r w:rsidR="00A624C2" w:rsidRPr="00A624C2">
        <w:rPr>
          <w:rFonts w:ascii="Book Antiqua" w:hAnsi="Book Antiqua"/>
          <w:sz w:val="24"/>
          <w:szCs w:val="24"/>
        </w:rPr>
        <w:t>, 2019</w:t>
      </w:r>
    </w:p>
    <w:bookmarkEnd w:id="4"/>
    <w:bookmarkEnd w:id="5"/>
    <w:bookmarkEnd w:id="6"/>
    <w:bookmarkEnd w:id="7"/>
    <w:p w14:paraId="45D32597" w14:textId="77777777" w:rsidR="00081837" w:rsidRPr="00A624C2" w:rsidRDefault="00081837" w:rsidP="0028587F">
      <w:pPr>
        <w:spacing w:after="0" w:line="360" w:lineRule="auto"/>
        <w:jc w:val="both"/>
        <w:rPr>
          <w:rFonts w:ascii="Book Antiqua" w:hAnsi="Book Antiqua"/>
          <w:b/>
          <w:sz w:val="24"/>
          <w:szCs w:val="24"/>
        </w:rPr>
      </w:pPr>
    </w:p>
    <w:p w14:paraId="50BA3FF6" w14:textId="105F79EB" w:rsidR="003A75B8" w:rsidRPr="00A624C2" w:rsidRDefault="003A75B8">
      <w:pPr>
        <w:rPr>
          <w:rFonts w:ascii="Book Antiqua" w:hAnsi="Book Antiqua"/>
          <w:b/>
          <w:sz w:val="24"/>
          <w:szCs w:val="24"/>
        </w:rPr>
      </w:pPr>
      <w:r w:rsidRPr="00A624C2">
        <w:rPr>
          <w:rFonts w:ascii="Book Antiqua" w:hAnsi="Book Antiqua"/>
          <w:b/>
          <w:sz w:val="24"/>
          <w:szCs w:val="24"/>
        </w:rPr>
        <w:br w:type="page"/>
      </w:r>
    </w:p>
    <w:p w14:paraId="3C4B7DC7" w14:textId="71692F80" w:rsidR="00E21F6D" w:rsidRPr="00A624C2" w:rsidRDefault="00C11637" w:rsidP="0028587F">
      <w:pPr>
        <w:spacing w:after="0" w:line="360" w:lineRule="auto"/>
        <w:jc w:val="both"/>
        <w:rPr>
          <w:rFonts w:ascii="Book Antiqua" w:hAnsi="Book Antiqua"/>
          <w:sz w:val="24"/>
          <w:szCs w:val="24"/>
        </w:rPr>
      </w:pPr>
      <w:r w:rsidRPr="00A624C2">
        <w:rPr>
          <w:rFonts w:ascii="Book Antiqua" w:hAnsi="Book Antiqua"/>
          <w:b/>
          <w:sz w:val="24"/>
          <w:szCs w:val="24"/>
        </w:rPr>
        <w:lastRenderedPageBreak/>
        <w:t>Abstract</w:t>
      </w:r>
    </w:p>
    <w:p w14:paraId="6869D778" w14:textId="2E0F049E" w:rsidR="00C11637" w:rsidRPr="00A624C2" w:rsidRDefault="00C11637" w:rsidP="0028587F">
      <w:pPr>
        <w:spacing w:after="0" w:line="360" w:lineRule="auto"/>
        <w:jc w:val="both"/>
        <w:rPr>
          <w:rFonts w:ascii="Book Antiqua" w:eastAsia="宋体" w:hAnsi="Book Antiqua"/>
          <w:b/>
          <w:i/>
          <w:sz w:val="24"/>
          <w:szCs w:val="24"/>
          <w:lang w:eastAsia="zh-CN"/>
        </w:rPr>
      </w:pPr>
      <w:r w:rsidRPr="00A624C2">
        <w:rPr>
          <w:rFonts w:ascii="Book Antiqua" w:hAnsi="Book Antiqua"/>
          <w:b/>
          <w:i/>
          <w:sz w:val="24"/>
          <w:szCs w:val="24"/>
        </w:rPr>
        <w:t>BACKGROUND</w:t>
      </w:r>
    </w:p>
    <w:p w14:paraId="37251F79" w14:textId="3F7C0962" w:rsidR="00E21F6D" w:rsidRPr="00A624C2" w:rsidRDefault="00AA75C9" w:rsidP="0028587F">
      <w:pPr>
        <w:spacing w:after="0" w:line="360" w:lineRule="auto"/>
        <w:jc w:val="both"/>
        <w:rPr>
          <w:rFonts w:ascii="Book Antiqua" w:eastAsia="宋体" w:hAnsi="Book Antiqua"/>
          <w:sz w:val="24"/>
          <w:szCs w:val="24"/>
          <w:lang w:eastAsia="zh-CN"/>
        </w:rPr>
      </w:pPr>
      <w:r w:rsidRPr="00A624C2">
        <w:rPr>
          <w:rFonts w:ascii="Book Antiqua" w:hAnsi="Book Antiqua"/>
          <w:sz w:val="24"/>
          <w:szCs w:val="24"/>
        </w:rPr>
        <w:t>Identif</w:t>
      </w:r>
      <w:r w:rsidR="00575E20" w:rsidRPr="00A624C2">
        <w:rPr>
          <w:rFonts w:ascii="Book Antiqua" w:hAnsi="Book Antiqua"/>
          <w:sz w:val="24"/>
          <w:szCs w:val="24"/>
        </w:rPr>
        <w:t>ying</w:t>
      </w:r>
      <w:r w:rsidR="00E21F6D" w:rsidRPr="00A624C2">
        <w:rPr>
          <w:rFonts w:ascii="Book Antiqua" w:hAnsi="Book Antiqua"/>
          <w:sz w:val="24"/>
          <w:szCs w:val="24"/>
        </w:rPr>
        <w:t xml:space="preserve"> predictors of therapeutic response is the cornerstone of personalized medicine.</w:t>
      </w:r>
    </w:p>
    <w:p w14:paraId="0F6B983F" w14:textId="77777777" w:rsidR="006121F8" w:rsidRPr="00A624C2" w:rsidRDefault="006121F8" w:rsidP="0028587F">
      <w:pPr>
        <w:spacing w:after="0" w:line="360" w:lineRule="auto"/>
        <w:jc w:val="both"/>
        <w:rPr>
          <w:rFonts w:ascii="Book Antiqua" w:eastAsia="宋体" w:hAnsi="Book Antiqua"/>
          <w:sz w:val="24"/>
          <w:szCs w:val="24"/>
          <w:lang w:eastAsia="zh-CN"/>
        </w:rPr>
      </w:pPr>
    </w:p>
    <w:p w14:paraId="1130F94B" w14:textId="48529D30" w:rsidR="00C11637" w:rsidRPr="00A624C2" w:rsidRDefault="00C11637" w:rsidP="0028587F">
      <w:pPr>
        <w:spacing w:after="0" w:line="360" w:lineRule="auto"/>
        <w:jc w:val="both"/>
        <w:rPr>
          <w:rFonts w:ascii="Book Antiqua" w:eastAsia="宋体" w:hAnsi="Book Antiqua"/>
          <w:i/>
          <w:sz w:val="24"/>
          <w:szCs w:val="24"/>
          <w:lang w:eastAsia="zh-CN"/>
        </w:rPr>
      </w:pPr>
      <w:r w:rsidRPr="00A624C2">
        <w:rPr>
          <w:rFonts w:ascii="Book Antiqua" w:hAnsi="Book Antiqua"/>
          <w:b/>
          <w:i/>
          <w:sz w:val="24"/>
          <w:szCs w:val="24"/>
        </w:rPr>
        <w:t>AIM</w:t>
      </w:r>
    </w:p>
    <w:p w14:paraId="2635392E" w14:textId="401BA805" w:rsidR="00E21F6D" w:rsidRPr="00A624C2" w:rsidRDefault="00E21F6D" w:rsidP="0028587F">
      <w:pPr>
        <w:spacing w:after="0" w:line="360" w:lineRule="auto"/>
        <w:jc w:val="both"/>
        <w:rPr>
          <w:rFonts w:ascii="Book Antiqua" w:eastAsia="宋体" w:hAnsi="Book Antiqua"/>
          <w:sz w:val="24"/>
          <w:szCs w:val="24"/>
          <w:lang w:eastAsia="zh-CN"/>
        </w:rPr>
      </w:pPr>
      <w:r w:rsidRPr="00A624C2">
        <w:rPr>
          <w:rFonts w:ascii="Book Antiqua" w:hAnsi="Book Antiqua"/>
          <w:sz w:val="24"/>
          <w:szCs w:val="24"/>
        </w:rPr>
        <w:t xml:space="preserve">To identify predictors of </w:t>
      </w:r>
      <w:r w:rsidR="00AE427C" w:rsidRPr="00A624C2">
        <w:rPr>
          <w:rFonts w:ascii="Book Antiqua" w:hAnsi="Book Antiqua"/>
          <w:sz w:val="24"/>
          <w:szCs w:val="24"/>
        </w:rPr>
        <w:t xml:space="preserve">long-term </w:t>
      </w:r>
      <w:r w:rsidR="00D82D56" w:rsidRPr="00A624C2">
        <w:rPr>
          <w:rFonts w:ascii="Book Antiqua" w:hAnsi="Book Antiqua"/>
          <w:sz w:val="24"/>
          <w:szCs w:val="24"/>
        </w:rPr>
        <w:t xml:space="preserve">mucosal healing </w:t>
      </w:r>
      <w:r w:rsidR="00C11637" w:rsidRPr="00A624C2">
        <w:rPr>
          <w:rFonts w:ascii="Book Antiqua" w:eastAsia="宋体" w:hAnsi="Book Antiqua"/>
          <w:sz w:val="24"/>
          <w:szCs w:val="24"/>
          <w:lang w:eastAsia="zh-CN"/>
        </w:rPr>
        <w:t xml:space="preserve">(MH) </w:t>
      </w:r>
      <w:r w:rsidRPr="00A624C2">
        <w:rPr>
          <w:rFonts w:ascii="Book Antiqua" w:hAnsi="Book Antiqua"/>
          <w:sz w:val="24"/>
          <w:szCs w:val="24"/>
        </w:rPr>
        <w:t>in patients with</w:t>
      </w:r>
      <w:r w:rsidR="009D150B" w:rsidRPr="00A624C2">
        <w:rPr>
          <w:rFonts w:ascii="Book Antiqua" w:hAnsi="Book Antiqua"/>
          <w:sz w:val="24"/>
          <w:szCs w:val="24"/>
        </w:rPr>
        <w:t xml:space="preserve"> Crohn</w:t>
      </w:r>
      <w:r w:rsidR="00EC44E5" w:rsidRPr="00A624C2">
        <w:rPr>
          <w:rFonts w:ascii="Book Antiqua" w:hAnsi="Book Antiqua"/>
          <w:sz w:val="24"/>
          <w:szCs w:val="24"/>
        </w:rPr>
        <w:t>’s</w:t>
      </w:r>
      <w:r w:rsidR="009D150B" w:rsidRPr="00A624C2">
        <w:rPr>
          <w:rFonts w:ascii="Book Antiqua" w:hAnsi="Book Antiqua"/>
          <w:sz w:val="24"/>
          <w:szCs w:val="24"/>
        </w:rPr>
        <w:t xml:space="preserve"> </w:t>
      </w:r>
      <w:r w:rsidR="00EC44E5" w:rsidRPr="00A624C2">
        <w:rPr>
          <w:rFonts w:ascii="Book Antiqua" w:hAnsi="Book Antiqua"/>
          <w:sz w:val="24"/>
          <w:szCs w:val="24"/>
        </w:rPr>
        <w:t>d</w:t>
      </w:r>
      <w:r w:rsidR="009D150B" w:rsidRPr="00A624C2">
        <w:rPr>
          <w:rFonts w:ascii="Book Antiqua" w:hAnsi="Book Antiqua"/>
          <w:sz w:val="24"/>
          <w:szCs w:val="24"/>
        </w:rPr>
        <w:t>isease (</w:t>
      </w:r>
      <w:r w:rsidRPr="00A624C2">
        <w:rPr>
          <w:rFonts w:ascii="Book Antiqua" w:hAnsi="Book Antiqua"/>
          <w:sz w:val="24"/>
          <w:szCs w:val="24"/>
        </w:rPr>
        <w:t>CD</w:t>
      </w:r>
      <w:r w:rsidR="009D150B" w:rsidRPr="00A624C2">
        <w:rPr>
          <w:rFonts w:ascii="Book Antiqua" w:hAnsi="Book Antiqua"/>
          <w:sz w:val="24"/>
          <w:szCs w:val="24"/>
        </w:rPr>
        <w:t>)</w:t>
      </w:r>
      <w:r w:rsidRPr="00A624C2">
        <w:rPr>
          <w:rFonts w:ascii="Book Antiqua" w:hAnsi="Book Antiqua"/>
          <w:sz w:val="24"/>
          <w:szCs w:val="24"/>
        </w:rPr>
        <w:t xml:space="preserve"> </w:t>
      </w:r>
      <w:r w:rsidR="00AE427C" w:rsidRPr="00A624C2">
        <w:rPr>
          <w:rFonts w:ascii="Book Antiqua" w:hAnsi="Book Antiqua"/>
          <w:sz w:val="24"/>
          <w:szCs w:val="24"/>
        </w:rPr>
        <w:t>treated</w:t>
      </w:r>
      <w:r w:rsidRPr="00A624C2">
        <w:rPr>
          <w:rFonts w:ascii="Book Antiqua" w:hAnsi="Book Antiqua"/>
          <w:sz w:val="24"/>
          <w:szCs w:val="24"/>
        </w:rPr>
        <w:t xml:space="preserve"> with </w:t>
      </w:r>
      <w:r w:rsidR="00C11637" w:rsidRPr="00A624C2">
        <w:rPr>
          <w:rFonts w:ascii="Book Antiqua" w:hAnsi="Book Antiqua"/>
          <w:sz w:val="24"/>
          <w:szCs w:val="24"/>
          <w:lang w:val="en-US"/>
        </w:rPr>
        <w:t>tumor necrosis factor</w:t>
      </w:r>
      <w:r w:rsidR="00C11637" w:rsidRPr="00A624C2">
        <w:rPr>
          <w:rFonts w:ascii="Book Antiqua" w:eastAsia="宋体" w:hAnsi="Book Antiqua"/>
          <w:sz w:val="24"/>
          <w:szCs w:val="24"/>
          <w:lang w:val="en-US" w:eastAsia="zh-CN"/>
        </w:rPr>
        <w:t xml:space="preserve"> </w:t>
      </w:r>
      <w:r w:rsidR="00C11637" w:rsidRPr="00A624C2">
        <w:rPr>
          <w:rFonts w:ascii="Book Antiqua" w:hAnsi="Book Antiqua"/>
          <w:sz w:val="24"/>
          <w:szCs w:val="24"/>
        </w:rPr>
        <w:t>α</w:t>
      </w:r>
      <w:r w:rsidR="00C11637" w:rsidRPr="00A624C2">
        <w:rPr>
          <w:rFonts w:ascii="Book Antiqua" w:eastAsia="宋体" w:hAnsi="Book Antiqua"/>
          <w:sz w:val="24"/>
          <w:szCs w:val="24"/>
          <w:lang w:eastAsia="zh-CN"/>
        </w:rPr>
        <w:t xml:space="preserve"> (</w:t>
      </w:r>
      <w:r w:rsidRPr="00A624C2">
        <w:rPr>
          <w:rFonts w:ascii="Book Antiqua" w:hAnsi="Book Antiqua"/>
          <w:sz w:val="24"/>
          <w:szCs w:val="24"/>
        </w:rPr>
        <w:t>TNF</w:t>
      </w:r>
      <w:r w:rsidR="00EC44E5" w:rsidRPr="00A624C2">
        <w:rPr>
          <w:rFonts w:ascii="Book Antiqua" w:hAnsi="Book Antiqua"/>
          <w:sz w:val="24"/>
          <w:szCs w:val="24"/>
        </w:rPr>
        <w:t>-α</w:t>
      </w:r>
      <w:r w:rsidR="00C11637" w:rsidRPr="00A624C2">
        <w:rPr>
          <w:rFonts w:ascii="Book Antiqua" w:eastAsia="宋体" w:hAnsi="Book Antiqua"/>
          <w:sz w:val="24"/>
          <w:szCs w:val="24"/>
          <w:lang w:eastAsia="zh-CN"/>
        </w:rPr>
        <w:t>)</w:t>
      </w:r>
      <w:r w:rsidRPr="00A624C2">
        <w:rPr>
          <w:rFonts w:ascii="Book Antiqua" w:hAnsi="Book Antiqua"/>
          <w:sz w:val="24"/>
          <w:szCs w:val="24"/>
        </w:rPr>
        <w:t xml:space="preserve"> inhibitors.</w:t>
      </w:r>
    </w:p>
    <w:p w14:paraId="6E152287" w14:textId="77777777" w:rsidR="006121F8" w:rsidRPr="00A624C2" w:rsidRDefault="006121F8" w:rsidP="0028587F">
      <w:pPr>
        <w:spacing w:after="0" w:line="360" w:lineRule="auto"/>
        <w:jc w:val="both"/>
        <w:rPr>
          <w:rFonts w:ascii="Book Antiqua" w:eastAsia="宋体" w:hAnsi="Book Antiqua"/>
          <w:sz w:val="24"/>
          <w:szCs w:val="24"/>
          <w:lang w:eastAsia="zh-CN"/>
        </w:rPr>
      </w:pPr>
    </w:p>
    <w:p w14:paraId="6FBDFCB9" w14:textId="17A81685" w:rsidR="00C11637" w:rsidRPr="00A624C2" w:rsidRDefault="00C11637" w:rsidP="0028587F">
      <w:pPr>
        <w:spacing w:after="0" w:line="360" w:lineRule="auto"/>
        <w:jc w:val="both"/>
        <w:rPr>
          <w:rFonts w:ascii="Book Antiqua" w:eastAsia="宋体" w:hAnsi="Book Antiqua"/>
          <w:b/>
          <w:i/>
          <w:sz w:val="24"/>
          <w:szCs w:val="24"/>
          <w:lang w:eastAsia="zh-CN"/>
        </w:rPr>
      </w:pPr>
      <w:r w:rsidRPr="00A624C2">
        <w:rPr>
          <w:rFonts w:ascii="Book Antiqua" w:hAnsi="Book Antiqua"/>
          <w:b/>
          <w:i/>
          <w:sz w:val="24"/>
          <w:szCs w:val="24"/>
        </w:rPr>
        <w:t>METHODS</w:t>
      </w:r>
    </w:p>
    <w:p w14:paraId="62DF537B" w14:textId="35F6BE18" w:rsidR="00E21F6D" w:rsidRPr="00A624C2" w:rsidRDefault="00786D26" w:rsidP="0028587F">
      <w:pPr>
        <w:spacing w:after="0" w:line="360" w:lineRule="auto"/>
        <w:jc w:val="both"/>
        <w:rPr>
          <w:rFonts w:ascii="Book Antiqua" w:eastAsia="宋体" w:hAnsi="Book Antiqua"/>
          <w:sz w:val="24"/>
          <w:szCs w:val="24"/>
          <w:lang w:eastAsia="zh-CN"/>
        </w:rPr>
      </w:pPr>
      <w:r w:rsidRPr="00A624C2">
        <w:rPr>
          <w:rFonts w:ascii="Book Antiqua" w:hAnsi="Book Antiqua"/>
          <w:sz w:val="24"/>
          <w:szCs w:val="24"/>
        </w:rPr>
        <w:t>P</w:t>
      </w:r>
      <w:r w:rsidR="00EC44E5" w:rsidRPr="00A624C2">
        <w:rPr>
          <w:rFonts w:ascii="Book Antiqua" w:hAnsi="Book Antiqua"/>
          <w:sz w:val="24"/>
          <w:szCs w:val="24"/>
        </w:rPr>
        <w:t xml:space="preserve">rospective </w:t>
      </w:r>
      <w:r w:rsidR="00E21F6D" w:rsidRPr="00A624C2">
        <w:rPr>
          <w:rFonts w:ascii="Book Antiqua" w:hAnsi="Book Antiqua"/>
          <w:sz w:val="24"/>
          <w:szCs w:val="24"/>
        </w:rPr>
        <w:t xml:space="preserve">single center study. </w:t>
      </w:r>
      <w:r w:rsidR="00AE427C" w:rsidRPr="00A624C2">
        <w:rPr>
          <w:rFonts w:ascii="Book Antiqua" w:hAnsi="Book Antiqua"/>
          <w:sz w:val="24"/>
          <w:szCs w:val="24"/>
        </w:rPr>
        <w:t>Consecutive p</w:t>
      </w:r>
      <w:r w:rsidR="00E21F6D" w:rsidRPr="00A624C2">
        <w:rPr>
          <w:rFonts w:ascii="Book Antiqua" w:hAnsi="Book Antiqua"/>
          <w:sz w:val="24"/>
          <w:szCs w:val="24"/>
        </w:rPr>
        <w:t xml:space="preserve">atients with clinically active CD </w:t>
      </w:r>
      <w:r w:rsidR="00525401" w:rsidRPr="00A624C2">
        <w:rPr>
          <w:rFonts w:ascii="Book Antiqua" w:hAnsi="Book Antiqua"/>
          <w:sz w:val="24"/>
          <w:szCs w:val="24"/>
        </w:rPr>
        <w:t xml:space="preserve">requiring treatment with a TNF-α inhibitor were included. A </w:t>
      </w:r>
      <w:r w:rsidR="00E21F6D" w:rsidRPr="00A624C2">
        <w:rPr>
          <w:rFonts w:ascii="Book Antiqua" w:hAnsi="Book Antiqua"/>
          <w:sz w:val="24"/>
          <w:szCs w:val="24"/>
        </w:rPr>
        <w:t xml:space="preserve">baseline segmental </w:t>
      </w:r>
      <w:r w:rsidR="00C11637" w:rsidRPr="00A624C2">
        <w:rPr>
          <w:rFonts w:ascii="Book Antiqua" w:eastAsia="宋体" w:hAnsi="Book Antiqua" w:cs="AdvTT08640291"/>
          <w:sz w:val="24"/>
          <w:szCs w:val="24"/>
          <w:lang w:eastAsia="zh-CN"/>
        </w:rPr>
        <w:t>CD</w:t>
      </w:r>
      <w:r w:rsidR="00E21F6D" w:rsidRPr="00A624C2">
        <w:rPr>
          <w:rFonts w:ascii="Book Antiqua" w:hAnsi="Book Antiqua" w:cs="AdvTT08640291"/>
          <w:sz w:val="24"/>
          <w:szCs w:val="24"/>
        </w:rPr>
        <w:t xml:space="preserve"> Endoscopic Index of Severity (CDEIS) </w:t>
      </w:r>
      <w:r w:rsidR="007E175D" w:rsidRPr="00A624C2">
        <w:rPr>
          <w:rFonts w:ascii="Book Antiqua" w:hAnsi="Book Antiqua"/>
          <w:sz w:val="24"/>
          <w:szCs w:val="24"/>
        </w:rPr>
        <w:t xml:space="preserve">≥ </w:t>
      </w:r>
      <w:r w:rsidR="00E21F6D" w:rsidRPr="00A624C2">
        <w:rPr>
          <w:rFonts w:ascii="Book Antiqua" w:hAnsi="Book Antiqua"/>
          <w:sz w:val="24"/>
          <w:szCs w:val="24"/>
        </w:rPr>
        <w:t>10 in at least one segment or</w:t>
      </w:r>
      <w:r w:rsidR="00575E20" w:rsidRPr="00A624C2">
        <w:rPr>
          <w:rFonts w:ascii="Book Antiqua" w:hAnsi="Book Antiqua"/>
          <w:sz w:val="24"/>
          <w:szCs w:val="24"/>
        </w:rPr>
        <w:t xml:space="preserve"> the</w:t>
      </w:r>
      <w:r w:rsidR="00E21F6D" w:rsidRPr="00A624C2">
        <w:rPr>
          <w:rFonts w:ascii="Book Antiqua" w:hAnsi="Book Antiqua"/>
          <w:sz w:val="24"/>
          <w:szCs w:val="24"/>
        </w:rPr>
        <w:t xml:space="preserve"> presence of ulcerations </w:t>
      </w:r>
      <w:r w:rsidR="00525401" w:rsidRPr="00A624C2">
        <w:rPr>
          <w:rFonts w:ascii="Book Antiqua" w:hAnsi="Book Antiqua"/>
          <w:sz w:val="24"/>
          <w:szCs w:val="24"/>
        </w:rPr>
        <w:t>w</w:t>
      </w:r>
      <w:r w:rsidR="00111853" w:rsidRPr="00A624C2">
        <w:rPr>
          <w:rFonts w:ascii="Book Antiqua" w:hAnsi="Book Antiqua"/>
          <w:sz w:val="24"/>
          <w:szCs w:val="24"/>
        </w:rPr>
        <w:t>ere</w:t>
      </w:r>
      <w:r w:rsidR="00525401" w:rsidRPr="00A624C2">
        <w:rPr>
          <w:rFonts w:ascii="Book Antiqua" w:hAnsi="Book Antiqua"/>
          <w:sz w:val="24"/>
          <w:szCs w:val="24"/>
        </w:rPr>
        <w:t xml:space="preserve"> required for inclusion. </w:t>
      </w:r>
      <w:r w:rsidR="00E21F6D" w:rsidRPr="00A624C2">
        <w:rPr>
          <w:rFonts w:ascii="Book Antiqua" w:hAnsi="Book Antiqua"/>
          <w:sz w:val="24"/>
          <w:szCs w:val="24"/>
        </w:rPr>
        <w:t>Clinical, biological and endoscopic data were obtained at baseline, week</w:t>
      </w:r>
      <w:r w:rsidR="007E175D" w:rsidRPr="00A624C2">
        <w:rPr>
          <w:rFonts w:ascii="Book Antiqua" w:hAnsi="Book Antiqua"/>
          <w:sz w:val="24"/>
          <w:szCs w:val="24"/>
        </w:rPr>
        <w:t xml:space="preserve">s 14 and </w:t>
      </w:r>
      <w:r w:rsidR="00C11637" w:rsidRPr="00A624C2">
        <w:rPr>
          <w:rFonts w:ascii="Book Antiqua" w:hAnsi="Book Antiqua"/>
          <w:sz w:val="24"/>
          <w:szCs w:val="24"/>
        </w:rPr>
        <w:t xml:space="preserve">46. </w:t>
      </w:r>
      <w:r w:rsidR="00E21F6D" w:rsidRPr="00A624C2">
        <w:rPr>
          <w:rFonts w:ascii="Book Antiqua" w:hAnsi="Book Antiqua"/>
          <w:sz w:val="24"/>
          <w:szCs w:val="24"/>
        </w:rPr>
        <w:t>Endoscopic response</w:t>
      </w:r>
      <w:r w:rsidR="007E175D" w:rsidRPr="00A624C2">
        <w:rPr>
          <w:rFonts w:ascii="Book Antiqua" w:hAnsi="Book Antiqua"/>
          <w:sz w:val="24"/>
          <w:szCs w:val="24"/>
        </w:rPr>
        <w:t xml:space="preserve"> (ER)</w:t>
      </w:r>
      <w:r w:rsidR="00E21F6D" w:rsidRPr="00A624C2">
        <w:rPr>
          <w:rFonts w:ascii="Book Antiqua" w:hAnsi="Book Antiqua"/>
          <w:sz w:val="24"/>
          <w:szCs w:val="24"/>
        </w:rPr>
        <w:t xml:space="preserve"> was defined as a decrease </w:t>
      </w:r>
      <w:r w:rsidR="00111853" w:rsidRPr="00A624C2">
        <w:rPr>
          <w:rFonts w:ascii="Book Antiqua" w:hAnsi="Book Antiqua"/>
          <w:sz w:val="24"/>
          <w:szCs w:val="24"/>
        </w:rPr>
        <w:t>≥</w:t>
      </w:r>
      <w:r w:rsidR="00E21F6D" w:rsidRPr="00A624C2">
        <w:rPr>
          <w:rFonts w:ascii="Book Antiqua" w:hAnsi="Book Antiqua"/>
          <w:sz w:val="24"/>
          <w:szCs w:val="24"/>
        </w:rPr>
        <w:t xml:space="preserve"> 50% from baseline</w:t>
      </w:r>
      <w:r w:rsidRPr="00A624C2">
        <w:rPr>
          <w:rFonts w:ascii="Book Antiqua" w:hAnsi="Book Antiqua"/>
          <w:sz w:val="24"/>
          <w:szCs w:val="24"/>
        </w:rPr>
        <w:t xml:space="preserve"> </w:t>
      </w:r>
      <w:r w:rsidR="00E21F6D" w:rsidRPr="00A624C2">
        <w:rPr>
          <w:rFonts w:ascii="Book Antiqua" w:hAnsi="Book Antiqua"/>
          <w:sz w:val="24"/>
          <w:szCs w:val="24"/>
        </w:rPr>
        <w:t xml:space="preserve">CDEIS and </w:t>
      </w:r>
      <w:r w:rsidR="00C11637" w:rsidRPr="00A624C2">
        <w:rPr>
          <w:rFonts w:ascii="Book Antiqua" w:hAnsi="Book Antiqua"/>
          <w:sz w:val="24"/>
          <w:szCs w:val="24"/>
        </w:rPr>
        <w:t>MH</w:t>
      </w:r>
      <w:r w:rsidR="00D82D56" w:rsidRPr="00A624C2">
        <w:rPr>
          <w:rFonts w:ascii="Book Antiqua" w:hAnsi="Book Antiqua"/>
          <w:sz w:val="24"/>
          <w:szCs w:val="24"/>
        </w:rPr>
        <w:t xml:space="preserve"> </w:t>
      </w:r>
      <w:r w:rsidR="00E21F6D" w:rsidRPr="00A624C2">
        <w:rPr>
          <w:rFonts w:ascii="Book Antiqua" w:hAnsi="Book Antiqua"/>
          <w:sz w:val="24"/>
          <w:szCs w:val="24"/>
        </w:rPr>
        <w:t xml:space="preserve">as partial CDEIS </w:t>
      </w:r>
      <w:r w:rsidR="0017780B" w:rsidRPr="00A624C2">
        <w:rPr>
          <w:rFonts w:ascii="Book Antiqua" w:hAnsi="Book Antiqua" w:cstheme="minorHAnsi"/>
          <w:sz w:val="24"/>
          <w:szCs w:val="24"/>
        </w:rPr>
        <w:t>≤</w:t>
      </w:r>
      <w:r w:rsidR="00C11637" w:rsidRPr="00A624C2">
        <w:rPr>
          <w:rFonts w:ascii="Book Antiqua" w:eastAsia="宋体" w:hAnsi="Book Antiqua" w:cstheme="minorHAnsi"/>
          <w:sz w:val="24"/>
          <w:szCs w:val="24"/>
          <w:lang w:eastAsia="zh-CN"/>
        </w:rPr>
        <w:t xml:space="preserve"> </w:t>
      </w:r>
      <w:r w:rsidR="00896FCC" w:rsidRPr="00A624C2">
        <w:rPr>
          <w:rFonts w:ascii="Book Antiqua" w:hAnsi="Book Antiqua"/>
          <w:sz w:val="24"/>
          <w:szCs w:val="24"/>
        </w:rPr>
        <w:t>5</w:t>
      </w:r>
      <w:r w:rsidR="00E21F6D" w:rsidRPr="00A624C2">
        <w:rPr>
          <w:rFonts w:ascii="Book Antiqua" w:hAnsi="Book Antiqua"/>
          <w:sz w:val="24"/>
          <w:szCs w:val="24"/>
        </w:rPr>
        <w:t xml:space="preserve"> in all segments.</w:t>
      </w:r>
      <w:r w:rsidR="007C6FFC" w:rsidRPr="00A624C2">
        <w:rPr>
          <w:rFonts w:ascii="Book Antiqua" w:hAnsi="Book Antiqua"/>
          <w:sz w:val="24"/>
          <w:szCs w:val="24"/>
        </w:rPr>
        <w:t xml:space="preserve"> </w:t>
      </w:r>
    </w:p>
    <w:p w14:paraId="2D9EB6E9" w14:textId="77777777" w:rsidR="006121F8" w:rsidRPr="00A624C2" w:rsidRDefault="006121F8" w:rsidP="0028587F">
      <w:pPr>
        <w:spacing w:after="0" w:line="360" w:lineRule="auto"/>
        <w:jc w:val="both"/>
        <w:rPr>
          <w:rFonts w:ascii="Book Antiqua" w:eastAsia="宋体" w:hAnsi="Book Antiqua"/>
          <w:sz w:val="24"/>
          <w:szCs w:val="24"/>
          <w:lang w:eastAsia="zh-CN"/>
        </w:rPr>
      </w:pPr>
    </w:p>
    <w:p w14:paraId="55E7648D" w14:textId="590894F8" w:rsidR="00C11637" w:rsidRPr="00A624C2" w:rsidRDefault="00C11637" w:rsidP="0028587F">
      <w:pPr>
        <w:spacing w:after="0" w:line="360" w:lineRule="auto"/>
        <w:jc w:val="both"/>
        <w:rPr>
          <w:rFonts w:ascii="Book Antiqua" w:eastAsia="宋体" w:hAnsi="Book Antiqua"/>
          <w:i/>
          <w:sz w:val="24"/>
          <w:szCs w:val="24"/>
          <w:lang w:eastAsia="zh-CN"/>
        </w:rPr>
      </w:pPr>
      <w:r w:rsidRPr="00A624C2">
        <w:rPr>
          <w:rFonts w:ascii="Book Antiqua" w:hAnsi="Book Antiqua"/>
          <w:b/>
          <w:i/>
          <w:sz w:val="24"/>
          <w:szCs w:val="24"/>
        </w:rPr>
        <w:t>RESULTS</w:t>
      </w:r>
    </w:p>
    <w:p w14:paraId="2C92713F" w14:textId="7F097D24" w:rsidR="00265582" w:rsidRPr="00A624C2" w:rsidRDefault="00C11637" w:rsidP="0028587F">
      <w:pPr>
        <w:spacing w:after="0" w:line="360" w:lineRule="auto"/>
        <w:jc w:val="both"/>
        <w:rPr>
          <w:rFonts w:ascii="Book Antiqua" w:eastAsia="宋体" w:hAnsi="Book Antiqua"/>
          <w:sz w:val="24"/>
          <w:szCs w:val="24"/>
          <w:lang w:eastAsia="zh-CN"/>
        </w:rPr>
      </w:pPr>
      <w:r w:rsidRPr="00A624C2">
        <w:rPr>
          <w:rFonts w:ascii="Book Antiqua" w:eastAsia="宋体" w:hAnsi="Book Antiqua"/>
          <w:sz w:val="24"/>
          <w:szCs w:val="24"/>
          <w:lang w:eastAsia="zh-CN"/>
        </w:rPr>
        <w:t xml:space="preserve">Of </w:t>
      </w:r>
      <w:r w:rsidR="00FB2EF9" w:rsidRPr="00A624C2">
        <w:rPr>
          <w:rFonts w:ascii="Book Antiqua" w:hAnsi="Book Antiqua"/>
          <w:sz w:val="24"/>
          <w:szCs w:val="24"/>
        </w:rPr>
        <w:t>62</w:t>
      </w:r>
      <w:r w:rsidR="00E21F6D" w:rsidRPr="00A624C2">
        <w:rPr>
          <w:rFonts w:ascii="Book Antiqua" w:hAnsi="Book Antiqua"/>
          <w:sz w:val="24"/>
          <w:szCs w:val="24"/>
        </w:rPr>
        <w:t xml:space="preserve"> </w:t>
      </w:r>
      <w:r w:rsidR="00872779" w:rsidRPr="00A624C2">
        <w:rPr>
          <w:rFonts w:ascii="Book Antiqua" w:hAnsi="Book Antiqua"/>
          <w:sz w:val="24"/>
          <w:szCs w:val="24"/>
        </w:rPr>
        <w:t xml:space="preserve">patients </w:t>
      </w:r>
      <w:r w:rsidR="00AE427C" w:rsidRPr="00A624C2">
        <w:rPr>
          <w:rFonts w:ascii="Book Antiqua" w:hAnsi="Book Antiqua"/>
          <w:sz w:val="24"/>
          <w:szCs w:val="24"/>
        </w:rPr>
        <w:t>were</w:t>
      </w:r>
      <w:r w:rsidR="00E21F6D" w:rsidRPr="00A624C2">
        <w:rPr>
          <w:rFonts w:ascii="Book Antiqua" w:hAnsi="Book Antiqua"/>
          <w:sz w:val="24"/>
          <w:szCs w:val="24"/>
        </w:rPr>
        <w:t xml:space="preserve"> included</w:t>
      </w:r>
      <w:r w:rsidR="00786D26" w:rsidRPr="00A624C2">
        <w:rPr>
          <w:rFonts w:ascii="Book Antiqua" w:hAnsi="Book Antiqua"/>
          <w:sz w:val="24"/>
          <w:szCs w:val="24"/>
        </w:rPr>
        <w:t xml:space="preserve">. </w:t>
      </w:r>
      <w:r w:rsidR="00E21F6D" w:rsidRPr="00A624C2">
        <w:rPr>
          <w:rFonts w:ascii="Book Antiqua" w:hAnsi="Book Antiqua"/>
          <w:sz w:val="24"/>
          <w:szCs w:val="24"/>
        </w:rPr>
        <w:t xml:space="preserve">At baseline, median </w:t>
      </w:r>
      <w:r w:rsidRPr="00A624C2">
        <w:rPr>
          <w:rFonts w:ascii="Book Antiqua" w:eastAsia="宋体" w:hAnsi="Book Antiqua"/>
          <w:sz w:val="24"/>
          <w:szCs w:val="24"/>
          <w:lang w:eastAsia="zh-CN"/>
        </w:rPr>
        <w:t>CD</w:t>
      </w:r>
      <w:r w:rsidRPr="00A624C2">
        <w:rPr>
          <w:rFonts w:ascii="Book Antiqua" w:hAnsi="Book Antiqua"/>
          <w:sz w:val="24"/>
          <w:szCs w:val="24"/>
        </w:rPr>
        <w:t xml:space="preserve"> Activity Index </w:t>
      </w:r>
      <w:r w:rsidR="00E21F6D" w:rsidRPr="00A624C2">
        <w:rPr>
          <w:rFonts w:ascii="Book Antiqua" w:hAnsi="Book Antiqua"/>
          <w:sz w:val="24"/>
          <w:szCs w:val="24"/>
        </w:rPr>
        <w:t xml:space="preserve">and CDEIS were </w:t>
      </w:r>
      <w:r w:rsidR="00826EE4" w:rsidRPr="00A624C2">
        <w:rPr>
          <w:rFonts w:ascii="Book Antiqua" w:hAnsi="Book Antiqua"/>
          <w:sz w:val="24"/>
          <w:szCs w:val="24"/>
        </w:rPr>
        <w:t>20</w:t>
      </w:r>
      <w:r w:rsidR="002D35BD" w:rsidRPr="00A624C2">
        <w:rPr>
          <w:rFonts w:ascii="Book Antiqua" w:hAnsi="Book Antiqua"/>
          <w:sz w:val="24"/>
          <w:szCs w:val="24"/>
        </w:rPr>
        <w:t>1</w:t>
      </w:r>
      <w:r w:rsidR="00E21F6D" w:rsidRPr="00A624C2">
        <w:rPr>
          <w:rFonts w:ascii="Book Antiqua" w:hAnsi="Book Antiqua"/>
          <w:sz w:val="24"/>
          <w:szCs w:val="24"/>
        </w:rPr>
        <w:t xml:space="preserve"> and </w:t>
      </w:r>
      <w:r w:rsidR="00826EE4" w:rsidRPr="00A624C2">
        <w:rPr>
          <w:rFonts w:ascii="Book Antiqua" w:hAnsi="Book Antiqua"/>
          <w:sz w:val="24"/>
          <w:szCs w:val="24"/>
        </w:rPr>
        <w:t>6</w:t>
      </w:r>
      <w:r w:rsidR="002D35BD" w:rsidRPr="00A624C2">
        <w:rPr>
          <w:rFonts w:ascii="Book Antiqua" w:hAnsi="Book Antiqua"/>
          <w:sz w:val="24"/>
          <w:szCs w:val="24"/>
        </w:rPr>
        <w:t>.7</w:t>
      </w:r>
      <w:r w:rsidR="00826EE4" w:rsidRPr="00A624C2">
        <w:rPr>
          <w:rFonts w:ascii="Book Antiqua" w:hAnsi="Book Antiqua"/>
          <w:sz w:val="24"/>
          <w:szCs w:val="24"/>
        </w:rPr>
        <w:t>,</w:t>
      </w:r>
      <w:r w:rsidR="00872779" w:rsidRPr="00A624C2">
        <w:rPr>
          <w:rFonts w:ascii="Book Antiqua" w:hAnsi="Book Antiqua"/>
          <w:sz w:val="24"/>
          <w:szCs w:val="24"/>
        </w:rPr>
        <w:t xml:space="preserve"> </w:t>
      </w:r>
      <w:r w:rsidR="00213D1F" w:rsidRPr="00A624C2">
        <w:rPr>
          <w:rFonts w:ascii="Book Antiqua" w:hAnsi="Book Antiqua"/>
          <w:sz w:val="24"/>
          <w:szCs w:val="24"/>
        </w:rPr>
        <w:t>respectively with</w:t>
      </w:r>
      <w:r w:rsidR="00E21F6D" w:rsidRPr="00A624C2">
        <w:rPr>
          <w:rFonts w:ascii="Book Antiqua" w:hAnsi="Book Antiqua"/>
          <w:sz w:val="24"/>
          <w:szCs w:val="24"/>
        </w:rPr>
        <w:t xml:space="preserve"> a significant reduction after one year of treatment</w:t>
      </w:r>
      <w:r w:rsidR="00575E20" w:rsidRPr="00A624C2">
        <w:rPr>
          <w:rFonts w:ascii="Book Antiqua" w:hAnsi="Book Antiqua"/>
          <w:sz w:val="24"/>
          <w:szCs w:val="24"/>
        </w:rPr>
        <w:t xml:space="preserve"> </w:t>
      </w:r>
      <w:r w:rsidR="00786D26" w:rsidRPr="00A624C2">
        <w:rPr>
          <w:rFonts w:ascii="Book Antiqua" w:hAnsi="Book Antiqua"/>
          <w:sz w:val="24"/>
          <w:szCs w:val="24"/>
        </w:rPr>
        <w:t>(53 and</w:t>
      </w:r>
      <w:r w:rsidR="00E21F6D" w:rsidRPr="00A624C2">
        <w:rPr>
          <w:rFonts w:ascii="Book Antiqua" w:hAnsi="Book Antiqua"/>
          <w:sz w:val="24"/>
          <w:szCs w:val="24"/>
        </w:rPr>
        <w:t xml:space="preserve"> </w:t>
      </w:r>
      <w:r w:rsidR="00826EE4" w:rsidRPr="00A624C2">
        <w:rPr>
          <w:rFonts w:ascii="Book Antiqua" w:hAnsi="Book Antiqua"/>
          <w:sz w:val="24"/>
          <w:szCs w:val="24"/>
        </w:rPr>
        <w:t>3</w:t>
      </w:r>
      <w:r w:rsidR="002C37BF" w:rsidRPr="00A624C2">
        <w:rPr>
          <w:rFonts w:ascii="Book Antiqua" w:hAnsi="Book Antiqua"/>
          <w:sz w:val="24"/>
          <w:szCs w:val="24"/>
        </w:rPr>
        <w:t>.</w:t>
      </w:r>
      <w:r w:rsidR="002D35BD" w:rsidRPr="00A624C2">
        <w:rPr>
          <w:rFonts w:ascii="Book Antiqua" w:hAnsi="Book Antiqua"/>
          <w:sz w:val="24"/>
          <w:szCs w:val="24"/>
        </w:rPr>
        <w:t>0</w:t>
      </w:r>
      <w:r w:rsidR="00786D26" w:rsidRPr="00A624C2">
        <w:rPr>
          <w:rFonts w:ascii="Book Antiqua" w:hAnsi="Book Antiqua"/>
          <w:sz w:val="24"/>
          <w:szCs w:val="24"/>
        </w:rPr>
        <w:t xml:space="preserve"> respectively,</w:t>
      </w:r>
      <w:r w:rsidRPr="00A624C2">
        <w:rPr>
          <w:rFonts w:ascii="Book Antiqua" w:eastAsia="宋体" w:hAnsi="Book Antiqua"/>
          <w:sz w:val="24"/>
          <w:szCs w:val="24"/>
          <w:lang w:eastAsia="zh-CN"/>
        </w:rPr>
        <w:t xml:space="preserve"> </w:t>
      </w:r>
      <w:r w:rsidRPr="00A624C2">
        <w:rPr>
          <w:rFonts w:ascii="Book Antiqua" w:hAnsi="Book Antiqua"/>
          <w:i/>
          <w:sz w:val="24"/>
          <w:szCs w:val="24"/>
        </w:rPr>
        <w:t>P</w:t>
      </w:r>
      <w:r w:rsidR="00E21F6D" w:rsidRPr="00A624C2">
        <w:rPr>
          <w:rFonts w:ascii="Book Antiqua" w:hAnsi="Book Antiqua"/>
          <w:sz w:val="24"/>
          <w:szCs w:val="24"/>
        </w:rPr>
        <w:t xml:space="preserve"> &lt;</w:t>
      </w:r>
      <w:r w:rsidRPr="00A624C2">
        <w:rPr>
          <w:rFonts w:ascii="Book Antiqua" w:eastAsia="宋体" w:hAnsi="Book Antiqua"/>
          <w:sz w:val="24"/>
          <w:szCs w:val="24"/>
          <w:lang w:eastAsia="zh-CN"/>
        </w:rPr>
        <w:t xml:space="preserve"> </w:t>
      </w:r>
      <w:r w:rsidR="00E21F6D" w:rsidRPr="00A624C2">
        <w:rPr>
          <w:rFonts w:ascii="Book Antiqua" w:hAnsi="Book Antiqua"/>
          <w:sz w:val="24"/>
          <w:szCs w:val="24"/>
        </w:rPr>
        <w:t>0</w:t>
      </w:r>
      <w:r w:rsidR="002C37BF" w:rsidRPr="00A624C2">
        <w:rPr>
          <w:rFonts w:ascii="Book Antiqua" w:hAnsi="Book Antiqua"/>
          <w:sz w:val="24"/>
          <w:szCs w:val="24"/>
        </w:rPr>
        <w:t>.</w:t>
      </w:r>
      <w:r w:rsidRPr="00A624C2">
        <w:rPr>
          <w:rFonts w:ascii="Book Antiqua" w:hAnsi="Book Antiqua"/>
          <w:sz w:val="24"/>
          <w:szCs w:val="24"/>
        </w:rPr>
        <w:t xml:space="preserve">001). </w:t>
      </w:r>
      <w:r w:rsidR="00E21F6D" w:rsidRPr="00A624C2">
        <w:rPr>
          <w:rFonts w:ascii="Book Antiqua" w:hAnsi="Book Antiqua"/>
          <w:sz w:val="24"/>
          <w:szCs w:val="24"/>
        </w:rPr>
        <w:t xml:space="preserve">At week 14, </w:t>
      </w:r>
      <w:r w:rsidR="00B73BDC" w:rsidRPr="00A624C2">
        <w:rPr>
          <w:rFonts w:ascii="Book Antiqua" w:hAnsi="Book Antiqua"/>
          <w:sz w:val="24"/>
          <w:szCs w:val="24"/>
        </w:rPr>
        <w:t>5</w:t>
      </w:r>
      <w:r w:rsidR="00D5286A" w:rsidRPr="00A624C2">
        <w:rPr>
          <w:rFonts w:ascii="Book Antiqua" w:hAnsi="Book Antiqua"/>
          <w:sz w:val="24"/>
          <w:szCs w:val="24"/>
        </w:rPr>
        <w:t>6</w:t>
      </w:r>
      <w:r w:rsidR="00E21F6D" w:rsidRPr="00A624C2">
        <w:rPr>
          <w:rFonts w:ascii="Book Antiqua" w:hAnsi="Book Antiqua"/>
          <w:sz w:val="24"/>
          <w:szCs w:val="24"/>
        </w:rPr>
        <w:t xml:space="preserve">% of patients achieved </w:t>
      </w:r>
      <w:r w:rsidR="007E175D" w:rsidRPr="00A624C2">
        <w:rPr>
          <w:rFonts w:ascii="Book Antiqua" w:hAnsi="Book Antiqua"/>
          <w:sz w:val="24"/>
          <w:szCs w:val="24"/>
        </w:rPr>
        <w:t>ER</w:t>
      </w:r>
      <w:r w:rsidR="00E21F6D" w:rsidRPr="00A624C2">
        <w:rPr>
          <w:rFonts w:ascii="Book Antiqua" w:hAnsi="Book Antiqua"/>
          <w:sz w:val="24"/>
          <w:szCs w:val="24"/>
        </w:rPr>
        <w:t xml:space="preserve"> and 3</w:t>
      </w:r>
      <w:r w:rsidR="00B73BDC" w:rsidRPr="00A624C2">
        <w:rPr>
          <w:rFonts w:ascii="Book Antiqua" w:hAnsi="Book Antiqua"/>
          <w:sz w:val="24"/>
          <w:szCs w:val="24"/>
        </w:rPr>
        <w:t>4</w:t>
      </w:r>
      <w:r w:rsidR="00E21F6D" w:rsidRPr="00A624C2">
        <w:rPr>
          <w:rFonts w:ascii="Book Antiqua" w:hAnsi="Book Antiqua"/>
          <w:sz w:val="24"/>
          <w:szCs w:val="24"/>
        </w:rPr>
        <w:t xml:space="preserve">% </w:t>
      </w:r>
      <w:r w:rsidR="00786D26" w:rsidRPr="00A624C2">
        <w:rPr>
          <w:rFonts w:ascii="Book Antiqua" w:hAnsi="Book Antiqua"/>
          <w:sz w:val="24"/>
          <w:szCs w:val="24"/>
        </w:rPr>
        <w:t>MH</w:t>
      </w:r>
      <w:r w:rsidR="00E21F6D" w:rsidRPr="00A624C2">
        <w:rPr>
          <w:rFonts w:ascii="Book Antiqua" w:hAnsi="Book Antiqua"/>
          <w:sz w:val="24"/>
          <w:szCs w:val="24"/>
        </w:rPr>
        <w:t xml:space="preserve">. At week 46, </w:t>
      </w:r>
      <w:r w:rsidR="005310D4" w:rsidRPr="00A624C2">
        <w:rPr>
          <w:rFonts w:ascii="Book Antiqua" w:hAnsi="Book Antiqua"/>
          <w:sz w:val="24"/>
          <w:szCs w:val="24"/>
        </w:rPr>
        <w:t xml:space="preserve">the corresponding </w:t>
      </w:r>
      <w:r w:rsidR="00E21F6D" w:rsidRPr="00A624C2">
        <w:rPr>
          <w:rFonts w:ascii="Book Antiqua" w:hAnsi="Book Antiqua"/>
          <w:sz w:val="24"/>
          <w:szCs w:val="24"/>
        </w:rPr>
        <w:t xml:space="preserve">percentages </w:t>
      </w:r>
      <w:r w:rsidR="005310D4" w:rsidRPr="00A624C2">
        <w:rPr>
          <w:rFonts w:ascii="Book Antiqua" w:hAnsi="Book Antiqua"/>
          <w:sz w:val="24"/>
          <w:szCs w:val="24"/>
        </w:rPr>
        <w:t xml:space="preserve">were </w:t>
      </w:r>
      <w:r w:rsidR="00FB2EF9" w:rsidRPr="00A624C2">
        <w:rPr>
          <w:rFonts w:ascii="Book Antiqua" w:hAnsi="Book Antiqua"/>
          <w:sz w:val="24"/>
          <w:szCs w:val="24"/>
        </w:rPr>
        <w:t>52</w:t>
      </w:r>
      <w:r w:rsidR="00E21F6D" w:rsidRPr="00A624C2">
        <w:rPr>
          <w:rFonts w:ascii="Book Antiqua" w:hAnsi="Book Antiqua"/>
          <w:sz w:val="24"/>
          <w:szCs w:val="24"/>
        </w:rPr>
        <w:t>% and 4</w:t>
      </w:r>
      <w:r w:rsidR="00FB2EF9" w:rsidRPr="00A624C2">
        <w:rPr>
          <w:rFonts w:ascii="Book Antiqua" w:hAnsi="Book Antiqua"/>
          <w:sz w:val="24"/>
          <w:szCs w:val="24"/>
        </w:rPr>
        <w:t>4</w:t>
      </w:r>
      <w:r w:rsidR="00E21F6D" w:rsidRPr="00A624C2">
        <w:rPr>
          <w:rFonts w:ascii="Book Antiqua" w:hAnsi="Book Antiqua"/>
          <w:sz w:val="24"/>
          <w:szCs w:val="24"/>
        </w:rPr>
        <w:t xml:space="preserve">%. </w:t>
      </w:r>
      <w:r w:rsidR="00361CC6" w:rsidRPr="00A624C2">
        <w:rPr>
          <w:rFonts w:ascii="Book Antiqua" w:hAnsi="Book Antiqua"/>
          <w:sz w:val="24"/>
          <w:szCs w:val="24"/>
        </w:rPr>
        <w:t>Baseline d</w:t>
      </w:r>
      <w:r w:rsidR="00786D26" w:rsidRPr="00A624C2">
        <w:rPr>
          <w:rFonts w:ascii="Book Antiqua" w:hAnsi="Book Antiqua"/>
          <w:sz w:val="24"/>
          <w:szCs w:val="24"/>
        </w:rPr>
        <w:t xml:space="preserve">isease </w:t>
      </w:r>
      <w:r w:rsidR="00E21F6D" w:rsidRPr="00A624C2">
        <w:rPr>
          <w:rFonts w:ascii="Book Antiqua" w:hAnsi="Book Antiqua"/>
          <w:sz w:val="24"/>
          <w:szCs w:val="24"/>
        </w:rPr>
        <w:t>characteristics</w:t>
      </w:r>
      <w:r w:rsidR="00717C09" w:rsidRPr="00A624C2">
        <w:rPr>
          <w:rFonts w:ascii="Book Antiqua" w:hAnsi="Book Antiqua"/>
          <w:sz w:val="24"/>
          <w:szCs w:val="24"/>
        </w:rPr>
        <w:t xml:space="preserve"> or biomarkers</w:t>
      </w:r>
      <w:r w:rsidR="00E21F6D" w:rsidRPr="00A624C2">
        <w:rPr>
          <w:rFonts w:ascii="Book Antiqua" w:hAnsi="Book Antiqua"/>
          <w:sz w:val="24"/>
          <w:szCs w:val="24"/>
        </w:rPr>
        <w:t xml:space="preserve"> did not predict </w:t>
      </w:r>
      <w:r w:rsidR="007A1EBB" w:rsidRPr="00A624C2">
        <w:rPr>
          <w:rFonts w:ascii="Book Antiqua" w:hAnsi="Book Antiqua"/>
          <w:sz w:val="24"/>
          <w:szCs w:val="24"/>
        </w:rPr>
        <w:t>MH</w:t>
      </w:r>
      <w:r w:rsidR="00DE626C" w:rsidRPr="00A624C2">
        <w:rPr>
          <w:rFonts w:ascii="Book Antiqua" w:hAnsi="Book Antiqua"/>
          <w:sz w:val="24"/>
          <w:szCs w:val="24"/>
        </w:rPr>
        <w:t>.</w:t>
      </w:r>
      <w:r w:rsidR="00E21F6D" w:rsidRPr="00A624C2">
        <w:rPr>
          <w:rFonts w:ascii="Book Antiqua" w:hAnsi="Book Antiqua"/>
          <w:sz w:val="24"/>
          <w:szCs w:val="24"/>
        </w:rPr>
        <w:t xml:space="preserve"> </w:t>
      </w:r>
      <w:r w:rsidR="00786D26" w:rsidRPr="00A624C2">
        <w:rPr>
          <w:rFonts w:ascii="Book Antiqua" w:hAnsi="Book Antiqua"/>
          <w:sz w:val="24"/>
          <w:szCs w:val="24"/>
        </w:rPr>
        <w:t xml:space="preserve"> A </w:t>
      </w:r>
      <w:r w:rsidR="00E21F6D" w:rsidRPr="00A624C2">
        <w:rPr>
          <w:rFonts w:ascii="Book Antiqua" w:hAnsi="Book Antiqua" w:cs="AdvOT223abdbc"/>
          <w:sz w:val="24"/>
          <w:szCs w:val="24"/>
        </w:rPr>
        <w:t>decrease from baseline</w:t>
      </w:r>
      <w:r w:rsidR="00786D26" w:rsidRPr="00A624C2">
        <w:rPr>
          <w:rFonts w:ascii="Book Antiqua" w:hAnsi="Book Antiqua" w:cs="AdvOT223abdbc"/>
          <w:sz w:val="24"/>
          <w:szCs w:val="24"/>
        </w:rPr>
        <w:t xml:space="preserve"> </w:t>
      </w:r>
      <w:r w:rsidR="00E21F6D" w:rsidRPr="00A624C2">
        <w:rPr>
          <w:rFonts w:ascii="Book Antiqua" w:hAnsi="Book Antiqua" w:cs="AdvOT223abdbc"/>
          <w:sz w:val="24"/>
          <w:szCs w:val="24"/>
        </w:rPr>
        <w:t xml:space="preserve">CDEIS </w:t>
      </w:r>
      <w:r w:rsidR="00E55D8F" w:rsidRPr="00A624C2">
        <w:rPr>
          <w:rFonts w:ascii="Book Antiqua" w:hAnsi="Book Antiqua" w:cs="AdvOT223abdbc"/>
          <w:sz w:val="24"/>
          <w:szCs w:val="24"/>
        </w:rPr>
        <w:t xml:space="preserve">at week 14 </w:t>
      </w:r>
      <w:r w:rsidR="00E21F6D" w:rsidRPr="00A624C2">
        <w:rPr>
          <w:rFonts w:ascii="Book Antiqua" w:hAnsi="Book Antiqua" w:cs="AdvOT223abdbc"/>
          <w:sz w:val="24"/>
          <w:szCs w:val="24"/>
        </w:rPr>
        <w:t xml:space="preserve">of at least 80% </w:t>
      </w:r>
      <w:r w:rsidR="00717C09" w:rsidRPr="00A624C2">
        <w:rPr>
          <w:rFonts w:ascii="Book Antiqua" w:hAnsi="Book Antiqua" w:cs="AdvOT223abdbc"/>
          <w:sz w:val="24"/>
          <w:szCs w:val="24"/>
        </w:rPr>
        <w:t>was</w:t>
      </w:r>
      <w:r w:rsidR="00E21F6D" w:rsidRPr="00A624C2">
        <w:rPr>
          <w:rFonts w:ascii="Book Antiqua" w:hAnsi="Book Antiqua" w:cs="AdvOT223abdbc"/>
          <w:sz w:val="24"/>
          <w:szCs w:val="24"/>
        </w:rPr>
        <w:t xml:space="preserve"> the best</w:t>
      </w:r>
      <w:r w:rsidR="000F3494" w:rsidRPr="00A624C2">
        <w:rPr>
          <w:rFonts w:ascii="Book Antiqua" w:hAnsi="Book Antiqua" w:cs="AdvOT223abdbc"/>
          <w:sz w:val="24"/>
          <w:szCs w:val="24"/>
        </w:rPr>
        <w:t xml:space="preserve"> </w:t>
      </w:r>
      <w:r w:rsidR="00E21F6D" w:rsidRPr="00A624C2">
        <w:rPr>
          <w:rFonts w:ascii="Book Antiqua" w:hAnsi="Book Antiqua" w:cs="AdvOT223abdbc"/>
          <w:sz w:val="24"/>
          <w:szCs w:val="24"/>
        </w:rPr>
        <w:t>predict</w:t>
      </w:r>
      <w:r w:rsidR="00717C09" w:rsidRPr="00A624C2">
        <w:rPr>
          <w:rFonts w:ascii="Book Antiqua" w:hAnsi="Book Antiqua" w:cs="AdvOT223abdbc"/>
          <w:sz w:val="24"/>
          <w:szCs w:val="24"/>
        </w:rPr>
        <w:t>or of</w:t>
      </w:r>
      <w:r w:rsidR="00E21F6D" w:rsidRPr="00A624C2">
        <w:rPr>
          <w:rFonts w:ascii="Book Antiqua" w:hAnsi="Book Antiqua" w:cs="AdvOT223abdbc"/>
          <w:sz w:val="24"/>
          <w:szCs w:val="24"/>
        </w:rPr>
        <w:t xml:space="preserve"> </w:t>
      </w:r>
      <w:r w:rsidR="00F3089F" w:rsidRPr="00A624C2">
        <w:rPr>
          <w:rFonts w:ascii="Book Antiqua" w:hAnsi="Book Antiqua"/>
          <w:sz w:val="24"/>
          <w:szCs w:val="24"/>
        </w:rPr>
        <w:t>MH</w:t>
      </w:r>
      <w:r w:rsidR="00D82D56" w:rsidRPr="00A624C2">
        <w:rPr>
          <w:rFonts w:ascii="Book Antiqua" w:hAnsi="Book Antiqua" w:cs="AdvOT223abdbc"/>
          <w:sz w:val="24"/>
          <w:szCs w:val="24"/>
        </w:rPr>
        <w:t xml:space="preserve"> </w:t>
      </w:r>
      <w:r w:rsidR="00E21F6D" w:rsidRPr="00A624C2">
        <w:rPr>
          <w:rFonts w:ascii="Book Antiqua" w:hAnsi="Book Antiqua" w:cs="AdvOT223abdbc"/>
          <w:sz w:val="24"/>
          <w:szCs w:val="24"/>
        </w:rPr>
        <w:t>at week 46</w:t>
      </w:r>
      <w:r w:rsidR="00786D26" w:rsidRPr="00A624C2">
        <w:rPr>
          <w:rFonts w:ascii="Book Antiqua" w:hAnsi="Book Antiqua" w:cs="AdvOT223abdbc"/>
          <w:sz w:val="24"/>
          <w:szCs w:val="24"/>
        </w:rPr>
        <w:t xml:space="preserve"> (</w:t>
      </w:r>
      <w:r w:rsidR="00FB2EF9" w:rsidRPr="00A624C2">
        <w:rPr>
          <w:rFonts w:ascii="Book Antiqua" w:hAnsi="Book Antiqua" w:cs="AdvOT223abdbc"/>
          <w:sz w:val="24"/>
          <w:szCs w:val="24"/>
        </w:rPr>
        <w:t>59</w:t>
      </w:r>
      <w:r w:rsidR="00B73BDC" w:rsidRPr="00A624C2">
        <w:rPr>
          <w:rFonts w:ascii="Book Antiqua" w:hAnsi="Book Antiqua" w:cs="AdvOT223abdbc"/>
          <w:sz w:val="24"/>
          <w:szCs w:val="24"/>
        </w:rPr>
        <w:t xml:space="preserve">% sensitivity and </w:t>
      </w:r>
      <w:r w:rsidR="00E340D3" w:rsidRPr="00A624C2">
        <w:rPr>
          <w:rFonts w:ascii="Book Antiqua" w:hAnsi="Book Antiqua" w:cs="AdvOT223abdbc"/>
          <w:sz w:val="24"/>
          <w:szCs w:val="24"/>
        </w:rPr>
        <w:t>9</w:t>
      </w:r>
      <w:r w:rsidR="00353CEB" w:rsidRPr="00A624C2">
        <w:rPr>
          <w:rFonts w:ascii="Book Antiqua" w:hAnsi="Book Antiqua" w:cs="AdvOT223abdbc"/>
          <w:sz w:val="24"/>
          <w:szCs w:val="24"/>
        </w:rPr>
        <w:t>1</w:t>
      </w:r>
      <w:r w:rsidR="00E21F6D" w:rsidRPr="00A624C2">
        <w:rPr>
          <w:rFonts w:ascii="Book Antiqua" w:hAnsi="Book Antiqua" w:cs="AdvOT223abdbc"/>
          <w:sz w:val="24"/>
          <w:szCs w:val="24"/>
        </w:rPr>
        <w:t>% specificity</w:t>
      </w:r>
      <w:r w:rsidR="00786D26" w:rsidRPr="00A624C2">
        <w:rPr>
          <w:rFonts w:ascii="Book Antiqua" w:hAnsi="Book Antiqua"/>
          <w:sz w:val="24"/>
          <w:szCs w:val="24"/>
        </w:rPr>
        <w:t>;</w:t>
      </w:r>
      <w:r w:rsidR="003C2474" w:rsidRPr="00A624C2">
        <w:rPr>
          <w:rFonts w:ascii="Book Antiqua" w:hAnsi="Book Antiqua"/>
          <w:sz w:val="24"/>
          <w:szCs w:val="24"/>
        </w:rPr>
        <w:t xml:space="preserve"> </w:t>
      </w:r>
      <w:r w:rsidRPr="00A624C2">
        <w:rPr>
          <w:rFonts w:ascii="Book Antiqua" w:eastAsia="宋体" w:hAnsi="Book Antiqua"/>
          <w:sz w:val="24"/>
          <w:szCs w:val="24"/>
          <w:lang w:eastAsia="zh-CN"/>
        </w:rPr>
        <w:t xml:space="preserve">area under the curve </w:t>
      </w:r>
      <w:r w:rsidR="003C2474" w:rsidRPr="00A624C2">
        <w:rPr>
          <w:rFonts w:ascii="Book Antiqua" w:hAnsi="Book Antiqua"/>
          <w:sz w:val="24"/>
          <w:szCs w:val="24"/>
        </w:rPr>
        <w:t>= 0.778)</w:t>
      </w:r>
      <w:r w:rsidR="00E55D8F" w:rsidRPr="00A624C2">
        <w:rPr>
          <w:rFonts w:ascii="Book Antiqua" w:hAnsi="Book Antiqua"/>
          <w:sz w:val="24"/>
          <w:szCs w:val="24"/>
        </w:rPr>
        <w:t>.</w:t>
      </w:r>
    </w:p>
    <w:p w14:paraId="0B687EE7" w14:textId="77777777" w:rsidR="006121F8" w:rsidRPr="00A624C2" w:rsidRDefault="006121F8" w:rsidP="0028587F">
      <w:pPr>
        <w:spacing w:after="0" w:line="360" w:lineRule="auto"/>
        <w:jc w:val="both"/>
        <w:rPr>
          <w:rFonts w:ascii="Book Antiqua" w:eastAsia="宋体" w:hAnsi="Book Antiqua" w:cs="AdvOT223abdbc"/>
          <w:sz w:val="24"/>
          <w:szCs w:val="24"/>
          <w:lang w:eastAsia="zh-CN"/>
        </w:rPr>
      </w:pPr>
    </w:p>
    <w:p w14:paraId="2A12BF4C" w14:textId="1DF8F8D9" w:rsidR="00C11637" w:rsidRPr="00A624C2" w:rsidRDefault="00C11637" w:rsidP="0028587F">
      <w:pPr>
        <w:spacing w:after="0" w:line="360" w:lineRule="auto"/>
        <w:jc w:val="both"/>
        <w:rPr>
          <w:rFonts w:ascii="Book Antiqua" w:eastAsia="宋体" w:hAnsi="Book Antiqua"/>
          <w:b/>
          <w:i/>
          <w:sz w:val="24"/>
          <w:szCs w:val="24"/>
          <w:lang w:eastAsia="zh-CN"/>
        </w:rPr>
      </w:pPr>
      <w:r w:rsidRPr="00A624C2">
        <w:rPr>
          <w:rFonts w:ascii="Book Antiqua" w:hAnsi="Book Antiqua"/>
          <w:b/>
          <w:i/>
          <w:sz w:val="24"/>
          <w:szCs w:val="24"/>
        </w:rPr>
        <w:t>CONCLUSION</w:t>
      </w:r>
    </w:p>
    <w:p w14:paraId="090F5661" w14:textId="2C418BC5" w:rsidR="00862CE0" w:rsidRPr="00A624C2" w:rsidRDefault="008E5024" w:rsidP="0028587F">
      <w:pPr>
        <w:spacing w:after="0" w:line="360" w:lineRule="auto"/>
        <w:jc w:val="both"/>
        <w:rPr>
          <w:rFonts w:ascii="Book Antiqua" w:eastAsia="宋体" w:hAnsi="Book Antiqua"/>
          <w:sz w:val="24"/>
          <w:szCs w:val="24"/>
          <w:lang w:eastAsia="zh-CN"/>
        </w:rPr>
      </w:pPr>
      <w:r w:rsidRPr="00A624C2">
        <w:rPr>
          <w:rFonts w:ascii="Book Antiqua" w:hAnsi="Book Antiqua"/>
          <w:sz w:val="24"/>
          <w:szCs w:val="24"/>
        </w:rPr>
        <w:t>Clinical and biomarker data are not</w:t>
      </w:r>
      <w:r w:rsidR="007F34AE" w:rsidRPr="00A624C2">
        <w:rPr>
          <w:rFonts w:ascii="Book Antiqua" w:hAnsi="Book Antiqua"/>
          <w:sz w:val="24"/>
          <w:szCs w:val="24"/>
        </w:rPr>
        <w:t xml:space="preserve"> useful predictors of response to TNF</w:t>
      </w:r>
      <w:r w:rsidR="00E55D8F" w:rsidRPr="00A624C2">
        <w:rPr>
          <w:rFonts w:ascii="Book Antiqua" w:hAnsi="Book Antiqua"/>
          <w:sz w:val="24"/>
          <w:szCs w:val="24"/>
        </w:rPr>
        <w:t>-α</w:t>
      </w:r>
      <w:r w:rsidR="007F34AE" w:rsidRPr="00A624C2">
        <w:rPr>
          <w:rFonts w:ascii="Book Antiqua" w:hAnsi="Book Antiqua"/>
          <w:sz w:val="24"/>
          <w:szCs w:val="24"/>
        </w:rPr>
        <w:t xml:space="preserve"> inhibitors in CD, whereas</w:t>
      </w:r>
      <w:r w:rsidR="007F34AE" w:rsidRPr="00A624C2" w:rsidDel="007F34AE">
        <w:rPr>
          <w:rFonts w:ascii="Book Antiqua" w:hAnsi="Book Antiqua"/>
          <w:sz w:val="24"/>
          <w:szCs w:val="24"/>
        </w:rPr>
        <w:t xml:space="preserve"> </w:t>
      </w:r>
      <w:r w:rsidR="007E175D" w:rsidRPr="00A624C2">
        <w:rPr>
          <w:rFonts w:ascii="Book Antiqua" w:hAnsi="Book Antiqua"/>
          <w:sz w:val="24"/>
          <w:szCs w:val="24"/>
        </w:rPr>
        <w:t>ER</w:t>
      </w:r>
      <w:r w:rsidR="005310D4" w:rsidRPr="00A624C2">
        <w:rPr>
          <w:rFonts w:ascii="Book Antiqua" w:hAnsi="Book Antiqua"/>
          <w:sz w:val="24"/>
          <w:szCs w:val="24"/>
        </w:rPr>
        <w:t xml:space="preserve"> to induction therapy</w:t>
      </w:r>
      <w:r w:rsidR="00AE4E43" w:rsidRPr="00A624C2">
        <w:rPr>
          <w:rFonts w:ascii="Book Antiqua" w:hAnsi="Book Antiqua"/>
          <w:sz w:val="24"/>
          <w:szCs w:val="24"/>
        </w:rPr>
        <w:t>,</w:t>
      </w:r>
      <w:r w:rsidR="005310D4" w:rsidRPr="00A624C2">
        <w:rPr>
          <w:rFonts w:ascii="Book Antiqua" w:hAnsi="Book Antiqua"/>
          <w:sz w:val="24"/>
          <w:szCs w:val="24"/>
        </w:rPr>
        <w:t xml:space="preserve"> defined as </w:t>
      </w:r>
      <w:r w:rsidR="00862CE0" w:rsidRPr="00A624C2">
        <w:rPr>
          <w:rFonts w:ascii="Book Antiqua" w:hAnsi="Book Antiqua"/>
          <w:sz w:val="24"/>
          <w:szCs w:val="24"/>
        </w:rPr>
        <w:t>8</w:t>
      </w:r>
      <w:r w:rsidR="00E21F6D" w:rsidRPr="00A624C2">
        <w:rPr>
          <w:rFonts w:ascii="Book Antiqua" w:hAnsi="Book Antiqua"/>
          <w:sz w:val="24"/>
          <w:szCs w:val="24"/>
        </w:rPr>
        <w:t xml:space="preserve">0% </w:t>
      </w:r>
      <w:r w:rsidR="005310D4" w:rsidRPr="00A624C2">
        <w:rPr>
          <w:rFonts w:ascii="Book Antiqua" w:hAnsi="Book Antiqua"/>
          <w:sz w:val="24"/>
          <w:szCs w:val="24"/>
        </w:rPr>
        <w:t xml:space="preserve">reduction </w:t>
      </w:r>
      <w:r w:rsidR="00E21F6D" w:rsidRPr="00A624C2">
        <w:rPr>
          <w:rFonts w:ascii="Book Antiqua" w:hAnsi="Book Antiqua"/>
          <w:sz w:val="24"/>
          <w:szCs w:val="24"/>
        </w:rPr>
        <w:t xml:space="preserve">in </w:t>
      </w:r>
      <w:r w:rsidR="000A613D" w:rsidRPr="00A624C2">
        <w:rPr>
          <w:rFonts w:ascii="Book Antiqua" w:hAnsi="Book Antiqua"/>
          <w:sz w:val="24"/>
          <w:szCs w:val="24"/>
        </w:rPr>
        <w:t xml:space="preserve">global </w:t>
      </w:r>
      <w:r w:rsidR="00E21F6D" w:rsidRPr="00A624C2">
        <w:rPr>
          <w:rFonts w:ascii="Book Antiqua" w:hAnsi="Book Antiqua"/>
          <w:sz w:val="24"/>
          <w:szCs w:val="24"/>
        </w:rPr>
        <w:t>CDEIS</w:t>
      </w:r>
      <w:r w:rsidR="00AE4E43" w:rsidRPr="00A624C2">
        <w:rPr>
          <w:rFonts w:ascii="Book Antiqua" w:hAnsi="Book Antiqua"/>
          <w:sz w:val="24"/>
          <w:szCs w:val="24"/>
        </w:rPr>
        <w:t>,</w:t>
      </w:r>
      <w:r w:rsidR="00E21F6D" w:rsidRPr="00A624C2">
        <w:rPr>
          <w:rFonts w:ascii="Book Antiqua" w:hAnsi="Book Antiqua"/>
          <w:sz w:val="24"/>
          <w:szCs w:val="24"/>
        </w:rPr>
        <w:t xml:space="preserve"> is a robust predictor of </w:t>
      </w:r>
      <w:r w:rsidR="005310D4" w:rsidRPr="00A624C2">
        <w:rPr>
          <w:rFonts w:ascii="Book Antiqua" w:hAnsi="Book Antiqua"/>
          <w:sz w:val="24"/>
          <w:szCs w:val="24"/>
        </w:rPr>
        <w:t xml:space="preserve">long-term </w:t>
      </w:r>
      <w:r w:rsidR="00204C34" w:rsidRPr="00A624C2">
        <w:rPr>
          <w:rFonts w:ascii="Book Antiqua" w:hAnsi="Book Antiqua"/>
          <w:sz w:val="24"/>
          <w:szCs w:val="24"/>
        </w:rPr>
        <w:t>MH</w:t>
      </w:r>
      <w:r w:rsidR="00E21F6D" w:rsidRPr="00A624C2">
        <w:rPr>
          <w:rFonts w:ascii="Book Antiqua" w:hAnsi="Book Antiqua"/>
          <w:sz w:val="24"/>
          <w:szCs w:val="24"/>
        </w:rPr>
        <w:t xml:space="preserve">. </w:t>
      </w:r>
      <w:r w:rsidR="00872779" w:rsidRPr="00A624C2">
        <w:rPr>
          <w:rFonts w:ascii="Book Antiqua" w:hAnsi="Book Antiqua"/>
          <w:sz w:val="24"/>
          <w:szCs w:val="24"/>
        </w:rPr>
        <w:t>Achievement of this endoscopic endpoint</w:t>
      </w:r>
      <w:r w:rsidR="00AE427C" w:rsidRPr="00A624C2">
        <w:rPr>
          <w:rFonts w:ascii="Book Antiqua" w:hAnsi="Book Antiqua"/>
          <w:sz w:val="24"/>
          <w:szCs w:val="24"/>
        </w:rPr>
        <w:t xml:space="preserve"> may be considered a</w:t>
      </w:r>
      <w:r w:rsidR="003C612B" w:rsidRPr="00A624C2">
        <w:rPr>
          <w:rFonts w:ascii="Book Antiqua" w:hAnsi="Book Antiqua"/>
          <w:sz w:val="24"/>
          <w:szCs w:val="24"/>
        </w:rPr>
        <w:t>s a</w:t>
      </w:r>
      <w:r w:rsidR="00AE427C" w:rsidRPr="00A624C2">
        <w:rPr>
          <w:rFonts w:ascii="Book Antiqua" w:hAnsi="Book Antiqua"/>
          <w:sz w:val="24"/>
          <w:szCs w:val="24"/>
        </w:rPr>
        <w:t xml:space="preserve"> therapeutic target for anti-TNF</w:t>
      </w:r>
      <w:r w:rsidR="00872779" w:rsidRPr="00A624C2">
        <w:rPr>
          <w:rFonts w:ascii="Book Antiqua" w:hAnsi="Book Antiqua"/>
          <w:sz w:val="24"/>
          <w:szCs w:val="24"/>
        </w:rPr>
        <w:t>-α</w:t>
      </w:r>
      <w:r w:rsidR="00AE427C" w:rsidRPr="00A624C2">
        <w:rPr>
          <w:rFonts w:ascii="Book Antiqua" w:hAnsi="Book Antiqua"/>
          <w:sz w:val="24"/>
          <w:szCs w:val="24"/>
        </w:rPr>
        <w:t xml:space="preserve"> therap</w:t>
      </w:r>
      <w:r w:rsidR="00872779" w:rsidRPr="00A624C2">
        <w:rPr>
          <w:rFonts w:ascii="Book Antiqua" w:hAnsi="Book Antiqua"/>
          <w:sz w:val="24"/>
          <w:szCs w:val="24"/>
        </w:rPr>
        <w:t>y</w:t>
      </w:r>
      <w:r w:rsidR="00E21F6D" w:rsidRPr="00A624C2">
        <w:rPr>
          <w:rFonts w:ascii="Book Antiqua" w:hAnsi="Book Antiqua"/>
          <w:sz w:val="24"/>
          <w:szCs w:val="24"/>
        </w:rPr>
        <w:t>.</w:t>
      </w:r>
    </w:p>
    <w:p w14:paraId="3A113A74" w14:textId="77777777" w:rsidR="006121F8" w:rsidRPr="00A624C2" w:rsidRDefault="006121F8" w:rsidP="0028587F">
      <w:pPr>
        <w:spacing w:after="0" w:line="360" w:lineRule="auto"/>
        <w:jc w:val="both"/>
        <w:rPr>
          <w:rFonts w:ascii="Book Antiqua" w:eastAsia="宋体" w:hAnsi="Book Antiqua"/>
          <w:sz w:val="24"/>
          <w:szCs w:val="24"/>
          <w:lang w:eastAsia="zh-CN"/>
        </w:rPr>
      </w:pPr>
    </w:p>
    <w:p w14:paraId="2C718E92" w14:textId="47315BD2" w:rsidR="008E42C7" w:rsidRPr="00A624C2" w:rsidRDefault="00C11637" w:rsidP="0028587F">
      <w:pPr>
        <w:spacing w:after="0" w:line="360" w:lineRule="auto"/>
        <w:jc w:val="both"/>
        <w:rPr>
          <w:rFonts w:ascii="Book Antiqua" w:eastAsia="宋体" w:hAnsi="Book Antiqua"/>
          <w:sz w:val="24"/>
          <w:szCs w:val="24"/>
          <w:lang w:eastAsia="zh-CN"/>
        </w:rPr>
      </w:pPr>
      <w:r w:rsidRPr="00A624C2">
        <w:rPr>
          <w:rFonts w:ascii="Book Antiqua" w:hAnsi="Book Antiqua" w:cs="Arial"/>
          <w:b/>
          <w:sz w:val="24"/>
          <w:szCs w:val="24"/>
        </w:rPr>
        <w:t>Key</w:t>
      </w:r>
      <w:r w:rsidRPr="00A624C2">
        <w:rPr>
          <w:rFonts w:ascii="Book Antiqua" w:hAnsi="Book Antiqua" w:cs="Arial"/>
          <w:b/>
          <w:sz w:val="24"/>
          <w:szCs w:val="24"/>
          <w:lang w:eastAsia="zh-CN"/>
        </w:rPr>
        <w:t xml:space="preserve"> </w:t>
      </w:r>
      <w:r w:rsidRPr="00A624C2">
        <w:rPr>
          <w:rFonts w:ascii="Book Antiqua" w:hAnsi="Book Antiqua" w:cs="Arial"/>
          <w:b/>
          <w:sz w:val="24"/>
          <w:szCs w:val="24"/>
        </w:rPr>
        <w:t>words:</w:t>
      </w:r>
      <w:r w:rsidRPr="00A624C2">
        <w:rPr>
          <w:rFonts w:ascii="Book Antiqua" w:hAnsi="Book Antiqua"/>
          <w:sz w:val="24"/>
          <w:szCs w:val="24"/>
        </w:rPr>
        <w:t xml:space="preserve"> Crohn</w:t>
      </w:r>
      <w:r w:rsidR="009E4206" w:rsidRPr="00A624C2">
        <w:rPr>
          <w:rFonts w:ascii="Book Antiqua" w:eastAsia="宋体" w:hAnsi="Book Antiqua"/>
          <w:sz w:val="24"/>
          <w:szCs w:val="24"/>
          <w:lang w:eastAsia="zh-CN"/>
        </w:rPr>
        <w:t>’</w:t>
      </w:r>
      <w:r w:rsidRPr="00A624C2">
        <w:rPr>
          <w:rFonts w:ascii="Book Antiqua" w:hAnsi="Book Antiqua"/>
          <w:sz w:val="24"/>
          <w:szCs w:val="24"/>
        </w:rPr>
        <w:t>s disease</w:t>
      </w:r>
      <w:r w:rsidRPr="00A624C2">
        <w:rPr>
          <w:rFonts w:ascii="Book Antiqua" w:eastAsia="宋体" w:hAnsi="Book Antiqua"/>
          <w:sz w:val="24"/>
          <w:szCs w:val="24"/>
          <w:lang w:eastAsia="zh-CN"/>
        </w:rPr>
        <w:t>;</w:t>
      </w:r>
      <w:r w:rsidR="00786D26" w:rsidRPr="00A624C2">
        <w:rPr>
          <w:rFonts w:ascii="Book Antiqua" w:hAnsi="Book Antiqua"/>
          <w:sz w:val="24"/>
          <w:szCs w:val="24"/>
        </w:rPr>
        <w:t xml:space="preserve"> </w:t>
      </w:r>
      <w:r w:rsidRPr="00A624C2">
        <w:rPr>
          <w:rFonts w:ascii="Book Antiqua" w:hAnsi="Book Antiqua"/>
          <w:sz w:val="24"/>
          <w:szCs w:val="24"/>
        </w:rPr>
        <w:t>Endoscopy</w:t>
      </w:r>
      <w:r w:rsidRPr="00A624C2">
        <w:rPr>
          <w:rFonts w:ascii="Book Antiqua" w:eastAsia="宋体" w:hAnsi="Book Antiqua"/>
          <w:sz w:val="24"/>
          <w:szCs w:val="24"/>
          <w:lang w:eastAsia="zh-CN"/>
        </w:rPr>
        <w:t>;</w:t>
      </w:r>
      <w:r w:rsidR="00786D26" w:rsidRPr="00A624C2">
        <w:rPr>
          <w:rFonts w:ascii="Book Antiqua" w:hAnsi="Book Antiqua"/>
          <w:sz w:val="24"/>
          <w:szCs w:val="24"/>
        </w:rPr>
        <w:t xml:space="preserve"> </w:t>
      </w:r>
      <w:r w:rsidRPr="00A624C2">
        <w:rPr>
          <w:rFonts w:ascii="Book Antiqua" w:hAnsi="Book Antiqua"/>
          <w:sz w:val="24"/>
          <w:szCs w:val="24"/>
        </w:rPr>
        <w:t>Mucosal healing</w:t>
      </w:r>
      <w:r w:rsidRPr="00A624C2">
        <w:rPr>
          <w:rFonts w:ascii="Book Antiqua" w:eastAsia="宋体" w:hAnsi="Book Antiqua"/>
          <w:sz w:val="24"/>
          <w:szCs w:val="24"/>
          <w:lang w:eastAsia="zh-CN"/>
        </w:rPr>
        <w:t>;</w:t>
      </w:r>
      <w:r w:rsidR="00786D26" w:rsidRPr="00A624C2">
        <w:rPr>
          <w:rFonts w:ascii="Book Antiqua" w:hAnsi="Book Antiqua"/>
          <w:sz w:val="24"/>
          <w:szCs w:val="24"/>
        </w:rPr>
        <w:t xml:space="preserve"> </w:t>
      </w:r>
      <w:r w:rsidRPr="00A624C2">
        <w:rPr>
          <w:rFonts w:ascii="Book Antiqua" w:hAnsi="Book Antiqua"/>
          <w:sz w:val="24"/>
          <w:szCs w:val="24"/>
        </w:rPr>
        <w:t>Crohn</w:t>
      </w:r>
      <w:r w:rsidR="009E4206" w:rsidRPr="00A624C2">
        <w:rPr>
          <w:rFonts w:ascii="Book Antiqua" w:eastAsia="宋体" w:hAnsi="Book Antiqua"/>
          <w:sz w:val="24"/>
          <w:szCs w:val="24"/>
          <w:lang w:eastAsia="zh-CN"/>
        </w:rPr>
        <w:t>’</w:t>
      </w:r>
      <w:r w:rsidRPr="00A624C2">
        <w:rPr>
          <w:rFonts w:ascii="Book Antiqua" w:hAnsi="Book Antiqua"/>
          <w:sz w:val="24"/>
          <w:szCs w:val="24"/>
        </w:rPr>
        <w:t>s Disease</w:t>
      </w:r>
      <w:r w:rsidRPr="00A624C2">
        <w:rPr>
          <w:rFonts w:ascii="Book Antiqua" w:hAnsi="Book Antiqua" w:cs="AdvTT08640291"/>
          <w:sz w:val="24"/>
          <w:szCs w:val="24"/>
        </w:rPr>
        <w:t xml:space="preserve"> Endoscopic Index of Severity</w:t>
      </w:r>
      <w:r w:rsidRPr="00A624C2">
        <w:rPr>
          <w:rFonts w:ascii="Book Antiqua" w:eastAsia="宋体" w:hAnsi="Book Antiqua" w:cs="AdvTT08640291"/>
          <w:sz w:val="24"/>
          <w:szCs w:val="24"/>
          <w:lang w:eastAsia="zh-CN"/>
        </w:rPr>
        <w:t xml:space="preserve">; </w:t>
      </w:r>
      <w:r w:rsidRPr="00A624C2">
        <w:rPr>
          <w:rFonts w:ascii="Book Antiqua" w:hAnsi="Book Antiqua"/>
          <w:sz w:val="24"/>
          <w:szCs w:val="24"/>
          <w:lang w:val="en-US"/>
        </w:rPr>
        <w:t>Tumor necrosis factor</w:t>
      </w:r>
    </w:p>
    <w:p w14:paraId="72D3005D" w14:textId="77777777" w:rsidR="006121F8" w:rsidRPr="00A624C2" w:rsidRDefault="006121F8" w:rsidP="0028587F">
      <w:pPr>
        <w:spacing w:after="0" w:line="360" w:lineRule="auto"/>
        <w:jc w:val="both"/>
        <w:rPr>
          <w:rFonts w:ascii="Book Antiqua" w:eastAsia="宋体" w:hAnsi="Book Antiqua"/>
          <w:sz w:val="24"/>
          <w:szCs w:val="24"/>
          <w:lang w:eastAsia="zh-CN"/>
        </w:rPr>
      </w:pPr>
    </w:p>
    <w:p w14:paraId="401D5219" w14:textId="0235C46B" w:rsidR="00C11637" w:rsidRPr="00A624C2" w:rsidRDefault="00C11637" w:rsidP="00C11637">
      <w:pPr>
        <w:spacing w:after="0" w:line="360" w:lineRule="auto"/>
        <w:jc w:val="both"/>
        <w:rPr>
          <w:rFonts w:ascii="Book Antiqua" w:hAnsi="Book Antiqua" w:cs="Arial Unicode MS"/>
          <w:sz w:val="24"/>
          <w:szCs w:val="24"/>
          <w:lang w:val="fr-FR" w:eastAsia="zh-CN"/>
        </w:rPr>
      </w:pPr>
      <w:r w:rsidRPr="00A624C2">
        <w:rPr>
          <w:rFonts w:ascii="Book Antiqua" w:hAnsi="Book Antiqua" w:cs="Tahoma"/>
          <w:b/>
          <w:color w:val="000000"/>
          <w:sz w:val="24"/>
          <w:szCs w:val="24"/>
          <w:lang w:val="en-GB" w:eastAsia="ja-JP"/>
        </w:rPr>
        <w:t xml:space="preserve">© </w:t>
      </w:r>
      <w:r w:rsidRPr="00A624C2">
        <w:rPr>
          <w:rFonts w:ascii="Book Antiqua" w:eastAsia="AdvTimes" w:hAnsi="Book Antiqua" w:cs="AdvTimes"/>
          <w:b/>
          <w:color w:val="000000"/>
          <w:sz w:val="24"/>
          <w:szCs w:val="24"/>
          <w:lang w:val="fr-FR" w:eastAsia="ja-JP"/>
        </w:rPr>
        <w:t>The Author(s) 201</w:t>
      </w:r>
      <w:r w:rsidRPr="00A624C2">
        <w:rPr>
          <w:rFonts w:ascii="Book Antiqua" w:eastAsia="宋体" w:hAnsi="Book Antiqua" w:cs="AdvTimes"/>
          <w:b/>
          <w:color w:val="000000"/>
          <w:sz w:val="24"/>
          <w:szCs w:val="24"/>
          <w:lang w:val="fr-FR" w:eastAsia="zh-CN"/>
        </w:rPr>
        <w:t>9</w:t>
      </w:r>
      <w:r w:rsidRPr="00A624C2">
        <w:rPr>
          <w:rFonts w:ascii="Book Antiqua" w:eastAsia="AdvTimes" w:hAnsi="Book Antiqua" w:cs="AdvTimes"/>
          <w:b/>
          <w:color w:val="000000"/>
          <w:sz w:val="24"/>
          <w:szCs w:val="24"/>
          <w:lang w:val="fr-FR" w:eastAsia="ja-JP"/>
        </w:rPr>
        <w:t>.</w:t>
      </w:r>
      <w:r w:rsidRPr="00A624C2">
        <w:rPr>
          <w:rFonts w:ascii="Book Antiqua" w:eastAsia="AdvTimes" w:hAnsi="Book Antiqua" w:cs="AdvTimes"/>
          <w:color w:val="000000"/>
          <w:sz w:val="24"/>
          <w:szCs w:val="24"/>
          <w:lang w:val="fr-FR" w:eastAsia="ja-JP"/>
        </w:rPr>
        <w:t xml:space="preserve"> Published by </w:t>
      </w:r>
      <w:proofErr w:type="spellStart"/>
      <w:r w:rsidRPr="00A624C2">
        <w:rPr>
          <w:rFonts w:ascii="Book Antiqua" w:hAnsi="Book Antiqua" w:cs="Arial Unicode MS"/>
          <w:color w:val="000000"/>
          <w:sz w:val="24"/>
          <w:szCs w:val="24"/>
          <w:lang w:val="en-GB" w:eastAsia="ja-JP"/>
        </w:rPr>
        <w:t>Baishideng</w:t>
      </w:r>
      <w:proofErr w:type="spellEnd"/>
      <w:r w:rsidRPr="00A624C2">
        <w:rPr>
          <w:rFonts w:ascii="Book Antiqua" w:hAnsi="Book Antiqua" w:cs="Arial Unicode MS"/>
          <w:color w:val="000000"/>
          <w:sz w:val="24"/>
          <w:szCs w:val="24"/>
          <w:lang w:val="en-GB" w:eastAsia="ja-JP"/>
        </w:rPr>
        <w:t xml:space="preserve"> Publishing Group Inc.</w:t>
      </w:r>
      <w:r w:rsidRPr="00A624C2">
        <w:rPr>
          <w:rFonts w:ascii="Book Antiqua" w:hAnsi="Book Antiqua" w:cs="Arial Unicode MS"/>
          <w:sz w:val="24"/>
          <w:szCs w:val="24"/>
          <w:lang w:val="en-GB" w:eastAsia="ja-JP"/>
        </w:rPr>
        <w:t xml:space="preserve"> </w:t>
      </w:r>
      <w:r w:rsidRPr="00A624C2">
        <w:rPr>
          <w:rFonts w:ascii="Book Antiqua" w:hAnsi="Book Antiqua" w:cs="Arial Unicode MS"/>
          <w:sz w:val="24"/>
          <w:szCs w:val="24"/>
          <w:lang w:val="fr-FR" w:eastAsia="ja-JP"/>
        </w:rPr>
        <w:t>All rights reserved</w:t>
      </w:r>
      <w:r w:rsidRPr="00A624C2">
        <w:rPr>
          <w:rFonts w:ascii="Book Antiqua" w:hAnsi="Book Antiqua" w:cs="Arial Unicode MS"/>
          <w:sz w:val="24"/>
          <w:szCs w:val="24"/>
          <w:lang w:val="fr-FR"/>
        </w:rPr>
        <w:t>.</w:t>
      </w:r>
    </w:p>
    <w:p w14:paraId="5FB5F5F3" w14:textId="77777777" w:rsidR="00C11637" w:rsidRPr="00A624C2" w:rsidRDefault="00C11637" w:rsidP="0028587F">
      <w:pPr>
        <w:spacing w:after="0" w:line="360" w:lineRule="auto"/>
        <w:jc w:val="both"/>
        <w:rPr>
          <w:rFonts w:ascii="Book Antiqua" w:eastAsia="宋体" w:hAnsi="Book Antiqua"/>
          <w:sz w:val="24"/>
          <w:szCs w:val="24"/>
          <w:lang w:eastAsia="zh-CN"/>
        </w:rPr>
      </w:pPr>
    </w:p>
    <w:p w14:paraId="788C97DE" w14:textId="63E5BC93" w:rsidR="006A5AA9" w:rsidRPr="00A624C2" w:rsidRDefault="00C11637" w:rsidP="0028587F">
      <w:pPr>
        <w:spacing w:after="0" w:line="360" w:lineRule="auto"/>
        <w:jc w:val="both"/>
        <w:rPr>
          <w:rFonts w:ascii="Book Antiqua" w:eastAsia="宋体" w:hAnsi="Book Antiqua"/>
          <w:sz w:val="24"/>
          <w:szCs w:val="24"/>
          <w:lang w:eastAsia="zh-CN"/>
        </w:rPr>
      </w:pPr>
      <w:r w:rsidRPr="00A624C2">
        <w:rPr>
          <w:rFonts w:ascii="Book Antiqua" w:hAnsi="Book Antiqua" w:cs="Arial"/>
          <w:b/>
          <w:sz w:val="24"/>
          <w:szCs w:val="24"/>
        </w:rPr>
        <w:t>Core tip</w:t>
      </w:r>
      <w:r w:rsidRPr="00A624C2">
        <w:rPr>
          <w:rFonts w:ascii="Book Antiqua" w:hAnsi="Book Antiqua" w:cs="Arial"/>
          <w:b/>
          <w:sz w:val="24"/>
          <w:szCs w:val="24"/>
          <w:lang w:eastAsia="zh-CN"/>
        </w:rPr>
        <w:t>:</w:t>
      </w:r>
      <w:r w:rsidR="00917937" w:rsidRPr="00A624C2">
        <w:rPr>
          <w:rFonts w:ascii="Book Antiqua" w:hAnsi="Book Antiqua"/>
          <w:sz w:val="24"/>
          <w:szCs w:val="24"/>
        </w:rPr>
        <w:t xml:space="preserve"> </w:t>
      </w:r>
      <w:r w:rsidR="00917937" w:rsidRPr="00A624C2">
        <w:rPr>
          <w:rFonts w:ascii="Book Antiqua" w:hAnsi="Book Antiqua"/>
          <w:sz w:val="24"/>
          <w:szCs w:val="24"/>
          <w:lang w:val="en-US"/>
        </w:rPr>
        <w:t xml:space="preserve">In our study we report that endoscopic response after completion of induction treatment with a </w:t>
      </w:r>
      <w:r w:rsidRPr="00A624C2">
        <w:rPr>
          <w:rFonts w:ascii="Book Antiqua" w:hAnsi="Book Antiqua"/>
          <w:sz w:val="24"/>
          <w:szCs w:val="24"/>
          <w:lang w:val="en-US"/>
        </w:rPr>
        <w:t>tumor necrosis factor</w:t>
      </w:r>
      <w:r w:rsidRPr="00A624C2">
        <w:rPr>
          <w:rFonts w:ascii="Book Antiqua" w:eastAsia="宋体" w:hAnsi="Book Antiqua"/>
          <w:sz w:val="24"/>
          <w:szCs w:val="24"/>
          <w:lang w:val="en-US" w:eastAsia="zh-CN"/>
        </w:rPr>
        <w:t xml:space="preserve"> </w:t>
      </w:r>
      <w:r w:rsidR="00917937" w:rsidRPr="00A624C2">
        <w:rPr>
          <w:rFonts w:ascii="Book Antiqua" w:hAnsi="Book Antiqua"/>
          <w:sz w:val="24"/>
          <w:szCs w:val="24"/>
          <w:lang w:val="en-US"/>
        </w:rPr>
        <w:t>inhibitor predicts mucosal healing at long term in patients with Crohn’s disease, and that endoscopic evaluation at this time point may be considered in clinical practice to predict long term outcomes and could contribute to perform treatment adjustments</w:t>
      </w:r>
      <w:r w:rsidRPr="00A624C2">
        <w:rPr>
          <w:rFonts w:ascii="Book Antiqua" w:eastAsia="宋体" w:hAnsi="Book Antiqua"/>
          <w:sz w:val="24"/>
          <w:szCs w:val="24"/>
          <w:lang w:val="en-US" w:eastAsia="zh-CN"/>
        </w:rPr>
        <w:t>.</w:t>
      </w:r>
    </w:p>
    <w:p w14:paraId="5C4380FC" w14:textId="77777777" w:rsidR="00917937" w:rsidRPr="00A624C2" w:rsidRDefault="00917937" w:rsidP="0028587F">
      <w:pPr>
        <w:spacing w:after="0" w:line="360" w:lineRule="auto"/>
        <w:jc w:val="both"/>
        <w:rPr>
          <w:rFonts w:ascii="Book Antiqua" w:hAnsi="Book Antiqua"/>
          <w:b/>
          <w:sz w:val="24"/>
          <w:szCs w:val="24"/>
        </w:rPr>
      </w:pPr>
    </w:p>
    <w:p w14:paraId="3A61BBA3" w14:textId="77777777" w:rsidR="00A624C2" w:rsidRPr="00A624C2" w:rsidRDefault="00A624C2" w:rsidP="00216314">
      <w:pPr>
        <w:spacing w:after="0" w:line="360" w:lineRule="auto"/>
        <w:jc w:val="both"/>
        <w:rPr>
          <w:rFonts w:ascii="Book Antiqua" w:hAnsi="Book Antiqua"/>
          <w:color w:val="000000"/>
        </w:rPr>
      </w:pPr>
      <w:r w:rsidRPr="00A624C2">
        <w:rPr>
          <w:rFonts w:ascii="Book Antiqua" w:hAnsi="Book Antiqua"/>
          <w:b/>
          <w:sz w:val="24"/>
          <w:szCs w:val="24"/>
          <w:lang w:val="es-ES"/>
        </w:rPr>
        <w:t>C</w:t>
      </w:r>
      <w:r w:rsidRPr="00A624C2">
        <w:rPr>
          <w:rFonts w:ascii="Book Antiqua" w:eastAsia="宋体" w:hAnsi="Book Antiqua"/>
          <w:b/>
          <w:sz w:val="24"/>
          <w:szCs w:val="24"/>
          <w:lang w:val="es-ES" w:eastAsia="zh-CN"/>
        </w:rPr>
        <w:t>itation</w:t>
      </w:r>
      <w:r w:rsidRPr="00A624C2">
        <w:rPr>
          <w:rFonts w:ascii="Book Antiqua" w:hAnsi="Book Antiqua"/>
          <w:sz w:val="24"/>
          <w:szCs w:val="24"/>
          <w:lang w:val="es-ES"/>
        </w:rPr>
        <w:t xml:space="preserve">: </w:t>
      </w:r>
      <w:r w:rsidR="00216314" w:rsidRPr="00A624C2">
        <w:rPr>
          <w:rFonts w:ascii="Book Antiqua" w:hAnsi="Book Antiqua"/>
          <w:sz w:val="24"/>
          <w:szCs w:val="24"/>
          <w:lang w:val="es-ES"/>
        </w:rPr>
        <w:t>Alfaro</w:t>
      </w:r>
      <w:r w:rsidR="00216314" w:rsidRPr="00A624C2">
        <w:rPr>
          <w:rFonts w:ascii="Book Antiqua" w:hAnsi="Book Antiqua"/>
          <w:sz w:val="24"/>
          <w:szCs w:val="24"/>
        </w:rPr>
        <w:t xml:space="preserve"> </w:t>
      </w:r>
      <w:r w:rsidR="00216314" w:rsidRPr="00A624C2">
        <w:rPr>
          <w:rFonts w:ascii="Book Antiqua" w:eastAsia="宋体" w:hAnsi="Book Antiqua"/>
          <w:sz w:val="24"/>
          <w:szCs w:val="24"/>
          <w:lang w:eastAsia="zh-CN"/>
        </w:rPr>
        <w:t xml:space="preserve">I, </w:t>
      </w:r>
      <w:r w:rsidR="00216314" w:rsidRPr="00A624C2">
        <w:rPr>
          <w:rFonts w:ascii="Book Antiqua" w:eastAsia="Calibri" w:hAnsi="Book Antiqua" w:cs="Times New Roman"/>
          <w:sz w:val="24"/>
          <w:szCs w:val="24"/>
          <w:lang w:val="es-ES"/>
        </w:rPr>
        <w:t>Masamunt</w:t>
      </w:r>
      <w:r w:rsidR="00216314" w:rsidRPr="00A624C2">
        <w:rPr>
          <w:rFonts w:ascii="Book Antiqua" w:hAnsi="Book Antiqua"/>
          <w:sz w:val="24"/>
          <w:szCs w:val="24"/>
        </w:rPr>
        <w:t xml:space="preserve"> </w:t>
      </w:r>
      <w:r w:rsidR="00216314" w:rsidRPr="00A624C2">
        <w:rPr>
          <w:rFonts w:ascii="Book Antiqua" w:eastAsia="宋体" w:hAnsi="Book Antiqua"/>
          <w:sz w:val="24"/>
          <w:szCs w:val="24"/>
          <w:lang w:eastAsia="zh-CN"/>
        </w:rPr>
        <w:t xml:space="preserve">MC, </w:t>
      </w:r>
      <w:r w:rsidR="00216314" w:rsidRPr="00A624C2">
        <w:rPr>
          <w:rFonts w:ascii="Book Antiqua" w:hAnsi="Book Antiqua"/>
          <w:sz w:val="24"/>
          <w:szCs w:val="24"/>
          <w:lang w:val="es-ES"/>
        </w:rPr>
        <w:t>Planell</w:t>
      </w:r>
      <w:r w:rsidR="00216314" w:rsidRPr="00A624C2">
        <w:rPr>
          <w:rFonts w:ascii="Book Antiqua" w:hAnsi="Book Antiqua"/>
          <w:sz w:val="24"/>
          <w:szCs w:val="24"/>
        </w:rPr>
        <w:t xml:space="preserve"> </w:t>
      </w:r>
      <w:r w:rsidR="00216314" w:rsidRPr="00A624C2">
        <w:rPr>
          <w:rFonts w:ascii="Book Antiqua" w:eastAsia="宋体" w:hAnsi="Book Antiqua"/>
          <w:sz w:val="24"/>
          <w:szCs w:val="24"/>
          <w:lang w:eastAsia="zh-CN"/>
        </w:rPr>
        <w:t xml:space="preserve">N, </w:t>
      </w:r>
      <w:r w:rsidR="00216314" w:rsidRPr="00A624C2">
        <w:rPr>
          <w:rFonts w:ascii="Book Antiqua" w:eastAsia="Calibri" w:hAnsi="Book Antiqua" w:cs="Times New Roman"/>
          <w:sz w:val="24"/>
          <w:szCs w:val="24"/>
          <w:lang w:val="es-ES"/>
        </w:rPr>
        <w:t>López-García</w:t>
      </w:r>
      <w:r w:rsidR="00216314" w:rsidRPr="00A624C2">
        <w:rPr>
          <w:rFonts w:ascii="Book Antiqua" w:hAnsi="Book Antiqua"/>
          <w:sz w:val="24"/>
          <w:szCs w:val="24"/>
        </w:rPr>
        <w:t xml:space="preserve"> </w:t>
      </w:r>
      <w:r w:rsidR="00216314" w:rsidRPr="00A624C2">
        <w:rPr>
          <w:rFonts w:ascii="Book Antiqua" w:eastAsia="宋体" w:hAnsi="Book Antiqua"/>
          <w:sz w:val="24"/>
          <w:szCs w:val="24"/>
          <w:lang w:eastAsia="zh-CN"/>
        </w:rPr>
        <w:t xml:space="preserve">A, </w:t>
      </w:r>
      <w:r w:rsidR="00216314" w:rsidRPr="00A624C2">
        <w:rPr>
          <w:rFonts w:ascii="Book Antiqua" w:hAnsi="Book Antiqua"/>
          <w:sz w:val="24"/>
          <w:szCs w:val="24"/>
          <w:lang w:val="es-ES"/>
        </w:rPr>
        <w:t>Castro</w:t>
      </w:r>
      <w:r w:rsidR="00216314" w:rsidRPr="00A624C2">
        <w:rPr>
          <w:rFonts w:ascii="Book Antiqua" w:hAnsi="Book Antiqua"/>
          <w:sz w:val="24"/>
          <w:szCs w:val="24"/>
        </w:rPr>
        <w:t xml:space="preserve"> </w:t>
      </w:r>
      <w:r w:rsidR="00216314" w:rsidRPr="00A624C2">
        <w:rPr>
          <w:rFonts w:ascii="Book Antiqua" w:eastAsia="宋体" w:hAnsi="Book Antiqua"/>
          <w:sz w:val="24"/>
          <w:szCs w:val="24"/>
          <w:lang w:eastAsia="zh-CN"/>
        </w:rPr>
        <w:t xml:space="preserve">J, </w:t>
      </w:r>
      <w:r w:rsidR="00216314" w:rsidRPr="00A624C2">
        <w:rPr>
          <w:rFonts w:ascii="Book Antiqua" w:hAnsi="Book Antiqua"/>
          <w:sz w:val="24"/>
          <w:szCs w:val="24"/>
          <w:lang w:val="es-ES"/>
        </w:rPr>
        <w:t>Gallego</w:t>
      </w:r>
      <w:r w:rsidR="00216314" w:rsidRPr="00A624C2">
        <w:rPr>
          <w:rFonts w:ascii="Book Antiqua" w:hAnsi="Book Antiqua"/>
          <w:sz w:val="24"/>
          <w:szCs w:val="24"/>
        </w:rPr>
        <w:t xml:space="preserve"> </w:t>
      </w:r>
      <w:r w:rsidR="00216314" w:rsidRPr="00A624C2">
        <w:rPr>
          <w:rFonts w:ascii="Book Antiqua" w:eastAsia="宋体" w:hAnsi="Book Antiqua"/>
          <w:sz w:val="24"/>
          <w:szCs w:val="24"/>
          <w:lang w:eastAsia="zh-CN"/>
        </w:rPr>
        <w:t xml:space="preserve">M, </w:t>
      </w:r>
      <w:r w:rsidR="00216314" w:rsidRPr="00A624C2">
        <w:rPr>
          <w:rFonts w:ascii="Book Antiqua" w:hAnsi="Book Antiqua"/>
          <w:sz w:val="24"/>
          <w:szCs w:val="24"/>
          <w:lang w:val="es-ES"/>
        </w:rPr>
        <w:t>Barastegui</w:t>
      </w:r>
      <w:r w:rsidR="00216314" w:rsidRPr="00A624C2">
        <w:rPr>
          <w:rFonts w:ascii="Book Antiqua" w:hAnsi="Book Antiqua"/>
          <w:sz w:val="24"/>
          <w:szCs w:val="24"/>
        </w:rPr>
        <w:t xml:space="preserve"> </w:t>
      </w:r>
      <w:r w:rsidR="00216314" w:rsidRPr="00A624C2">
        <w:rPr>
          <w:rFonts w:ascii="Book Antiqua" w:eastAsia="宋体" w:hAnsi="Book Antiqua"/>
          <w:sz w:val="24"/>
          <w:szCs w:val="24"/>
          <w:lang w:eastAsia="zh-CN"/>
        </w:rPr>
        <w:t xml:space="preserve">R, </w:t>
      </w:r>
      <w:r w:rsidR="00216314" w:rsidRPr="00A624C2">
        <w:rPr>
          <w:rFonts w:ascii="Book Antiqua" w:hAnsi="Book Antiqua"/>
          <w:sz w:val="24"/>
          <w:szCs w:val="24"/>
          <w:lang w:val="es-ES"/>
        </w:rPr>
        <w:t>Giner</w:t>
      </w:r>
      <w:r w:rsidR="00216314" w:rsidRPr="00A624C2">
        <w:rPr>
          <w:rFonts w:ascii="Book Antiqua" w:hAnsi="Book Antiqua"/>
          <w:sz w:val="24"/>
          <w:szCs w:val="24"/>
        </w:rPr>
        <w:t xml:space="preserve"> </w:t>
      </w:r>
      <w:r w:rsidR="00216314" w:rsidRPr="00A624C2">
        <w:rPr>
          <w:rFonts w:ascii="Book Antiqua" w:eastAsia="宋体" w:hAnsi="Book Antiqua"/>
          <w:sz w:val="24"/>
          <w:szCs w:val="24"/>
          <w:lang w:eastAsia="zh-CN"/>
        </w:rPr>
        <w:t xml:space="preserve">A, </w:t>
      </w:r>
      <w:r w:rsidR="00216314" w:rsidRPr="00A624C2">
        <w:rPr>
          <w:rFonts w:ascii="Book Antiqua" w:hAnsi="Book Antiqua"/>
          <w:sz w:val="24"/>
          <w:szCs w:val="24"/>
          <w:lang w:val="es-ES"/>
        </w:rPr>
        <w:t>Vara</w:t>
      </w:r>
      <w:r w:rsidR="00216314" w:rsidRPr="00A624C2">
        <w:rPr>
          <w:rFonts w:ascii="Book Antiqua" w:hAnsi="Book Antiqua"/>
          <w:sz w:val="24"/>
          <w:szCs w:val="24"/>
        </w:rPr>
        <w:t xml:space="preserve"> </w:t>
      </w:r>
      <w:r w:rsidR="00216314" w:rsidRPr="00A624C2">
        <w:rPr>
          <w:rFonts w:ascii="Book Antiqua" w:eastAsia="宋体" w:hAnsi="Book Antiqua"/>
          <w:sz w:val="24"/>
          <w:szCs w:val="24"/>
          <w:lang w:eastAsia="zh-CN"/>
        </w:rPr>
        <w:t xml:space="preserve">A, </w:t>
      </w:r>
      <w:r w:rsidR="00216314" w:rsidRPr="00A624C2">
        <w:rPr>
          <w:rFonts w:ascii="Book Antiqua" w:hAnsi="Book Antiqua"/>
          <w:sz w:val="24"/>
          <w:szCs w:val="24"/>
          <w:lang w:val="es-ES"/>
        </w:rPr>
        <w:t>Salas</w:t>
      </w:r>
      <w:r w:rsidR="00216314" w:rsidRPr="00A624C2">
        <w:rPr>
          <w:rFonts w:ascii="Book Antiqua" w:hAnsi="Book Antiqua"/>
          <w:sz w:val="24"/>
          <w:szCs w:val="24"/>
        </w:rPr>
        <w:t xml:space="preserve"> </w:t>
      </w:r>
      <w:r w:rsidR="00216314" w:rsidRPr="00A624C2">
        <w:rPr>
          <w:rFonts w:ascii="Book Antiqua" w:eastAsia="宋体" w:hAnsi="Book Antiqua"/>
          <w:sz w:val="24"/>
          <w:szCs w:val="24"/>
          <w:lang w:eastAsia="zh-CN"/>
        </w:rPr>
        <w:t xml:space="preserve">A, </w:t>
      </w:r>
      <w:r w:rsidR="00216314" w:rsidRPr="00A624C2">
        <w:rPr>
          <w:rFonts w:ascii="Book Antiqua" w:hAnsi="Book Antiqua"/>
          <w:sz w:val="24"/>
          <w:szCs w:val="24"/>
          <w:lang w:val="es-ES"/>
        </w:rPr>
        <w:t>Ricart</w:t>
      </w:r>
      <w:r w:rsidR="00216314" w:rsidRPr="00A624C2">
        <w:rPr>
          <w:rFonts w:ascii="Book Antiqua" w:hAnsi="Book Antiqua"/>
          <w:sz w:val="24"/>
          <w:szCs w:val="24"/>
        </w:rPr>
        <w:t xml:space="preserve"> </w:t>
      </w:r>
      <w:r w:rsidR="00216314" w:rsidRPr="00A624C2">
        <w:rPr>
          <w:rFonts w:ascii="Book Antiqua" w:eastAsia="宋体" w:hAnsi="Book Antiqua"/>
          <w:sz w:val="24"/>
          <w:szCs w:val="24"/>
          <w:lang w:eastAsia="zh-CN"/>
        </w:rPr>
        <w:t xml:space="preserve">E, </w:t>
      </w:r>
      <w:r w:rsidR="00216314" w:rsidRPr="00A624C2">
        <w:rPr>
          <w:rFonts w:ascii="Book Antiqua" w:hAnsi="Book Antiqua"/>
          <w:sz w:val="24"/>
          <w:szCs w:val="24"/>
          <w:lang w:val="es-ES"/>
        </w:rPr>
        <w:t>Panés</w:t>
      </w:r>
      <w:r w:rsidR="00216314" w:rsidRPr="00A624C2">
        <w:rPr>
          <w:rFonts w:ascii="Book Antiqua" w:hAnsi="Book Antiqua"/>
          <w:sz w:val="24"/>
          <w:szCs w:val="24"/>
        </w:rPr>
        <w:t xml:space="preserve"> </w:t>
      </w:r>
      <w:r w:rsidR="00216314" w:rsidRPr="00A624C2">
        <w:rPr>
          <w:rFonts w:ascii="Book Antiqua" w:eastAsia="宋体" w:hAnsi="Book Antiqua"/>
          <w:sz w:val="24"/>
          <w:szCs w:val="24"/>
          <w:lang w:eastAsia="zh-CN"/>
        </w:rPr>
        <w:t xml:space="preserve">J, </w:t>
      </w:r>
      <w:r w:rsidR="00216314" w:rsidRPr="00A624C2">
        <w:rPr>
          <w:rFonts w:ascii="Book Antiqua" w:hAnsi="Book Antiqua"/>
          <w:sz w:val="24"/>
          <w:szCs w:val="24"/>
          <w:lang w:val="es-ES"/>
        </w:rPr>
        <w:t>Ordás</w:t>
      </w:r>
      <w:r w:rsidR="00216314" w:rsidRPr="00A624C2">
        <w:rPr>
          <w:rFonts w:ascii="Book Antiqua" w:hAnsi="Book Antiqua"/>
          <w:sz w:val="24"/>
          <w:szCs w:val="24"/>
        </w:rPr>
        <w:t xml:space="preserve"> </w:t>
      </w:r>
      <w:r w:rsidR="00216314" w:rsidRPr="00A624C2">
        <w:rPr>
          <w:rFonts w:ascii="Book Antiqua" w:eastAsia="宋体" w:hAnsi="Book Antiqua"/>
          <w:sz w:val="24"/>
          <w:szCs w:val="24"/>
          <w:lang w:eastAsia="zh-CN"/>
        </w:rPr>
        <w:t xml:space="preserve">I. </w:t>
      </w:r>
      <w:r w:rsidR="00216314" w:rsidRPr="00A624C2">
        <w:rPr>
          <w:rFonts w:ascii="Book Antiqua" w:hAnsi="Book Antiqua"/>
          <w:sz w:val="24"/>
          <w:szCs w:val="24"/>
        </w:rPr>
        <w:t xml:space="preserve">Endoscopic response to </w:t>
      </w:r>
      <w:r w:rsidR="00216314" w:rsidRPr="00A624C2">
        <w:rPr>
          <w:rFonts w:ascii="Book Antiqua" w:hAnsi="Book Antiqua"/>
          <w:sz w:val="24"/>
          <w:szCs w:val="24"/>
          <w:lang w:val="en-US"/>
        </w:rPr>
        <w:t>tumor necrosis factor</w:t>
      </w:r>
      <w:r w:rsidR="00216314" w:rsidRPr="00A624C2">
        <w:rPr>
          <w:rFonts w:ascii="Book Antiqua" w:eastAsia="宋体" w:hAnsi="Book Antiqua"/>
          <w:sz w:val="24"/>
          <w:szCs w:val="24"/>
          <w:lang w:val="en-US" w:eastAsia="zh-CN"/>
        </w:rPr>
        <w:t xml:space="preserve"> </w:t>
      </w:r>
      <w:r w:rsidR="00216314" w:rsidRPr="00A624C2">
        <w:rPr>
          <w:rFonts w:ascii="Book Antiqua" w:hAnsi="Book Antiqua"/>
          <w:sz w:val="24"/>
          <w:szCs w:val="24"/>
        </w:rPr>
        <w:t>inhibitors predicts long term benefits in Crohn’s disease</w:t>
      </w:r>
      <w:r w:rsidR="00216314" w:rsidRPr="00A624C2">
        <w:rPr>
          <w:rFonts w:ascii="Book Antiqua" w:eastAsia="宋体" w:hAnsi="Book Antiqua"/>
          <w:sz w:val="24"/>
          <w:szCs w:val="24"/>
          <w:lang w:eastAsia="zh-CN"/>
        </w:rPr>
        <w:t xml:space="preserve">. </w:t>
      </w:r>
      <w:r w:rsidRPr="00A624C2">
        <w:rPr>
          <w:rFonts w:ascii="Book Antiqua" w:hAnsi="Book Antiqua"/>
          <w:i/>
          <w:color w:val="000000"/>
        </w:rPr>
        <w:t xml:space="preserve">World J Gastroenterol </w:t>
      </w:r>
      <w:r w:rsidRPr="00A624C2">
        <w:rPr>
          <w:rFonts w:ascii="Book Antiqua" w:hAnsi="Book Antiqua"/>
          <w:color w:val="000000"/>
        </w:rPr>
        <w:t xml:space="preserve">2019; 25(14): 1764-1774  </w:t>
      </w:r>
    </w:p>
    <w:p w14:paraId="7F4852C9" w14:textId="77777777" w:rsidR="00A624C2" w:rsidRPr="00A624C2" w:rsidRDefault="00A624C2" w:rsidP="00216314">
      <w:pPr>
        <w:spacing w:after="0" w:line="360" w:lineRule="auto"/>
        <w:jc w:val="both"/>
        <w:rPr>
          <w:rFonts w:ascii="Book Antiqua" w:hAnsi="Book Antiqua"/>
        </w:rPr>
      </w:pPr>
      <w:r w:rsidRPr="00A624C2">
        <w:rPr>
          <w:rFonts w:ascii="Book Antiqua" w:hAnsi="Book Antiqua"/>
          <w:b/>
          <w:color w:val="000000"/>
        </w:rPr>
        <w:t>URL</w:t>
      </w:r>
      <w:r w:rsidRPr="00A624C2">
        <w:rPr>
          <w:rFonts w:ascii="Book Antiqua" w:hAnsi="Book Antiqua"/>
          <w:color w:val="000000"/>
        </w:rPr>
        <w:t xml:space="preserve">: </w:t>
      </w:r>
      <w:r w:rsidRPr="00A624C2">
        <w:rPr>
          <w:rFonts w:ascii="Book Antiqua" w:hAnsi="Book Antiqua"/>
        </w:rPr>
        <w:t xml:space="preserve">https://www.wjgnet.com/1007-9327/full/v25/i14/1764.htm  </w:t>
      </w:r>
    </w:p>
    <w:p w14:paraId="7E08700A" w14:textId="52681DB4" w:rsidR="00216314" w:rsidRPr="00A624C2" w:rsidRDefault="00A624C2" w:rsidP="00216314">
      <w:pPr>
        <w:spacing w:after="0" w:line="360" w:lineRule="auto"/>
        <w:jc w:val="both"/>
        <w:rPr>
          <w:rFonts w:ascii="Book Antiqua" w:eastAsia="宋体" w:hAnsi="Book Antiqua"/>
          <w:sz w:val="24"/>
          <w:szCs w:val="24"/>
          <w:lang w:val="en-US" w:eastAsia="zh-CN"/>
        </w:rPr>
      </w:pPr>
      <w:r w:rsidRPr="00A624C2">
        <w:rPr>
          <w:rFonts w:ascii="Book Antiqua" w:hAnsi="Book Antiqua"/>
          <w:b/>
        </w:rPr>
        <w:t>DOI</w:t>
      </w:r>
      <w:r w:rsidRPr="00A624C2">
        <w:rPr>
          <w:rFonts w:ascii="Book Antiqua" w:hAnsi="Book Antiqua"/>
        </w:rPr>
        <w:t>: https://dx.doi.org/10.3748/wjg.v25.i14.1764</w:t>
      </w:r>
    </w:p>
    <w:p w14:paraId="24BF3E60" w14:textId="77777777" w:rsidR="00216314" w:rsidRPr="00A624C2" w:rsidRDefault="00216314" w:rsidP="00216314">
      <w:pPr>
        <w:spacing w:after="0" w:line="360" w:lineRule="auto"/>
        <w:jc w:val="both"/>
        <w:rPr>
          <w:rFonts w:ascii="Book Antiqua" w:eastAsia="宋体" w:hAnsi="Book Antiqua"/>
          <w:sz w:val="24"/>
          <w:szCs w:val="24"/>
          <w:lang w:eastAsia="zh-CN"/>
        </w:rPr>
      </w:pPr>
    </w:p>
    <w:p w14:paraId="5323D6D3" w14:textId="77777777" w:rsidR="00917937" w:rsidRPr="00A624C2" w:rsidRDefault="00917937" w:rsidP="0028587F">
      <w:pPr>
        <w:spacing w:after="0" w:line="360" w:lineRule="auto"/>
        <w:jc w:val="both"/>
        <w:rPr>
          <w:rFonts w:ascii="Book Antiqua" w:hAnsi="Book Antiqua"/>
          <w:b/>
          <w:sz w:val="24"/>
          <w:szCs w:val="24"/>
        </w:rPr>
      </w:pPr>
    </w:p>
    <w:p w14:paraId="2B697D1B" w14:textId="52A6705B" w:rsidR="006121F8" w:rsidRPr="00A624C2" w:rsidRDefault="006121F8" w:rsidP="0028587F">
      <w:pPr>
        <w:spacing w:after="0" w:line="360" w:lineRule="auto"/>
        <w:jc w:val="both"/>
        <w:rPr>
          <w:rFonts w:ascii="Book Antiqua" w:hAnsi="Book Antiqua"/>
          <w:b/>
          <w:sz w:val="24"/>
          <w:szCs w:val="24"/>
        </w:rPr>
      </w:pPr>
      <w:r w:rsidRPr="00A624C2">
        <w:rPr>
          <w:rFonts w:ascii="Book Antiqua" w:hAnsi="Book Antiqua"/>
          <w:b/>
          <w:sz w:val="24"/>
          <w:szCs w:val="24"/>
        </w:rPr>
        <w:br w:type="page"/>
      </w:r>
    </w:p>
    <w:p w14:paraId="4AF39E95" w14:textId="77777777" w:rsidR="0073617B" w:rsidRPr="00A624C2" w:rsidRDefault="0073617B" w:rsidP="0028587F">
      <w:pPr>
        <w:spacing w:after="0" w:line="360" w:lineRule="auto"/>
        <w:jc w:val="both"/>
        <w:rPr>
          <w:rFonts w:ascii="Book Antiqua" w:hAnsi="Book Antiqua"/>
          <w:b/>
          <w:sz w:val="24"/>
          <w:szCs w:val="24"/>
        </w:rPr>
      </w:pPr>
      <w:r w:rsidRPr="00A624C2">
        <w:rPr>
          <w:rFonts w:ascii="Book Antiqua" w:hAnsi="Book Antiqua"/>
          <w:b/>
          <w:sz w:val="24"/>
          <w:szCs w:val="24"/>
        </w:rPr>
        <w:lastRenderedPageBreak/>
        <w:t>INTRODUCTION</w:t>
      </w:r>
    </w:p>
    <w:p w14:paraId="48380FE2" w14:textId="763573C6" w:rsidR="00702E95" w:rsidRPr="00A624C2" w:rsidRDefault="00DB5A2D" w:rsidP="0028587F">
      <w:pPr>
        <w:autoSpaceDE w:val="0"/>
        <w:autoSpaceDN w:val="0"/>
        <w:adjustRightInd w:val="0"/>
        <w:spacing w:after="0" w:line="360" w:lineRule="auto"/>
        <w:jc w:val="both"/>
        <w:rPr>
          <w:rFonts w:ascii="Book Antiqua" w:eastAsia="宋体" w:hAnsi="Book Antiqua"/>
          <w:sz w:val="24"/>
          <w:szCs w:val="24"/>
          <w:lang w:eastAsia="zh-CN"/>
        </w:rPr>
      </w:pPr>
      <w:r w:rsidRPr="00A624C2">
        <w:rPr>
          <w:rFonts w:ascii="Book Antiqua" w:hAnsi="Book Antiqua" w:cs="AdvOT223abdbc"/>
          <w:color w:val="000000"/>
          <w:sz w:val="24"/>
          <w:szCs w:val="24"/>
        </w:rPr>
        <w:t>Crohn</w:t>
      </w:r>
      <w:r w:rsidRPr="00A624C2">
        <w:rPr>
          <w:rFonts w:ascii="Book Antiqua" w:hAnsi="Book Antiqua" w:cs="AdvOT223abdbc+20"/>
          <w:color w:val="000000"/>
          <w:sz w:val="24"/>
          <w:szCs w:val="24"/>
        </w:rPr>
        <w:t>’</w:t>
      </w:r>
      <w:r w:rsidRPr="00A624C2">
        <w:rPr>
          <w:rFonts w:ascii="Book Antiqua" w:hAnsi="Book Antiqua" w:cs="AdvOT223abdbc"/>
          <w:color w:val="000000"/>
          <w:sz w:val="24"/>
          <w:szCs w:val="24"/>
        </w:rPr>
        <w:t>s disease (CD) is a chronic in</w:t>
      </w:r>
      <w:r w:rsidRPr="00A624C2">
        <w:rPr>
          <w:rFonts w:ascii="Book Antiqua" w:hAnsi="Book Antiqua" w:cs="AdvOT223abdbc+fb"/>
          <w:color w:val="000000"/>
          <w:sz w:val="24"/>
          <w:szCs w:val="24"/>
        </w:rPr>
        <w:t>fl</w:t>
      </w:r>
      <w:r w:rsidRPr="00A624C2">
        <w:rPr>
          <w:rFonts w:ascii="Book Antiqua" w:hAnsi="Book Antiqua" w:cs="AdvOT223abdbc"/>
          <w:color w:val="000000"/>
          <w:sz w:val="24"/>
          <w:szCs w:val="24"/>
        </w:rPr>
        <w:t>ammatory</w:t>
      </w:r>
      <w:r w:rsidR="00C510AD" w:rsidRPr="00A624C2">
        <w:rPr>
          <w:rFonts w:ascii="Book Antiqua" w:hAnsi="Book Antiqua" w:cs="AdvOT223abdbc"/>
          <w:color w:val="000000"/>
          <w:sz w:val="24"/>
          <w:szCs w:val="24"/>
        </w:rPr>
        <w:t xml:space="preserve"> </w:t>
      </w:r>
      <w:r w:rsidRPr="00A624C2">
        <w:rPr>
          <w:rFonts w:ascii="Book Antiqua" w:hAnsi="Book Antiqua" w:cs="AdvOT223abdbc"/>
          <w:color w:val="000000"/>
          <w:sz w:val="24"/>
          <w:szCs w:val="24"/>
        </w:rPr>
        <w:t xml:space="preserve">bowel disease </w:t>
      </w:r>
      <w:r w:rsidR="00036B9B" w:rsidRPr="00A624C2">
        <w:rPr>
          <w:rFonts w:ascii="Book Antiqua" w:hAnsi="Book Antiqua" w:cs="AdvOT223abdbc"/>
          <w:color w:val="000000"/>
          <w:sz w:val="24"/>
          <w:szCs w:val="24"/>
        </w:rPr>
        <w:t xml:space="preserve">(IBD) </w:t>
      </w:r>
      <w:r w:rsidRPr="00A624C2">
        <w:rPr>
          <w:rFonts w:ascii="Book Antiqua" w:hAnsi="Book Antiqua" w:cs="AdvOT223abdbc"/>
          <w:color w:val="000000"/>
          <w:sz w:val="24"/>
          <w:szCs w:val="24"/>
        </w:rPr>
        <w:t>characterized by</w:t>
      </w:r>
      <w:r w:rsidR="00B165D1" w:rsidRPr="00A624C2">
        <w:rPr>
          <w:rFonts w:ascii="Book Antiqua" w:hAnsi="Book Antiqua" w:cs="AdvOT223abdbc"/>
          <w:color w:val="000000"/>
          <w:sz w:val="24"/>
          <w:szCs w:val="24"/>
        </w:rPr>
        <w:t xml:space="preserve"> a wide spectrum of disease phenotype</w:t>
      </w:r>
      <w:r w:rsidR="000F3494" w:rsidRPr="00A624C2">
        <w:rPr>
          <w:rFonts w:ascii="Book Antiqua" w:hAnsi="Book Antiqua" w:cs="AdvOT223abdbc"/>
          <w:color w:val="000000"/>
          <w:sz w:val="24"/>
          <w:szCs w:val="24"/>
        </w:rPr>
        <w:t>s</w:t>
      </w:r>
      <w:r w:rsidR="000B4D5D" w:rsidRPr="00A624C2">
        <w:rPr>
          <w:rFonts w:ascii="Book Antiqua" w:hAnsi="Book Antiqua" w:cs="AdvOT223abdbc"/>
          <w:color w:val="000000"/>
          <w:sz w:val="24"/>
          <w:szCs w:val="24"/>
        </w:rPr>
        <w:t xml:space="preserve"> that typically</w:t>
      </w:r>
      <w:r w:rsidR="001C1DDA" w:rsidRPr="00A624C2">
        <w:rPr>
          <w:rFonts w:ascii="Book Antiqua" w:hAnsi="Book Antiqua" w:cs="AdvOT223abdbc"/>
          <w:color w:val="000000"/>
          <w:sz w:val="24"/>
          <w:szCs w:val="24"/>
        </w:rPr>
        <w:t xml:space="preserve"> </w:t>
      </w:r>
      <w:r w:rsidRPr="00A624C2">
        <w:rPr>
          <w:rFonts w:ascii="Book Antiqua" w:hAnsi="Book Antiqua" w:cs="AdvOT223abdbc"/>
          <w:color w:val="000000"/>
          <w:sz w:val="24"/>
          <w:szCs w:val="24"/>
        </w:rPr>
        <w:t>alternat</w:t>
      </w:r>
      <w:r w:rsidR="000B4D5D" w:rsidRPr="00A624C2">
        <w:rPr>
          <w:rFonts w:ascii="Book Antiqua" w:hAnsi="Book Antiqua" w:cs="AdvOT223abdbc"/>
          <w:color w:val="000000"/>
          <w:sz w:val="24"/>
          <w:szCs w:val="24"/>
        </w:rPr>
        <w:t>es</w:t>
      </w:r>
      <w:r w:rsidRPr="00A624C2">
        <w:rPr>
          <w:rFonts w:ascii="Book Antiqua" w:hAnsi="Book Antiqua" w:cs="AdvOT223abdbc"/>
          <w:color w:val="000000"/>
          <w:sz w:val="24"/>
          <w:szCs w:val="24"/>
        </w:rPr>
        <w:t xml:space="preserve"> periods</w:t>
      </w:r>
      <w:r w:rsidR="00C510AD" w:rsidRPr="00A624C2">
        <w:rPr>
          <w:rFonts w:ascii="Book Antiqua" w:hAnsi="Book Antiqua" w:cs="AdvOT223abdbc"/>
          <w:color w:val="000000"/>
          <w:sz w:val="24"/>
          <w:szCs w:val="24"/>
        </w:rPr>
        <w:t xml:space="preserve"> </w:t>
      </w:r>
      <w:r w:rsidRPr="00A624C2">
        <w:rPr>
          <w:rFonts w:ascii="Book Antiqua" w:hAnsi="Book Antiqua" w:cs="AdvOT223abdbc"/>
          <w:color w:val="000000"/>
          <w:sz w:val="24"/>
          <w:szCs w:val="24"/>
        </w:rPr>
        <w:t>of active in</w:t>
      </w:r>
      <w:r w:rsidRPr="00A624C2">
        <w:rPr>
          <w:rFonts w:ascii="Book Antiqua" w:hAnsi="Book Antiqua" w:cs="AdvOT223abdbc+fb"/>
          <w:color w:val="000000"/>
          <w:sz w:val="24"/>
          <w:szCs w:val="24"/>
        </w:rPr>
        <w:t>fl</w:t>
      </w:r>
      <w:r w:rsidRPr="00A624C2">
        <w:rPr>
          <w:rFonts w:ascii="Book Antiqua" w:hAnsi="Book Antiqua" w:cs="AdvOT223abdbc"/>
          <w:color w:val="000000"/>
          <w:sz w:val="24"/>
          <w:szCs w:val="24"/>
        </w:rPr>
        <w:t xml:space="preserve">ammation and remission. </w:t>
      </w:r>
      <w:r w:rsidR="00732CE9" w:rsidRPr="00A624C2">
        <w:rPr>
          <w:rFonts w:ascii="Book Antiqua" w:hAnsi="Book Antiqua" w:cs="AdvOT223abdbc"/>
          <w:color w:val="000000"/>
          <w:sz w:val="24"/>
          <w:szCs w:val="24"/>
        </w:rPr>
        <w:t>Persiste</w:t>
      </w:r>
      <w:r w:rsidR="00B9504D" w:rsidRPr="00A624C2">
        <w:rPr>
          <w:rFonts w:ascii="Book Antiqua" w:hAnsi="Book Antiqua" w:cs="AdvOT223abdbc"/>
          <w:color w:val="000000"/>
          <w:sz w:val="24"/>
          <w:szCs w:val="24"/>
        </w:rPr>
        <w:t>n</w:t>
      </w:r>
      <w:r w:rsidR="00732CE9" w:rsidRPr="00A624C2">
        <w:rPr>
          <w:rFonts w:ascii="Book Antiqua" w:hAnsi="Book Antiqua" w:cs="AdvOT223abdbc"/>
          <w:color w:val="000000"/>
          <w:sz w:val="24"/>
          <w:szCs w:val="24"/>
        </w:rPr>
        <w:t xml:space="preserve">t inflammation leads to </w:t>
      </w:r>
      <w:r w:rsidR="00575E20" w:rsidRPr="00A624C2">
        <w:rPr>
          <w:rFonts w:ascii="Book Antiqua" w:hAnsi="Book Antiqua" w:cs="AdvOT223abdbc"/>
          <w:color w:val="000000"/>
          <w:sz w:val="24"/>
          <w:szCs w:val="24"/>
        </w:rPr>
        <w:t xml:space="preserve">the </w:t>
      </w:r>
      <w:r w:rsidRPr="00A624C2">
        <w:rPr>
          <w:rFonts w:ascii="Book Antiqua" w:hAnsi="Book Antiqua" w:cs="AdvOT223abdbc"/>
          <w:color w:val="000000"/>
          <w:sz w:val="24"/>
          <w:szCs w:val="24"/>
        </w:rPr>
        <w:t xml:space="preserve">accumulation of </w:t>
      </w:r>
      <w:r w:rsidR="000B4D5D" w:rsidRPr="00A624C2">
        <w:rPr>
          <w:rFonts w:ascii="Book Antiqua" w:hAnsi="Book Antiqua" w:cs="AdvOT223abdbc"/>
          <w:color w:val="000000"/>
          <w:sz w:val="24"/>
          <w:szCs w:val="24"/>
        </w:rPr>
        <w:t xml:space="preserve">intestinal </w:t>
      </w:r>
      <w:r w:rsidRPr="00A624C2">
        <w:rPr>
          <w:rFonts w:ascii="Book Antiqua" w:hAnsi="Book Antiqua" w:cs="AdvOT223abdbc"/>
          <w:color w:val="000000"/>
          <w:sz w:val="24"/>
          <w:szCs w:val="24"/>
        </w:rPr>
        <w:t xml:space="preserve">damage </w:t>
      </w:r>
      <w:r w:rsidR="00732CE9" w:rsidRPr="00A624C2">
        <w:rPr>
          <w:rFonts w:ascii="Book Antiqua" w:hAnsi="Book Antiqua" w:cs="AdvOT223abdbc"/>
          <w:color w:val="000000"/>
          <w:sz w:val="24"/>
          <w:szCs w:val="24"/>
        </w:rPr>
        <w:t xml:space="preserve">and </w:t>
      </w:r>
      <w:r w:rsidRPr="00A624C2">
        <w:rPr>
          <w:rFonts w:ascii="Book Antiqua" w:hAnsi="Book Antiqua" w:cs="AdvOT223abdbc"/>
          <w:color w:val="000000"/>
          <w:sz w:val="24"/>
          <w:szCs w:val="24"/>
        </w:rPr>
        <w:t>loss of</w:t>
      </w:r>
      <w:r w:rsidR="00C510AD" w:rsidRPr="00A624C2">
        <w:rPr>
          <w:rFonts w:ascii="Book Antiqua" w:hAnsi="Book Antiqua" w:cs="AdvOT223abdbc"/>
          <w:color w:val="000000"/>
          <w:sz w:val="24"/>
          <w:szCs w:val="24"/>
        </w:rPr>
        <w:t xml:space="preserve"> </w:t>
      </w:r>
      <w:r w:rsidRPr="00A624C2">
        <w:rPr>
          <w:rFonts w:ascii="Book Antiqua" w:hAnsi="Book Antiqua" w:cs="AdvOT223abdbc"/>
          <w:color w:val="000000"/>
          <w:sz w:val="24"/>
          <w:szCs w:val="24"/>
        </w:rPr>
        <w:t>function in the affected intestinal segments</w:t>
      </w:r>
      <w:r w:rsidR="00575E20" w:rsidRPr="00A624C2">
        <w:rPr>
          <w:rFonts w:ascii="Book Antiqua" w:hAnsi="Book Antiqua" w:cs="AdvOT223abdbc"/>
          <w:color w:val="000000"/>
          <w:sz w:val="24"/>
          <w:szCs w:val="24"/>
        </w:rPr>
        <w:t>,</w:t>
      </w:r>
      <w:r w:rsidRPr="00A624C2">
        <w:rPr>
          <w:rFonts w:ascii="Book Antiqua" w:hAnsi="Book Antiqua" w:cs="AdvOT223abdbc"/>
          <w:color w:val="000000"/>
          <w:sz w:val="24"/>
          <w:szCs w:val="24"/>
        </w:rPr>
        <w:t xml:space="preserve"> </w:t>
      </w:r>
      <w:r w:rsidR="00BA77D1" w:rsidRPr="00A624C2">
        <w:rPr>
          <w:rFonts w:ascii="Book Antiqua" w:hAnsi="Book Antiqua" w:cs="AdvOT223abdbc"/>
          <w:color w:val="000000"/>
          <w:sz w:val="24"/>
          <w:szCs w:val="24"/>
        </w:rPr>
        <w:t xml:space="preserve">resulting in </w:t>
      </w:r>
      <w:r w:rsidRPr="00A624C2">
        <w:rPr>
          <w:rFonts w:ascii="Book Antiqua" w:hAnsi="Book Antiqua" w:cs="AdvOT223abdbc"/>
          <w:color w:val="000000"/>
          <w:sz w:val="24"/>
          <w:szCs w:val="24"/>
        </w:rPr>
        <w:t>disability in many patients</w:t>
      </w:r>
      <w:r w:rsidR="00443699" w:rsidRPr="00A624C2">
        <w:rPr>
          <w:rFonts w:ascii="Book Antiqua" w:eastAsia="宋体" w:hAnsi="Book Antiqua" w:cs="AdvOT223abdbc"/>
          <w:color w:val="000000"/>
          <w:sz w:val="24"/>
          <w:szCs w:val="24"/>
          <w:vertAlign w:val="superscript"/>
          <w:lang w:eastAsia="zh-CN"/>
        </w:rPr>
        <w:t>[1]</w:t>
      </w:r>
      <w:r w:rsidR="00AE4E43" w:rsidRPr="00A624C2">
        <w:rPr>
          <w:rFonts w:ascii="Book Antiqua" w:hAnsi="Book Antiqua" w:cs="AdvOT223abdbc"/>
          <w:color w:val="000000"/>
          <w:sz w:val="24"/>
          <w:szCs w:val="24"/>
        </w:rPr>
        <w:t>.</w:t>
      </w:r>
      <w:r w:rsidR="0062067D" w:rsidRPr="00A624C2">
        <w:rPr>
          <w:rFonts w:ascii="Book Antiqua" w:hAnsi="Book Antiqua" w:cs="AdvOT223abdbc"/>
          <w:color w:val="000000"/>
          <w:sz w:val="24"/>
          <w:szCs w:val="24"/>
        </w:rPr>
        <w:t xml:space="preserve"> </w:t>
      </w:r>
      <w:r w:rsidR="003F6A10" w:rsidRPr="00A624C2">
        <w:rPr>
          <w:rFonts w:ascii="Book Antiqua" w:hAnsi="Book Antiqua" w:cs="AdvOT223abdbc"/>
          <w:color w:val="000000"/>
          <w:sz w:val="24"/>
          <w:szCs w:val="24"/>
        </w:rPr>
        <w:t>T</w:t>
      </w:r>
      <w:r w:rsidR="00A37144" w:rsidRPr="00A624C2">
        <w:rPr>
          <w:rFonts w:ascii="Book Antiqua" w:hAnsi="Book Antiqua" w:cs="AdvOT223abdbc"/>
          <w:color w:val="000000"/>
          <w:sz w:val="24"/>
          <w:szCs w:val="24"/>
        </w:rPr>
        <w:t>he main</w:t>
      </w:r>
      <w:r w:rsidR="00C510AD" w:rsidRPr="00A624C2">
        <w:rPr>
          <w:rFonts w:ascii="Book Antiqua" w:hAnsi="Book Antiqua" w:cs="AdvOT223abdbc"/>
          <w:color w:val="000000"/>
          <w:sz w:val="24"/>
          <w:szCs w:val="24"/>
        </w:rPr>
        <w:t xml:space="preserve"> </w:t>
      </w:r>
      <w:r w:rsidRPr="00A624C2">
        <w:rPr>
          <w:rFonts w:ascii="Book Antiqua" w:hAnsi="Book Antiqua" w:cs="AdvOT223abdbc"/>
          <w:color w:val="000000"/>
          <w:sz w:val="24"/>
          <w:szCs w:val="24"/>
        </w:rPr>
        <w:t xml:space="preserve">treatment goal </w:t>
      </w:r>
      <w:r w:rsidR="00A37144" w:rsidRPr="00A624C2">
        <w:rPr>
          <w:rFonts w:ascii="Book Antiqua" w:hAnsi="Book Antiqua" w:cs="AdvOT223abdbc"/>
          <w:color w:val="000000"/>
          <w:sz w:val="24"/>
          <w:szCs w:val="24"/>
        </w:rPr>
        <w:t xml:space="preserve">in CD </w:t>
      </w:r>
      <w:r w:rsidRPr="00A624C2">
        <w:rPr>
          <w:rFonts w:ascii="Book Antiqua" w:hAnsi="Book Antiqua" w:cs="AdvOT223abdbc"/>
          <w:color w:val="000000"/>
          <w:sz w:val="24"/>
          <w:szCs w:val="24"/>
        </w:rPr>
        <w:t xml:space="preserve">is to </w:t>
      </w:r>
      <w:r w:rsidR="00732CE9" w:rsidRPr="00A624C2">
        <w:rPr>
          <w:rFonts w:ascii="Book Antiqua" w:hAnsi="Book Antiqua" w:cs="AdvOT223abdbc"/>
          <w:color w:val="000000"/>
          <w:sz w:val="24"/>
          <w:szCs w:val="24"/>
        </w:rPr>
        <w:t>achieve healing of inflammatory lesions</w:t>
      </w:r>
      <w:r w:rsidR="003F6A10" w:rsidRPr="00A624C2">
        <w:rPr>
          <w:rFonts w:ascii="Book Antiqua" w:hAnsi="Book Antiqua" w:cs="AdvOT223abdbc"/>
          <w:color w:val="000000"/>
          <w:sz w:val="24"/>
          <w:szCs w:val="24"/>
        </w:rPr>
        <w:t xml:space="preserve"> </w:t>
      </w:r>
      <w:r w:rsidR="00AE4E43" w:rsidRPr="00A624C2">
        <w:rPr>
          <w:rFonts w:ascii="Book Antiqua" w:hAnsi="Book Antiqua" w:cs="AdvOT223abdbc"/>
          <w:color w:val="000000"/>
          <w:sz w:val="24"/>
          <w:szCs w:val="24"/>
        </w:rPr>
        <w:t xml:space="preserve">to </w:t>
      </w:r>
      <w:r w:rsidR="003F6A10" w:rsidRPr="00A624C2">
        <w:rPr>
          <w:rFonts w:ascii="Book Antiqua" w:hAnsi="Book Antiqua" w:cs="AdvOT223abdbc"/>
          <w:color w:val="000000"/>
          <w:sz w:val="24"/>
          <w:szCs w:val="24"/>
        </w:rPr>
        <w:t>prevent damage progression</w:t>
      </w:r>
      <w:r w:rsidR="00732CE9" w:rsidRPr="00A624C2">
        <w:rPr>
          <w:rFonts w:ascii="Book Antiqua" w:hAnsi="Book Antiqua" w:cs="AdvOT223abdbc"/>
          <w:color w:val="000000"/>
          <w:sz w:val="24"/>
          <w:szCs w:val="24"/>
        </w:rPr>
        <w:t xml:space="preserve"> </w:t>
      </w:r>
      <w:r w:rsidRPr="00A624C2">
        <w:rPr>
          <w:rFonts w:ascii="Book Antiqua" w:hAnsi="Book Antiqua" w:cs="AdvOT223abdbc"/>
          <w:color w:val="000000"/>
          <w:sz w:val="24"/>
          <w:szCs w:val="24"/>
        </w:rPr>
        <w:t>by</w:t>
      </w:r>
      <w:r w:rsidR="00C510AD" w:rsidRPr="00A624C2">
        <w:rPr>
          <w:rFonts w:ascii="Book Antiqua" w:hAnsi="Book Antiqua" w:cs="AdvOT223abdbc"/>
          <w:color w:val="000000"/>
          <w:sz w:val="24"/>
          <w:szCs w:val="24"/>
        </w:rPr>
        <w:t xml:space="preserve"> </w:t>
      </w:r>
      <w:r w:rsidRPr="00A624C2">
        <w:rPr>
          <w:rFonts w:ascii="Book Antiqua" w:hAnsi="Book Antiqua" w:cs="AdvOT223abdbc"/>
          <w:color w:val="000000"/>
          <w:sz w:val="24"/>
          <w:szCs w:val="24"/>
        </w:rPr>
        <w:t>introducing highly effective therap</w:t>
      </w:r>
      <w:r w:rsidR="00575E20" w:rsidRPr="00A624C2">
        <w:rPr>
          <w:rFonts w:ascii="Book Antiqua" w:hAnsi="Book Antiqua" w:cs="AdvOT223abdbc"/>
          <w:color w:val="000000"/>
          <w:sz w:val="24"/>
          <w:szCs w:val="24"/>
        </w:rPr>
        <w:t>ies</w:t>
      </w:r>
      <w:r w:rsidRPr="00A624C2">
        <w:rPr>
          <w:rFonts w:ascii="Book Antiqua" w:hAnsi="Book Antiqua" w:cs="AdvOT223abdbc"/>
          <w:color w:val="000000"/>
          <w:sz w:val="24"/>
          <w:szCs w:val="24"/>
        </w:rPr>
        <w:t xml:space="preserve"> early </w:t>
      </w:r>
      <w:r w:rsidR="00575E20" w:rsidRPr="00A624C2">
        <w:rPr>
          <w:rFonts w:ascii="Book Antiqua" w:hAnsi="Book Antiqua" w:cs="AdvOT223abdbc"/>
          <w:color w:val="000000"/>
          <w:sz w:val="24"/>
          <w:szCs w:val="24"/>
        </w:rPr>
        <w:t>during</w:t>
      </w:r>
      <w:r w:rsidRPr="00A624C2">
        <w:rPr>
          <w:rFonts w:ascii="Book Antiqua" w:hAnsi="Book Antiqua" w:cs="AdvOT223abdbc"/>
          <w:color w:val="000000"/>
          <w:sz w:val="24"/>
          <w:szCs w:val="24"/>
        </w:rPr>
        <w:t xml:space="preserve"> the course</w:t>
      </w:r>
      <w:r w:rsidR="00C510AD" w:rsidRPr="00A624C2">
        <w:rPr>
          <w:rFonts w:ascii="Book Antiqua" w:hAnsi="Book Antiqua" w:cs="AdvOT223abdbc"/>
          <w:color w:val="000000"/>
          <w:sz w:val="24"/>
          <w:szCs w:val="24"/>
        </w:rPr>
        <w:t xml:space="preserve"> </w:t>
      </w:r>
      <w:r w:rsidRPr="00A624C2">
        <w:rPr>
          <w:rFonts w:ascii="Book Antiqua" w:hAnsi="Book Antiqua" w:cs="AdvOT223abdbc"/>
          <w:color w:val="000000"/>
          <w:sz w:val="24"/>
          <w:szCs w:val="24"/>
        </w:rPr>
        <w:t>of the disease.</w:t>
      </w:r>
      <w:r w:rsidR="00C510AD" w:rsidRPr="00A624C2">
        <w:rPr>
          <w:rFonts w:ascii="Book Antiqua" w:hAnsi="Book Antiqua"/>
          <w:sz w:val="24"/>
          <w:szCs w:val="24"/>
        </w:rPr>
        <w:t xml:space="preserve"> </w:t>
      </w:r>
      <w:r w:rsidR="00617F6A" w:rsidRPr="00A624C2">
        <w:rPr>
          <w:rFonts w:ascii="Book Antiqua" w:hAnsi="Book Antiqua"/>
          <w:sz w:val="24"/>
          <w:szCs w:val="24"/>
          <w:lang w:val="en-US"/>
        </w:rPr>
        <w:t>Tumor necrosis factor</w:t>
      </w:r>
      <w:r w:rsidR="00617F6A" w:rsidRPr="00A624C2">
        <w:rPr>
          <w:rFonts w:ascii="Book Antiqua" w:eastAsia="宋体" w:hAnsi="Book Antiqua"/>
          <w:sz w:val="24"/>
          <w:szCs w:val="24"/>
          <w:lang w:val="en-US" w:eastAsia="zh-CN"/>
        </w:rPr>
        <w:t xml:space="preserve"> </w:t>
      </w:r>
      <w:r w:rsidR="00617F6A" w:rsidRPr="00A624C2">
        <w:rPr>
          <w:rFonts w:ascii="Book Antiqua" w:hAnsi="Book Antiqua"/>
          <w:sz w:val="24"/>
          <w:szCs w:val="24"/>
        </w:rPr>
        <w:t>α</w:t>
      </w:r>
      <w:r w:rsidR="00617F6A" w:rsidRPr="00A624C2">
        <w:rPr>
          <w:rFonts w:ascii="Book Antiqua" w:eastAsia="宋体" w:hAnsi="Book Antiqua"/>
          <w:sz w:val="24"/>
          <w:szCs w:val="24"/>
          <w:lang w:eastAsia="zh-CN"/>
        </w:rPr>
        <w:t xml:space="preserve"> (</w:t>
      </w:r>
      <w:r w:rsidR="00C510AD" w:rsidRPr="00A624C2">
        <w:rPr>
          <w:rFonts w:ascii="Book Antiqua" w:hAnsi="Book Antiqua"/>
          <w:sz w:val="24"/>
          <w:szCs w:val="24"/>
        </w:rPr>
        <w:t>TNF</w:t>
      </w:r>
      <w:r w:rsidR="00A37144" w:rsidRPr="00A624C2">
        <w:rPr>
          <w:rFonts w:ascii="Book Antiqua" w:hAnsi="Book Antiqua"/>
          <w:sz w:val="24"/>
          <w:szCs w:val="24"/>
        </w:rPr>
        <w:t>-α</w:t>
      </w:r>
      <w:r w:rsidR="00617F6A" w:rsidRPr="00A624C2">
        <w:rPr>
          <w:rFonts w:ascii="Book Antiqua" w:eastAsia="宋体" w:hAnsi="Book Antiqua"/>
          <w:sz w:val="24"/>
          <w:szCs w:val="24"/>
          <w:lang w:eastAsia="zh-CN"/>
        </w:rPr>
        <w:t>)</w:t>
      </w:r>
      <w:r w:rsidR="00A37144" w:rsidRPr="00A624C2">
        <w:rPr>
          <w:rFonts w:ascii="Book Antiqua" w:hAnsi="Book Antiqua"/>
          <w:sz w:val="24"/>
          <w:szCs w:val="24"/>
        </w:rPr>
        <w:t xml:space="preserve"> inhibitors</w:t>
      </w:r>
      <w:r w:rsidR="00C510AD" w:rsidRPr="00A624C2">
        <w:rPr>
          <w:rFonts w:ascii="Book Antiqua" w:hAnsi="Book Antiqua"/>
          <w:sz w:val="24"/>
          <w:szCs w:val="24"/>
        </w:rPr>
        <w:t xml:space="preserve"> </w:t>
      </w:r>
      <w:r w:rsidR="00054EFE" w:rsidRPr="00A624C2">
        <w:rPr>
          <w:rFonts w:ascii="Book Antiqua" w:hAnsi="Book Antiqua"/>
          <w:sz w:val="24"/>
          <w:szCs w:val="24"/>
        </w:rPr>
        <w:t xml:space="preserve">are </w:t>
      </w:r>
      <w:r w:rsidR="0017780B" w:rsidRPr="00A624C2">
        <w:rPr>
          <w:rFonts w:ascii="Book Antiqua" w:hAnsi="Book Antiqua"/>
          <w:sz w:val="24"/>
          <w:szCs w:val="24"/>
        </w:rPr>
        <w:t xml:space="preserve">one of </w:t>
      </w:r>
      <w:r w:rsidR="00054EFE" w:rsidRPr="00A624C2">
        <w:rPr>
          <w:rFonts w:ascii="Book Antiqua" w:hAnsi="Book Antiqua"/>
          <w:sz w:val="24"/>
          <w:szCs w:val="24"/>
        </w:rPr>
        <w:t>the most</w:t>
      </w:r>
      <w:r w:rsidR="00C510AD" w:rsidRPr="00A624C2">
        <w:rPr>
          <w:rFonts w:ascii="Book Antiqua" w:hAnsi="Book Antiqua"/>
          <w:sz w:val="24"/>
          <w:szCs w:val="24"/>
        </w:rPr>
        <w:t xml:space="preserve"> effective</w:t>
      </w:r>
      <w:r w:rsidR="0017780B" w:rsidRPr="00A624C2">
        <w:rPr>
          <w:rFonts w:ascii="Book Antiqua" w:hAnsi="Book Antiqua"/>
          <w:sz w:val="24"/>
          <w:szCs w:val="24"/>
        </w:rPr>
        <w:t xml:space="preserve"> therapies</w:t>
      </w:r>
      <w:r w:rsidR="00C510AD" w:rsidRPr="00A624C2">
        <w:rPr>
          <w:rFonts w:ascii="Book Antiqua" w:hAnsi="Book Antiqua"/>
          <w:sz w:val="24"/>
          <w:szCs w:val="24"/>
        </w:rPr>
        <w:t xml:space="preserve"> for induction and maintenance of remission in </w:t>
      </w:r>
      <w:r w:rsidR="00D86E45" w:rsidRPr="00A624C2">
        <w:rPr>
          <w:rFonts w:ascii="Book Antiqua" w:hAnsi="Book Antiqua"/>
          <w:sz w:val="24"/>
          <w:szCs w:val="24"/>
        </w:rPr>
        <w:t xml:space="preserve">patients with </w:t>
      </w:r>
      <w:proofErr w:type="gramStart"/>
      <w:r w:rsidR="00D86E45" w:rsidRPr="00A624C2">
        <w:rPr>
          <w:rFonts w:ascii="Book Antiqua" w:hAnsi="Book Antiqua"/>
          <w:sz w:val="24"/>
          <w:szCs w:val="24"/>
        </w:rPr>
        <w:t>CD</w:t>
      </w:r>
      <w:r w:rsidR="00443699" w:rsidRPr="00A624C2">
        <w:rPr>
          <w:rFonts w:ascii="Book Antiqua" w:eastAsia="宋体" w:hAnsi="Book Antiqua"/>
          <w:sz w:val="24"/>
          <w:szCs w:val="24"/>
          <w:vertAlign w:val="superscript"/>
          <w:lang w:eastAsia="zh-CN"/>
        </w:rPr>
        <w:t>[</w:t>
      </w:r>
      <w:proofErr w:type="gramEnd"/>
      <w:r w:rsidR="00443699" w:rsidRPr="00A624C2">
        <w:rPr>
          <w:rFonts w:ascii="Book Antiqua" w:eastAsia="宋体" w:hAnsi="Book Antiqua"/>
          <w:sz w:val="24"/>
          <w:szCs w:val="24"/>
          <w:vertAlign w:val="superscript"/>
          <w:lang w:eastAsia="zh-CN"/>
        </w:rPr>
        <w:t>2]</w:t>
      </w:r>
      <w:r w:rsidR="00291ACC" w:rsidRPr="00A624C2">
        <w:rPr>
          <w:rFonts w:ascii="Book Antiqua" w:hAnsi="Book Antiqua"/>
          <w:sz w:val="24"/>
          <w:szCs w:val="24"/>
        </w:rPr>
        <w:t>.</w:t>
      </w:r>
      <w:r w:rsidR="00C510AD" w:rsidRPr="00A624C2">
        <w:rPr>
          <w:rFonts w:ascii="Book Antiqua" w:hAnsi="Book Antiqua"/>
          <w:sz w:val="24"/>
          <w:szCs w:val="24"/>
        </w:rPr>
        <w:t xml:space="preserve"> </w:t>
      </w:r>
    </w:p>
    <w:p w14:paraId="342A9D0D" w14:textId="08A3C446" w:rsidR="00265582" w:rsidRPr="00A624C2" w:rsidRDefault="00732CE9" w:rsidP="007C1C51">
      <w:pPr>
        <w:autoSpaceDE w:val="0"/>
        <w:autoSpaceDN w:val="0"/>
        <w:adjustRightInd w:val="0"/>
        <w:spacing w:after="0" w:line="360" w:lineRule="auto"/>
        <w:ind w:firstLineChars="100" w:firstLine="240"/>
        <w:jc w:val="both"/>
        <w:rPr>
          <w:rFonts w:ascii="Book Antiqua" w:eastAsia="宋体" w:hAnsi="Book Antiqua"/>
          <w:sz w:val="24"/>
          <w:szCs w:val="24"/>
          <w:lang w:eastAsia="zh-CN"/>
        </w:rPr>
      </w:pPr>
      <w:r w:rsidRPr="00A624C2">
        <w:rPr>
          <w:rFonts w:ascii="Book Antiqua" w:hAnsi="Book Antiqua"/>
          <w:sz w:val="24"/>
          <w:szCs w:val="24"/>
        </w:rPr>
        <w:t>R</w:t>
      </w:r>
      <w:r w:rsidR="001C1DDA" w:rsidRPr="00A624C2">
        <w:rPr>
          <w:rFonts w:ascii="Book Antiqua" w:hAnsi="Book Antiqua"/>
          <w:sz w:val="24"/>
          <w:szCs w:val="24"/>
        </w:rPr>
        <w:t>esponse to anti-TNF therapy is heterogeneous</w:t>
      </w:r>
      <w:r w:rsidR="00361CC6" w:rsidRPr="00A624C2">
        <w:rPr>
          <w:rFonts w:ascii="Book Antiqua" w:hAnsi="Book Antiqua"/>
          <w:sz w:val="24"/>
          <w:szCs w:val="24"/>
        </w:rPr>
        <w:t>.</w:t>
      </w:r>
      <w:r w:rsidR="00E31F7A" w:rsidRPr="00A624C2">
        <w:rPr>
          <w:rFonts w:ascii="Book Antiqua" w:hAnsi="Book Antiqua"/>
          <w:sz w:val="24"/>
          <w:szCs w:val="24"/>
        </w:rPr>
        <w:t xml:space="preserve"> </w:t>
      </w:r>
      <w:r w:rsidR="00296970" w:rsidRPr="00A624C2">
        <w:rPr>
          <w:rFonts w:ascii="Book Antiqua" w:hAnsi="Book Antiqua"/>
          <w:sz w:val="24"/>
          <w:szCs w:val="24"/>
        </w:rPr>
        <w:t>I</w:t>
      </w:r>
      <w:r w:rsidRPr="00A624C2">
        <w:rPr>
          <w:rFonts w:ascii="Book Antiqua" w:hAnsi="Book Antiqua"/>
          <w:sz w:val="24"/>
          <w:szCs w:val="24"/>
        </w:rPr>
        <w:t xml:space="preserve">n </w:t>
      </w:r>
      <w:r w:rsidR="00E31F7A" w:rsidRPr="00A624C2">
        <w:rPr>
          <w:rFonts w:ascii="Book Antiqua" w:hAnsi="Book Antiqua"/>
          <w:sz w:val="24"/>
          <w:szCs w:val="24"/>
        </w:rPr>
        <w:t>patients</w:t>
      </w:r>
      <w:r w:rsidRPr="00A624C2">
        <w:rPr>
          <w:rFonts w:ascii="Book Antiqua" w:hAnsi="Book Antiqua"/>
          <w:sz w:val="24"/>
          <w:szCs w:val="24"/>
        </w:rPr>
        <w:t xml:space="preserve"> with CD</w:t>
      </w:r>
      <w:r w:rsidR="00575E20" w:rsidRPr="00A624C2">
        <w:rPr>
          <w:rFonts w:ascii="Book Antiqua" w:hAnsi="Book Antiqua"/>
          <w:sz w:val="24"/>
          <w:szCs w:val="24"/>
        </w:rPr>
        <w:t xml:space="preserve"> s</w:t>
      </w:r>
      <w:r w:rsidR="00B96FBA" w:rsidRPr="00A624C2">
        <w:rPr>
          <w:rFonts w:ascii="Book Antiqua" w:hAnsi="Book Antiqua"/>
          <w:sz w:val="24"/>
          <w:szCs w:val="24"/>
        </w:rPr>
        <w:t>evera</w:t>
      </w:r>
      <w:r w:rsidR="003F660D" w:rsidRPr="00A624C2">
        <w:rPr>
          <w:rFonts w:ascii="Book Antiqua" w:hAnsi="Book Antiqua"/>
          <w:sz w:val="24"/>
          <w:szCs w:val="24"/>
        </w:rPr>
        <w:t>l predictors of</w:t>
      </w:r>
      <w:r w:rsidR="00296970" w:rsidRPr="00A624C2">
        <w:rPr>
          <w:rFonts w:ascii="Book Antiqua" w:hAnsi="Book Antiqua"/>
          <w:sz w:val="24"/>
          <w:szCs w:val="24"/>
        </w:rPr>
        <w:t xml:space="preserve"> </w:t>
      </w:r>
      <w:r w:rsidR="001C1DDA" w:rsidRPr="00A624C2">
        <w:rPr>
          <w:rFonts w:ascii="Book Antiqua" w:hAnsi="Book Antiqua"/>
          <w:sz w:val="24"/>
          <w:szCs w:val="24"/>
        </w:rPr>
        <w:t xml:space="preserve">clinical </w:t>
      </w:r>
      <w:r w:rsidR="0054636A" w:rsidRPr="00A624C2">
        <w:rPr>
          <w:rFonts w:ascii="Book Antiqua" w:hAnsi="Book Antiqua"/>
          <w:sz w:val="24"/>
          <w:szCs w:val="24"/>
        </w:rPr>
        <w:t>response have been described</w:t>
      </w:r>
      <w:r w:rsidR="00E31F7A" w:rsidRPr="00A624C2">
        <w:rPr>
          <w:rFonts w:ascii="Book Antiqua" w:hAnsi="Book Antiqua"/>
          <w:sz w:val="24"/>
          <w:szCs w:val="24"/>
        </w:rPr>
        <w:t>,</w:t>
      </w:r>
      <w:r w:rsidR="0054636A" w:rsidRPr="00A624C2">
        <w:rPr>
          <w:rFonts w:ascii="Book Antiqua" w:hAnsi="Book Antiqua"/>
          <w:sz w:val="24"/>
          <w:szCs w:val="24"/>
        </w:rPr>
        <w:t xml:space="preserve"> including age</w:t>
      </w:r>
      <w:r w:rsidR="00443699" w:rsidRPr="00A624C2">
        <w:rPr>
          <w:rFonts w:ascii="Book Antiqua" w:eastAsia="宋体" w:hAnsi="Book Antiqua"/>
          <w:sz w:val="24"/>
          <w:szCs w:val="24"/>
          <w:vertAlign w:val="superscript"/>
          <w:lang w:eastAsia="zh-CN"/>
        </w:rPr>
        <w:t>[3,4]</w:t>
      </w:r>
      <w:r w:rsidR="0054636A" w:rsidRPr="00A624C2">
        <w:rPr>
          <w:rFonts w:ascii="Book Antiqua" w:hAnsi="Book Antiqua" w:cs="AdvOT1ef757c0"/>
          <w:sz w:val="24"/>
          <w:szCs w:val="24"/>
        </w:rPr>
        <w:t>, disease duration</w:t>
      </w:r>
      <w:r w:rsidR="00443699" w:rsidRPr="00A624C2">
        <w:rPr>
          <w:rFonts w:ascii="Book Antiqua" w:eastAsia="宋体" w:hAnsi="Book Antiqua" w:cs="AdvOT1ef757c0"/>
          <w:sz w:val="24"/>
          <w:szCs w:val="24"/>
          <w:vertAlign w:val="superscript"/>
          <w:lang w:eastAsia="zh-CN"/>
        </w:rPr>
        <w:t>[5]</w:t>
      </w:r>
      <w:r w:rsidR="0054636A" w:rsidRPr="00A624C2">
        <w:rPr>
          <w:rFonts w:ascii="Book Antiqua" w:hAnsi="Book Antiqua" w:cs="AdvOT1ef757c0"/>
          <w:sz w:val="24"/>
          <w:szCs w:val="24"/>
        </w:rPr>
        <w:t>, inflammatory phenotype</w:t>
      </w:r>
      <w:r w:rsidR="00443699" w:rsidRPr="00A624C2">
        <w:rPr>
          <w:rFonts w:ascii="Book Antiqua" w:eastAsia="宋体" w:hAnsi="Book Antiqua" w:cs="AdvOT1ef757c0"/>
          <w:sz w:val="24"/>
          <w:szCs w:val="24"/>
          <w:vertAlign w:val="superscript"/>
          <w:lang w:eastAsia="zh-CN"/>
        </w:rPr>
        <w:t>[6]</w:t>
      </w:r>
      <w:r w:rsidR="002933F7" w:rsidRPr="00A624C2">
        <w:rPr>
          <w:rFonts w:ascii="Book Antiqua" w:hAnsi="Book Antiqua" w:cs="AdvOT1ef757c0"/>
          <w:sz w:val="24"/>
          <w:szCs w:val="24"/>
        </w:rPr>
        <w:t xml:space="preserve">, </w:t>
      </w:r>
      <w:r w:rsidR="00A35B73" w:rsidRPr="00A624C2">
        <w:rPr>
          <w:rFonts w:ascii="Book Antiqua" w:hAnsi="Book Antiqua" w:cs="AdvOT1ef757c0"/>
          <w:sz w:val="24"/>
          <w:szCs w:val="24"/>
        </w:rPr>
        <w:t xml:space="preserve">and </w:t>
      </w:r>
      <w:r w:rsidR="0054636A" w:rsidRPr="00A624C2">
        <w:rPr>
          <w:rFonts w:ascii="Book Antiqua" w:hAnsi="Book Antiqua" w:cs="AdvOT1ef757c0"/>
          <w:sz w:val="24"/>
          <w:szCs w:val="24"/>
        </w:rPr>
        <w:t>smoking status</w:t>
      </w:r>
      <w:r w:rsidR="00443699" w:rsidRPr="00A624C2">
        <w:rPr>
          <w:rFonts w:ascii="Book Antiqua" w:eastAsia="宋体" w:hAnsi="Book Antiqua" w:cs="AdvOT1ef757c0"/>
          <w:sz w:val="24"/>
          <w:szCs w:val="24"/>
          <w:vertAlign w:val="superscript"/>
          <w:lang w:eastAsia="zh-CN"/>
        </w:rPr>
        <w:t>[6-10]</w:t>
      </w:r>
      <w:r w:rsidR="009C6051" w:rsidRPr="00A624C2">
        <w:rPr>
          <w:rFonts w:ascii="Book Antiqua" w:hAnsi="Book Antiqua" w:cs="AdvOT1ef757c0"/>
          <w:sz w:val="24"/>
          <w:szCs w:val="24"/>
        </w:rPr>
        <w:t xml:space="preserve">, </w:t>
      </w:r>
      <w:r w:rsidR="00296970" w:rsidRPr="00A624C2">
        <w:rPr>
          <w:rFonts w:ascii="Book Antiqua" w:hAnsi="Book Antiqua" w:cs="AdvOT1ef757c0"/>
          <w:sz w:val="24"/>
          <w:szCs w:val="24"/>
        </w:rPr>
        <w:t>but</w:t>
      </w:r>
      <w:r w:rsidRPr="00A624C2">
        <w:rPr>
          <w:rFonts w:ascii="Book Antiqua" w:hAnsi="Book Antiqua" w:cs="AdvOT1ef757c0"/>
          <w:sz w:val="24"/>
          <w:szCs w:val="24"/>
        </w:rPr>
        <w:t xml:space="preserve"> </w:t>
      </w:r>
      <w:r w:rsidR="009C6051" w:rsidRPr="00A624C2">
        <w:rPr>
          <w:rFonts w:ascii="Book Antiqua" w:hAnsi="Book Antiqua" w:cs="AdvOT1ef757c0"/>
          <w:sz w:val="24"/>
          <w:szCs w:val="24"/>
        </w:rPr>
        <w:t>the effect size of these factors is small and not sufficient to guide clinical practice.</w:t>
      </w:r>
      <w:r w:rsidR="003E7CCA" w:rsidRPr="00A624C2">
        <w:rPr>
          <w:rFonts w:ascii="Book Antiqua" w:hAnsi="Book Antiqua" w:cs="AdvOT1ef757c0"/>
          <w:sz w:val="24"/>
          <w:szCs w:val="24"/>
        </w:rPr>
        <w:t xml:space="preserve"> </w:t>
      </w:r>
      <w:r w:rsidR="009C6051" w:rsidRPr="00A624C2">
        <w:rPr>
          <w:rFonts w:ascii="Book Antiqua" w:eastAsia="Times New Roman" w:hAnsi="Book Antiqua" w:cs="Courier New"/>
          <w:color w:val="212121"/>
          <w:sz w:val="24"/>
          <w:szCs w:val="24"/>
          <w:lang w:eastAsia="es-ES"/>
        </w:rPr>
        <w:t xml:space="preserve">Furthermore, </w:t>
      </w:r>
      <w:r w:rsidR="0054636A" w:rsidRPr="00A624C2">
        <w:rPr>
          <w:rFonts w:ascii="Book Antiqua" w:eastAsia="Times New Roman" w:hAnsi="Book Antiqua" w:cs="Courier New"/>
          <w:color w:val="212121"/>
          <w:sz w:val="24"/>
          <w:szCs w:val="24"/>
          <w:lang w:eastAsia="es-ES"/>
        </w:rPr>
        <w:t xml:space="preserve">predictors </w:t>
      </w:r>
      <w:r w:rsidR="000155B9" w:rsidRPr="00A624C2">
        <w:rPr>
          <w:rFonts w:ascii="Book Antiqua" w:eastAsia="Times New Roman" w:hAnsi="Book Antiqua" w:cs="Courier New"/>
          <w:color w:val="212121"/>
          <w:sz w:val="24"/>
          <w:szCs w:val="24"/>
          <w:lang w:eastAsia="es-ES"/>
        </w:rPr>
        <w:t xml:space="preserve">of endoscopic healing </w:t>
      </w:r>
      <w:r w:rsidR="001C1DDA" w:rsidRPr="00A624C2">
        <w:rPr>
          <w:rFonts w:ascii="Book Antiqua" w:eastAsia="Times New Roman" w:hAnsi="Book Antiqua" w:cs="Courier New"/>
          <w:color w:val="212121"/>
          <w:sz w:val="24"/>
          <w:szCs w:val="24"/>
          <w:lang w:eastAsia="es-ES"/>
        </w:rPr>
        <w:t xml:space="preserve">remain to be definitively </w:t>
      </w:r>
      <w:r w:rsidR="00265582" w:rsidRPr="00A624C2">
        <w:rPr>
          <w:rFonts w:ascii="Book Antiqua" w:eastAsia="Times New Roman" w:hAnsi="Book Antiqua" w:cs="Courier New"/>
          <w:color w:val="212121"/>
          <w:sz w:val="24"/>
          <w:szCs w:val="24"/>
          <w:lang w:eastAsia="es-ES"/>
        </w:rPr>
        <w:t>established</w:t>
      </w:r>
      <w:r w:rsidR="0054636A" w:rsidRPr="00A624C2">
        <w:rPr>
          <w:rFonts w:ascii="Book Antiqua" w:eastAsia="Times New Roman" w:hAnsi="Book Antiqua" w:cs="Courier New"/>
          <w:color w:val="212121"/>
          <w:sz w:val="24"/>
          <w:szCs w:val="24"/>
          <w:lang w:eastAsia="es-ES"/>
        </w:rPr>
        <w:t xml:space="preserve">. </w:t>
      </w:r>
      <w:r w:rsidR="001B21BB" w:rsidRPr="00A624C2">
        <w:rPr>
          <w:rFonts w:ascii="Book Antiqua" w:eastAsia="Times New Roman" w:hAnsi="Book Antiqua" w:cs="Courier New"/>
          <w:color w:val="212121"/>
          <w:sz w:val="24"/>
          <w:szCs w:val="24"/>
          <w:lang w:eastAsia="es-ES"/>
        </w:rPr>
        <w:t xml:space="preserve">In the field of biomarkers, normalization of C </w:t>
      </w:r>
      <w:r w:rsidR="00443699" w:rsidRPr="00A624C2">
        <w:rPr>
          <w:rFonts w:ascii="Book Antiqua" w:eastAsia="Times New Roman" w:hAnsi="Book Antiqua" w:cs="Courier New"/>
          <w:color w:val="212121"/>
          <w:sz w:val="24"/>
          <w:szCs w:val="24"/>
          <w:lang w:eastAsia="es-ES"/>
        </w:rPr>
        <w:t>reactive protein</w:t>
      </w:r>
      <w:r w:rsidR="001B21BB" w:rsidRPr="00A624C2">
        <w:rPr>
          <w:rFonts w:ascii="Book Antiqua" w:eastAsia="Times New Roman" w:hAnsi="Book Antiqua" w:cs="Courier New"/>
          <w:color w:val="212121"/>
          <w:sz w:val="24"/>
          <w:szCs w:val="24"/>
          <w:lang w:eastAsia="es-ES"/>
        </w:rPr>
        <w:t xml:space="preserve"> (CRP) and calprotectin </w:t>
      </w:r>
      <w:r w:rsidR="00C17A9E" w:rsidRPr="00A624C2">
        <w:rPr>
          <w:rFonts w:ascii="Book Antiqua" w:eastAsia="Times New Roman" w:hAnsi="Book Antiqua" w:cs="Courier New"/>
          <w:color w:val="212121"/>
          <w:sz w:val="24"/>
          <w:szCs w:val="24"/>
          <w:lang w:eastAsia="es-ES"/>
        </w:rPr>
        <w:t>has</w:t>
      </w:r>
      <w:r w:rsidR="001B21BB" w:rsidRPr="00A624C2">
        <w:rPr>
          <w:rFonts w:ascii="Book Antiqua" w:eastAsia="Times New Roman" w:hAnsi="Book Antiqua" w:cs="Courier New"/>
          <w:color w:val="212121"/>
          <w:sz w:val="24"/>
          <w:szCs w:val="24"/>
          <w:lang w:eastAsia="es-ES"/>
        </w:rPr>
        <w:t xml:space="preserve"> been </w:t>
      </w:r>
      <w:r w:rsidR="009C6051" w:rsidRPr="00A624C2">
        <w:rPr>
          <w:rFonts w:ascii="Book Antiqua" w:eastAsia="Times New Roman" w:hAnsi="Book Antiqua" w:cs="Courier New"/>
          <w:color w:val="212121"/>
          <w:sz w:val="24"/>
          <w:szCs w:val="24"/>
          <w:lang w:eastAsia="es-ES"/>
        </w:rPr>
        <w:t>associated with</w:t>
      </w:r>
      <w:r w:rsidR="00054EFE" w:rsidRPr="00A624C2">
        <w:rPr>
          <w:rFonts w:ascii="Book Antiqua" w:eastAsia="Times New Roman" w:hAnsi="Book Antiqua" w:cs="Courier New"/>
          <w:color w:val="212121"/>
          <w:sz w:val="24"/>
          <w:szCs w:val="24"/>
          <w:lang w:eastAsia="es-ES"/>
        </w:rPr>
        <w:t xml:space="preserve"> mucosal healing</w:t>
      </w:r>
      <w:r w:rsidR="009C6051" w:rsidRPr="00A624C2">
        <w:rPr>
          <w:rFonts w:ascii="Book Antiqua" w:eastAsia="Times New Roman" w:hAnsi="Book Antiqua" w:cs="Courier New"/>
          <w:color w:val="212121"/>
          <w:sz w:val="24"/>
          <w:szCs w:val="24"/>
          <w:lang w:eastAsia="es-ES"/>
        </w:rPr>
        <w:t xml:space="preserve"> </w:t>
      </w:r>
      <w:r w:rsidR="00054EFE" w:rsidRPr="00A624C2">
        <w:rPr>
          <w:rFonts w:ascii="Book Antiqua" w:eastAsia="Times New Roman" w:hAnsi="Book Antiqua" w:cs="Courier New"/>
          <w:color w:val="212121"/>
          <w:sz w:val="24"/>
          <w:szCs w:val="24"/>
          <w:lang w:eastAsia="es-ES"/>
        </w:rPr>
        <w:t>(</w:t>
      </w:r>
      <w:r w:rsidR="001B21BB" w:rsidRPr="00A624C2">
        <w:rPr>
          <w:rFonts w:ascii="Book Antiqua" w:eastAsia="Times New Roman" w:hAnsi="Book Antiqua" w:cs="Courier New"/>
          <w:color w:val="212121"/>
          <w:sz w:val="24"/>
          <w:szCs w:val="24"/>
          <w:lang w:eastAsia="es-ES"/>
        </w:rPr>
        <w:t>MH</w:t>
      </w:r>
      <w:r w:rsidR="00054EFE" w:rsidRPr="00A624C2">
        <w:rPr>
          <w:rFonts w:ascii="Book Antiqua" w:eastAsia="Times New Roman" w:hAnsi="Book Antiqua" w:cs="Courier New"/>
          <w:color w:val="212121"/>
          <w:sz w:val="24"/>
          <w:szCs w:val="24"/>
          <w:lang w:eastAsia="es-ES"/>
        </w:rPr>
        <w:t>)</w:t>
      </w:r>
      <w:r w:rsidR="00443699" w:rsidRPr="00A624C2">
        <w:rPr>
          <w:rFonts w:ascii="Book Antiqua" w:eastAsia="宋体" w:hAnsi="Book Antiqua" w:cs="AdvOT1ef757c0"/>
          <w:sz w:val="24"/>
          <w:szCs w:val="24"/>
          <w:vertAlign w:val="superscript"/>
          <w:lang w:eastAsia="zh-CN"/>
        </w:rPr>
        <w:t>[6,11]</w:t>
      </w:r>
      <w:r w:rsidR="0062067D" w:rsidRPr="00A624C2">
        <w:rPr>
          <w:rFonts w:ascii="Book Antiqua" w:eastAsia="Times New Roman" w:hAnsi="Book Antiqua" w:cs="Courier New"/>
          <w:color w:val="212121"/>
          <w:sz w:val="24"/>
          <w:szCs w:val="24"/>
          <w:lang w:eastAsia="es-ES"/>
        </w:rPr>
        <w:t xml:space="preserve">. </w:t>
      </w:r>
      <w:r w:rsidR="001B21BB" w:rsidRPr="00A624C2">
        <w:rPr>
          <w:rFonts w:ascii="Book Antiqua" w:eastAsia="Times New Roman" w:hAnsi="Book Antiqua" w:cs="Courier New"/>
          <w:color w:val="212121"/>
          <w:sz w:val="24"/>
          <w:szCs w:val="24"/>
          <w:lang w:eastAsia="es-ES"/>
        </w:rPr>
        <w:t>With regard to endoscopic lesions, achievement of MH after three months of treatment with a TNF-</w:t>
      </w:r>
      <w:r w:rsidR="001B21BB" w:rsidRPr="00A624C2">
        <w:rPr>
          <w:rFonts w:ascii="Book Antiqua" w:hAnsi="Book Antiqua"/>
          <w:sz w:val="24"/>
          <w:szCs w:val="24"/>
        </w:rPr>
        <w:t>α</w:t>
      </w:r>
      <w:r w:rsidR="001B21BB" w:rsidRPr="00A624C2">
        <w:rPr>
          <w:rFonts w:ascii="Book Antiqua" w:eastAsia="Times New Roman" w:hAnsi="Book Antiqua" w:cs="Courier New"/>
          <w:color w:val="212121"/>
          <w:sz w:val="24"/>
          <w:szCs w:val="24"/>
          <w:lang w:eastAsia="es-ES"/>
        </w:rPr>
        <w:t xml:space="preserve"> inhibitor has </w:t>
      </w:r>
      <w:r w:rsidR="00FB2CDD" w:rsidRPr="00A624C2">
        <w:rPr>
          <w:rFonts w:ascii="Book Antiqua" w:eastAsia="Times New Roman" w:hAnsi="Book Antiqua" w:cs="Courier New"/>
          <w:color w:val="212121"/>
          <w:sz w:val="24"/>
          <w:szCs w:val="24"/>
          <w:lang w:eastAsia="es-ES"/>
        </w:rPr>
        <w:t xml:space="preserve">been </w:t>
      </w:r>
      <w:r w:rsidR="00E31F7A" w:rsidRPr="00A624C2">
        <w:rPr>
          <w:rFonts w:ascii="Book Antiqua" w:eastAsia="Times New Roman" w:hAnsi="Book Antiqua" w:cs="Courier New"/>
          <w:color w:val="212121"/>
          <w:sz w:val="24"/>
          <w:szCs w:val="24"/>
          <w:lang w:eastAsia="es-ES"/>
        </w:rPr>
        <w:t xml:space="preserve">identified </w:t>
      </w:r>
      <w:r w:rsidR="001B21BB" w:rsidRPr="00A624C2">
        <w:rPr>
          <w:rFonts w:ascii="Book Antiqua" w:eastAsia="Times New Roman" w:hAnsi="Book Antiqua" w:cs="Courier New"/>
          <w:color w:val="212121"/>
          <w:sz w:val="24"/>
          <w:szCs w:val="24"/>
          <w:lang w:eastAsia="es-ES"/>
        </w:rPr>
        <w:t>a</w:t>
      </w:r>
      <w:r w:rsidR="00FB2CDD" w:rsidRPr="00A624C2">
        <w:rPr>
          <w:rFonts w:ascii="Book Antiqua" w:eastAsia="Times New Roman" w:hAnsi="Book Antiqua" w:cs="Courier New"/>
          <w:color w:val="212121"/>
          <w:sz w:val="24"/>
          <w:szCs w:val="24"/>
          <w:lang w:eastAsia="es-ES"/>
        </w:rPr>
        <w:t>s a</w:t>
      </w:r>
      <w:r w:rsidR="001B21BB" w:rsidRPr="00A624C2">
        <w:rPr>
          <w:rFonts w:ascii="Book Antiqua" w:eastAsia="Times New Roman" w:hAnsi="Book Antiqua" w:cs="Courier New"/>
          <w:color w:val="212121"/>
          <w:sz w:val="24"/>
          <w:szCs w:val="24"/>
          <w:lang w:eastAsia="es-ES"/>
        </w:rPr>
        <w:t xml:space="preserve"> predictor of long</w:t>
      </w:r>
      <w:r w:rsidR="00E31F7A" w:rsidRPr="00A624C2">
        <w:rPr>
          <w:rFonts w:ascii="Book Antiqua" w:eastAsia="Times New Roman" w:hAnsi="Book Antiqua" w:cs="Courier New"/>
          <w:color w:val="212121"/>
          <w:sz w:val="24"/>
          <w:szCs w:val="24"/>
          <w:lang w:eastAsia="es-ES"/>
        </w:rPr>
        <w:t>-</w:t>
      </w:r>
      <w:r w:rsidR="001B21BB" w:rsidRPr="00A624C2">
        <w:rPr>
          <w:rFonts w:ascii="Book Antiqua" w:eastAsia="Times New Roman" w:hAnsi="Book Antiqua" w:cs="Courier New"/>
          <w:color w:val="212121"/>
          <w:sz w:val="24"/>
          <w:szCs w:val="24"/>
          <w:lang w:eastAsia="es-ES"/>
        </w:rPr>
        <w:t>term endoscopic response</w:t>
      </w:r>
      <w:r w:rsidR="00443699" w:rsidRPr="00A624C2">
        <w:rPr>
          <w:rFonts w:ascii="Book Antiqua" w:eastAsia="宋体" w:hAnsi="Book Antiqua" w:cs="AdvOT1ef757c0"/>
          <w:sz w:val="24"/>
          <w:szCs w:val="24"/>
          <w:vertAlign w:val="superscript"/>
          <w:lang w:eastAsia="zh-CN"/>
        </w:rPr>
        <w:t>[12,13]</w:t>
      </w:r>
      <w:r w:rsidR="001B21BB" w:rsidRPr="00A624C2">
        <w:rPr>
          <w:rFonts w:ascii="Book Antiqua" w:eastAsia="Times New Roman" w:hAnsi="Book Antiqua" w:cs="Courier New"/>
          <w:color w:val="212121"/>
          <w:sz w:val="24"/>
          <w:szCs w:val="24"/>
          <w:lang w:eastAsia="es-ES"/>
        </w:rPr>
        <w:t xml:space="preserve">. </w:t>
      </w:r>
      <w:r w:rsidR="001150C6" w:rsidRPr="00A624C2">
        <w:rPr>
          <w:rFonts w:ascii="Book Antiqua" w:eastAsia="Times New Roman" w:hAnsi="Book Antiqua" w:cs="Courier New"/>
          <w:color w:val="212121"/>
          <w:sz w:val="24"/>
          <w:szCs w:val="24"/>
          <w:lang w:eastAsia="es-ES"/>
        </w:rPr>
        <w:t>However</w:t>
      </w:r>
      <w:r w:rsidR="0054636A" w:rsidRPr="00A624C2">
        <w:rPr>
          <w:rFonts w:ascii="Book Antiqua" w:eastAsia="Times New Roman" w:hAnsi="Book Antiqua" w:cs="Courier New"/>
          <w:color w:val="212121"/>
          <w:sz w:val="24"/>
          <w:szCs w:val="24"/>
          <w:lang w:eastAsia="es-ES"/>
        </w:rPr>
        <w:t xml:space="preserve">, </w:t>
      </w:r>
      <w:r w:rsidR="00FB2CDD" w:rsidRPr="00A624C2">
        <w:rPr>
          <w:rFonts w:ascii="Book Antiqua" w:eastAsia="Times New Roman" w:hAnsi="Book Antiqua" w:cs="Courier New"/>
          <w:color w:val="212121"/>
          <w:sz w:val="24"/>
          <w:szCs w:val="24"/>
          <w:lang w:eastAsia="es-ES"/>
        </w:rPr>
        <w:t xml:space="preserve">to date, </w:t>
      </w:r>
      <w:r w:rsidR="0054636A" w:rsidRPr="00A624C2">
        <w:rPr>
          <w:rFonts w:ascii="Book Antiqua" w:hAnsi="Book Antiqua"/>
          <w:sz w:val="24"/>
          <w:szCs w:val="24"/>
        </w:rPr>
        <w:t xml:space="preserve">no </w:t>
      </w:r>
      <w:r w:rsidR="001E3FEE" w:rsidRPr="00A624C2">
        <w:rPr>
          <w:rFonts w:ascii="Book Antiqua" w:hAnsi="Book Antiqua"/>
          <w:sz w:val="24"/>
          <w:szCs w:val="24"/>
        </w:rPr>
        <w:t xml:space="preserve">observational </w:t>
      </w:r>
      <w:r w:rsidR="0054636A" w:rsidRPr="00A624C2">
        <w:rPr>
          <w:rFonts w:ascii="Book Antiqua" w:hAnsi="Book Antiqua"/>
          <w:sz w:val="24"/>
          <w:szCs w:val="24"/>
        </w:rPr>
        <w:t xml:space="preserve">prospective </w:t>
      </w:r>
      <w:r w:rsidR="001E3FEE" w:rsidRPr="00A624C2">
        <w:rPr>
          <w:rFonts w:ascii="Book Antiqua" w:hAnsi="Book Antiqua"/>
          <w:sz w:val="24"/>
          <w:szCs w:val="24"/>
        </w:rPr>
        <w:t>st</w:t>
      </w:r>
      <w:r w:rsidR="00862CE0" w:rsidRPr="00A624C2">
        <w:rPr>
          <w:rFonts w:ascii="Book Antiqua" w:hAnsi="Book Antiqua"/>
          <w:sz w:val="24"/>
          <w:szCs w:val="24"/>
        </w:rPr>
        <w:t>u</w:t>
      </w:r>
      <w:r w:rsidR="001E3FEE" w:rsidRPr="00A624C2">
        <w:rPr>
          <w:rFonts w:ascii="Book Antiqua" w:hAnsi="Book Antiqua"/>
          <w:sz w:val="24"/>
          <w:szCs w:val="24"/>
        </w:rPr>
        <w:t xml:space="preserve">dies </w:t>
      </w:r>
      <w:r w:rsidR="0054636A" w:rsidRPr="00A624C2">
        <w:rPr>
          <w:rFonts w:ascii="Book Antiqua" w:hAnsi="Book Antiqua"/>
          <w:sz w:val="24"/>
          <w:szCs w:val="24"/>
        </w:rPr>
        <w:t xml:space="preserve">have been </w:t>
      </w:r>
      <w:r w:rsidR="003F6A10" w:rsidRPr="00A624C2">
        <w:rPr>
          <w:rFonts w:ascii="Book Antiqua" w:hAnsi="Book Antiqua"/>
          <w:sz w:val="24"/>
          <w:szCs w:val="24"/>
        </w:rPr>
        <w:t xml:space="preserve">specifically </w:t>
      </w:r>
      <w:r w:rsidR="0054636A" w:rsidRPr="00A624C2">
        <w:rPr>
          <w:rFonts w:ascii="Book Antiqua" w:hAnsi="Book Antiqua"/>
          <w:sz w:val="24"/>
          <w:szCs w:val="24"/>
        </w:rPr>
        <w:t>designed to identify predictors of MH</w:t>
      </w:r>
      <w:r w:rsidR="003F6A10" w:rsidRPr="00A624C2">
        <w:rPr>
          <w:rFonts w:ascii="Book Antiqua" w:hAnsi="Book Antiqua"/>
          <w:sz w:val="24"/>
          <w:szCs w:val="24"/>
        </w:rPr>
        <w:t>,</w:t>
      </w:r>
      <w:r w:rsidR="00786D26" w:rsidRPr="00A624C2">
        <w:rPr>
          <w:rFonts w:ascii="Book Antiqua" w:hAnsi="Book Antiqua"/>
          <w:sz w:val="24"/>
          <w:szCs w:val="24"/>
        </w:rPr>
        <w:t xml:space="preserve"> which </w:t>
      </w:r>
      <w:r w:rsidR="003F6A10" w:rsidRPr="00A624C2">
        <w:rPr>
          <w:rFonts w:ascii="Book Antiqua" w:hAnsi="Book Antiqua"/>
          <w:sz w:val="24"/>
          <w:szCs w:val="24"/>
        </w:rPr>
        <w:t xml:space="preserve">should be the therapeutic </w:t>
      </w:r>
      <w:r w:rsidR="00331B9F" w:rsidRPr="00A624C2">
        <w:rPr>
          <w:rFonts w:ascii="Book Antiqua" w:hAnsi="Book Antiqua"/>
          <w:sz w:val="24"/>
          <w:szCs w:val="24"/>
        </w:rPr>
        <w:t>target</w:t>
      </w:r>
      <w:r w:rsidR="00443699" w:rsidRPr="00A624C2">
        <w:rPr>
          <w:rFonts w:ascii="Book Antiqua" w:eastAsia="宋体" w:hAnsi="Book Antiqua" w:cs="AdvOT1ef757c0"/>
          <w:sz w:val="24"/>
          <w:szCs w:val="24"/>
          <w:vertAlign w:val="superscript"/>
          <w:lang w:eastAsia="zh-CN"/>
        </w:rPr>
        <w:t>[14]</w:t>
      </w:r>
      <w:r w:rsidR="0054636A" w:rsidRPr="00A624C2">
        <w:rPr>
          <w:rFonts w:ascii="Book Antiqua" w:hAnsi="Book Antiqua"/>
          <w:sz w:val="24"/>
          <w:szCs w:val="24"/>
        </w:rPr>
        <w:t>.</w:t>
      </w:r>
    </w:p>
    <w:p w14:paraId="6F079203" w14:textId="4C15CA63" w:rsidR="00C85A4A" w:rsidRPr="00A624C2" w:rsidRDefault="00575E20" w:rsidP="007C1C51">
      <w:pPr>
        <w:autoSpaceDE w:val="0"/>
        <w:autoSpaceDN w:val="0"/>
        <w:adjustRightInd w:val="0"/>
        <w:spacing w:after="0" w:line="360" w:lineRule="auto"/>
        <w:ind w:firstLineChars="100" w:firstLine="240"/>
        <w:jc w:val="both"/>
        <w:rPr>
          <w:rFonts w:ascii="Book Antiqua" w:eastAsia="宋体" w:hAnsi="Book Antiqua"/>
          <w:sz w:val="24"/>
          <w:szCs w:val="24"/>
          <w:lang w:eastAsia="zh-CN"/>
        </w:rPr>
      </w:pPr>
      <w:r w:rsidRPr="00A624C2">
        <w:rPr>
          <w:rFonts w:ascii="Book Antiqua" w:hAnsi="Book Antiqua" w:cs="Arial"/>
          <w:color w:val="212121"/>
          <w:sz w:val="24"/>
          <w:szCs w:val="24"/>
          <w:shd w:val="clear" w:color="auto" w:fill="FFFFFF"/>
        </w:rPr>
        <w:t>The a</w:t>
      </w:r>
      <w:r w:rsidR="00EF6F83" w:rsidRPr="00A624C2">
        <w:rPr>
          <w:rFonts w:ascii="Book Antiqua" w:hAnsi="Book Antiqua" w:cs="Arial"/>
          <w:color w:val="212121"/>
          <w:sz w:val="24"/>
          <w:szCs w:val="24"/>
          <w:shd w:val="clear" w:color="auto" w:fill="FFFFFF"/>
        </w:rPr>
        <w:t>vailability of</w:t>
      </w:r>
      <w:r w:rsidR="001E3FEE" w:rsidRPr="00A624C2">
        <w:rPr>
          <w:rFonts w:ascii="Book Antiqua" w:hAnsi="Book Antiqua" w:cs="Arial"/>
          <w:color w:val="212121"/>
          <w:sz w:val="24"/>
          <w:szCs w:val="24"/>
          <w:shd w:val="clear" w:color="auto" w:fill="FFFFFF"/>
        </w:rPr>
        <w:t xml:space="preserve"> </w:t>
      </w:r>
      <w:r w:rsidR="00591D8A" w:rsidRPr="00A624C2">
        <w:rPr>
          <w:rFonts w:ascii="Book Antiqua" w:hAnsi="Book Antiqua" w:cs="Arial"/>
          <w:color w:val="212121"/>
          <w:sz w:val="24"/>
          <w:szCs w:val="24"/>
          <w:shd w:val="clear" w:color="auto" w:fill="FFFFFF"/>
        </w:rPr>
        <w:t xml:space="preserve">new treatment </w:t>
      </w:r>
      <w:r w:rsidR="0054636A" w:rsidRPr="00A624C2">
        <w:rPr>
          <w:rFonts w:ascii="Book Antiqua" w:hAnsi="Book Antiqua" w:cs="Arial"/>
          <w:color w:val="212121"/>
          <w:sz w:val="24"/>
          <w:szCs w:val="24"/>
          <w:shd w:val="clear" w:color="auto" w:fill="FFFFFF"/>
        </w:rPr>
        <w:t>agents</w:t>
      </w:r>
      <w:r w:rsidR="00E31F7A" w:rsidRPr="00A624C2">
        <w:rPr>
          <w:rFonts w:ascii="Book Antiqua" w:hAnsi="Book Antiqua" w:cs="Arial"/>
          <w:color w:val="212121"/>
          <w:sz w:val="24"/>
          <w:szCs w:val="24"/>
          <w:shd w:val="clear" w:color="auto" w:fill="FFFFFF"/>
        </w:rPr>
        <w:t xml:space="preserve"> </w:t>
      </w:r>
      <w:r w:rsidR="001E3FEE" w:rsidRPr="00A624C2">
        <w:rPr>
          <w:rFonts w:ascii="Book Antiqua" w:hAnsi="Book Antiqua" w:cs="Arial"/>
          <w:color w:val="212121"/>
          <w:sz w:val="24"/>
          <w:szCs w:val="24"/>
          <w:shd w:val="clear" w:color="auto" w:fill="FFFFFF"/>
        </w:rPr>
        <w:t>with mechanisms of action</w:t>
      </w:r>
      <w:r w:rsidR="00E31F7A" w:rsidRPr="00A624C2">
        <w:rPr>
          <w:rFonts w:ascii="Book Antiqua" w:hAnsi="Book Antiqua" w:cs="Arial"/>
          <w:color w:val="212121"/>
          <w:sz w:val="24"/>
          <w:szCs w:val="24"/>
          <w:shd w:val="clear" w:color="auto" w:fill="FFFFFF"/>
        </w:rPr>
        <w:t xml:space="preserve"> </w:t>
      </w:r>
      <w:r w:rsidR="00EF6F83" w:rsidRPr="00A624C2">
        <w:rPr>
          <w:rFonts w:ascii="Book Antiqua" w:hAnsi="Book Antiqua" w:cs="Arial"/>
          <w:color w:val="212121"/>
          <w:sz w:val="24"/>
          <w:szCs w:val="24"/>
          <w:shd w:val="clear" w:color="auto" w:fill="FFFFFF"/>
        </w:rPr>
        <w:t>different from</w:t>
      </w:r>
      <w:r w:rsidR="00E31F7A" w:rsidRPr="00A624C2">
        <w:rPr>
          <w:rFonts w:ascii="Book Antiqua" w:hAnsi="Book Antiqua" w:cs="Arial"/>
          <w:color w:val="212121"/>
          <w:sz w:val="24"/>
          <w:szCs w:val="24"/>
          <w:shd w:val="clear" w:color="auto" w:fill="FFFFFF"/>
        </w:rPr>
        <w:t xml:space="preserve"> TNF-</w:t>
      </w:r>
      <w:r w:rsidR="00E31F7A" w:rsidRPr="00A624C2">
        <w:rPr>
          <w:rFonts w:ascii="Book Antiqua" w:hAnsi="Book Antiqua"/>
          <w:sz w:val="24"/>
          <w:szCs w:val="24"/>
        </w:rPr>
        <w:t>α</w:t>
      </w:r>
      <w:r w:rsidR="00E31F7A" w:rsidRPr="00A624C2">
        <w:rPr>
          <w:rFonts w:ascii="Book Antiqua" w:eastAsia="Times New Roman" w:hAnsi="Book Antiqua" w:cs="Courier New"/>
          <w:color w:val="212121"/>
          <w:sz w:val="24"/>
          <w:szCs w:val="24"/>
          <w:lang w:eastAsia="es-ES"/>
        </w:rPr>
        <w:t xml:space="preserve"> </w:t>
      </w:r>
      <w:r w:rsidR="00EF6F83" w:rsidRPr="00A624C2">
        <w:rPr>
          <w:rFonts w:ascii="Book Antiqua" w:eastAsia="Times New Roman" w:hAnsi="Book Antiqua" w:cs="Courier New"/>
          <w:color w:val="212121"/>
          <w:sz w:val="24"/>
          <w:szCs w:val="24"/>
          <w:lang w:eastAsia="es-ES"/>
        </w:rPr>
        <w:t>inhibition</w:t>
      </w:r>
      <w:r w:rsidR="00591D8A" w:rsidRPr="00A624C2">
        <w:rPr>
          <w:rFonts w:ascii="Book Antiqua" w:hAnsi="Book Antiqua" w:cs="Arial"/>
          <w:color w:val="212121"/>
          <w:sz w:val="24"/>
          <w:szCs w:val="24"/>
          <w:shd w:val="clear" w:color="auto" w:fill="FFFFFF"/>
        </w:rPr>
        <w:t>,</w:t>
      </w:r>
      <w:r w:rsidRPr="00A624C2">
        <w:rPr>
          <w:rFonts w:ascii="Book Antiqua" w:hAnsi="Book Antiqua" w:cs="Arial"/>
          <w:color w:val="212121"/>
          <w:sz w:val="24"/>
          <w:szCs w:val="24"/>
          <w:shd w:val="clear" w:color="auto" w:fill="FFFFFF"/>
        </w:rPr>
        <w:t xml:space="preserve"> has brought</w:t>
      </w:r>
      <w:r w:rsidR="00EF6F83" w:rsidRPr="00A624C2">
        <w:rPr>
          <w:rFonts w:ascii="Book Antiqua" w:hAnsi="Book Antiqua"/>
          <w:sz w:val="24"/>
          <w:szCs w:val="24"/>
        </w:rPr>
        <w:t xml:space="preserve"> about the need </w:t>
      </w:r>
      <w:r w:rsidRPr="00A624C2">
        <w:rPr>
          <w:rFonts w:ascii="Book Antiqua" w:hAnsi="Book Antiqua"/>
          <w:sz w:val="24"/>
          <w:szCs w:val="24"/>
        </w:rPr>
        <w:t>for</w:t>
      </w:r>
      <w:r w:rsidR="00EF6F83" w:rsidRPr="00A624C2">
        <w:rPr>
          <w:rFonts w:ascii="Book Antiqua" w:hAnsi="Book Antiqua"/>
          <w:sz w:val="24"/>
          <w:szCs w:val="24"/>
        </w:rPr>
        <w:t xml:space="preserve"> identify</w:t>
      </w:r>
      <w:r w:rsidRPr="00A624C2">
        <w:rPr>
          <w:rFonts w:ascii="Book Antiqua" w:hAnsi="Book Antiqua"/>
          <w:sz w:val="24"/>
          <w:szCs w:val="24"/>
        </w:rPr>
        <w:t>ing</w:t>
      </w:r>
      <w:r w:rsidR="00EF6F83" w:rsidRPr="00A624C2">
        <w:rPr>
          <w:rFonts w:ascii="Book Antiqua" w:hAnsi="Book Antiqua"/>
          <w:sz w:val="24"/>
          <w:szCs w:val="24"/>
        </w:rPr>
        <w:t xml:space="preserve"> predictors of efficacy, in particular predictors of </w:t>
      </w:r>
      <w:r w:rsidR="00F3089F" w:rsidRPr="00A624C2">
        <w:rPr>
          <w:rFonts w:ascii="Book Antiqua" w:hAnsi="Book Antiqua"/>
          <w:sz w:val="24"/>
          <w:szCs w:val="24"/>
        </w:rPr>
        <w:t>MH</w:t>
      </w:r>
      <w:r w:rsidR="00EF6F83" w:rsidRPr="00A624C2">
        <w:rPr>
          <w:rFonts w:ascii="Book Antiqua" w:hAnsi="Book Antiqua"/>
          <w:sz w:val="24"/>
          <w:szCs w:val="24"/>
        </w:rPr>
        <w:t>,</w:t>
      </w:r>
      <w:r w:rsidRPr="00A624C2">
        <w:rPr>
          <w:rFonts w:ascii="Book Antiqua" w:hAnsi="Book Antiqua"/>
          <w:sz w:val="24"/>
          <w:szCs w:val="24"/>
        </w:rPr>
        <w:t xml:space="preserve"> in order</w:t>
      </w:r>
      <w:r w:rsidR="00EF6F83" w:rsidRPr="00A624C2">
        <w:rPr>
          <w:rFonts w:ascii="Book Antiqua" w:hAnsi="Book Antiqua"/>
          <w:sz w:val="24"/>
          <w:szCs w:val="24"/>
        </w:rPr>
        <w:t xml:space="preserve"> to </w:t>
      </w:r>
      <w:r w:rsidR="00261927" w:rsidRPr="00A624C2">
        <w:rPr>
          <w:rFonts w:ascii="Book Antiqua" w:hAnsi="Book Antiqua"/>
          <w:sz w:val="24"/>
          <w:szCs w:val="24"/>
        </w:rPr>
        <w:t xml:space="preserve">individualize </w:t>
      </w:r>
      <w:r w:rsidR="00591D8A" w:rsidRPr="00A624C2">
        <w:rPr>
          <w:rFonts w:ascii="Book Antiqua" w:hAnsi="Book Antiqua"/>
          <w:sz w:val="24"/>
          <w:szCs w:val="24"/>
        </w:rPr>
        <w:t>treatment</w:t>
      </w:r>
      <w:r w:rsidR="00E31F7A" w:rsidRPr="00A624C2">
        <w:rPr>
          <w:rFonts w:ascii="Book Antiqua" w:hAnsi="Book Antiqua"/>
          <w:sz w:val="24"/>
          <w:szCs w:val="24"/>
        </w:rPr>
        <w:t xml:space="preserve"> </w:t>
      </w:r>
      <w:r w:rsidR="008869DD" w:rsidRPr="00A624C2">
        <w:rPr>
          <w:rFonts w:ascii="Book Antiqua" w:hAnsi="Book Antiqua"/>
          <w:sz w:val="24"/>
          <w:szCs w:val="24"/>
        </w:rPr>
        <w:t xml:space="preserve">strategies </w:t>
      </w:r>
      <w:r w:rsidR="00EF6F83" w:rsidRPr="00A624C2">
        <w:rPr>
          <w:rFonts w:ascii="Book Antiqua" w:hAnsi="Book Antiqua"/>
          <w:sz w:val="24"/>
          <w:szCs w:val="24"/>
        </w:rPr>
        <w:t xml:space="preserve">and </w:t>
      </w:r>
      <w:r w:rsidRPr="00A624C2">
        <w:rPr>
          <w:rFonts w:ascii="Book Antiqua" w:hAnsi="Book Antiqua"/>
          <w:sz w:val="24"/>
          <w:szCs w:val="24"/>
        </w:rPr>
        <w:t>facilitate</w:t>
      </w:r>
      <w:r w:rsidR="00E31F7A" w:rsidRPr="00A624C2">
        <w:rPr>
          <w:rFonts w:ascii="Book Antiqua" w:hAnsi="Book Antiqua"/>
          <w:sz w:val="24"/>
          <w:szCs w:val="24"/>
        </w:rPr>
        <w:t xml:space="preserve"> a more</w:t>
      </w:r>
      <w:r w:rsidR="00261927" w:rsidRPr="00A624C2">
        <w:rPr>
          <w:rFonts w:ascii="Book Antiqua" w:hAnsi="Book Antiqua"/>
          <w:sz w:val="24"/>
          <w:szCs w:val="24"/>
        </w:rPr>
        <w:t xml:space="preserve"> </w:t>
      </w:r>
      <w:r w:rsidR="00AB04E4" w:rsidRPr="00A624C2">
        <w:rPr>
          <w:rFonts w:ascii="Book Antiqua" w:hAnsi="Book Antiqua"/>
          <w:sz w:val="24"/>
          <w:szCs w:val="24"/>
        </w:rPr>
        <w:t>personalized medicine</w:t>
      </w:r>
      <w:r w:rsidR="00591D8A" w:rsidRPr="00A624C2">
        <w:rPr>
          <w:rFonts w:ascii="Book Antiqua" w:hAnsi="Book Antiqua"/>
          <w:sz w:val="24"/>
          <w:szCs w:val="24"/>
        </w:rPr>
        <w:t>.</w:t>
      </w:r>
      <w:r w:rsidR="007C1C51" w:rsidRPr="00A624C2">
        <w:rPr>
          <w:rFonts w:ascii="Book Antiqua" w:eastAsia="宋体" w:hAnsi="Book Antiqua"/>
          <w:sz w:val="24"/>
          <w:szCs w:val="24"/>
          <w:lang w:eastAsia="zh-CN"/>
        </w:rPr>
        <w:t xml:space="preserve"> </w:t>
      </w:r>
      <w:r w:rsidR="00EC4642" w:rsidRPr="00A624C2">
        <w:rPr>
          <w:rFonts w:ascii="Book Antiqua" w:hAnsi="Book Antiqua"/>
          <w:sz w:val="24"/>
          <w:szCs w:val="24"/>
        </w:rPr>
        <w:t xml:space="preserve">The aim of this study was to identify predictors of </w:t>
      </w:r>
      <w:r w:rsidR="00F3089F" w:rsidRPr="00A624C2">
        <w:rPr>
          <w:rFonts w:ascii="Book Antiqua" w:hAnsi="Book Antiqua"/>
          <w:sz w:val="24"/>
          <w:szCs w:val="24"/>
        </w:rPr>
        <w:t>MH</w:t>
      </w:r>
      <w:r w:rsidR="00D82D56" w:rsidRPr="00A624C2">
        <w:rPr>
          <w:rFonts w:ascii="Book Antiqua" w:hAnsi="Book Antiqua"/>
          <w:sz w:val="24"/>
          <w:szCs w:val="24"/>
        </w:rPr>
        <w:t xml:space="preserve"> </w:t>
      </w:r>
      <w:r w:rsidR="00EC4642" w:rsidRPr="00A624C2">
        <w:rPr>
          <w:rFonts w:ascii="Book Antiqua" w:hAnsi="Book Antiqua"/>
          <w:sz w:val="24"/>
          <w:szCs w:val="24"/>
        </w:rPr>
        <w:t>a</w:t>
      </w:r>
      <w:r w:rsidR="00626D7E" w:rsidRPr="00A624C2">
        <w:rPr>
          <w:rFonts w:ascii="Book Antiqua" w:hAnsi="Book Antiqua"/>
          <w:sz w:val="24"/>
          <w:szCs w:val="24"/>
        </w:rPr>
        <w:t>fter</w:t>
      </w:r>
      <w:r w:rsidR="00E56D97" w:rsidRPr="00A624C2">
        <w:rPr>
          <w:rFonts w:ascii="Book Antiqua" w:hAnsi="Book Antiqua"/>
          <w:sz w:val="24"/>
          <w:szCs w:val="24"/>
        </w:rPr>
        <w:t xml:space="preserve"> </w:t>
      </w:r>
      <w:r w:rsidR="00EC4642" w:rsidRPr="00A624C2">
        <w:rPr>
          <w:rFonts w:ascii="Book Antiqua" w:hAnsi="Book Antiqua"/>
          <w:sz w:val="24"/>
          <w:szCs w:val="24"/>
        </w:rPr>
        <w:t>one year of</w:t>
      </w:r>
      <w:r w:rsidR="00F77C10" w:rsidRPr="00A624C2">
        <w:rPr>
          <w:rFonts w:ascii="Book Antiqua" w:hAnsi="Book Antiqua"/>
          <w:sz w:val="24"/>
          <w:szCs w:val="24"/>
        </w:rPr>
        <w:t xml:space="preserve"> treatment with </w:t>
      </w:r>
      <w:r w:rsidR="00EC4642" w:rsidRPr="00A624C2">
        <w:rPr>
          <w:rFonts w:ascii="Book Antiqua" w:hAnsi="Book Antiqua"/>
          <w:sz w:val="24"/>
          <w:szCs w:val="24"/>
        </w:rPr>
        <w:t>TNF</w:t>
      </w:r>
      <w:r w:rsidR="00F77C10" w:rsidRPr="00A624C2">
        <w:rPr>
          <w:rFonts w:ascii="Book Antiqua" w:hAnsi="Book Antiqua"/>
          <w:sz w:val="24"/>
          <w:szCs w:val="24"/>
        </w:rPr>
        <w:t>-α inhibitors</w:t>
      </w:r>
      <w:r w:rsidR="00EC4642" w:rsidRPr="00A624C2">
        <w:rPr>
          <w:rFonts w:ascii="Book Antiqua" w:hAnsi="Book Antiqua"/>
          <w:sz w:val="24"/>
          <w:szCs w:val="24"/>
        </w:rPr>
        <w:t>.</w:t>
      </w:r>
    </w:p>
    <w:p w14:paraId="2310623A" w14:textId="77777777" w:rsidR="006121F8" w:rsidRPr="00A624C2" w:rsidRDefault="006121F8" w:rsidP="0028587F">
      <w:pPr>
        <w:spacing w:after="0" w:line="360" w:lineRule="auto"/>
        <w:jc w:val="both"/>
        <w:rPr>
          <w:rFonts w:ascii="Book Antiqua" w:eastAsia="宋体" w:hAnsi="Book Antiqua"/>
          <w:b/>
          <w:sz w:val="24"/>
          <w:szCs w:val="24"/>
          <w:lang w:eastAsia="zh-CN"/>
        </w:rPr>
      </w:pPr>
    </w:p>
    <w:p w14:paraId="7F19F15E" w14:textId="77777777" w:rsidR="007C1C51" w:rsidRPr="00A624C2" w:rsidRDefault="007C1C51" w:rsidP="007C1C51">
      <w:pPr>
        <w:spacing w:after="0" w:line="360" w:lineRule="auto"/>
        <w:jc w:val="both"/>
        <w:rPr>
          <w:rFonts w:ascii="Book Antiqua" w:hAnsi="Book Antiqua" w:cs="Arial"/>
          <w:b/>
          <w:sz w:val="24"/>
          <w:szCs w:val="24"/>
        </w:rPr>
      </w:pPr>
      <w:r w:rsidRPr="00A624C2">
        <w:rPr>
          <w:rFonts w:ascii="Book Antiqua" w:hAnsi="Book Antiqua" w:cs="Arial"/>
          <w:b/>
          <w:sz w:val="24"/>
          <w:szCs w:val="24"/>
        </w:rPr>
        <w:t>MATERIALS AND METHODS</w:t>
      </w:r>
    </w:p>
    <w:p w14:paraId="1EEB2207" w14:textId="77777777" w:rsidR="009C0F49" w:rsidRPr="00A624C2" w:rsidRDefault="00914D76" w:rsidP="0028587F">
      <w:pPr>
        <w:spacing w:after="0" w:line="360" w:lineRule="auto"/>
        <w:jc w:val="both"/>
        <w:rPr>
          <w:rFonts w:ascii="Book Antiqua" w:hAnsi="Book Antiqua"/>
          <w:b/>
          <w:i/>
          <w:sz w:val="24"/>
          <w:szCs w:val="24"/>
        </w:rPr>
      </w:pPr>
      <w:r w:rsidRPr="00A624C2">
        <w:rPr>
          <w:rFonts w:ascii="Book Antiqua" w:hAnsi="Book Antiqua"/>
          <w:b/>
          <w:i/>
          <w:sz w:val="24"/>
          <w:szCs w:val="24"/>
        </w:rPr>
        <w:t>Study design and patients</w:t>
      </w:r>
    </w:p>
    <w:p w14:paraId="3D8531EC" w14:textId="745947CA" w:rsidR="00265582" w:rsidRPr="00A624C2" w:rsidRDefault="00A30C55" w:rsidP="0028587F">
      <w:pPr>
        <w:spacing w:after="0" w:line="360" w:lineRule="auto"/>
        <w:jc w:val="both"/>
        <w:rPr>
          <w:rFonts w:ascii="Book Antiqua" w:hAnsi="Book Antiqua"/>
          <w:sz w:val="24"/>
          <w:szCs w:val="24"/>
        </w:rPr>
      </w:pPr>
      <w:r w:rsidRPr="00A624C2">
        <w:rPr>
          <w:rFonts w:ascii="Book Antiqua" w:hAnsi="Book Antiqua"/>
          <w:sz w:val="24"/>
          <w:szCs w:val="24"/>
        </w:rPr>
        <w:t xml:space="preserve">This is a prospective observational </w:t>
      </w:r>
      <w:r w:rsidR="002655B4" w:rsidRPr="00A624C2">
        <w:rPr>
          <w:rFonts w:ascii="Book Antiqua" w:hAnsi="Book Antiqua"/>
          <w:sz w:val="24"/>
          <w:szCs w:val="24"/>
        </w:rPr>
        <w:t xml:space="preserve">single </w:t>
      </w:r>
      <w:r w:rsidRPr="00A624C2">
        <w:rPr>
          <w:rFonts w:ascii="Book Antiqua" w:hAnsi="Book Antiqua"/>
          <w:sz w:val="24"/>
          <w:szCs w:val="24"/>
        </w:rPr>
        <w:t xml:space="preserve">center </w:t>
      </w:r>
      <w:r w:rsidR="00914D76" w:rsidRPr="00A624C2">
        <w:rPr>
          <w:rFonts w:ascii="Book Antiqua" w:hAnsi="Book Antiqua"/>
          <w:sz w:val="24"/>
          <w:szCs w:val="24"/>
        </w:rPr>
        <w:t>study</w:t>
      </w:r>
      <w:r w:rsidR="002655B4" w:rsidRPr="00A624C2">
        <w:rPr>
          <w:rFonts w:ascii="Book Antiqua" w:hAnsi="Book Antiqua"/>
          <w:sz w:val="24"/>
          <w:szCs w:val="24"/>
        </w:rPr>
        <w:t>.</w:t>
      </w:r>
      <w:r w:rsidRPr="00A624C2">
        <w:rPr>
          <w:rFonts w:ascii="Book Antiqua" w:hAnsi="Book Antiqua"/>
          <w:sz w:val="24"/>
          <w:szCs w:val="24"/>
        </w:rPr>
        <w:t xml:space="preserve"> </w:t>
      </w:r>
      <w:r w:rsidR="002655B4" w:rsidRPr="00A624C2">
        <w:rPr>
          <w:rFonts w:ascii="Book Antiqua" w:hAnsi="Book Antiqua"/>
          <w:sz w:val="24"/>
          <w:szCs w:val="24"/>
        </w:rPr>
        <w:t>R</w:t>
      </w:r>
      <w:r w:rsidRPr="00A624C2">
        <w:rPr>
          <w:rFonts w:ascii="Book Antiqua" w:hAnsi="Book Antiqua"/>
          <w:sz w:val="24"/>
          <w:szCs w:val="24"/>
        </w:rPr>
        <w:t xml:space="preserve">ecruitment of patients was performed from November 2012 </w:t>
      </w:r>
      <w:r w:rsidR="002655B4" w:rsidRPr="00A624C2">
        <w:rPr>
          <w:rFonts w:ascii="Book Antiqua" w:hAnsi="Book Antiqua"/>
          <w:sz w:val="24"/>
          <w:szCs w:val="24"/>
        </w:rPr>
        <w:t xml:space="preserve">until </w:t>
      </w:r>
      <w:r w:rsidRPr="00A624C2">
        <w:rPr>
          <w:rFonts w:ascii="Book Antiqua" w:hAnsi="Book Antiqua"/>
          <w:sz w:val="24"/>
          <w:szCs w:val="24"/>
        </w:rPr>
        <w:t xml:space="preserve">May 2016. The study was approved by the </w:t>
      </w:r>
      <w:r w:rsidRPr="00A624C2">
        <w:rPr>
          <w:rFonts w:ascii="Book Antiqua" w:hAnsi="Book Antiqua"/>
          <w:sz w:val="24"/>
          <w:szCs w:val="24"/>
        </w:rPr>
        <w:lastRenderedPageBreak/>
        <w:t xml:space="preserve">local ethics committee </w:t>
      </w:r>
      <w:r w:rsidR="00327DBC" w:rsidRPr="00A624C2">
        <w:rPr>
          <w:rFonts w:ascii="Book Antiqua" w:hAnsi="Book Antiqua"/>
          <w:sz w:val="24"/>
          <w:szCs w:val="24"/>
        </w:rPr>
        <w:t>of Hospital Cl</w:t>
      </w:r>
      <w:r w:rsidR="00B9504D" w:rsidRPr="00A624C2">
        <w:rPr>
          <w:rFonts w:ascii="Book Antiqua" w:hAnsi="Book Antiqua"/>
          <w:sz w:val="24"/>
          <w:szCs w:val="24"/>
        </w:rPr>
        <w:t>i</w:t>
      </w:r>
      <w:r w:rsidR="00327DBC" w:rsidRPr="00A624C2">
        <w:rPr>
          <w:rFonts w:ascii="Book Antiqua" w:hAnsi="Book Antiqua"/>
          <w:sz w:val="24"/>
          <w:szCs w:val="24"/>
        </w:rPr>
        <w:t xml:space="preserve">nic de Barcelona </w:t>
      </w:r>
      <w:r w:rsidR="00DB6F9D" w:rsidRPr="00A624C2">
        <w:rPr>
          <w:rFonts w:ascii="Book Antiqua" w:hAnsi="Book Antiqua"/>
          <w:sz w:val="24"/>
          <w:szCs w:val="24"/>
        </w:rPr>
        <w:t>o</w:t>
      </w:r>
      <w:r w:rsidR="00327DBC" w:rsidRPr="00A624C2">
        <w:rPr>
          <w:rFonts w:ascii="Book Antiqua" w:hAnsi="Book Antiqua"/>
          <w:sz w:val="24"/>
          <w:szCs w:val="24"/>
        </w:rPr>
        <w:t xml:space="preserve">n </w:t>
      </w:r>
      <w:r w:rsidR="00DB6F9D" w:rsidRPr="00A624C2">
        <w:rPr>
          <w:rFonts w:ascii="Book Antiqua" w:hAnsi="Book Antiqua"/>
          <w:sz w:val="24"/>
          <w:szCs w:val="24"/>
        </w:rPr>
        <w:t>November 22 of 2012</w:t>
      </w:r>
      <w:r w:rsidR="00327DBC" w:rsidRPr="00A624C2">
        <w:rPr>
          <w:rFonts w:ascii="Book Antiqua" w:hAnsi="Book Antiqua"/>
          <w:sz w:val="24"/>
          <w:szCs w:val="24"/>
        </w:rPr>
        <w:t xml:space="preserve">, </w:t>
      </w:r>
      <w:r w:rsidRPr="00A624C2">
        <w:rPr>
          <w:rFonts w:ascii="Book Antiqua" w:hAnsi="Book Antiqua"/>
          <w:sz w:val="24"/>
          <w:szCs w:val="24"/>
        </w:rPr>
        <w:t xml:space="preserve">and </w:t>
      </w:r>
      <w:r w:rsidR="00575E20" w:rsidRPr="00A624C2">
        <w:rPr>
          <w:rFonts w:ascii="Book Antiqua" w:hAnsi="Book Antiqua"/>
          <w:sz w:val="24"/>
          <w:szCs w:val="24"/>
        </w:rPr>
        <w:t xml:space="preserve">was </w:t>
      </w:r>
      <w:r w:rsidR="002655B4" w:rsidRPr="00A624C2">
        <w:rPr>
          <w:rFonts w:ascii="Book Antiqua" w:hAnsi="Book Antiqua"/>
          <w:sz w:val="24"/>
          <w:szCs w:val="24"/>
        </w:rPr>
        <w:t>performed according to the good clinical practice guidelines of</w:t>
      </w:r>
      <w:r w:rsidR="00575E20" w:rsidRPr="00A624C2">
        <w:rPr>
          <w:rFonts w:ascii="Book Antiqua" w:hAnsi="Book Antiqua"/>
          <w:sz w:val="24"/>
          <w:szCs w:val="24"/>
        </w:rPr>
        <w:t xml:space="preserve"> the</w:t>
      </w:r>
      <w:r w:rsidR="002655B4" w:rsidRPr="00A624C2">
        <w:rPr>
          <w:rFonts w:ascii="Book Antiqua" w:hAnsi="Book Antiqua"/>
          <w:sz w:val="24"/>
          <w:szCs w:val="24"/>
        </w:rPr>
        <w:t xml:space="preserve"> European Medicines Agency (CMPM/ICH/135/95, July 2002). All </w:t>
      </w:r>
      <w:r w:rsidRPr="00A624C2">
        <w:rPr>
          <w:rFonts w:ascii="Book Antiqua" w:hAnsi="Book Antiqua"/>
          <w:sz w:val="24"/>
          <w:szCs w:val="24"/>
        </w:rPr>
        <w:t>patients provided written informed consent</w:t>
      </w:r>
      <w:r w:rsidR="002655B4" w:rsidRPr="00A624C2">
        <w:rPr>
          <w:rFonts w:ascii="Book Antiqua" w:hAnsi="Book Antiqua"/>
          <w:sz w:val="24"/>
          <w:szCs w:val="24"/>
        </w:rPr>
        <w:t xml:space="preserve"> before inclusion</w:t>
      </w:r>
      <w:r w:rsidRPr="00A624C2">
        <w:rPr>
          <w:rFonts w:ascii="Book Antiqua" w:hAnsi="Book Antiqua"/>
          <w:sz w:val="24"/>
          <w:szCs w:val="24"/>
        </w:rPr>
        <w:t xml:space="preserve">. </w:t>
      </w:r>
      <w:r w:rsidR="00ED2776" w:rsidRPr="00A624C2">
        <w:rPr>
          <w:rFonts w:ascii="Book Antiqua" w:hAnsi="Book Antiqua"/>
          <w:sz w:val="24"/>
          <w:szCs w:val="24"/>
        </w:rPr>
        <w:t>Eligibility criteria were</w:t>
      </w:r>
      <w:r w:rsidRPr="00A624C2">
        <w:rPr>
          <w:rFonts w:ascii="Book Antiqua" w:hAnsi="Book Antiqua"/>
          <w:sz w:val="24"/>
          <w:szCs w:val="24"/>
        </w:rPr>
        <w:t xml:space="preserve"> </w:t>
      </w:r>
      <w:r w:rsidR="00225972" w:rsidRPr="00A624C2">
        <w:rPr>
          <w:rFonts w:ascii="Book Antiqua" w:hAnsi="Book Antiqua"/>
          <w:sz w:val="24"/>
          <w:szCs w:val="24"/>
        </w:rPr>
        <w:t xml:space="preserve">patients </w:t>
      </w:r>
      <w:r w:rsidR="00514058" w:rsidRPr="00A624C2">
        <w:rPr>
          <w:rFonts w:ascii="Book Antiqua" w:hAnsi="Book Antiqua"/>
          <w:sz w:val="24"/>
          <w:szCs w:val="24"/>
        </w:rPr>
        <w:t>with clinically active luminal CD</w:t>
      </w:r>
      <w:r w:rsidR="00765F6E" w:rsidRPr="00A624C2">
        <w:rPr>
          <w:rFonts w:ascii="Book Antiqua" w:hAnsi="Book Antiqua"/>
          <w:sz w:val="24"/>
          <w:szCs w:val="24"/>
        </w:rPr>
        <w:t xml:space="preserve"> requiring treatment with an anti-TNF for induction of remission</w:t>
      </w:r>
      <w:r w:rsidR="004C0CEA" w:rsidRPr="00A624C2">
        <w:rPr>
          <w:rFonts w:ascii="Book Antiqua" w:hAnsi="Book Antiqua"/>
          <w:sz w:val="24"/>
          <w:szCs w:val="24"/>
        </w:rPr>
        <w:t>. At baseline, all patients underwent a colonoscopy for assessment of endoscopic disease activity.</w:t>
      </w:r>
      <w:r w:rsidR="00514058" w:rsidRPr="00A624C2">
        <w:rPr>
          <w:rFonts w:ascii="Book Antiqua" w:hAnsi="Book Antiqua"/>
          <w:sz w:val="24"/>
          <w:szCs w:val="24"/>
        </w:rPr>
        <w:t xml:space="preserve"> </w:t>
      </w:r>
      <w:r w:rsidR="004C0CEA" w:rsidRPr="00A624C2">
        <w:rPr>
          <w:rFonts w:ascii="Book Antiqua" w:hAnsi="Book Antiqua"/>
          <w:sz w:val="24"/>
          <w:szCs w:val="24"/>
        </w:rPr>
        <w:t>A</w:t>
      </w:r>
      <w:r w:rsidR="00514058" w:rsidRPr="00A624C2">
        <w:rPr>
          <w:rFonts w:ascii="Book Antiqua" w:hAnsi="Book Antiqua"/>
          <w:sz w:val="24"/>
          <w:szCs w:val="24"/>
        </w:rPr>
        <w:t xml:space="preserve"> baseline segmental </w:t>
      </w:r>
      <w:r w:rsidR="00617F6A" w:rsidRPr="00A624C2">
        <w:rPr>
          <w:rFonts w:ascii="Book Antiqua" w:eastAsia="宋体" w:hAnsi="Book Antiqua" w:cs="AdvTT08640291"/>
          <w:sz w:val="24"/>
          <w:szCs w:val="24"/>
          <w:lang w:eastAsia="zh-CN"/>
        </w:rPr>
        <w:t>CD</w:t>
      </w:r>
      <w:r w:rsidR="00514058" w:rsidRPr="00A624C2">
        <w:rPr>
          <w:rFonts w:ascii="Book Antiqua" w:hAnsi="Book Antiqua" w:cs="AdvTT08640291"/>
          <w:sz w:val="24"/>
          <w:szCs w:val="24"/>
        </w:rPr>
        <w:t xml:space="preserve"> Endoscopic Index of Severity (CDEIS) </w:t>
      </w:r>
      <w:r w:rsidR="00FE4AE9" w:rsidRPr="00A624C2">
        <w:rPr>
          <w:rFonts w:ascii="Book Antiqua" w:hAnsi="Book Antiqua" w:cs="AdvTT08640291"/>
          <w:sz w:val="24"/>
          <w:szCs w:val="24"/>
        </w:rPr>
        <w:t>≥</w:t>
      </w:r>
      <w:r w:rsidR="00FE4AE9" w:rsidRPr="00A624C2">
        <w:rPr>
          <w:rFonts w:ascii="Book Antiqua" w:eastAsia="宋体" w:hAnsi="Book Antiqua" w:cs="AdvTT08640291"/>
          <w:sz w:val="24"/>
          <w:szCs w:val="24"/>
          <w:lang w:eastAsia="zh-CN"/>
        </w:rPr>
        <w:t xml:space="preserve"> </w:t>
      </w:r>
      <w:r w:rsidR="00514058" w:rsidRPr="00A624C2">
        <w:rPr>
          <w:rFonts w:ascii="Book Antiqua" w:hAnsi="Book Antiqua"/>
          <w:sz w:val="24"/>
          <w:szCs w:val="24"/>
        </w:rPr>
        <w:t>10 in at least one segment</w:t>
      </w:r>
      <w:r w:rsidR="00575E20" w:rsidRPr="00A624C2">
        <w:rPr>
          <w:rFonts w:ascii="Book Antiqua" w:hAnsi="Book Antiqua"/>
          <w:sz w:val="24"/>
          <w:szCs w:val="24"/>
        </w:rPr>
        <w:t xml:space="preserve">, </w:t>
      </w:r>
      <w:r w:rsidR="00514058" w:rsidRPr="00A624C2">
        <w:rPr>
          <w:rFonts w:ascii="Book Antiqua" w:hAnsi="Book Antiqua"/>
          <w:sz w:val="24"/>
          <w:szCs w:val="24"/>
        </w:rPr>
        <w:t>or</w:t>
      </w:r>
      <w:r w:rsidR="00575E20" w:rsidRPr="00A624C2">
        <w:rPr>
          <w:rFonts w:ascii="Book Antiqua" w:hAnsi="Book Antiqua"/>
          <w:sz w:val="24"/>
          <w:szCs w:val="24"/>
        </w:rPr>
        <w:t xml:space="preserve"> the</w:t>
      </w:r>
      <w:r w:rsidR="00514058" w:rsidRPr="00A624C2">
        <w:rPr>
          <w:rFonts w:ascii="Book Antiqua" w:hAnsi="Book Antiqua"/>
          <w:sz w:val="24"/>
          <w:szCs w:val="24"/>
        </w:rPr>
        <w:t xml:space="preserve"> </w:t>
      </w:r>
      <w:r w:rsidR="00111853" w:rsidRPr="00A624C2">
        <w:rPr>
          <w:rFonts w:ascii="Book Antiqua" w:hAnsi="Book Antiqua"/>
          <w:sz w:val="24"/>
          <w:szCs w:val="24"/>
        </w:rPr>
        <w:t>presences of ulcerations</w:t>
      </w:r>
      <w:r w:rsidR="00575E20" w:rsidRPr="00A624C2">
        <w:rPr>
          <w:rFonts w:ascii="Book Antiqua" w:hAnsi="Book Antiqua"/>
          <w:sz w:val="24"/>
          <w:szCs w:val="24"/>
        </w:rPr>
        <w:t>,</w:t>
      </w:r>
      <w:r w:rsidR="00111853" w:rsidRPr="00A624C2">
        <w:rPr>
          <w:rFonts w:ascii="Book Antiqua" w:hAnsi="Book Antiqua"/>
          <w:sz w:val="24"/>
          <w:szCs w:val="24"/>
        </w:rPr>
        <w:t xml:space="preserve"> w</w:t>
      </w:r>
      <w:r w:rsidR="00575E20" w:rsidRPr="00A624C2">
        <w:rPr>
          <w:rFonts w:ascii="Book Antiqua" w:hAnsi="Book Antiqua"/>
          <w:sz w:val="24"/>
          <w:szCs w:val="24"/>
        </w:rPr>
        <w:t xml:space="preserve">as </w:t>
      </w:r>
      <w:r w:rsidR="004C0CEA" w:rsidRPr="00A624C2">
        <w:rPr>
          <w:rFonts w:ascii="Book Antiqua" w:hAnsi="Book Antiqua"/>
          <w:sz w:val="24"/>
          <w:szCs w:val="24"/>
        </w:rPr>
        <w:t>required for inclusion</w:t>
      </w:r>
      <w:r w:rsidR="00F64ED0" w:rsidRPr="00A624C2">
        <w:rPr>
          <w:rFonts w:ascii="Book Antiqua" w:hAnsi="Book Antiqua"/>
          <w:sz w:val="24"/>
          <w:szCs w:val="24"/>
        </w:rPr>
        <w:t>. Exclusion criteria were</w:t>
      </w:r>
      <w:r w:rsidR="00EB3DD7" w:rsidRPr="00A624C2">
        <w:rPr>
          <w:rFonts w:ascii="Book Antiqua" w:hAnsi="Book Antiqua"/>
          <w:sz w:val="24"/>
          <w:szCs w:val="24"/>
        </w:rPr>
        <w:t xml:space="preserve"> formal contraindication for anti-TNF therapy,</w:t>
      </w:r>
      <w:r w:rsidR="00F64ED0" w:rsidRPr="00A624C2">
        <w:rPr>
          <w:rFonts w:ascii="Book Antiqua" w:hAnsi="Book Antiqua"/>
          <w:sz w:val="24"/>
          <w:szCs w:val="24"/>
        </w:rPr>
        <w:t xml:space="preserve"> </w:t>
      </w:r>
      <w:r w:rsidR="003376A2" w:rsidRPr="00A624C2">
        <w:rPr>
          <w:rFonts w:ascii="Book Antiqua" w:hAnsi="Book Antiqua"/>
          <w:sz w:val="24"/>
          <w:szCs w:val="24"/>
        </w:rPr>
        <w:t xml:space="preserve">intolerance or contraindication </w:t>
      </w:r>
      <w:r w:rsidR="00575E20" w:rsidRPr="00A624C2">
        <w:rPr>
          <w:rFonts w:ascii="Book Antiqua" w:hAnsi="Book Antiqua"/>
          <w:sz w:val="24"/>
          <w:szCs w:val="24"/>
        </w:rPr>
        <w:t xml:space="preserve">for </w:t>
      </w:r>
      <w:r w:rsidR="003376A2" w:rsidRPr="00A624C2">
        <w:rPr>
          <w:rFonts w:ascii="Book Antiqua" w:hAnsi="Book Antiqua"/>
          <w:sz w:val="24"/>
          <w:szCs w:val="24"/>
        </w:rPr>
        <w:t>undergo</w:t>
      </w:r>
      <w:r w:rsidR="00575E20" w:rsidRPr="00A624C2">
        <w:rPr>
          <w:rFonts w:ascii="Book Antiqua" w:hAnsi="Book Antiqua"/>
          <w:sz w:val="24"/>
          <w:szCs w:val="24"/>
        </w:rPr>
        <w:t>ing</w:t>
      </w:r>
      <w:r w:rsidR="003376A2" w:rsidRPr="00A624C2">
        <w:rPr>
          <w:rFonts w:ascii="Book Antiqua" w:hAnsi="Book Antiqua"/>
          <w:sz w:val="24"/>
          <w:szCs w:val="24"/>
        </w:rPr>
        <w:t xml:space="preserve"> an </w:t>
      </w:r>
      <w:r w:rsidR="00E54D25" w:rsidRPr="00A624C2">
        <w:rPr>
          <w:rFonts w:ascii="Book Antiqua" w:hAnsi="Book Antiqua"/>
          <w:sz w:val="24"/>
          <w:szCs w:val="24"/>
        </w:rPr>
        <w:t>ileocolonoscopy</w:t>
      </w:r>
      <w:r w:rsidR="003376A2" w:rsidRPr="00A624C2">
        <w:rPr>
          <w:rFonts w:ascii="Book Antiqua" w:hAnsi="Book Antiqua"/>
          <w:sz w:val="24"/>
          <w:szCs w:val="24"/>
        </w:rPr>
        <w:t>,</w:t>
      </w:r>
      <w:r w:rsidR="00EB3DD7" w:rsidRPr="00A624C2">
        <w:rPr>
          <w:rFonts w:ascii="Book Antiqua" w:hAnsi="Book Antiqua"/>
          <w:sz w:val="24"/>
          <w:szCs w:val="24"/>
        </w:rPr>
        <w:t xml:space="preserve"> </w:t>
      </w:r>
      <w:r w:rsidR="00514058" w:rsidRPr="00A624C2">
        <w:rPr>
          <w:rFonts w:ascii="Book Antiqua" w:hAnsi="Book Antiqua"/>
          <w:sz w:val="24"/>
          <w:szCs w:val="24"/>
        </w:rPr>
        <w:t xml:space="preserve">absence of </w:t>
      </w:r>
      <w:r w:rsidR="00EB3DD7" w:rsidRPr="00A624C2">
        <w:rPr>
          <w:rFonts w:ascii="Book Antiqua" w:hAnsi="Book Antiqua"/>
          <w:sz w:val="24"/>
          <w:szCs w:val="24"/>
        </w:rPr>
        <w:t>endoscopic activity</w:t>
      </w:r>
      <w:r w:rsidR="003376A2" w:rsidRPr="00A624C2">
        <w:rPr>
          <w:rFonts w:ascii="Book Antiqua" w:hAnsi="Book Antiqua"/>
          <w:sz w:val="24"/>
          <w:szCs w:val="24"/>
        </w:rPr>
        <w:t xml:space="preserve"> </w:t>
      </w:r>
      <w:r w:rsidR="00452F51" w:rsidRPr="00A624C2">
        <w:rPr>
          <w:rFonts w:ascii="Book Antiqua" w:hAnsi="Book Antiqua"/>
          <w:sz w:val="24"/>
          <w:szCs w:val="24"/>
        </w:rPr>
        <w:t xml:space="preserve">as described above </w:t>
      </w:r>
      <w:r w:rsidR="003376A2" w:rsidRPr="00A624C2">
        <w:rPr>
          <w:rFonts w:ascii="Book Antiqua" w:hAnsi="Book Antiqua"/>
          <w:sz w:val="24"/>
          <w:szCs w:val="24"/>
        </w:rPr>
        <w:t>or</w:t>
      </w:r>
      <w:r w:rsidR="00575E20" w:rsidRPr="00A624C2">
        <w:rPr>
          <w:rFonts w:ascii="Book Antiqua" w:hAnsi="Book Antiqua"/>
          <w:sz w:val="24"/>
          <w:szCs w:val="24"/>
        </w:rPr>
        <w:t xml:space="preserve"> a</w:t>
      </w:r>
      <w:r w:rsidR="003376A2" w:rsidRPr="00A624C2">
        <w:rPr>
          <w:rFonts w:ascii="Book Antiqua" w:hAnsi="Book Antiqua"/>
          <w:sz w:val="24"/>
          <w:szCs w:val="24"/>
        </w:rPr>
        <w:t xml:space="preserve"> patient</w:t>
      </w:r>
      <w:r w:rsidR="00EB3DD7" w:rsidRPr="00A624C2">
        <w:rPr>
          <w:rFonts w:ascii="Book Antiqua" w:hAnsi="Book Antiqua"/>
          <w:sz w:val="24"/>
          <w:szCs w:val="24"/>
        </w:rPr>
        <w:t>’s</w:t>
      </w:r>
      <w:r w:rsidR="003376A2" w:rsidRPr="00A624C2">
        <w:rPr>
          <w:rFonts w:ascii="Book Antiqua" w:hAnsi="Book Antiqua"/>
          <w:sz w:val="24"/>
          <w:szCs w:val="24"/>
        </w:rPr>
        <w:t xml:space="preserve"> </w:t>
      </w:r>
      <w:r w:rsidR="0032756D" w:rsidRPr="00A624C2">
        <w:rPr>
          <w:rFonts w:ascii="Book Antiqua" w:hAnsi="Book Antiqua"/>
          <w:sz w:val="24"/>
          <w:szCs w:val="24"/>
        </w:rPr>
        <w:t xml:space="preserve">refusal </w:t>
      </w:r>
      <w:r w:rsidR="003376A2" w:rsidRPr="00A624C2">
        <w:rPr>
          <w:rFonts w:ascii="Book Antiqua" w:hAnsi="Book Antiqua"/>
          <w:sz w:val="24"/>
          <w:szCs w:val="24"/>
        </w:rPr>
        <w:t>to participate.</w:t>
      </w:r>
    </w:p>
    <w:p w14:paraId="39D8FA3C" w14:textId="77777777" w:rsidR="007F61B4" w:rsidRPr="00A624C2" w:rsidRDefault="007F61B4" w:rsidP="0028587F">
      <w:pPr>
        <w:spacing w:after="0" w:line="360" w:lineRule="auto"/>
        <w:jc w:val="both"/>
        <w:rPr>
          <w:rFonts w:ascii="Book Antiqua" w:hAnsi="Book Antiqua"/>
          <w:b/>
          <w:sz w:val="24"/>
          <w:szCs w:val="24"/>
        </w:rPr>
      </w:pPr>
    </w:p>
    <w:p w14:paraId="54049EEC" w14:textId="77777777" w:rsidR="00932743" w:rsidRPr="00A624C2" w:rsidRDefault="00932743" w:rsidP="0028587F">
      <w:pPr>
        <w:spacing w:after="0" w:line="360" w:lineRule="auto"/>
        <w:jc w:val="both"/>
        <w:rPr>
          <w:rFonts w:ascii="Book Antiqua" w:hAnsi="Book Antiqua"/>
          <w:b/>
          <w:i/>
          <w:sz w:val="24"/>
          <w:szCs w:val="24"/>
        </w:rPr>
      </w:pPr>
      <w:r w:rsidRPr="00A624C2">
        <w:rPr>
          <w:rFonts w:ascii="Book Antiqua" w:hAnsi="Book Antiqua"/>
          <w:b/>
          <w:i/>
          <w:sz w:val="24"/>
          <w:szCs w:val="24"/>
        </w:rPr>
        <w:t>Anti-TNF treatment</w:t>
      </w:r>
    </w:p>
    <w:p w14:paraId="50519661" w14:textId="77777777" w:rsidR="003608C2" w:rsidRPr="00A624C2" w:rsidRDefault="00800E83" w:rsidP="0028587F">
      <w:pPr>
        <w:autoSpaceDE w:val="0"/>
        <w:autoSpaceDN w:val="0"/>
        <w:adjustRightInd w:val="0"/>
        <w:spacing w:after="0" w:line="360" w:lineRule="auto"/>
        <w:jc w:val="both"/>
        <w:rPr>
          <w:rFonts w:ascii="Book Antiqua" w:hAnsi="Book Antiqua" w:cs="AdvOT4b47d116"/>
          <w:color w:val="231F20"/>
          <w:sz w:val="24"/>
          <w:szCs w:val="24"/>
        </w:rPr>
      </w:pPr>
      <w:r w:rsidRPr="00A624C2">
        <w:rPr>
          <w:rFonts w:ascii="Book Antiqua" w:hAnsi="Book Antiqua" w:cs="AdvOT4b47d116"/>
          <w:color w:val="231F20"/>
          <w:sz w:val="24"/>
          <w:szCs w:val="24"/>
        </w:rPr>
        <w:t xml:space="preserve">The </w:t>
      </w:r>
      <w:r w:rsidR="00932743" w:rsidRPr="00A624C2">
        <w:rPr>
          <w:rFonts w:ascii="Book Antiqua" w:hAnsi="Book Antiqua" w:cs="AdvOT4b47d116"/>
          <w:color w:val="231F20"/>
          <w:sz w:val="24"/>
          <w:szCs w:val="24"/>
        </w:rPr>
        <w:t xml:space="preserve">induction therapy </w:t>
      </w:r>
      <w:r w:rsidR="009D76EF" w:rsidRPr="00A624C2">
        <w:rPr>
          <w:rFonts w:ascii="Book Antiqua" w:hAnsi="Book Antiqua" w:cs="AdvOT4b47d116"/>
          <w:color w:val="231F20"/>
          <w:sz w:val="24"/>
          <w:szCs w:val="24"/>
        </w:rPr>
        <w:t xml:space="preserve">for </w:t>
      </w:r>
      <w:r w:rsidR="00381B34" w:rsidRPr="00A624C2">
        <w:rPr>
          <w:rFonts w:ascii="Book Antiqua" w:hAnsi="Book Antiqua" w:cs="AdvOT4b47d116"/>
          <w:color w:val="231F20"/>
          <w:sz w:val="24"/>
          <w:szCs w:val="24"/>
        </w:rPr>
        <w:t xml:space="preserve">infliximab </w:t>
      </w:r>
      <w:r w:rsidRPr="00A624C2">
        <w:rPr>
          <w:rFonts w:ascii="Book Antiqua" w:hAnsi="Book Antiqua" w:cs="AdvOT4b47d116"/>
          <w:color w:val="231F20"/>
          <w:sz w:val="24"/>
          <w:szCs w:val="24"/>
        </w:rPr>
        <w:t>was</w:t>
      </w:r>
      <w:r w:rsidR="009D76EF" w:rsidRPr="00A624C2">
        <w:rPr>
          <w:rFonts w:ascii="Book Antiqua" w:hAnsi="Book Antiqua" w:cs="AdvOT4b47d116"/>
          <w:color w:val="231F20"/>
          <w:sz w:val="24"/>
          <w:szCs w:val="24"/>
        </w:rPr>
        <w:t xml:space="preserve"> 5 mg/kg at weeks 0, 2 and 6</w:t>
      </w:r>
      <w:r w:rsidRPr="00A624C2">
        <w:rPr>
          <w:rFonts w:ascii="Book Antiqua" w:hAnsi="Book Antiqua" w:cs="AdvOT4b47d116"/>
          <w:color w:val="231F20"/>
          <w:sz w:val="24"/>
          <w:szCs w:val="24"/>
        </w:rPr>
        <w:t>; for adalimumab 160</w:t>
      </w:r>
      <w:r w:rsidR="003F660D" w:rsidRPr="00A624C2">
        <w:rPr>
          <w:rFonts w:ascii="Book Antiqua" w:hAnsi="Book Antiqua" w:cs="AdvOT4b47d116"/>
          <w:color w:val="231F20"/>
          <w:sz w:val="24"/>
          <w:szCs w:val="24"/>
        </w:rPr>
        <w:t xml:space="preserve"> </w:t>
      </w:r>
      <w:r w:rsidRPr="00A624C2">
        <w:rPr>
          <w:rFonts w:ascii="Book Antiqua" w:hAnsi="Book Antiqua" w:cs="AdvOT4b47d116"/>
          <w:color w:val="231F20"/>
          <w:sz w:val="24"/>
          <w:szCs w:val="24"/>
        </w:rPr>
        <w:t>mg and 80 mg at weeks 0 and 2</w:t>
      </w:r>
      <w:r w:rsidR="00111853" w:rsidRPr="00A624C2">
        <w:rPr>
          <w:rFonts w:ascii="Book Antiqua" w:hAnsi="Book Antiqua" w:cs="AdvOT4b47d116"/>
          <w:color w:val="231F20"/>
          <w:sz w:val="24"/>
          <w:szCs w:val="24"/>
        </w:rPr>
        <w:t>,</w:t>
      </w:r>
      <w:r w:rsidRPr="00A624C2">
        <w:rPr>
          <w:rFonts w:ascii="Book Antiqua" w:hAnsi="Book Antiqua" w:cs="AdvOT4b47d116"/>
          <w:color w:val="231F20"/>
          <w:sz w:val="24"/>
          <w:szCs w:val="24"/>
        </w:rPr>
        <w:t xml:space="preserve"> respectively</w:t>
      </w:r>
      <w:r w:rsidR="00932743" w:rsidRPr="00A624C2">
        <w:rPr>
          <w:rFonts w:ascii="Book Antiqua" w:hAnsi="Book Antiqua" w:cs="AdvOT4b47d116"/>
          <w:color w:val="231F20"/>
          <w:sz w:val="24"/>
          <w:szCs w:val="24"/>
        </w:rPr>
        <w:t xml:space="preserve">, followed by 40 mg every other week. </w:t>
      </w:r>
      <w:r w:rsidR="00111853" w:rsidRPr="00A624C2">
        <w:rPr>
          <w:rFonts w:ascii="Book Antiqua" w:hAnsi="Book Antiqua" w:cs="AdvOT4b47d116"/>
          <w:color w:val="231F20"/>
          <w:sz w:val="24"/>
          <w:szCs w:val="24"/>
        </w:rPr>
        <w:t xml:space="preserve"> For m</w:t>
      </w:r>
      <w:r w:rsidR="00932743" w:rsidRPr="00A624C2">
        <w:rPr>
          <w:rFonts w:ascii="Book Antiqua" w:hAnsi="Book Antiqua" w:cs="AdvOT4b47d116"/>
          <w:color w:val="231F20"/>
          <w:sz w:val="24"/>
          <w:szCs w:val="24"/>
        </w:rPr>
        <w:t>aintenance</w:t>
      </w:r>
      <w:r w:rsidR="00870D24" w:rsidRPr="00A624C2">
        <w:rPr>
          <w:rFonts w:ascii="Book Antiqua" w:hAnsi="Book Antiqua" w:cs="AdvOT4b47d116"/>
          <w:color w:val="231F20"/>
          <w:sz w:val="24"/>
          <w:szCs w:val="24"/>
        </w:rPr>
        <w:t>,</w:t>
      </w:r>
      <w:r w:rsidR="00932743" w:rsidRPr="00A624C2">
        <w:rPr>
          <w:rFonts w:ascii="Book Antiqua" w:hAnsi="Book Antiqua" w:cs="AdvOT4b47d116"/>
          <w:color w:val="231F20"/>
          <w:sz w:val="24"/>
          <w:szCs w:val="24"/>
        </w:rPr>
        <w:t xml:space="preserve"> </w:t>
      </w:r>
      <w:r w:rsidR="00870D24" w:rsidRPr="00A624C2">
        <w:rPr>
          <w:rFonts w:ascii="Book Antiqua" w:hAnsi="Book Antiqua" w:cs="AdvOT4b47d116"/>
          <w:color w:val="231F20"/>
          <w:sz w:val="24"/>
          <w:szCs w:val="24"/>
        </w:rPr>
        <w:t xml:space="preserve">5 mg/kg </w:t>
      </w:r>
      <w:r w:rsidR="00914D76" w:rsidRPr="00A624C2">
        <w:rPr>
          <w:rFonts w:ascii="Book Antiqua" w:hAnsi="Book Antiqua" w:cs="AdvOT4b47d116"/>
          <w:color w:val="231F20"/>
          <w:sz w:val="24"/>
          <w:szCs w:val="24"/>
        </w:rPr>
        <w:t>in</w:t>
      </w:r>
      <w:r w:rsidR="00914D76" w:rsidRPr="00A624C2">
        <w:rPr>
          <w:rFonts w:ascii="Book Antiqua" w:hAnsi="Book Antiqua" w:cs="AdvOT4b47d116+fb"/>
          <w:color w:val="231F20"/>
          <w:sz w:val="24"/>
          <w:szCs w:val="24"/>
        </w:rPr>
        <w:t>fl</w:t>
      </w:r>
      <w:r w:rsidR="00914D76" w:rsidRPr="00A624C2">
        <w:rPr>
          <w:rFonts w:ascii="Book Antiqua" w:hAnsi="Book Antiqua" w:cs="AdvOT4b47d116"/>
          <w:color w:val="231F20"/>
          <w:sz w:val="24"/>
          <w:szCs w:val="24"/>
        </w:rPr>
        <w:t>iximab</w:t>
      </w:r>
      <w:r w:rsidR="00111853" w:rsidRPr="00A624C2">
        <w:rPr>
          <w:rFonts w:ascii="Book Antiqua" w:hAnsi="Book Antiqua" w:cs="AdvOT4b47d116"/>
          <w:color w:val="231F20"/>
          <w:sz w:val="24"/>
          <w:szCs w:val="24"/>
        </w:rPr>
        <w:t xml:space="preserve"> was administered every</w:t>
      </w:r>
      <w:r w:rsidR="00914D76" w:rsidRPr="00A624C2">
        <w:rPr>
          <w:rFonts w:ascii="Book Antiqua" w:hAnsi="Book Antiqua" w:cs="AdvOT4b47d116"/>
          <w:color w:val="231F20"/>
          <w:sz w:val="24"/>
          <w:szCs w:val="24"/>
        </w:rPr>
        <w:t xml:space="preserve"> 8 </w:t>
      </w:r>
      <w:r w:rsidR="00E54D25" w:rsidRPr="00A624C2">
        <w:rPr>
          <w:rFonts w:ascii="Book Antiqua" w:hAnsi="Book Antiqua" w:cs="AdvOT4b47d116"/>
          <w:color w:val="231F20"/>
          <w:sz w:val="24"/>
          <w:szCs w:val="24"/>
        </w:rPr>
        <w:t>weeks</w:t>
      </w:r>
      <w:r w:rsidR="00870D24" w:rsidRPr="00A624C2">
        <w:rPr>
          <w:rFonts w:ascii="Book Antiqua" w:hAnsi="Book Antiqua" w:cs="AdvOT4b47d116"/>
          <w:color w:val="231F20"/>
          <w:sz w:val="24"/>
          <w:szCs w:val="24"/>
        </w:rPr>
        <w:t xml:space="preserve"> and 40 mg of</w:t>
      </w:r>
      <w:r w:rsidR="00914D76" w:rsidRPr="00A624C2">
        <w:rPr>
          <w:rFonts w:ascii="Book Antiqua" w:hAnsi="Book Antiqua" w:cs="AdvOT4b47d116"/>
          <w:color w:val="231F20"/>
          <w:sz w:val="24"/>
          <w:szCs w:val="24"/>
        </w:rPr>
        <w:t xml:space="preserve"> </w:t>
      </w:r>
      <w:r w:rsidR="00870D24" w:rsidRPr="00A624C2">
        <w:rPr>
          <w:rFonts w:ascii="Book Antiqua" w:hAnsi="Book Antiqua" w:cs="AdvOT4b47d116"/>
          <w:color w:val="231F20"/>
          <w:sz w:val="24"/>
          <w:szCs w:val="24"/>
        </w:rPr>
        <w:t>adalimumab every</w:t>
      </w:r>
      <w:r w:rsidR="00932743" w:rsidRPr="00A624C2">
        <w:rPr>
          <w:rFonts w:ascii="Book Antiqua" w:hAnsi="Book Antiqua" w:cs="AdvOT4b47d116"/>
          <w:color w:val="231F20"/>
          <w:sz w:val="24"/>
          <w:szCs w:val="24"/>
        </w:rPr>
        <w:t xml:space="preserve"> other week. </w:t>
      </w:r>
      <w:r w:rsidR="00D35144" w:rsidRPr="00A624C2">
        <w:rPr>
          <w:rFonts w:ascii="Book Antiqua" w:hAnsi="Book Antiqua" w:cs="AdvOT4b47d116"/>
          <w:color w:val="231F20"/>
          <w:sz w:val="24"/>
          <w:szCs w:val="24"/>
        </w:rPr>
        <w:t xml:space="preserve"> Intensification of treatment was </w:t>
      </w:r>
      <w:r w:rsidR="00B247DB" w:rsidRPr="00A624C2">
        <w:rPr>
          <w:rFonts w:ascii="Book Antiqua" w:hAnsi="Book Antiqua" w:cs="AdvOT4b47d116"/>
          <w:color w:val="231F20"/>
          <w:sz w:val="24"/>
          <w:szCs w:val="24"/>
        </w:rPr>
        <w:t>performed</w:t>
      </w:r>
      <w:r w:rsidR="00D35144" w:rsidRPr="00A624C2">
        <w:rPr>
          <w:rFonts w:ascii="Book Antiqua" w:hAnsi="Book Antiqua" w:cs="AdvOT4b47d116"/>
          <w:color w:val="231F20"/>
          <w:sz w:val="24"/>
          <w:szCs w:val="24"/>
        </w:rPr>
        <w:t xml:space="preserve"> reactively when loss of </w:t>
      </w:r>
      <w:r w:rsidR="00B247DB" w:rsidRPr="00A624C2">
        <w:rPr>
          <w:rFonts w:ascii="Book Antiqua" w:hAnsi="Book Antiqua" w:cs="AdvOT4b47d116"/>
          <w:color w:val="231F20"/>
          <w:sz w:val="24"/>
          <w:szCs w:val="24"/>
        </w:rPr>
        <w:t xml:space="preserve">clinical </w:t>
      </w:r>
      <w:r w:rsidR="00D35144" w:rsidRPr="00A624C2">
        <w:rPr>
          <w:rFonts w:ascii="Book Antiqua" w:hAnsi="Book Antiqua" w:cs="AdvOT4b47d116"/>
          <w:color w:val="231F20"/>
          <w:sz w:val="24"/>
          <w:szCs w:val="24"/>
        </w:rPr>
        <w:t xml:space="preserve">response was documented in association with objective </w:t>
      </w:r>
      <w:r w:rsidR="00B247DB" w:rsidRPr="00A624C2">
        <w:rPr>
          <w:rFonts w:ascii="Book Antiqua" w:hAnsi="Book Antiqua" w:cs="AdvOT4b47d116"/>
          <w:color w:val="231F20"/>
          <w:sz w:val="24"/>
          <w:szCs w:val="24"/>
        </w:rPr>
        <w:t>evidence</w:t>
      </w:r>
      <w:r w:rsidR="00D35144" w:rsidRPr="00A624C2">
        <w:rPr>
          <w:rFonts w:ascii="Book Antiqua" w:hAnsi="Book Antiqua" w:cs="AdvOT4b47d116"/>
          <w:color w:val="231F20"/>
          <w:sz w:val="24"/>
          <w:szCs w:val="24"/>
        </w:rPr>
        <w:t xml:space="preserve"> of active disease (increased fecal calprotectin or </w:t>
      </w:r>
    </w:p>
    <w:p w14:paraId="6502EE7D" w14:textId="76E33417" w:rsidR="00D35144" w:rsidRPr="00A624C2" w:rsidRDefault="003608C2" w:rsidP="0028587F">
      <w:pPr>
        <w:autoSpaceDE w:val="0"/>
        <w:autoSpaceDN w:val="0"/>
        <w:adjustRightInd w:val="0"/>
        <w:spacing w:after="0" w:line="360" w:lineRule="auto"/>
        <w:jc w:val="both"/>
        <w:rPr>
          <w:rFonts w:ascii="Book Antiqua" w:hAnsi="Book Antiqua" w:cs="AdvOT4b47d116"/>
          <w:color w:val="231F20"/>
          <w:sz w:val="24"/>
          <w:szCs w:val="24"/>
        </w:rPr>
      </w:pPr>
      <w:r w:rsidRPr="00A624C2">
        <w:rPr>
          <w:rFonts w:ascii="Book Antiqua" w:hAnsi="Book Antiqua" w:cs="AdvOT4b47d116"/>
          <w:color w:val="231F20"/>
          <w:sz w:val="24"/>
          <w:szCs w:val="24"/>
        </w:rPr>
        <w:t>C</w:t>
      </w:r>
      <w:r w:rsidR="00D35144" w:rsidRPr="00A624C2">
        <w:rPr>
          <w:rFonts w:ascii="Book Antiqua" w:hAnsi="Book Antiqua" w:cs="AdvOT4b47d116"/>
          <w:color w:val="231F20"/>
          <w:sz w:val="24"/>
          <w:szCs w:val="24"/>
        </w:rPr>
        <w:t>RP or presence of endoscopic lesions)</w:t>
      </w:r>
      <w:r w:rsidR="00B247DB" w:rsidRPr="00A624C2">
        <w:rPr>
          <w:rFonts w:ascii="Book Antiqua" w:hAnsi="Book Antiqua" w:cs="AdvOT4b47d116"/>
          <w:color w:val="231F20"/>
          <w:sz w:val="24"/>
          <w:szCs w:val="24"/>
        </w:rPr>
        <w:t xml:space="preserve"> and drug levels below recommended thresholds </w:t>
      </w:r>
      <w:r w:rsidR="000A58A1" w:rsidRPr="00A624C2">
        <w:rPr>
          <w:rFonts w:ascii="Book Antiqua" w:hAnsi="Book Antiqua" w:cs="AdvOT4b47d116"/>
          <w:color w:val="231F20"/>
          <w:sz w:val="24"/>
          <w:szCs w:val="24"/>
        </w:rPr>
        <w:t>(</w:t>
      </w:r>
      <w:r w:rsidR="00B247DB" w:rsidRPr="00A624C2">
        <w:rPr>
          <w:rFonts w:ascii="Book Antiqua" w:hAnsi="Book Antiqua" w:cs="AdvOT4b47d116"/>
          <w:color w:val="231F20"/>
          <w:sz w:val="24"/>
          <w:szCs w:val="24"/>
        </w:rPr>
        <w:t>infliximab</w:t>
      </w:r>
      <w:r w:rsidR="00FE4AE9" w:rsidRPr="00A624C2">
        <w:rPr>
          <w:rFonts w:ascii="Book Antiqua" w:eastAsia="宋体" w:hAnsi="Book Antiqua" w:cs="AdvOT4b47d116"/>
          <w:color w:val="231F20"/>
          <w:sz w:val="24"/>
          <w:szCs w:val="24"/>
          <w:lang w:eastAsia="zh-CN"/>
        </w:rPr>
        <w:t xml:space="preserve"> </w:t>
      </w:r>
      <w:r w:rsidR="000A58A1" w:rsidRPr="00A624C2">
        <w:rPr>
          <w:rFonts w:ascii="Book Antiqua" w:hAnsi="Book Antiqua" w:cs="AdvOT4b47d116"/>
          <w:color w:val="231F20"/>
          <w:sz w:val="24"/>
          <w:szCs w:val="24"/>
        </w:rPr>
        <w:t>&lt;</w:t>
      </w:r>
      <w:r w:rsidR="00FE4AE9" w:rsidRPr="00A624C2">
        <w:rPr>
          <w:rFonts w:ascii="Book Antiqua" w:eastAsia="宋体" w:hAnsi="Book Antiqua" w:cs="AdvOT4b47d116"/>
          <w:color w:val="231F20"/>
          <w:sz w:val="24"/>
          <w:szCs w:val="24"/>
          <w:lang w:eastAsia="zh-CN"/>
        </w:rPr>
        <w:t xml:space="preserve"> </w:t>
      </w:r>
      <w:r w:rsidR="00B247DB" w:rsidRPr="00A624C2">
        <w:rPr>
          <w:rFonts w:ascii="Book Antiqua" w:hAnsi="Book Antiqua" w:cs="AdvOT4b47d116"/>
          <w:color w:val="231F20"/>
          <w:sz w:val="24"/>
          <w:szCs w:val="24"/>
        </w:rPr>
        <w:t>3</w:t>
      </w:r>
      <w:r w:rsidR="00FE4AE9" w:rsidRPr="00A624C2">
        <w:rPr>
          <w:rFonts w:ascii="Book Antiqua" w:eastAsia="宋体" w:hAnsi="Book Antiqua" w:cs="AdvOT4b47d116"/>
          <w:color w:val="231F20"/>
          <w:sz w:val="24"/>
          <w:szCs w:val="24"/>
          <w:lang w:eastAsia="zh-CN"/>
        </w:rPr>
        <w:t xml:space="preserve"> </w:t>
      </w:r>
      <w:r w:rsidR="00FD3480" w:rsidRPr="00A624C2">
        <w:rPr>
          <w:rFonts w:ascii="Book Antiqua" w:hAnsi="Book Antiqua" w:cs="AdvOTb63a3543.I"/>
          <w:color w:val="231F20"/>
          <w:sz w:val="24"/>
          <w:szCs w:val="24"/>
        </w:rPr>
        <w:t>μg/m</w:t>
      </w:r>
      <w:r w:rsidR="00FE4AE9" w:rsidRPr="00A624C2">
        <w:rPr>
          <w:rFonts w:ascii="Book Antiqua" w:hAnsi="Book Antiqua" w:cs="AdvOTb63a3543.I"/>
          <w:color w:val="231F20"/>
          <w:sz w:val="24"/>
          <w:szCs w:val="24"/>
        </w:rPr>
        <w:t>L</w:t>
      </w:r>
      <w:r w:rsidR="000A58A1" w:rsidRPr="00A624C2">
        <w:rPr>
          <w:rFonts w:ascii="Book Antiqua" w:hAnsi="Book Antiqua" w:cs="AdvOT4b47d116"/>
          <w:color w:val="231F20"/>
          <w:sz w:val="24"/>
          <w:szCs w:val="24"/>
        </w:rPr>
        <w:t xml:space="preserve">, </w:t>
      </w:r>
      <w:r w:rsidR="00B247DB" w:rsidRPr="00A624C2">
        <w:rPr>
          <w:rFonts w:ascii="Book Antiqua" w:hAnsi="Book Antiqua" w:cs="AdvOT4b47d116"/>
          <w:color w:val="231F20"/>
          <w:sz w:val="24"/>
          <w:szCs w:val="24"/>
        </w:rPr>
        <w:t>adalimumab</w:t>
      </w:r>
      <w:r w:rsidR="00FE4AE9" w:rsidRPr="00A624C2">
        <w:rPr>
          <w:rFonts w:ascii="Book Antiqua" w:eastAsia="宋体" w:hAnsi="Book Antiqua" w:cs="AdvOT4b47d116"/>
          <w:color w:val="231F20"/>
          <w:sz w:val="24"/>
          <w:szCs w:val="24"/>
          <w:lang w:eastAsia="zh-CN"/>
        </w:rPr>
        <w:t xml:space="preserve"> </w:t>
      </w:r>
      <w:r w:rsidR="000A58A1" w:rsidRPr="00A624C2">
        <w:rPr>
          <w:rFonts w:ascii="Book Antiqua" w:hAnsi="Book Antiqua" w:cs="AdvOT4b47d116"/>
          <w:color w:val="231F20"/>
          <w:sz w:val="24"/>
          <w:szCs w:val="24"/>
        </w:rPr>
        <w:t>&lt;</w:t>
      </w:r>
      <w:r w:rsidR="00FE4AE9" w:rsidRPr="00A624C2">
        <w:rPr>
          <w:rFonts w:ascii="Book Antiqua" w:eastAsia="宋体" w:hAnsi="Book Antiqua" w:cs="AdvOT4b47d116"/>
          <w:color w:val="231F20"/>
          <w:sz w:val="24"/>
          <w:szCs w:val="24"/>
          <w:lang w:eastAsia="zh-CN"/>
        </w:rPr>
        <w:t xml:space="preserve"> </w:t>
      </w:r>
      <w:r w:rsidR="00B247DB" w:rsidRPr="00A624C2">
        <w:rPr>
          <w:rFonts w:ascii="Book Antiqua" w:hAnsi="Book Antiqua" w:cs="AdvOT4b47d116"/>
          <w:color w:val="231F20"/>
          <w:sz w:val="24"/>
          <w:szCs w:val="24"/>
        </w:rPr>
        <w:t>7</w:t>
      </w:r>
      <w:r w:rsidR="00FE4AE9" w:rsidRPr="00A624C2">
        <w:rPr>
          <w:rFonts w:ascii="Book Antiqua" w:eastAsia="宋体" w:hAnsi="Book Antiqua" w:cs="AdvOT4b47d116"/>
          <w:color w:val="231F20"/>
          <w:sz w:val="24"/>
          <w:szCs w:val="24"/>
          <w:lang w:eastAsia="zh-CN"/>
        </w:rPr>
        <w:t xml:space="preserve"> </w:t>
      </w:r>
      <w:r w:rsidR="00FD3480" w:rsidRPr="00A624C2">
        <w:rPr>
          <w:rFonts w:ascii="Book Antiqua" w:hAnsi="Book Antiqua" w:cs="AdvOTb63a3543.I"/>
          <w:color w:val="231F20"/>
          <w:sz w:val="24"/>
          <w:szCs w:val="24"/>
        </w:rPr>
        <w:t>μg/m</w:t>
      </w:r>
      <w:r w:rsidR="00FE4AE9" w:rsidRPr="00A624C2">
        <w:rPr>
          <w:rFonts w:ascii="Book Antiqua" w:hAnsi="Book Antiqua" w:cs="AdvOTb63a3543.I"/>
          <w:color w:val="231F20"/>
          <w:sz w:val="24"/>
          <w:szCs w:val="24"/>
        </w:rPr>
        <w:t>L</w:t>
      </w:r>
      <w:r w:rsidR="00B247DB" w:rsidRPr="00A624C2">
        <w:rPr>
          <w:rFonts w:ascii="Book Antiqua" w:hAnsi="Book Antiqua" w:cs="AdvOT4b47d116"/>
          <w:color w:val="231F20"/>
          <w:sz w:val="24"/>
          <w:szCs w:val="24"/>
        </w:rPr>
        <w:t>)</w:t>
      </w:r>
      <w:r w:rsidR="00FE4AE9" w:rsidRPr="00A624C2">
        <w:rPr>
          <w:rFonts w:ascii="Book Antiqua" w:hAnsi="Book Antiqua" w:cs="AdvOT4b47d116"/>
          <w:color w:val="231F20"/>
          <w:sz w:val="24"/>
          <w:szCs w:val="24"/>
        </w:rPr>
        <w:t xml:space="preserve">. </w:t>
      </w:r>
      <w:r w:rsidR="000C4746" w:rsidRPr="00A624C2">
        <w:rPr>
          <w:rFonts w:ascii="Book Antiqua" w:hAnsi="Book Antiqua" w:cs="AdvOT4b47d116"/>
          <w:color w:val="231F20"/>
          <w:sz w:val="24"/>
          <w:szCs w:val="24"/>
        </w:rPr>
        <w:t>If remission was documented</w:t>
      </w:r>
      <w:r w:rsidR="00996EC9" w:rsidRPr="00A624C2">
        <w:rPr>
          <w:rFonts w:ascii="Book Antiqua" w:hAnsi="Book Antiqua" w:cs="AdvOT4b47d116"/>
          <w:color w:val="231F20"/>
          <w:sz w:val="24"/>
          <w:szCs w:val="24"/>
        </w:rPr>
        <w:t xml:space="preserve"> by end</w:t>
      </w:r>
      <w:r w:rsidR="00296970" w:rsidRPr="00A624C2">
        <w:rPr>
          <w:rFonts w:ascii="Book Antiqua" w:hAnsi="Book Antiqua" w:cs="AdvOT4b47d116"/>
          <w:color w:val="231F20"/>
          <w:sz w:val="24"/>
          <w:szCs w:val="24"/>
        </w:rPr>
        <w:t>o</w:t>
      </w:r>
      <w:r w:rsidR="00996EC9" w:rsidRPr="00A624C2">
        <w:rPr>
          <w:rFonts w:ascii="Book Antiqua" w:hAnsi="Book Antiqua" w:cs="AdvOT4b47d116"/>
          <w:color w:val="231F20"/>
          <w:sz w:val="24"/>
          <w:szCs w:val="24"/>
        </w:rPr>
        <w:t>s</w:t>
      </w:r>
      <w:r w:rsidR="00296970" w:rsidRPr="00A624C2">
        <w:rPr>
          <w:rFonts w:ascii="Book Antiqua" w:hAnsi="Book Antiqua" w:cs="AdvOT4b47d116"/>
          <w:color w:val="231F20"/>
          <w:sz w:val="24"/>
          <w:szCs w:val="24"/>
        </w:rPr>
        <w:t>copy</w:t>
      </w:r>
      <w:r w:rsidR="000C4746" w:rsidRPr="00A624C2">
        <w:rPr>
          <w:rFonts w:ascii="Book Antiqua" w:hAnsi="Book Antiqua" w:cs="AdvOT4b47d116"/>
          <w:color w:val="231F20"/>
          <w:sz w:val="24"/>
          <w:szCs w:val="24"/>
        </w:rPr>
        <w:t xml:space="preserve">, </w:t>
      </w:r>
      <w:r w:rsidR="00296970" w:rsidRPr="00A624C2">
        <w:rPr>
          <w:rFonts w:ascii="Book Antiqua" w:hAnsi="Book Antiqua" w:cs="AdvOT4b47d116"/>
          <w:color w:val="231F20"/>
          <w:sz w:val="24"/>
          <w:szCs w:val="24"/>
        </w:rPr>
        <w:t xml:space="preserve">no </w:t>
      </w:r>
      <w:r w:rsidR="00CB1B53" w:rsidRPr="00A624C2">
        <w:rPr>
          <w:rFonts w:ascii="Book Antiqua" w:hAnsi="Book Antiqua" w:cs="AdvOT4b47d116"/>
          <w:color w:val="231F20"/>
          <w:sz w:val="24"/>
          <w:szCs w:val="24"/>
        </w:rPr>
        <w:t xml:space="preserve">modification </w:t>
      </w:r>
      <w:r w:rsidR="000C4746" w:rsidRPr="00A624C2">
        <w:rPr>
          <w:rFonts w:ascii="Book Antiqua" w:hAnsi="Book Antiqua" w:cs="AdvOT4b47d116"/>
          <w:color w:val="231F20"/>
          <w:sz w:val="24"/>
          <w:szCs w:val="24"/>
        </w:rPr>
        <w:t>o</w:t>
      </w:r>
      <w:r w:rsidR="00CB1B53" w:rsidRPr="00A624C2">
        <w:rPr>
          <w:rFonts w:ascii="Book Antiqua" w:hAnsi="Book Antiqua" w:cs="AdvOT4b47d116"/>
          <w:color w:val="231F20"/>
          <w:sz w:val="24"/>
          <w:szCs w:val="24"/>
        </w:rPr>
        <w:t>f</w:t>
      </w:r>
      <w:r w:rsidR="000C4746" w:rsidRPr="00A624C2">
        <w:rPr>
          <w:rFonts w:ascii="Book Antiqua" w:hAnsi="Book Antiqua" w:cs="AdvOT4b47d116"/>
          <w:color w:val="231F20"/>
          <w:sz w:val="24"/>
          <w:szCs w:val="24"/>
        </w:rPr>
        <w:t xml:space="preserve"> </w:t>
      </w:r>
      <w:r w:rsidR="000A58A1" w:rsidRPr="00A624C2">
        <w:rPr>
          <w:rFonts w:ascii="Book Antiqua" w:hAnsi="Book Antiqua" w:cs="AdvOT4b47d116"/>
          <w:color w:val="231F20"/>
          <w:sz w:val="24"/>
          <w:szCs w:val="24"/>
        </w:rPr>
        <w:t>treatment was performed</w:t>
      </w:r>
      <w:r w:rsidR="00D35144" w:rsidRPr="00A624C2">
        <w:rPr>
          <w:rFonts w:ascii="Book Antiqua" w:hAnsi="Book Antiqua" w:cs="AdvOT4b47d116"/>
          <w:color w:val="231F20"/>
          <w:sz w:val="24"/>
          <w:szCs w:val="24"/>
        </w:rPr>
        <w:t>.</w:t>
      </w:r>
    </w:p>
    <w:p w14:paraId="3C8416CA" w14:textId="77777777" w:rsidR="00FE19E4" w:rsidRPr="00A624C2" w:rsidRDefault="00FE19E4" w:rsidP="0028587F">
      <w:pPr>
        <w:spacing w:after="0" w:line="360" w:lineRule="auto"/>
        <w:jc w:val="both"/>
        <w:rPr>
          <w:rFonts w:ascii="Book Antiqua" w:hAnsi="Book Antiqua"/>
          <w:b/>
          <w:sz w:val="24"/>
          <w:szCs w:val="24"/>
        </w:rPr>
      </w:pPr>
    </w:p>
    <w:p w14:paraId="326B1402" w14:textId="77777777" w:rsidR="00B82674" w:rsidRPr="00A624C2" w:rsidRDefault="003834D4" w:rsidP="0028587F">
      <w:pPr>
        <w:spacing w:after="0" w:line="360" w:lineRule="auto"/>
        <w:jc w:val="both"/>
        <w:rPr>
          <w:rFonts w:ascii="Book Antiqua" w:hAnsi="Book Antiqua"/>
          <w:b/>
          <w:i/>
          <w:sz w:val="24"/>
          <w:szCs w:val="24"/>
        </w:rPr>
      </w:pPr>
      <w:r w:rsidRPr="00A624C2">
        <w:rPr>
          <w:rFonts w:ascii="Book Antiqua" w:hAnsi="Book Antiqua"/>
          <w:b/>
          <w:i/>
          <w:sz w:val="24"/>
          <w:szCs w:val="24"/>
        </w:rPr>
        <w:t xml:space="preserve">Clinical and </w:t>
      </w:r>
      <w:r w:rsidR="00327DBC" w:rsidRPr="00A624C2">
        <w:rPr>
          <w:rFonts w:ascii="Book Antiqua" w:hAnsi="Book Antiqua"/>
          <w:b/>
          <w:i/>
          <w:sz w:val="24"/>
          <w:szCs w:val="24"/>
        </w:rPr>
        <w:t xml:space="preserve">biomarker </w:t>
      </w:r>
      <w:r w:rsidRPr="00A624C2">
        <w:rPr>
          <w:rFonts w:ascii="Book Antiqua" w:hAnsi="Book Antiqua"/>
          <w:b/>
          <w:i/>
          <w:sz w:val="24"/>
          <w:szCs w:val="24"/>
        </w:rPr>
        <w:t>data</w:t>
      </w:r>
    </w:p>
    <w:p w14:paraId="50EB5549" w14:textId="463283BA" w:rsidR="004500E3" w:rsidRPr="00A624C2" w:rsidRDefault="00C23BB1" w:rsidP="0028587F">
      <w:pPr>
        <w:spacing w:after="0" w:line="360" w:lineRule="auto"/>
        <w:jc w:val="both"/>
        <w:rPr>
          <w:rFonts w:ascii="Book Antiqua" w:hAnsi="Book Antiqua"/>
          <w:b/>
          <w:sz w:val="24"/>
          <w:szCs w:val="24"/>
          <w:u w:val="single"/>
        </w:rPr>
      </w:pPr>
      <w:r w:rsidRPr="00A624C2">
        <w:rPr>
          <w:rFonts w:ascii="Book Antiqua" w:hAnsi="Book Antiqua"/>
          <w:sz w:val="24"/>
          <w:szCs w:val="24"/>
        </w:rPr>
        <w:t xml:space="preserve">Clinical evaluation was performed at baseline, </w:t>
      </w:r>
      <w:r w:rsidR="00E340D3" w:rsidRPr="00A624C2">
        <w:rPr>
          <w:rFonts w:ascii="Book Antiqua" w:hAnsi="Book Antiqua"/>
          <w:sz w:val="24"/>
          <w:szCs w:val="24"/>
        </w:rPr>
        <w:t>and at</w:t>
      </w:r>
      <w:r w:rsidR="00870D24" w:rsidRPr="00A624C2">
        <w:rPr>
          <w:rFonts w:ascii="Book Antiqua" w:hAnsi="Book Antiqua"/>
          <w:sz w:val="24"/>
          <w:szCs w:val="24"/>
        </w:rPr>
        <w:t xml:space="preserve"> </w:t>
      </w:r>
      <w:r w:rsidRPr="00A624C2">
        <w:rPr>
          <w:rFonts w:ascii="Book Antiqua" w:hAnsi="Book Antiqua"/>
          <w:sz w:val="24"/>
          <w:szCs w:val="24"/>
        </w:rPr>
        <w:t>week</w:t>
      </w:r>
      <w:r w:rsidR="00327DBC" w:rsidRPr="00A624C2">
        <w:rPr>
          <w:rFonts w:ascii="Book Antiqua" w:hAnsi="Book Antiqua"/>
          <w:sz w:val="24"/>
          <w:szCs w:val="24"/>
        </w:rPr>
        <w:t>s</w:t>
      </w:r>
      <w:r w:rsidRPr="00A624C2">
        <w:rPr>
          <w:rFonts w:ascii="Book Antiqua" w:hAnsi="Book Antiqua"/>
          <w:sz w:val="24"/>
          <w:szCs w:val="24"/>
        </w:rPr>
        <w:t xml:space="preserve"> 6, 14, 30 and </w:t>
      </w:r>
      <w:r w:rsidR="00D5049B" w:rsidRPr="00A624C2">
        <w:rPr>
          <w:rFonts w:ascii="Book Antiqua" w:hAnsi="Book Antiqua"/>
          <w:sz w:val="24"/>
          <w:szCs w:val="24"/>
        </w:rPr>
        <w:t>46</w:t>
      </w:r>
      <w:r w:rsidRPr="00A624C2">
        <w:rPr>
          <w:rFonts w:ascii="Book Antiqua" w:hAnsi="Book Antiqua"/>
          <w:sz w:val="24"/>
          <w:szCs w:val="24"/>
        </w:rPr>
        <w:t xml:space="preserve">. </w:t>
      </w:r>
      <w:r w:rsidR="00870D24" w:rsidRPr="00A624C2">
        <w:rPr>
          <w:rFonts w:ascii="Book Antiqua" w:hAnsi="Book Antiqua"/>
          <w:sz w:val="24"/>
          <w:szCs w:val="24"/>
        </w:rPr>
        <w:t>At</w:t>
      </w:r>
      <w:r w:rsidR="00800E83" w:rsidRPr="00A624C2">
        <w:rPr>
          <w:rFonts w:ascii="Book Antiqua" w:eastAsia="OTNEJMQuadraat" w:hAnsi="Book Antiqua" w:cs="OTNEJMQuadraat"/>
          <w:sz w:val="24"/>
          <w:szCs w:val="24"/>
        </w:rPr>
        <w:t xml:space="preserve"> each visit</w:t>
      </w:r>
      <w:r w:rsidR="00DB5A2D" w:rsidRPr="00A624C2">
        <w:rPr>
          <w:rFonts w:ascii="Book Antiqua" w:eastAsia="OTNEJMQuadraat" w:hAnsi="Book Antiqua" w:cs="OTNEJMQuadraat"/>
          <w:sz w:val="24"/>
          <w:szCs w:val="24"/>
        </w:rPr>
        <w:t xml:space="preserve"> </w:t>
      </w:r>
      <w:r w:rsidR="00DB5A2D" w:rsidRPr="00A624C2">
        <w:rPr>
          <w:rFonts w:ascii="Book Antiqua" w:hAnsi="Book Antiqua"/>
          <w:sz w:val="24"/>
          <w:szCs w:val="24"/>
        </w:rPr>
        <w:t xml:space="preserve">the </w:t>
      </w:r>
      <w:r w:rsidR="00617F6A" w:rsidRPr="00A624C2">
        <w:rPr>
          <w:rFonts w:ascii="Book Antiqua" w:eastAsia="宋体" w:hAnsi="Book Antiqua"/>
          <w:sz w:val="24"/>
          <w:szCs w:val="24"/>
          <w:lang w:eastAsia="zh-CN"/>
        </w:rPr>
        <w:t>CD</w:t>
      </w:r>
      <w:r w:rsidR="00DB5A2D" w:rsidRPr="00A624C2">
        <w:rPr>
          <w:rFonts w:ascii="Book Antiqua" w:hAnsi="Book Antiqua"/>
          <w:sz w:val="24"/>
          <w:szCs w:val="24"/>
        </w:rPr>
        <w:t xml:space="preserve"> Activity Index (CDAI)</w:t>
      </w:r>
      <w:r w:rsidR="00800E83" w:rsidRPr="00A624C2">
        <w:rPr>
          <w:rFonts w:ascii="Book Antiqua" w:eastAsia="OTNEJMQuadraat" w:hAnsi="Book Antiqua" w:cs="OTNEJMQuadraat"/>
          <w:sz w:val="24"/>
          <w:szCs w:val="24"/>
        </w:rPr>
        <w:t xml:space="preserve"> was determi</w:t>
      </w:r>
      <w:r w:rsidR="0023461F" w:rsidRPr="00A624C2">
        <w:rPr>
          <w:rFonts w:ascii="Book Antiqua" w:eastAsia="OTNEJMQuadraat" w:hAnsi="Book Antiqua" w:cs="OTNEJMQuadraat"/>
          <w:sz w:val="24"/>
          <w:szCs w:val="24"/>
        </w:rPr>
        <w:t>n</w:t>
      </w:r>
      <w:r w:rsidR="00800E83" w:rsidRPr="00A624C2">
        <w:rPr>
          <w:rFonts w:ascii="Book Antiqua" w:eastAsia="OTNEJMQuadraat" w:hAnsi="Book Antiqua" w:cs="OTNEJMQuadraat"/>
          <w:sz w:val="24"/>
          <w:szCs w:val="24"/>
        </w:rPr>
        <w:t>ed</w:t>
      </w:r>
      <w:r w:rsidRPr="00A624C2">
        <w:rPr>
          <w:rFonts w:ascii="Book Antiqua" w:eastAsia="OTNEJMQuadraat" w:hAnsi="Book Antiqua" w:cs="OTNEJMQuadraat"/>
          <w:sz w:val="24"/>
          <w:szCs w:val="24"/>
        </w:rPr>
        <w:t>.</w:t>
      </w:r>
      <w:r w:rsidR="00800E83" w:rsidRPr="00A624C2">
        <w:rPr>
          <w:rFonts w:ascii="Book Antiqua" w:eastAsia="OTNEJMQuadraat" w:hAnsi="Book Antiqua" w:cs="OTNEJMQuadraat"/>
          <w:sz w:val="24"/>
          <w:szCs w:val="24"/>
        </w:rPr>
        <w:t xml:space="preserve"> </w:t>
      </w:r>
      <w:r w:rsidRPr="00A624C2">
        <w:rPr>
          <w:rFonts w:ascii="Book Antiqua" w:eastAsia="OTNEJMQuadraat" w:hAnsi="Book Antiqua" w:cs="OTNEJMQuadraat"/>
          <w:sz w:val="24"/>
          <w:szCs w:val="24"/>
        </w:rPr>
        <w:t>B</w:t>
      </w:r>
      <w:r w:rsidR="00800E83" w:rsidRPr="00A624C2">
        <w:rPr>
          <w:rFonts w:ascii="Book Antiqua" w:eastAsia="OTNEJMQuadraat" w:hAnsi="Book Antiqua" w:cs="OTNEJMQuadraat"/>
          <w:sz w:val="24"/>
          <w:szCs w:val="24"/>
        </w:rPr>
        <w:t xml:space="preserve">lood </w:t>
      </w:r>
      <w:r w:rsidR="0023461F" w:rsidRPr="00A624C2">
        <w:rPr>
          <w:rFonts w:ascii="Book Antiqua" w:eastAsia="OTNEJMQuadraat" w:hAnsi="Book Antiqua" w:cs="OTNEJMQuadraat"/>
          <w:sz w:val="24"/>
          <w:szCs w:val="24"/>
        </w:rPr>
        <w:t xml:space="preserve">and </w:t>
      </w:r>
      <w:r w:rsidRPr="00A624C2">
        <w:rPr>
          <w:rFonts w:ascii="Book Antiqua" w:eastAsia="OTNEJMQuadraat" w:hAnsi="Book Antiqua" w:cs="OTNEJMQuadraat"/>
          <w:sz w:val="24"/>
          <w:szCs w:val="24"/>
        </w:rPr>
        <w:t xml:space="preserve">fecal samples were also collected </w:t>
      </w:r>
      <w:r w:rsidR="00D5049B" w:rsidRPr="00A624C2">
        <w:rPr>
          <w:rFonts w:ascii="Book Antiqua" w:eastAsia="OTNEJMQuadraat" w:hAnsi="Book Antiqua" w:cs="OTNEJMQuadraat"/>
          <w:sz w:val="24"/>
          <w:szCs w:val="24"/>
        </w:rPr>
        <w:t xml:space="preserve">at </w:t>
      </w:r>
      <w:r w:rsidRPr="00A624C2">
        <w:rPr>
          <w:rFonts w:ascii="Book Antiqua" w:eastAsia="OTNEJMQuadraat" w:hAnsi="Book Antiqua" w:cs="OTNEJMQuadraat"/>
          <w:sz w:val="24"/>
          <w:szCs w:val="24"/>
        </w:rPr>
        <w:t>each visit for assessment of biomarkers (C</w:t>
      </w:r>
      <w:r w:rsidR="00C72C58" w:rsidRPr="00A624C2">
        <w:rPr>
          <w:rFonts w:ascii="Book Antiqua" w:eastAsia="OTNEJMQuadraat" w:hAnsi="Book Antiqua" w:cs="OTNEJMQuadraat"/>
          <w:sz w:val="24"/>
          <w:szCs w:val="24"/>
        </w:rPr>
        <w:t xml:space="preserve">RP </w:t>
      </w:r>
      <w:r w:rsidRPr="00A624C2">
        <w:rPr>
          <w:rFonts w:ascii="Book Antiqua" w:eastAsia="OTNEJMQuadraat" w:hAnsi="Book Antiqua" w:cs="OTNEJMQuadraat"/>
          <w:sz w:val="24"/>
          <w:szCs w:val="24"/>
        </w:rPr>
        <w:t xml:space="preserve">and </w:t>
      </w:r>
      <w:r w:rsidR="0023461F" w:rsidRPr="00A624C2">
        <w:rPr>
          <w:rFonts w:ascii="Book Antiqua" w:eastAsia="OTNEJMQuadraat" w:hAnsi="Book Antiqua" w:cs="OTNEJMQuadraat"/>
          <w:sz w:val="24"/>
          <w:szCs w:val="24"/>
        </w:rPr>
        <w:t>calprotectin</w:t>
      </w:r>
      <w:r w:rsidRPr="00A624C2">
        <w:rPr>
          <w:rFonts w:ascii="Book Antiqua" w:eastAsia="OTNEJMQuadraat" w:hAnsi="Book Antiqua" w:cs="OTNEJMQuadraat"/>
          <w:sz w:val="24"/>
          <w:szCs w:val="24"/>
        </w:rPr>
        <w:t>).</w:t>
      </w:r>
      <w:r w:rsidR="00C20CD3" w:rsidRPr="00A624C2">
        <w:rPr>
          <w:rFonts w:ascii="Book Antiqua" w:eastAsia="OTNEJMQuadraat" w:hAnsi="Book Antiqua" w:cs="OTNEJMQuadraat"/>
          <w:sz w:val="24"/>
          <w:szCs w:val="24"/>
        </w:rPr>
        <w:t xml:space="preserve"> M</w:t>
      </w:r>
      <w:r w:rsidR="00800E83" w:rsidRPr="00A624C2">
        <w:rPr>
          <w:rFonts w:ascii="Book Antiqua" w:eastAsia="OTNEJMQuadraat" w:hAnsi="Book Antiqua" w:cs="OTNEJMQuadraat"/>
          <w:sz w:val="24"/>
          <w:szCs w:val="24"/>
        </w:rPr>
        <w:t xml:space="preserve">onitoring for adverse events and use of concomitant medications was </w:t>
      </w:r>
      <w:r w:rsidR="00036B9B" w:rsidRPr="00A624C2">
        <w:rPr>
          <w:rFonts w:ascii="Book Antiqua" w:eastAsia="OTNEJMQuadraat" w:hAnsi="Book Antiqua" w:cs="OTNEJMQuadraat"/>
          <w:sz w:val="24"/>
          <w:szCs w:val="24"/>
        </w:rPr>
        <w:t xml:space="preserve">registered </w:t>
      </w:r>
      <w:r w:rsidR="00D5049B" w:rsidRPr="00A624C2">
        <w:rPr>
          <w:rFonts w:ascii="Book Antiqua" w:eastAsia="OTNEJMQuadraat" w:hAnsi="Book Antiqua" w:cs="OTNEJMQuadraat"/>
          <w:sz w:val="24"/>
          <w:szCs w:val="24"/>
        </w:rPr>
        <w:t>at each visit</w:t>
      </w:r>
      <w:r w:rsidR="00CD44EE" w:rsidRPr="00A624C2">
        <w:rPr>
          <w:rFonts w:ascii="Book Antiqua" w:eastAsia="OTNEJMQuadraat" w:hAnsi="Book Antiqua" w:cs="OTNEJMQuadraat"/>
          <w:sz w:val="24"/>
          <w:szCs w:val="24"/>
        </w:rPr>
        <w:t>, including unscheduled visits</w:t>
      </w:r>
      <w:r w:rsidR="00D85C8B" w:rsidRPr="00A624C2">
        <w:rPr>
          <w:rFonts w:ascii="Book Antiqua" w:eastAsia="OTNEJMQuadraat" w:hAnsi="Book Antiqua" w:cs="OTNEJMQuadraat"/>
          <w:sz w:val="24"/>
          <w:szCs w:val="24"/>
        </w:rPr>
        <w:t xml:space="preserve"> performed if the patient developed symptoms between scheduled visits</w:t>
      </w:r>
      <w:r w:rsidR="00800E83" w:rsidRPr="00A624C2">
        <w:rPr>
          <w:rFonts w:ascii="Book Antiqua" w:eastAsia="OTNEJMQuadraat" w:hAnsi="Book Antiqua" w:cs="OTNEJMQuadraat"/>
          <w:sz w:val="24"/>
          <w:szCs w:val="24"/>
        </w:rPr>
        <w:t>.</w:t>
      </w:r>
      <w:r w:rsidR="00117803" w:rsidRPr="00A624C2">
        <w:rPr>
          <w:rFonts w:ascii="Book Antiqua" w:eastAsia="OTNEJMQuadraat" w:hAnsi="Book Antiqua" w:cs="OTNEJMQuadraat"/>
          <w:sz w:val="24"/>
          <w:szCs w:val="24"/>
        </w:rPr>
        <w:t xml:space="preserve"> </w:t>
      </w:r>
      <w:r w:rsidR="00D85C8B" w:rsidRPr="00A624C2">
        <w:rPr>
          <w:rFonts w:ascii="Book Antiqua" w:eastAsia="OTNEJMQuadraat" w:hAnsi="Book Antiqua" w:cs="OTNEJMQuadraat"/>
          <w:sz w:val="24"/>
          <w:szCs w:val="24"/>
        </w:rPr>
        <w:t>D</w:t>
      </w:r>
      <w:r w:rsidR="007D1EC0" w:rsidRPr="00A624C2">
        <w:rPr>
          <w:rFonts w:ascii="Book Antiqua" w:eastAsia="OTNEJMQuadraat" w:hAnsi="Book Antiqua" w:cs="OTNEJMQuadraat"/>
          <w:sz w:val="24"/>
          <w:szCs w:val="24"/>
        </w:rPr>
        <w:t xml:space="preserve">rug levels and anti-drug antibodies </w:t>
      </w:r>
      <w:r w:rsidR="00D85C8B" w:rsidRPr="00A624C2">
        <w:rPr>
          <w:rFonts w:ascii="Book Antiqua" w:eastAsia="OTNEJMQuadraat" w:hAnsi="Book Antiqua" w:cs="OTNEJMQuadraat"/>
          <w:sz w:val="24"/>
          <w:szCs w:val="24"/>
        </w:rPr>
        <w:t xml:space="preserve">were </w:t>
      </w:r>
      <w:r w:rsidR="00381B34" w:rsidRPr="00A624C2">
        <w:rPr>
          <w:rFonts w:ascii="Book Antiqua" w:eastAsia="OTNEJMQuadraat" w:hAnsi="Book Antiqua" w:cs="OTNEJMQuadraat"/>
          <w:sz w:val="24"/>
          <w:szCs w:val="24"/>
        </w:rPr>
        <w:t xml:space="preserve">analyzed </w:t>
      </w:r>
      <w:r w:rsidR="00D70933" w:rsidRPr="00A624C2">
        <w:rPr>
          <w:rFonts w:ascii="Book Antiqua" w:eastAsia="OTNEJMQuadraat" w:hAnsi="Book Antiqua" w:cs="OTNEJMQuadraat"/>
          <w:sz w:val="24"/>
          <w:szCs w:val="24"/>
        </w:rPr>
        <w:t>at baseline, week 14</w:t>
      </w:r>
      <w:r w:rsidR="00896FCC" w:rsidRPr="00A624C2">
        <w:rPr>
          <w:rFonts w:ascii="Book Antiqua" w:eastAsia="OTNEJMQuadraat" w:hAnsi="Book Antiqua" w:cs="OTNEJMQuadraat"/>
          <w:sz w:val="24"/>
          <w:szCs w:val="24"/>
        </w:rPr>
        <w:t>,</w:t>
      </w:r>
      <w:r w:rsidR="00D70933" w:rsidRPr="00A624C2">
        <w:rPr>
          <w:rFonts w:ascii="Book Antiqua" w:eastAsia="OTNEJMQuadraat" w:hAnsi="Book Antiqua" w:cs="OTNEJMQuadraat"/>
          <w:sz w:val="24"/>
          <w:szCs w:val="24"/>
        </w:rPr>
        <w:t xml:space="preserve"> week 46</w:t>
      </w:r>
      <w:r w:rsidR="00B247DB" w:rsidRPr="00A624C2">
        <w:rPr>
          <w:rFonts w:ascii="Book Antiqua" w:eastAsia="OTNEJMQuadraat" w:hAnsi="Book Antiqua" w:cs="OTNEJMQuadraat"/>
          <w:sz w:val="24"/>
          <w:szCs w:val="24"/>
        </w:rPr>
        <w:t>, and in case of loss of clinical response</w:t>
      </w:r>
      <w:r w:rsidR="00D70933" w:rsidRPr="00A624C2">
        <w:rPr>
          <w:rFonts w:ascii="Book Antiqua" w:eastAsia="OTNEJMQuadraat" w:hAnsi="Book Antiqua" w:cs="OTNEJMQuadraat"/>
          <w:sz w:val="24"/>
          <w:szCs w:val="24"/>
        </w:rPr>
        <w:t xml:space="preserve">. </w:t>
      </w:r>
    </w:p>
    <w:p w14:paraId="2D69CCC6" w14:textId="77777777" w:rsidR="00B96FBA" w:rsidRPr="00A624C2" w:rsidRDefault="00B96FBA" w:rsidP="0028587F">
      <w:pPr>
        <w:autoSpaceDE w:val="0"/>
        <w:autoSpaceDN w:val="0"/>
        <w:adjustRightInd w:val="0"/>
        <w:spacing w:after="0" w:line="360" w:lineRule="auto"/>
        <w:jc w:val="both"/>
        <w:rPr>
          <w:rFonts w:ascii="Book Antiqua" w:eastAsia="宋体" w:hAnsi="Book Antiqua" w:cs="OTNEJMQuadraat"/>
          <w:sz w:val="24"/>
          <w:szCs w:val="24"/>
          <w:lang w:eastAsia="zh-CN"/>
        </w:rPr>
      </w:pPr>
    </w:p>
    <w:p w14:paraId="4EE19EEC" w14:textId="77777777" w:rsidR="00B82674" w:rsidRPr="00A624C2" w:rsidRDefault="003834D4" w:rsidP="0028587F">
      <w:pPr>
        <w:spacing w:after="0" w:line="360" w:lineRule="auto"/>
        <w:jc w:val="both"/>
        <w:rPr>
          <w:rFonts w:ascii="Book Antiqua" w:hAnsi="Book Antiqua"/>
          <w:b/>
          <w:i/>
          <w:sz w:val="24"/>
          <w:szCs w:val="24"/>
        </w:rPr>
      </w:pPr>
      <w:r w:rsidRPr="00A624C2">
        <w:rPr>
          <w:rFonts w:ascii="Book Antiqua" w:hAnsi="Book Antiqua"/>
          <w:b/>
          <w:i/>
          <w:sz w:val="24"/>
          <w:szCs w:val="24"/>
        </w:rPr>
        <w:t>Endoscopic examination</w:t>
      </w:r>
    </w:p>
    <w:p w14:paraId="409A9927" w14:textId="28AB075C" w:rsidR="00B82674" w:rsidRPr="00A624C2" w:rsidRDefault="00C500C6" w:rsidP="0028587F">
      <w:pPr>
        <w:spacing w:after="0" w:line="360" w:lineRule="auto"/>
        <w:jc w:val="both"/>
        <w:rPr>
          <w:rFonts w:ascii="Book Antiqua" w:hAnsi="Book Antiqua"/>
          <w:sz w:val="24"/>
          <w:szCs w:val="24"/>
        </w:rPr>
      </w:pPr>
      <w:r w:rsidRPr="00A624C2">
        <w:rPr>
          <w:rFonts w:ascii="Book Antiqua" w:hAnsi="Book Antiqua"/>
          <w:sz w:val="24"/>
          <w:szCs w:val="24"/>
        </w:rPr>
        <w:t>Ileocolonosc</w:t>
      </w:r>
      <w:r w:rsidR="00295155" w:rsidRPr="00A624C2">
        <w:rPr>
          <w:rFonts w:ascii="Book Antiqua" w:hAnsi="Book Antiqua"/>
          <w:sz w:val="24"/>
          <w:szCs w:val="24"/>
        </w:rPr>
        <w:t>op</w:t>
      </w:r>
      <w:r w:rsidRPr="00A624C2">
        <w:rPr>
          <w:rFonts w:ascii="Book Antiqua" w:hAnsi="Book Antiqua"/>
          <w:sz w:val="24"/>
          <w:szCs w:val="24"/>
        </w:rPr>
        <w:t xml:space="preserve">y was performed at baseline, week 14 and </w:t>
      </w:r>
      <w:r w:rsidR="00B510ED" w:rsidRPr="00A624C2">
        <w:rPr>
          <w:rFonts w:ascii="Book Antiqua" w:eastAsia="OTNEJMQuadraat" w:hAnsi="Book Antiqua" w:cs="OTNEJMQuadraat"/>
          <w:sz w:val="24"/>
          <w:szCs w:val="24"/>
        </w:rPr>
        <w:t>week 46</w:t>
      </w:r>
      <w:r w:rsidR="00FE4AE9" w:rsidRPr="00A624C2">
        <w:rPr>
          <w:rFonts w:ascii="Book Antiqua" w:hAnsi="Book Antiqua"/>
          <w:sz w:val="24"/>
          <w:szCs w:val="24"/>
        </w:rPr>
        <w:t xml:space="preserve">. </w:t>
      </w:r>
      <w:r w:rsidR="007603C0" w:rsidRPr="00A624C2">
        <w:rPr>
          <w:rFonts w:ascii="Book Antiqua" w:hAnsi="Book Antiqua"/>
          <w:sz w:val="24"/>
          <w:szCs w:val="24"/>
        </w:rPr>
        <w:t xml:space="preserve">All </w:t>
      </w:r>
      <w:r w:rsidR="00B510ED" w:rsidRPr="00A624C2">
        <w:rPr>
          <w:rFonts w:ascii="Book Antiqua" w:hAnsi="Book Antiqua"/>
          <w:sz w:val="24"/>
          <w:szCs w:val="24"/>
        </w:rPr>
        <w:t xml:space="preserve">examinations </w:t>
      </w:r>
      <w:r w:rsidRPr="00A624C2">
        <w:rPr>
          <w:rFonts w:ascii="Book Antiqua" w:hAnsi="Book Antiqua"/>
          <w:sz w:val="24"/>
          <w:szCs w:val="24"/>
        </w:rPr>
        <w:t xml:space="preserve">were performed under anesthesia by </w:t>
      </w:r>
      <w:r w:rsidR="00B510ED" w:rsidRPr="00A624C2">
        <w:rPr>
          <w:rFonts w:ascii="Book Antiqua" w:hAnsi="Book Antiqua"/>
          <w:sz w:val="24"/>
          <w:szCs w:val="24"/>
        </w:rPr>
        <w:t xml:space="preserve">an </w:t>
      </w:r>
      <w:r w:rsidR="00870D24" w:rsidRPr="00A624C2">
        <w:rPr>
          <w:rFonts w:ascii="Book Antiqua" w:hAnsi="Book Antiqua"/>
          <w:sz w:val="24"/>
          <w:szCs w:val="24"/>
        </w:rPr>
        <w:t xml:space="preserve">endoscopist </w:t>
      </w:r>
      <w:r w:rsidRPr="00A624C2">
        <w:rPr>
          <w:rFonts w:ascii="Book Antiqua" w:hAnsi="Book Antiqua"/>
          <w:sz w:val="24"/>
          <w:szCs w:val="24"/>
        </w:rPr>
        <w:t xml:space="preserve">experienced </w:t>
      </w:r>
      <w:r w:rsidR="00B510ED" w:rsidRPr="00A624C2">
        <w:rPr>
          <w:rFonts w:ascii="Book Antiqua" w:hAnsi="Book Antiqua"/>
          <w:sz w:val="24"/>
          <w:szCs w:val="24"/>
        </w:rPr>
        <w:t>i</w:t>
      </w:r>
      <w:r w:rsidRPr="00A624C2">
        <w:rPr>
          <w:rFonts w:ascii="Book Antiqua" w:hAnsi="Book Antiqua"/>
          <w:sz w:val="24"/>
          <w:szCs w:val="24"/>
        </w:rPr>
        <w:t>n</w:t>
      </w:r>
      <w:r w:rsidR="00CB1B53" w:rsidRPr="00A624C2">
        <w:rPr>
          <w:rFonts w:ascii="Book Antiqua" w:hAnsi="Book Antiqua"/>
          <w:sz w:val="24"/>
          <w:szCs w:val="24"/>
        </w:rPr>
        <w:t xml:space="preserve"> the</w:t>
      </w:r>
      <w:r w:rsidRPr="00A624C2">
        <w:rPr>
          <w:rFonts w:ascii="Book Antiqua" w:hAnsi="Book Antiqua"/>
          <w:sz w:val="24"/>
          <w:szCs w:val="24"/>
        </w:rPr>
        <w:t xml:space="preserve"> </w:t>
      </w:r>
      <w:r w:rsidR="00CB1B53" w:rsidRPr="00A624C2">
        <w:rPr>
          <w:rFonts w:ascii="Book Antiqua" w:hAnsi="Book Antiqua"/>
          <w:sz w:val="24"/>
          <w:szCs w:val="24"/>
        </w:rPr>
        <w:t xml:space="preserve">assessment of </w:t>
      </w:r>
      <w:r w:rsidR="00036B9B" w:rsidRPr="00A624C2">
        <w:rPr>
          <w:rFonts w:ascii="Book Antiqua" w:hAnsi="Book Antiqua"/>
          <w:sz w:val="24"/>
          <w:szCs w:val="24"/>
        </w:rPr>
        <w:t>IBD</w:t>
      </w:r>
      <w:r w:rsidR="00ED61DC" w:rsidRPr="00A624C2">
        <w:rPr>
          <w:rFonts w:ascii="Book Antiqua" w:hAnsi="Book Antiqua"/>
          <w:sz w:val="24"/>
          <w:szCs w:val="24"/>
        </w:rPr>
        <w:t xml:space="preserve"> </w:t>
      </w:r>
      <w:r w:rsidR="00D85C8B" w:rsidRPr="00A624C2">
        <w:rPr>
          <w:rFonts w:ascii="Book Antiqua" w:hAnsi="Book Antiqua"/>
          <w:sz w:val="24"/>
          <w:szCs w:val="24"/>
        </w:rPr>
        <w:t>(ER, IA, IO)</w:t>
      </w:r>
      <w:r w:rsidRPr="00A624C2">
        <w:rPr>
          <w:rFonts w:ascii="Book Antiqua" w:hAnsi="Book Antiqua"/>
          <w:sz w:val="24"/>
          <w:szCs w:val="24"/>
        </w:rPr>
        <w:t xml:space="preserve">. Quantification of endoscopic </w:t>
      </w:r>
      <w:r w:rsidR="001B4544" w:rsidRPr="00A624C2">
        <w:rPr>
          <w:rFonts w:ascii="Book Antiqua" w:hAnsi="Book Antiqua"/>
          <w:sz w:val="24"/>
          <w:szCs w:val="24"/>
        </w:rPr>
        <w:t xml:space="preserve">disease activity </w:t>
      </w:r>
      <w:r w:rsidRPr="00A624C2">
        <w:rPr>
          <w:rFonts w:ascii="Book Antiqua" w:hAnsi="Book Antiqua"/>
          <w:sz w:val="24"/>
          <w:szCs w:val="24"/>
        </w:rPr>
        <w:t xml:space="preserve">was </w:t>
      </w:r>
      <w:r w:rsidR="00296970" w:rsidRPr="00A624C2">
        <w:rPr>
          <w:rFonts w:ascii="Book Antiqua" w:hAnsi="Book Antiqua"/>
          <w:sz w:val="24"/>
          <w:szCs w:val="24"/>
        </w:rPr>
        <w:t>based on</w:t>
      </w:r>
      <w:r w:rsidR="001B4544" w:rsidRPr="00A624C2">
        <w:rPr>
          <w:rFonts w:ascii="Book Antiqua" w:hAnsi="Book Antiqua"/>
          <w:sz w:val="24"/>
          <w:szCs w:val="24"/>
        </w:rPr>
        <w:t xml:space="preserve"> </w:t>
      </w:r>
      <w:r w:rsidR="00ED61DC" w:rsidRPr="00A624C2">
        <w:rPr>
          <w:rFonts w:ascii="Book Antiqua" w:hAnsi="Book Antiqua"/>
          <w:sz w:val="24"/>
          <w:szCs w:val="24"/>
        </w:rPr>
        <w:t xml:space="preserve">the CDEIS, with measurement of segmental and global scores. </w:t>
      </w:r>
      <w:r w:rsidRPr="00A624C2">
        <w:rPr>
          <w:rFonts w:ascii="Book Antiqua" w:hAnsi="Book Antiqua" w:cs="AdvTT08640291"/>
          <w:sz w:val="24"/>
          <w:szCs w:val="24"/>
        </w:rPr>
        <w:t xml:space="preserve">Investigators </w:t>
      </w:r>
      <w:r w:rsidR="00870D24" w:rsidRPr="00A624C2">
        <w:rPr>
          <w:rFonts w:ascii="Book Antiqua" w:hAnsi="Book Antiqua" w:cs="AdvTT08640291"/>
          <w:sz w:val="24"/>
          <w:szCs w:val="24"/>
        </w:rPr>
        <w:t xml:space="preserve">evaluating </w:t>
      </w:r>
      <w:r w:rsidRPr="00A624C2">
        <w:rPr>
          <w:rFonts w:ascii="Book Antiqua" w:hAnsi="Book Antiqua" w:cs="AdvTT08640291"/>
          <w:sz w:val="24"/>
          <w:szCs w:val="24"/>
        </w:rPr>
        <w:t>the endoscopic lesions were blinded to</w:t>
      </w:r>
      <w:r w:rsidR="00870D24" w:rsidRPr="00A624C2">
        <w:rPr>
          <w:rFonts w:ascii="Book Antiqua" w:hAnsi="Book Antiqua" w:cs="AdvTT08640291"/>
          <w:sz w:val="24"/>
          <w:szCs w:val="24"/>
        </w:rPr>
        <w:t xml:space="preserve"> the</w:t>
      </w:r>
      <w:r w:rsidRPr="00A624C2">
        <w:rPr>
          <w:rFonts w:ascii="Book Antiqua" w:hAnsi="Book Antiqua" w:cs="AdvTT08640291"/>
          <w:sz w:val="24"/>
          <w:szCs w:val="24"/>
        </w:rPr>
        <w:t xml:space="preserve"> patient</w:t>
      </w:r>
      <w:r w:rsidRPr="00A624C2">
        <w:rPr>
          <w:rFonts w:ascii="Book Antiqua" w:hAnsi="Book Antiqua" w:cs="AdvTT08640291+20"/>
          <w:sz w:val="24"/>
          <w:szCs w:val="24"/>
        </w:rPr>
        <w:t>’</w:t>
      </w:r>
      <w:r w:rsidRPr="00A624C2">
        <w:rPr>
          <w:rFonts w:ascii="Book Antiqua" w:hAnsi="Book Antiqua" w:cs="AdvTT08640291"/>
          <w:sz w:val="24"/>
          <w:szCs w:val="24"/>
        </w:rPr>
        <w:t>s symptoms.</w:t>
      </w:r>
      <w:r w:rsidRPr="00A624C2">
        <w:rPr>
          <w:rFonts w:ascii="Book Antiqua" w:hAnsi="Book Antiqua" w:cs="AdvTT08640291"/>
          <w:b/>
          <w:i/>
          <w:sz w:val="24"/>
          <w:szCs w:val="24"/>
        </w:rPr>
        <w:t xml:space="preserve"> </w:t>
      </w:r>
      <w:r w:rsidR="00B82674" w:rsidRPr="00A624C2">
        <w:rPr>
          <w:rFonts w:ascii="Book Antiqua" w:hAnsi="Book Antiqua"/>
          <w:sz w:val="24"/>
          <w:szCs w:val="24"/>
        </w:rPr>
        <w:t>Endoscopic response was defined as a decrease of</w:t>
      </w:r>
      <w:r w:rsidR="00B510ED" w:rsidRPr="00A624C2">
        <w:rPr>
          <w:rFonts w:ascii="Book Antiqua" w:hAnsi="Book Antiqua"/>
          <w:sz w:val="24"/>
          <w:szCs w:val="24"/>
        </w:rPr>
        <w:t xml:space="preserve"> at least </w:t>
      </w:r>
      <w:r w:rsidR="00B82674" w:rsidRPr="00A624C2">
        <w:rPr>
          <w:rFonts w:ascii="Book Antiqua" w:hAnsi="Book Antiqua"/>
          <w:sz w:val="24"/>
          <w:szCs w:val="24"/>
        </w:rPr>
        <w:t xml:space="preserve">50% from baseline </w:t>
      </w:r>
      <w:r w:rsidR="00C2516E" w:rsidRPr="00A624C2">
        <w:rPr>
          <w:rFonts w:ascii="Book Antiqua" w:hAnsi="Book Antiqua"/>
          <w:sz w:val="24"/>
          <w:szCs w:val="24"/>
        </w:rPr>
        <w:t xml:space="preserve">in the global </w:t>
      </w:r>
      <w:r w:rsidR="00B82674" w:rsidRPr="00A624C2">
        <w:rPr>
          <w:rFonts w:ascii="Book Antiqua" w:hAnsi="Book Antiqua"/>
          <w:sz w:val="24"/>
          <w:szCs w:val="24"/>
        </w:rPr>
        <w:t xml:space="preserve">CDEIS and </w:t>
      </w:r>
      <w:r w:rsidR="00F3089F" w:rsidRPr="00A624C2">
        <w:rPr>
          <w:rFonts w:ascii="Book Antiqua" w:hAnsi="Book Antiqua"/>
          <w:sz w:val="24"/>
          <w:szCs w:val="24"/>
        </w:rPr>
        <w:t>MH</w:t>
      </w:r>
      <w:r w:rsidR="00D82D56" w:rsidRPr="00A624C2">
        <w:rPr>
          <w:rFonts w:ascii="Book Antiqua" w:hAnsi="Book Antiqua"/>
          <w:sz w:val="24"/>
          <w:szCs w:val="24"/>
        </w:rPr>
        <w:t xml:space="preserve"> </w:t>
      </w:r>
      <w:r w:rsidR="00B82674" w:rsidRPr="00A624C2">
        <w:rPr>
          <w:rFonts w:ascii="Book Antiqua" w:hAnsi="Book Antiqua"/>
          <w:sz w:val="24"/>
          <w:szCs w:val="24"/>
        </w:rPr>
        <w:t xml:space="preserve">as </w:t>
      </w:r>
      <w:r w:rsidR="00CD44EE" w:rsidRPr="00A624C2">
        <w:rPr>
          <w:rFonts w:ascii="Book Antiqua" w:hAnsi="Book Antiqua"/>
          <w:sz w:val="24"/>
          <w:szCs w:val="24"/>
        </w:rPr>
        <w:t xml:space="preserve">segmental </w:t>
      </w:r>
      <w:r w:rsidR="00367986" w:rsidRPr="00A624C2">
        <w:rPr>
          <w:rFonts w:ascii="Book Antiqua" w:hAnsi="Book Antiqua"/>
          <w:sz w:val="24"/>
          <w:szCs w:val="24"/>
        </w:rPr>
        <w:t xml:space="preserve">CDEIS </w:t>
      </w:r>
      <w:r w:rsidR="00111853" w:rsidRPr="00A624C2">
        <w:rPr>
          <w:rFonts w:ascii="Book Antiqua" w:hAnsi="Book Antiqua"/>
          <w:sz w:val="24"/>
          <w:szCs w:val="24"/>
        </w:rPr>
        <w:t>≤</w:t>
      </w:r>
      <w:r w:rsidR="00FE4AE9" w:rsidRPr="00A624C2">
        <w:rPr>
          <w:rFonts w:ascii="Book Antiqua" w:eastAsia="宋体" w:hAnsi="Book Antiqua"/>
          <w:sz w:val="24"/>
          <w:szCs w:val="24"/>
          <w:lang w:eastAsia="zh-CN"/>
        </w:rPr>
        <w:t xml:space="preserve"> </w:t>
      </w:r>
      <w:r w:rsidR="00367986" w:rsidRPr="00A624C2">
        <w:rPr>
          <w:rFonts w:ascii="Book Antiqua" w:hAnsi="Book Antiqua"/>
          <w:sz w:val="24"/>
          <w:szCs w:val="24"/>
        </w:rPr>
        <w:t>5</w:t>
      </w:r>
      <w:r w:rsidR="0016389B" w:rsidRPr="00A624C2">
        <w:rPr>
          <w:rFonts w:ascii="Book Antiqua" w:hAnsi="Book Antiqua"/>
          <w:sz w:val="24"/>
          <w:szCs w:val="24"/>
        </w:rPr>
        <w:t xml:space="preserve"> in all segments</w:t>
      </w:r>
      <w:r w:rsidR="001C1E2D" w:rsidRPr="00A624C2">
        <w:rPr>
          <w:rFonts w:ascii="Book Antiqua" w:hAnsi="Book Antiqua"/>
          <w:sz w:val="24"/>
          <w:szCs w:val="24"/>
        </w:rPr>
        <w:t>,</w:t>
      </w:r>
      <w:r w:rsidR="00870D24" w:rsidRPr="00A624C2">
        <w:rPr>
          <w:rFonts w:ascii="Book Antiqua" w:hAnsi="Book Antiqua"/>
          <w:sz w:val="24"/>
          <w:szCs w:val="24"/>
        </w:rPr>
        <w:t xml:space="preserve"> which</w:t>
      </w:r>
      <w:r w:rsidR="001C1E2D" w:rsidRPr="00A624C2">
        <w:rPr>
          <w:rFonts w:ascii="Book Antiqua" w:hAnsi="Book Antiqua"/>
          <w:sz w:val="24"/>
          <w:szCs w:val="24"/>
        </w:rPr>
        <w:t xml:space="preserve"> </w:t>
      </w:r>
      <w:r w:rsidR="00ED61DC" w:rsidRPr="00A624C2">
        <w:rPr>
          <w:rFonts w:ascii="Book Antiqua" w:hAnsi="Book Antiqua"/>
          <w:sz w:val="24"/>
          <w:szCs w:val="24"/>
        </w:rPr>
        <w:t>implies</w:t>
      </w:r>
      <w:r w:rsidR="00870D24" w:rsidRPr="00A624C2">
        <w:rPr>
          <w:rFonts w:ascii="Book Antiqua" w:hAnsi="Book Antiqua"/>
          <w:sz w:val="24"/>
          <w:szCs w:val="24"/>
        </w:rPr>
        <w:t xml:space="preserve"> the</w:t>
      </w:r>
      <w:r w:rsidR="00ED61DC" w:rsidRPr="00A624C2">
        <w:rPr>
          <w:rFonts w:ascii="Book Antiqua" w:hAnsi="Book Antiqua"/>
          <w:sz w:val="24"/>
          <w:szCs w:val="24"/>
        </w:rPr>
        <w:t xml:space="preserve"> </w:t>
      </w:r>
      <w:r w:rsidR="00367986" w:rsidRPr="00A624C2">
        <w:rPr>
          <w:rFonts w:ascii="Book Antiqua" w:hAnsi="Book Antiqua" w:cs="AdvOT602ae986"/>
          <w:sz w:val="24"/>
          <w:szCs w:val="24"/>
        </w:rPr>
        <w:t>disappearance of mucosal ulcerations</w:t>
      </w:r>
      <w:r w:rsidR="00B82674" w:rsidRPr="00A624C2">
        <w:rPr>
          <w:rFonts w:ascii="Book Antiqua" w:hAnsi="Book Antiqua"/>
          <w:sz w:val="24"/>
          <w:szCs w:val="24"/>
        </w:rPr>
        <w:t>.</w:t>
      </w:r>
    </w:p>
    <w:p w14:paraId="3B0264BE" w14:textId="77777777" w:rsidR="001B4544" w:rsidRPr="00A624C2" w:rsidRDefault="001B4544" w:rsidP="0028587F">
      <w:pPr>
        <w:spacing w:after="0" w:line="360" w:lineRule="auto"/>
        <w:jc w:val="both"/>
        <w:rPr>
          <w:rFonts w:ascii="Book Antiqua" w:eastAsia="宋体" w:hAnsi="Book Antiqua"/>
          <w:b/>
          <w:sz w:val="24"/>
          <w:szCs w:val="24"/>
          <w:lang w:eastAsia="zh-CN"/>
        </w:rPr>
      </w:pPr>
    </w:p>
    <w:p w14:paraId="65DFAB82" w14:textId="77777777" w:rsidR="0073617B" w:rsidRPr="00A624C2" w:rsidRDefault="009D76EF" w:rsidP="0028587F">
      <w:pPr>
        <w:spacing w:after="0" w:line="360" w:lineRule="auto"/>
        <w:jc w:val="both"/>
        <w:rPr>
          <w:rFonts w:ascii="Book Antiqua" w:hAnsi="Book Antiqua"/>
          <w:b/>
          <w:i/>
          <w:sz w:val="24"/>
          <w:szCs w:val="24"/>
        </w:rPr>
      </w:pPr>
      <w:r w:rsidRPr="00A624C2">
        <w:rPr>
          <w:rFonts w:ascii="Book Antiqua" w:hAnsi="Book Antiqua"/>
          <w:b/>
          <w:i/>
          <w:sz w:val="24"/>
          <w:szCs w:val="24"/>
        </w:rPr>
        <w:t>Statistical</w:t>
      </w:r>
      <w:r w:rsidR="0073617B" w:rsidRPr="00A624C2">
        <w:rPr>
          <w:rFonts w:ascii="Book Antiqua" w:hAnsi="Book Antiqua"/>
          <w:b/>
          <w:i/>
          <w:sz w:val="24"/>
          <w:szCs w:val="24"/>
        </w:rPr>
        <w:t xml:space="preserve"> analysis</w:t>
      </w:r>
    </w:p>
    <w:p w14:paraId="3B06C41F" w14:textId="4A01E998" w:rsidR="006A5AA9" w:rsidRPr="00A624C2" w:rsidRDefault="00AD64E0" w:rsidP="0028587F">
      <w:pPr>
        <w:spacing w:after="0" w:line="360" w:lineRule="auto"/>
        <w:jc w:val="both"/>
        <w:rPr>
          <w:rFonts w:ascii="Book Antiqua" w:eastAsia="宋体" w:hAnsi="Book Antiqua"/>
          <w:sz w:val="24"/>
          <w:szCs w:val="24"/>
          <w:lang w:eastAsia="zh-CN"/>
        </w:rPr>
      </w:pPr>
      <w:r w:rsidRPr="00A624C2">
        <w:rPr>
          <w:rFonts w:ascii="Book Antiqua" w:hAnsi="Book Antiqua"/>
          <w:sz w:val="24"/>
          <w:szCs w:val="24"/>
        </w:rPr>
        <w:t>A formal s</w:t>
      </w:r>
      <w:r w:rsidR="00124387" w:rsidRPr="00A624C2">
        <w:rPr>
          <w:rFonts w:ascii="Book Antiqua" w:hAnsi="Book Antiqua"/>
          <w:sz w:val="24"/>
          <w:szCs w:val="24"/>
        </w:rPr>
        <w:t xml:space="preserve">ample-size calculation was not performed. </w:t>
      </w:r>
      <w:r w:rsidRPr="00A624C2">
        <w:rPr>
          <w:rFonts w:ascii="Book Antiqua" w:hAnsi="Book Antiqua"/>
          <w:sz w:val="24"/>
          <w:szCs w:val="24"/>
        </w:rPr>
        <w:t xml:space="preserve">Precision of the predictors identified is provided by 95% confidence intervals. </w:t>
      </w:r>
      <w:r w:rsidR="003734E9" w:rsidRPr="00A624C2">
        <w:rPr>
          <w:rFonts w:ascii="Book Antiqua" w:hAnsi="Book Antiqua"/>
          <w:sz w:val="24"/>
          <w:szCs w:val="24"/>
        </w:rPr>
        <w:t xml:space="preserve">Quantitative variables are expressed as mean. Percentages are given for discrete variables. </w:t>
      </w:r>
      <w:r w:rsidR="00B510ED" w:rsidRPr="00A624C2">
        <w:rPr>
          <w:rFonts w:ascii="Book Antiqua" w:hAnsi="Book Antiqua"/>
          <w:sz w:val="24"/>
          <w:szCs w:val="24"/>
        </w:rPr>
        <w:t xml:space="preserve">Analyses were performed according to the intention-to-treat principle including all recruited patients. </w:t>
      </w:r>
      <w:r w:rsidR="002C726B" w:rsidRPr="00A624C2">
        <w:rPr>
          <w:rFonts w:ascii="Book Antiqua" w:hAnsi="Book Antiqua"/>
          <w:sz w:val="24"/>
          <w:szCs w:val="24"/>
        </w:rPr>
        <w:t>Patients with missing data were c</w:t>
      </w:r>
      <w:r w:rsidR="00870D24" w:rsidRPr="00A624C2">
        <w:rPr>
          <w:rFonts w:ascii="Book Antiqua" w:hAnsi="Book Antiqua"/>
          <w:sz w:val="24"/>
          <w:szCs w:val="24"/>
        </w:rPr>
        <w:t xml:space="preserve">lassified as </w:t>
      </w:r>
      <w:r w:rsidR="002C726B" w:rsidRPr="00A624C2">
        <w:rPr>
          <w:rFonts w:ascii="Book Antiqua" w:hAnsi="Book Antiqua"/>
          <w:sz w:val="24"/>
          <w:szCs w:val="24"/>
        </w:rPr>
        <w:t>non</w:t>
      </w:r>
      <w:r w:rsidR="004D6D35" w:rsidRPr="00A624C2">
        <w:rPr>
          <w:rFonts w:ascii="Book Antiqua" w:hAnsi="Book Antiqua"/>
          <w:sz w:val="24"/>
          <w:szCs w:val="24"/>
        </w:rPr>
        <w:t>-</w:t>
      </w:r>
      <w:r w:rsidR="002C726B" w:rsidRPr="00A624C2">
        <w:rPr>
          <w:rFonts w:ascii="Book Antiqua" w:hAnsi="Book Antiqua"/>
          <w:sz w:val="24"/>
          <w:szCs w:val="24"/>
        </w:rPr>
        <w:t>responders for clinical and endoscopic outcomes</w:t>
      </w:r>
      <w:r w:rsidR="00B25F29" w:rsidRPr="00A624C2">
        <w:rPr>
          <w:rFonts w:ascii="Book Antiqua" w:hAnsi="Book Antiqua"/>
          <w:sz w:val="24"/>
          <w:szCs w:val="24"/>
        </w:rPr>
        <w:t xml:space="preserve"> (Non-response </w:t>
      </w:r>
      <w:r w:rsidR="00331B9F" w:rsidRPr="00A624C2">
        <w:rPr>
          <w:rFonts w:ascii="Book Antiqua" w:hAnsi="Book Antiqua"/>
          <w:sz w:val="24"/>
          <w:szCs w:val="24"/>
        </w:rPr>
        <w:t>imputation</w:t>
      </w:r>
      <w:r w:rsidR="00B25F29" w:rsidRPr="00A624C2">
        <w:rPr>
          <w:rFonts w:ascii="Book Antiqua" w:hAnsi="Book Antiqua"/>
          <w:sz w:val="24"/>
          <w:szCs w:val="24"/>
        </w:rPr>
        <w:t>)</w:t>
      </w:r>
      <w:r w:rsidR="002C726B" w:rsidRPr="00A624C2">
        <w:rPr>
          <w:rFonts w:ascii="Book Antiqua" w:hAnsi="Book Antiqua"/>
          <w:sz w:val="24"/>
          <w:szCs w:val="24"/>
        </w:rPr>
        <w:t xml:space="preserve">. </w:t>
      </w:r>
      <w:r w:rsidR="00B25F29" w:rsidRPr="00A624C2">
        <w:rPr>
          <w:rFonts w:ascii="Book Antiqua" w:hAnsi="Book Antiqua"/>
          <w:sz w:val="24"/>
          <w:szCs w:val="24"/>
        </w:rPr>
        <w:t>Missing q</w:t>
      </w:r>
      <w:r w:rsidR="002C726B" w:rsidRPr="00A624C2">
        <w:rPr>
          <w:rFonts w:ascii="Book Antiqua" w:hAnsi="Book Antiqua"/>
          <w:sz w:val="24"/>
          <w:szCs w:val="24"/>
        </w:rPr>
        <w:t xml:space="preserve">uantitative data at </w:t>
      </w:r>
      <w:r w:rsidR="004D6D35" w:rsidRPr="00A624C2">
        <w:rPr>
          <w:rFonts w:ascii="Book Antiqua" w:hAnsi="Book Antiqua"/>
          <w:sz w:val="24"/>
          <w:szCs w:val="24"/>
        </w:rPr>
        <w:t xml:space="preserve">different </w:t>
      </w:r>
      <w:r w:rsidR="002C726B" w:rsidRPr="00A624C2">
        <w:rPr>
          <w:rFonts w:ascii="Book Antiqua" w:hAnsi="Book Antiqua"/>
          <w:sz w:val="24"/>
          <w:szCs w:val="24"/>
        </w:rPr>
        <w:t xml:space="preserve">time points </w:t>
      </w:r>
      <w:r w:rsidR="00B25F29" w:rsidRPr="00A624C2">
        <w:rPr>
          <w:rFonts w:ascii="Book Antiqua" w:hAnsi="Book Antiqua"/>
          <w:sz w:val="24"/>
          <w:szCs w:val="24"/>
        </w:rPr>
        <w:t>was imputed using the last observation carried forward</w:t>
      </w:r>
      <w:r w:rsidR="002C726B" w:rsidRPr="00A624C2">
        <w:rPr>
          <w:rFonts w:ascii="Book Antiqua" w:hAnsi="Book Antiqua"/>
          <w:sz w:val="24"/>
          <w:szCs w:val="24"/>
        </w:rPr>
        <w:t>.</w:t>
      </w:r>
      <w:r w:rsidR="00842A29" w:rsidRPr="00A624C2">
        <w:rPr>
          <w:rFonts w:ascii="Book Antiqua" w:hAnsi="Book Antiqua"/>
          <w:sz w:val="24"/>
          <w:szCs w:val="24"/>
        </w:rPr>
        <w:t xml:space="preserve"> </w:t>
      </w:r>
      <w:r w:rsidR="003D7E39" w:rsidRPr="00A624C2">
        <w:rPr>
          <w:rFonts w:ascii="Book Antiqua" w:hAnsi="Book Antiqua"/>
          <w:sz w:val="24"/>
          <w:szCs w:val="24"/>
        </w:rPr>
        <w:t>For identification of clinical, biological and endoscopic predictors of endoscopic response, l</w:t>
      </w:r>
      <w:r w:rsidR="009D76EF" w:rsidRPr="00A624C2">
        <w:rPr>
          <w:rFonts w:ascii="Book Antiqua" w:hAnsi="Book Antiqua"/>
          <w:sz w:val="24"/>
          <w:szCs w:val="24"/>
        </w:rPr>
        <w:t>ogistic regression</w:t>
      </w:r>
      <w:r w:rsidR="00B510ED" w:rsidRPr="00A624C2">
        <w:rPr>
          <w:rFonts w:ascii="Book Antiqua" w:hAnsi="Book Antiqua"/>
          <w:sz w:val="24"/>
          <w:szCs w:val="24"/>
        </w:rPr>
        <w:t xml:space="preserve"> analysis</w:t>
      </w:r>
      <w:r w:rsidR="009D76EF" w:rsidRPr="00A624C2">
        <w:rPr>
          <w:rFonts w:ascii="Book Antiqua" w:hAnsi="Book Antiqua"/>
          <w:sz w:val="24"/>
          <w:szCs w:val="24"/>
        </w:rPr>
        <w:t xml:space="preserve"> was </w:t>
      </w:r>
      <w:r w:rsidR="003D7E39" w:rsidRPr="00A624C2">
        <w:rPr>
          <w:rFonts w:ascii="Book Antiqua" w:hAnsi="Book Antiqua"/>
          <w:sz w:val="24"/>
          <w:szCs w:val="24"/>
        </w:rPr>
        <w:t>performed.</w:t>
      </w:r>
      <w:r w:rsidR="00F20E3B" w:rsidRPr="00A624C2">
        <w:rPr>
          <w:rFonts w:ascii="Book Antiqua" w:hAnsi="Book Antiqua"/>
          <w:sz w:val="24"/>
          <w:szCs w:val="24"/>
        </w:rPr>
        <w:t xml:space="preserve"> </w:t>
      </w:r>
      <w:r w:rsidR="00124387" w:rsidRPr="00A624C2">
        <w:rPr>
          <w:rFonts w:ascii="Book Antiqua" w:hAnsi="Book Antiqua" w:cs="Arial"/>
          <w:sz w:val="24"/>
          <w:szCs w:val="24"/>
        </w:rPr>
        <w:t>A receiver operating characteristic</w:t>
      </w:r>
      <w:r w:rsidR="00842A29" w:rsidRPr="00A624C2">
        <w:rPr>
          <w:rFonts w:ascii="Book Antiqua" w:hAnsi="Book Antiqua" w:cs="Arial"/>
          <w:sz w:val="24"/>
          <w:szCs w:val="24"/>
        </w:rPr>
        <w:t xml:space="preserve"> (ROC)</w:t>
      </w:r>
      <w:r w:rsidR="00124387" w:rsidRPr="00A624C2">
        <w:rPr>
          <w:rFonts w:ascii="Book Antiqua" w:hAnsi="Book Antiqua" w:cs="Arial"/>
          <w:sz w:val="24"/>
          <w:szCs w:val="24"/>
        </w:rPr>
        <w:t xml:space="preserve"> curve was constructed to determine the</w:t>
      </w:r>
      <w:r w:rsidR="009D76EF" w:rsidRPr="00A624C2">
        <w:rPr>
          <w:rFonts w:ascii="Book Antiqua" w:hAnsi="Book Antiqua" w:cs="Arial"/>
          <w:sz w:val="24"/>
          <w:szCs w:val="24"/>
        </w:rPr>
        <w:t xml:space="preserve"> </w:t>
      </w:r>
      <w:r w:rsidR="00124387" w:rsidRPr="00A624C2">
        <w:rPr>
          <w:rFonts w:ascii="Book Antiqua" w:hAnsi="Book Antiqua" w:cs="Arial"/>
          <w:sz w:val="24"/>
          <w:szCs w:val="24"/>
        </w:rPr>
        <w:t xml:space="preserve">best cut-off value for predicting </w:t>
      </w:r>
      <w:r w:rsidR="00F3089F" w:rsidRPr="00A624C2">
        <w:rPr>
          <w:rFonts w:ascii="Book Antiqua" w:hAnsi="Book Antiqua"/>
          <w:sz w:val="24"/>
          <w:szCs w:val="24"/>
        </w:rPr>
        <w:t>MH</w:t>
      </w:r>
      <w:r w:rsidR="00D82D56" w:rsidRPr="00A624C2">
        <w:rPr>
          <w:rFonts w:ascii="Book Antiqua" w:hAnsi="Book Antiqua" w:cs="Arial"/>
          <w:sz w:val="24"/>
          <w:szCs w:val="24"/>
        </w:rPr>
        <w:t xml:space="preserve"> </w:t>
      </w:r>
      <w:r w:rsidR="003D7E39" w:rsidRPr="00A624C2">
        <w:rPr>
          <w:rFonts w:ascii="Book Antiqua" w:hAnsi="Book Antiqua" w:cs="Arial"/>
          <w:sz w:val="24"/>
          <w:szCs w:val="24"/>
        </w:rPr>
        <w:t xml:space="preserve">after </w:t>
      </w:r>
      <w:r w:rsidR="009D76EF" w:rsidRPr="00A624C2">
        <w:rPr>
          <w:rFonts w:ascii="Book Antiqua" w:hAnsi="Book Antiqua" w:cs="Arial"/>
          <w:sz w:val="24"/>
          <w:szCs w:val="24"/>
        </w:rPr>
        <w:t>one year of treatment.</w:t>
      </w:r>
      <w:r w:rsidR="00842A29" w:rsidRPr="00A624C2">
        <w:rPr>
          <w:rFonts w:ascii="Book Antiqua" w:hAnsi="Book Antiqua" w:cs="Arial"/>
          <w:sz w:val="24"/>
          <w:szCs w:val="24"/>
        </w:rPr>
        <w:t xml:space="preserve"> </w:t>
      </w:r>
      <w:r w:rsidR="00E2530A" w:rsidRPr="00A624C2">
        <w:rPr>
          <w:rFonts w:ascii="Book Antiqua" w:hAnsi="Book Antiqua" w:cs="Arial"/>
          <w:sz w:val="24"/>
          <w:szCs w:val="24"/>
        </w:rPr>
        <w:t>Spearman rank-order correlation coefficient was performed to identify association between variables.</w:t>
      </w:r>
      <w:r w:rsidR="00842A29" w:rsidRPr="00A624C2">
        <w:rPr>
          <w:rFonts w:ascii="Book Antiqua" w:hAnsi="Book Antiqua"/>
          <w:sz w:val="24"/>
          <w:szCs w:val="24"/>
        </w:rPr>
        <w:t xml:space="preserve"> </w:t>
      </w:r>
      <w:r w:rsidR="00ED61DC" w:rsidRPr="00A624C2">
        <w:rPr>
          <w:rFonts w:ascii="Book Antiqua" w:hAnsi="Book Antiqua"/>
          <w:sz w:val="24"/>
          <w:szCs w:val="24"/>
        </w:rPr>
        <w:t>S</w:t>
      </w:r>
      <w:r w:rsidR="00ED61DC" w:rsidRPr="00A624C2">
        <w:rPr>
          <w:rFonts w:ascii="Book Antiqua" w:hAnsi="Book Antiqua" w:cs="Arial"/>
          <w:sz w:val="24"/>
          <w:szCs w:val="24"/>
        </w:rPr>
        <w:t xml:space="preserve">tatistical significance was set at </w:t>
      </w:r>
      <w:r w:rsidR="00FE4AE9" w:rsidRPr="00A624C2">
        <w:rPr>
          <w:rFonts w:ascii="Book Antiqua" w:hAnsi="Book Antiqua" w:cs="Arial"/>
          <w:i/>
          <w:sz w:val="24"/>
          <w:szCs w:val="24"/>
        </w:rPr>
        <w:t xml:space="preserve">P </w:t>
      </w:r>
      <w:r w:rsidR="00ED61DC" w:rsidRPr="00A624C2">
        <w:rPr>
          <w:rFonts w:ascii="Book Antiqua" w:hAnsi="Book Antiqua" w:cs="Arial"/>
          <w:sz w:val="24"/>
          <w:szCs w:val="24"/>
        </w:rPr>
        <w:t xml:space="preserve">&lt; 0.05 for all tests.  </w:t>
      </w:r>
      <w:r w:rsidR="00ED61DC" w:rsidRPr="00A624C2">
        <w:rPr>
          <w:rFonts w:ascii="Book Antiqua" w:hAnsi="Book Antiqua"/>
          <w:sz w:val="24"/>
          <w:szCs w:val="24"/>
        </w:rPr>
        <w:t>Statistical analysis was performed using the statistical package SPSS V.23.</w:t>
      </w:r>
      <w:r w:rsidR="00FE4AE9" w:rsidRPr="00A624C2">
        <w:rPr>
          <w:rFonts w:ascii="Book Antiqua" w:eastAsia="宋体" w:hAnsi="Book Antiqua"/>
          <w:sz w:val="24"/>
          <w:szCs w:val="24"/>
          <w:lang w:eastAsia="zh-CN"/>
        </w:rPr>
        <w:t xml:space="preserve"> </w:t>
      </w:r>
      <w:r w:rsidR="00996EC9" w:rsidRPr="00A624C2">
        <w:rPr>
          <w:rFonts w:ascii="Book Antiqua" w:hAnsi="Book Antiqua"/>
          <w:sz w:val="24"/>
          <w:szCs w:val="24"/>
        </w:rPr>
        <w:t>The Statistical met</w:t>
      </w:r>
      <w:r w:rsidR="006A5AA9" w:rsidRPr="00A624C2">
        <w:rPr>
          <w:rFonts w:ascii="Book Antiqua" w:hAnsi="Book Antiqua"/>
          <w:sz w:val="24"/>
          <w:szCs w:val="24"/>
        </w:rPr>
        <w:t>h</w:t>
      </w:r>
      <w:r w:rsidR="00996EC9" w:rsidRPr="00A624C2">
        <w:rPr>
          <w:rFonts w:ascii="Book Antiqua" w:hAnsi="Book Antiqua"/>
          <w:sz w:val="24"/>
          <w:szCs w:val="24"/>
        </w:rPr>
        <w:t>o</w:t>
      </w:r>
      <w:r w:rsidR="006A5AA9" w:rsidRPr="00A624C2">
        <w:rPr>
          <w:rFonts w:ascii="Book Antiqua" w:hAnsi="Book Antiqua"/>
          <w:sz w:val="24"/>
          <w:szCs w:val="24"/>
        </w:rPr>
        <w:t>ds of this study were review by  one of the aut</w:t>
      </w:r>
      <w:r w:rsidR="00767959" w:rsidRPr="00A624C2">
        <w:rPr>
          <w:rFonts w:ascii="Book Antiqua" w:hAnsi="Book Antiqua"/>
          <w:sz w:val="24"/>
          <w:szCs w:val="24"/>
        </w:rPr>
        <w:t>ho</w:t>
      </w:r>
      <w:r w:rsidR="006A5AA9" w:rsidRPr="00A624C2">
        <w:rPr>
          <w:rFonts w:ascii="Book Antiqua" w:hAnsi="Book Antiqua"/>
          <w:sz w:val="24"/>
          <w:szCs w:val="24"/>
        </w:rPr>
        <w:t>rs (Ingrid Ordas).</w:t>
      </w:r>
    </w:p>
    <w:p w14:paraId="76DFE172" w14:textId="77777777" w:rsidR="00842A29" w:rsidRPr="00A624C2" w:rsidRDefault="00842A29" w:rsidP="0028587F">
      <w:pPr>
        <w:spacing w:after="0" w:line="360" w:lineRule="auto"/>
        <w:jc w:val="both"/>
        <w:rPr>
          <w:rFonts w:ascii="Book Antiqua" w:eastAsia="宋体" w:hAnsi="Book Antiqua"/>
          <w:b/>
          <w:sz w:val="24"/>
          <w:szCs w:val="24"/>
          <w:lang w:eastAsia="zh-CN"/>
        </w:rPr>
      </w:pPr>
    </w:p>
    <w:p w14:paraId="05D8CB21" w14:textId="77777777" w:rsidR="00896FCC" w:rsidRPr="00A624C2" w:rsidRDefault="0073617B" w:rsidP="0028587F">
      <w:pPr>
        <w:spacing w:after="0" w:line="360" w:lineRule="auto"/>
        <w:jc w:val="both"/>
        <w:rPr>
          <w:rFonts w:ascii="Book Antiqua" w:hAnsi="Book Antiqua"/>
          <w:b/>
          <w:sz w:val="24"/>
          <w:szCs w:val="24"/>
        </w:rPr>
      </w:pPr>
      <w:r w:rsidRPr="00A624C2">
        <w:rPr>
          <w:rFonts w:ascii="Book Antiqua" w:hAnsi="Book Antiqua"/>
          <w:b/>
          <w:sz w:val="24"/>
          <w:szCs w:val="24"/>
        </w:rPr>
        <w:t>RESULTS</w:t>
      </w:r>
    </w:p>
    <w:p w14:paraId="68F55613" w14:textId="0CCA9F40" w:rsidR="00141090" w:rsidRPr="00A624C2" w:rsidRDefault="003D7E39" w:rsidP="0028587F">
      <w:pPr>
        <w:spacing w:after="0" w:line="360" w:lineRule="auto"/>
        <w:jc w:val="both"/>
        <w:rPr>
          <w:rFonts w:ascii="Book Antiqua" w:hAnsi="Book Antiqua"/>
          <w:b/>
          <w:sz w:val="24"/>
          <w:szCs w:val="24"/>
        </w:rPr>
      </w:pPr>
      <w:r w:rsidRPr="00A624C2">
        <w:rPr>
          <w:rFonts w:ascii="Book Antiqua" w:hAnsi="Book Antiqua"/>
          <w:sz w:val="24"/>
          <w:szCs w:val="24"/>
        </w:rPr>
        <w:t xml:space="preserve">From </w:t>
      </w:r>
      <w:r w:rsidR="00B96FBA" w:rsidRPr="00A624C2">
        <w:rPr>
          <w:rFonts w:ascii="Book Antiqua" w:hAnsi="Book Antiqua"/>
          <w:sz w:val="24"/>
          <w:szCs w:val="24"/>
        </w:rPr>
        <w:t>100</w:t>
      </w:r>
      <w:r w:rsidRPr="00A624C2">
        <w:rPr>
          <w:rFonts w:ascii="Book Antiqua" w:hAnsi="Book Antiqua"/>
          <w:sz w:val="24"/>
          <w:szCs w:val="24"/>
        </w:rPr>
        <w:t xml:space="preserve"> potentially eligible patients </w:t>
      </w:r>
      <w:r w:rsidR="00C605AF" w:rsidRPr="00A624C2">
        <w:rPr>
          <w:rFonts w:ascii="Book Antiqua" w:hAnsi="Book Antiqua"/>
          <w:sz w:val="24"/>
          <w:szCs w:val="24"/>
        </w:rPr>
        <w:t>with</w:t>
      </w:r>
      <w:r w:rsidRPr="00A624C2">
        <w:rPr>
          <w:rFonts w:ascii="Book Antiqua" w:hAnsi="Book Antiqua"/>
          <w:sz w:val="24"/>
          <w:szCs w:val="24"/>
        </w:rPr>
        <w:t xml:space="preserve"> clinical</w:t>
      </w:r>
      <w:r w:rsidR="00C605AF" w:rsidRPr="00A624C2">
        <w:rPr>
          <w:rFonts w:ascii="Book Antiqua" w:hAnsi="Book Antiqua"/>
          <w:sz w:val="24"/>
          <w:szCs w:val="24"/>
        </w:rPr>
        <w:t>ly</w:t>
      </w:r>
      <w:r w:rsidRPr="00A624C2">
        <w:rPr>
          <w:rFonts w:ascii="Book Antiqua" w:hAnsi="Book Antiqua"/>
          <w:sz w:val="24"/>
          <w:szCs w:val="24"/>
        </w:rPr>
        <w:t xml:space="preserve"> active disease, </w:t>
      </w:r>
      <w:r w:rsidR="00B96FBA" w:rsidRPr="00A624C2">
        <w:rPr>
          <w:rFonts w:ascii="Book Antiqua" w:hAnsi="Book Antiqua"/>
          <w:sz w:val="24"/>
          <w:szCs w:val="24"/>
        </w:rPr>
        <w:t>62</w:t>
      </w:r>
      <w:r w:rsidR="00FE4AE9" w:rsidRPr="00A624C2">
        <w:rPr>
          <w:rFonts w:ascii="Book Antiqua" w:hAnsi="Book Antiqua"/>
          <w:sz w:val="24"/>
          <w:szCs w:val="24"/>
        </w:rPr>
        <w:t xml:space="preserve"> were finally included. </w:t>
      </w:r>
      <w:r w:rsidR="007F3C2A" w:rsidRPr="00A624C2">
        <w:rPr>
          <w:rFonts w:ascii="Book Antiqua" w:hAnsi="Book Antiqua"/>
          <w:sz w:val="24"/>
          <w:szCs w:val="24"/>
        </w:rPr>
        <w:t xml:space="preserve">Thirty </w:t>
      </w:r>
      <w:r w:rsidR="00B91BE6" w:rsidRPr="00A624C2">
        <w:rPr>
          <w:rFonts w:ascii="Book Antiqua" w:hAnsi="Book Antiqua"/>
          <w:sz w:val="24"/>
          <w:szCs w:val="24"/>
        </w:rPr>
        <w:t>eight</w:t>
      </w:r>
      <w:r w:rsidR="00C605AF" w:rsidRPr="00A624C2">
        <w:rPr>
          <w:rFonts w:ascii="Book Antiqua" w:hAnsi="Book Antiqua"/>
          <w:sz w:val="24"/>
          <w:szCs w:val="24"/>
        </w:rPr>
        <w:t xml:space="preserve"> </w:t>
      </w:r>
      <w:r w:rsidRPr="00A624C2">
        <w:rPr>
          <w:rFonts w:ascii="Book Antiqua" w:hAnsi="Book Antiqua"/>
          <w:sz w:val="24"/>
          <w:szCs w:val="24"/>
        </w:rPr>
        <w:t>patients were excluded</w:t>
      </w:r>
      <w:r w:rsidR="00C605AF" w:rsidRPr="00A624C2">
        <w:rPr>
          <w:rFonts w:ascii="Book Antiqua" w:hAnsi="Book Antiqua"/>
          <w:sz w:val="24"/>
          <w:szCs w:val="24"/>
        </w:rPr>
        <w:t xml:space="preserve"> for the following reasons:</w:t>
      </w:r>
      <w:r w:rsidR="00EE33D3" w:rsidRPr="00A624C2">
        <w:rPr>
          <w:rFonts w:ascii="Book Antiqua" w:hAnsi="Book Antiqua"/>
          <w:sz w:val="24"/>
          <w:szCs w:val="24"/>
        </w:rPr>
        <w:t xml:space="preserve"> colonoscopy </w:t>
      </w:r>
      <w:r w:rsidR="00EE33D3" w:rsidRPr="00A624C2">
        <w:rPr>
          <w:rFonts w:ascii="Book Antiqua" w:hAnsi="Book Antiqua"/>
          <w:sz w:val="24"/>
          <w:szCs w:val="24"/>
        </w:rPr>
        <w:lastRenderedPageBreak/>
        <w:t>could not reach the affected area (</w:t>
      </w:r>
      <w:r w:rsidR="00EE33D3" w:rsidRPr="00A624C2">
        <w:rPr>
          <w:rFonts w:ascii="Book Antiqua" w:hAnsi="Book Antiqua"/>
          <w:i/>
          <w:sz w:val="24"/>
          <w:szCs w:val="24"/>
        </w:rPr>
        <w:t>n</w:t>
      </w:r>
      <w:r w:rsidR="00FE4AE9" w:rsidRPr="00A624C2">
        <w:rPr>
          <w:rFonts w:ascii="Book Antiqua" w:eastAsia="宋体" w:hAnsi="Book Antiqua"/>
          <w:sz w:val="24"/>
          <w:szCs w:val="24"/>
          <w:lang w:eastAsia="zh-CN"/>
        </w:rPr>
        <w:t xml:space="preserve"> </w:t>
      </w:r>
      <w:r w:rsidR="00EE33D3" w:rsidRPr="00A624C2">
        <w:rPr>
          <w:rFonts w:ascii="Book Antiqua" w:hAnsi="Book Antiqua"/>
          <w:sz w:val="24"/>
          <w:szCs w:val="24"/>
        </w:rPr>
        <w:t>=</w:t>
      </w:r>
      <w:r w:rsidR="00FE4AE9" w:rsidRPr="00A624C2">
        <w:rPr>
          <w:rFonts w:ascii="Book Antiqua" w:eastAsia="宋体" w:hAnsi="Book Antiqua"/>
          <w:sz w:val="24"/>
          <w:szCs w:val="24"/>
          <w:lang w:eastAsia="zh-CN"/>
        </w:rPr>
        <w:t xml:space="preserve"> </w:t>
      </w:r>
      <w:r w:rsidR="00EE33D3" w:rsidRPr="00A624C2">
        <w:rPr>
          <w:rFonts w:ascii="Book Antiqua" w:hAnsi="Book Antiqua"/>
          <w:sz w:val="24"/>
          <w:szCs w:val="24"/>
        </w:rPr>
        <w:t>14)</w:t>
      </w:r>
      <w:r w:rsidR="00870D24" w:rsidRPr="00A624C2">
        <w:rPr>
          <w:rFonts w:ascii="Book Antiqua" w:hAnsi="Book Antiqua"/>
          <w:sz w:val="24"/>
          <w:szCs w:val="24"/>
        </w:rPr>
        <w:t xml:space="preserve">, </w:t>
      </w:r>
      <w:r w:rsidR="007F3C2A" w:rsidRPr="00A624C2">
        <w:rPr>
          <w:rFonts w:ascii="Book Antiqua" w:hAnsi="Book Antiqua"/>
          <w:sz w:val="24"/>
          <w:szCs w:val="24"/>
        </w:rPr>
        <w:t>absence or mild endoscopic activity with a</w:t>
      </w:r>
      <w:r w:rsidR="006A0282" w:rsidRPr="00A624C2">
        <w:rPr>
          <w:rFonts w:ascii="Book Antiqua" w:hAnsi="Book Antiqua"/>
          <w:sz w:val="24"/>
          <w:szCs w:val="24"/>
        </w:rPr>
        <w:t xml:space="preserve">ll </w:t>
      </w:r>
      <w:r w:rsidR="007F3C2A" w:rsidRPr="00A624C2">
        <w:rPr>
          <w:rFonts w:ascii="Book Antiqua" w:hAnsi="Book Antiqua"/>
          <w:sz w:val="24"/>
          <w:szCs w:val="24"/>
        </w:rPr>
        <w:t>segmental CDEIS &lt;</w:t>
      </w:r>
      <w:r w:rsidR="00FE4AE9" w:rsidRPr="00A624C2">
        <w:rPr>
          <w:rFonts w:ascii="Book Antiqua" w:eastAsia="宋体" w:hAnsi="Book Antiqua"/>
          <w:sz w:val="24"/>
          <w:szCs w:val="24"/>
          <w:lang w:eastAsia="zh-CN"/>
        </w:rPr>
        <w:t xml:space="preserve"> </w:t>
      </w:r>
      <w:r w:rsidR="007F3C2A" w:rsidRPr="00A624C2">
        <w:rPr>
          <w:rFonts w:ascii="Book Antiqua" w:hAnsi="Book Antiqua"/>
          <w:sz w:val="24"/>
          <w:szCs w:val="24"/>
        </w:rPr>
        <w:t>10 (</w:t>
      </w:r>
      <w:r w:rsidR="00FE4AE9" w:rsidRPr="00A624C2">
        <w:rPr>
          <w:rFonts w:ascii="Book Antiqua" w:hAnsi="Book Antiqua"/>
          <w:i/>
          <w:sz w:val="24"/>
          <w:szCs w:val="24"/>
        </w:rPr>
        <w:t>n</w:t>
      </w:r>
      <w:r w:rsidR="00FE4AE9" w:rsidRPr="00A624C2">
        <w:rPr>
          <w:rFonts w:ascii="Book Antiqua" w:hAnsi="Book Antiqua"/>
          <w:sz w:val="24"/>
          <w:szCs w:val="24"/>
        </w:rPr>
        <w:t xml:space="preserve"> </w:t>
      </w:r>
      <w:r w:rsidR="007F3C2A" w:rsidRPr="00A624C2">
        <w:rPr>
          <w:rFonts w:ascii="Book Antiqua" w:hAnsi="Book Antiqua"/>
          <w:sz w:val="24"/>
          <w:szCs w:val="24"/>
        </w:rPr>
        <w:t>=</w:t>
      </w:r>
      <w:r w:rsidR="00FE4AE9" w:rsidRPr="00A624C2">
        <w:rPr>
          <w:rFonts w:ascii="Book Antiqua" w:eastAsia="宋体" w:hAnsi="Book Antiqua"/>
          <w:sz w:val="24"/>
          <w:szCs w:val="24"/>
          <w:lang w:eastAsia="zh-CN"/>
        </w:rPr>
        <w:t xml:space="preserve"> </w:t>
      </w:r>
      <w:r w:rsidR="004C0F44" w:rsidRPr="00A624C2">
        <w:rPr>
          <w:rFonts w:ascii="Book Antiqua" w:hAnsi="Book Antiqua"/>
          <w:sz w:val="24"/>
          <w:szCs w:val="24"/>
        </w:rPr>
        <w:t>8</w:t>
      </w:r>
      <w:r w:rsidR="007F3C2A" w:rsidRPr="00A624C2">
        <w:rPr>
          <w:rFonts w:ascii="Book Antiqua" w:hAnsi="Book Antiqua"/>
          <w:sz w:val="24"/>
          <w:szCs w:val="24"/>
        </w:rPr>
        <w:t>), patient</w:t>
      </w:r>
      <w:r w:rsidR="00870D24" w:rsidRPr="00A624C2">
        <w:rPr>
          <w:rFonts w:ascii="Book Antiqua" w:hAnsi="Book Antiqua"/>
          <w:sz w:val="24"/>
          <w:szCs w:val="24"/>
        </w:rPr>
        <w:t>´s</w:t>
      </w:r>
      <w:r w:rsidR="007F3C2A" w:rsidRPr="00A624C2">
        <w:rPr>
          <w:rFonts w:ascii="Book Antiqua" w:hAnsi="Book Antiqua"/>
          <w:sz w:val="24"/>
          <w:szCs w:val="24"/>
        </w:rPr>
        <w:t xml:space="preserve"> refus</w:t>
      </w:r>
      <w:r w:rsidR="00870D24" w:rsidRPr="00A624C2">
        <w:rPr>
          <w:rFonts w:ascii="Book Antiqua" w:hAnsi="Book Antiqua"/>
          <w:sz w:val="24"/>
          <w:szCs w:val="24"/>
        </w:rPr>
        <w:t>al</w:t>
      </w:r>
      <w:r w:rsidR="007F3C2A" w:rsidRPr="00A624C2">
        <w:rPr>
          <w:rFonts w:ascii="Book Antiqua" w:hAnsi="Book Antiqua"/>
          <w:sz w:val="24"/>
          <w:szCs w:val="24"/>
        </w:rPr>
        <w:t xml:space="preserve"> to participate (</w:t>
      </w:r>
      <w:r w:rsidR="00FE4AE9" w:rsidRPr="00A624C2">
        <w:rPr>
          <w:rFonts w:ascii="Book Antiqua" w:hAnsi="Book Antiqua"/>
          <w:i/>
          <w:sz w:val="24"/>
          <w:szCs w:val="24"/>
        </w:rPr>
        <w:t>n</w:t>
      </w:r>
      <w:r w:rsidR="00FE4AE9" w:rsidRPr="00A624C2">
        <w:rPr>
          <w:rFonts w:ascii="Book Antiqua" w:hAnsi="Book Antiqua"/>
          <w:sz w:val="24"/>
          <w:szCs w:val="24"/>
        </w:rPr>
        <w:t xml:space="preserve"> </w:t>
      </w:r>
      <w:r w:rsidR="007F3C2A" w:rsidRPr="00A624C2">
        <w:rPr>
          <w:rFonts w:ascii="Book Antiqua" w:hAnsi="Book Antiqua"/>
          <w:sz w:val="24"/>
          <w:szCs w:val="24"/>
        </w:rPr>
        <w:t>=</w:t>
      </w:r>
      <w:r w:rsidR="00FE4AE9" w:rsidRPr="00A624C2">
        <w:rPr>
          <w:rFonts w:ascii="Book Antiqua" w:eastAsia="宋体" w:hAnsi="Book Antiqua"/>
          <w:sz w:val="24"/>
          <w:szCs w:val="24"/>
          <w:lang w:eastAsia="zh-CN"/>
        </w:rPr>
        <w:t xml:space="preserve"> </w:t>
      </w:r>
      <w:r w:rsidR="007F3C2A" w:rsidRPr="00A624C2">
        <w:rPr>
          <w:rFonts w:ascii="Book Antiqua" w:hAnsi="Book Antiqua"/>
          <w:sz w:val="24"/>
          <w:szCs w:val="24"/>
        </w:rPr>
        <w:t xml:space="preserve">7), </w:t>
      </w:r>
      <w:r w:rsidR="00535864" w:rsidRPr="00A624C2">
        <w:rPr>
          <w:rFonts w:ascii="Book Antiqua" w:hAnsi="Book Antiqua"/>
          <w:sz w:val="24"/>
          <w:szCs w:val="24"/>
        </w:rPr>
        <w:t xml:space="preserve">spontaneous </w:t>
      </w:r>
      <w:r w:rsidR="007F3C2A" w:rsidRPr="00A624C2">
        <w:rPr>
          <w:rFonts w:ascii="Book Antiqua" w:hAnsi="Book Antiqua"/>
          <w:sz w:val="24"/>
          <w:szCs w:val="24"/>
        </w:rPr>
        <w:t>patient</w:t>
      </w:r>
      <w:r w:rsidR="00FE4CDF" w:rsidRPr="00A624C2">
        <w:rPr>
          <w:rFonts w:ascii="Book Antiqua" w:hAnsi="Book Antiqua"/>
          <w:sz w:val="24"/>
          <w:szCs w:val="24"/>
        </w:rPr>
        <w:t>’s</w:t>
      </w:r>
      <w:r w:rsidR="007F3C2A" w:rsidRPr="00A624C2">
        <w:rPr>
          <w:rFonts w:ascii="Book Antiqua" w:hAnsi="Book Antiqua"/>
          <w:sz w:val="24"/>
          <w:szCs w:val="24"/>
        </w:rPr>
        <w:t xml:space="preserve"> </w:t>
      </w:r>
      <w:r w:rsidR="00FE4CDF" w:rsidRPr="00A624C2">
        <w:rPr>
          <w:rFonts w:ascii="Book Antiqua" w:hAnsi="Book Antiqua"/>
          <w:sz w:val="24"/>
          <w:szCs w:val="24"/>
        </w:rPr>
        <w:t xml:space="preserve">improvement without need of </w:t>
      </w:r>
      <w:r w:rsidR="007F3C2A" w:rsidRPr="00A624C2">
        <w:rPr>
          <w:rFonts w:ascii="Book Antiqua" w:hAnsi="Book Antiqua"/>
          <w:sz w:val="24"/>
          <w:szCs w:val="24"/>
        </w:rPr>
        <w:t xml:space="preserve">anti-TNF treatment </w:t>
      </w:r>
      <w:r w:rsidR="00FE4CDF" w:rsidRPr="00A624C2">
        <w:rPr>
          <w:rFonts w:ascii="Book Antiqua" w:hAnsi="Book Antiqua"/>
          <w:sz w:val="24"/>
          <w:szCs w:val="24"/>
        </w:rPr>
        <w:t xml:space="preserve">initiation </w:t>
      </w:r>
      <w:r w:rsidR="007F3C2A" w:rsidRPr="00A624C2">
        <w:rPr>
          <w:rFonts w:ascii="Book Antiqua" w:hAnsi="Book Antiqua"/>
          <w:sz w:val="24"/>
          <w:szCs w:val="24"/>
        </w:rPr>
        <w:t>(</w:t>
      </w:r>
      <w:r w:rsidR="00FE4AE9" w:rsidRPr="00A624C2">
        <w:rPr>
          <w:rFonts w:ascii="Book Antiqua" w:hAnsi="Book Antiqua"/>
          <w:i/>
          <w:sz w:val="24"/>
          <w:szCs w:val="24"/>
        </w:rPr>
        <w:t>n</w:t>
      </w:r>
      <w:r w:rsidR="00FE4AE9" w:rsidRPr="00A624C2">
        <w:rPr>
          <w:rFonts w:ascii="Book Antiqua" w:hAnsi="Book Antiqua"/>
          <w:sz w:val="24"/>
          <w:szCs w:val="24"/>
        </w:rPr>
        <w:t xml:space="preserve"> </w:t>
      </w:r>
      <w:r w:rsidR="007F3C2A" w:rsidRPr="00A624C2">
        <w:rPr>
          <w:rFonts w:ascii="Book Antiqua" w:hAnsi="Book Antiqua"/>
          <w:sz w:val="24"/>
          <w:szCs w:val="24"/>
        </w:rPr>
        <w:t>=</w:t>
      </w:r>
      <w:r w:rsidR="00FE4AE9" w:rsidRPr="00A624C2">
        <w:rPr>
          <w:rFonts w:ascii="Book Antiqua" w:eastAsia="宋体" w:hAnsi="Book Antiqua"/>
          <w:sz w:val="24"/>
          <w:szCs w:val="24"/>
          <w:lang w:eastAsia="zh-CN"/>
        </w:rPr>
        <w:t xml:space="preserve"> </w:t>
      </w:r>
      <w:r w:rsidR="007F3C2A" w:rsidRPr="00A624C2">
        <w:rPr>
          <w:rFonts w:ascii="Book Antiqua" w:hAnsi="Book Antiqua"/>
          <w:sz w:val="24"/>
          <w:szCs w:val="24"/>
        </w:rPr>
        <w:t xml:space="preserve">7) </w:t>
      </w:r>
      <w:r w:rsidR="00BF4DF4" w:rsidRPr="00A624C2">
        <w:rPr>
          <w:rFonts w:ascii="Book Antiqua" w:hAnsi="Book Antiqua"/>
          <w:sz w:val="24"/>
          <w:szCs w:val="24"/>
        </w:rPr>
        <w:t xml:space="preserve">or </w:t>
      </w:r>
      <w:r w:rsidR="00631358" w:rsidRPr="00A624C2">
        <w:rPr>
          <w:rFonts w:ascii="Book Antiqua" w:hAnsi="Book Antiqua"/>
          <w:sz w:val="24"/>
          <w:szCs w:val="24"/>
        </w:rPr>
        <w:t>because</w:t>
      </w:r>
      <w:r w:rsidR="00C605AF" w:rsidRPr="00A624C2">
        <w:rPr>
          <w:rFonts w:ascii="Book Antiqua" w:hAnsi="Book Antiqua"/>
          <w:sz w:val="24"/>
          <w:szCs w:val="24"/>
        </w:rPr>
        <w:t xml:space="preserve"> </w:t>
      </w:r>
      <w:r w:rsidR="0007670B" w:rsidRPr="00A624C2">
        <w:rPr>
          <w:rFonts w:ascii="Book Antiqua" w:hAnsi="Book Antiqua"/>
          <w:sz w:val="24"/>
          <w:szCs w:val="24"/>
        </w:rPr>
        <w:t xml:space="preserve">anti-TNF treatment was initiated for complex perianal </w:t>
      </w:r>
      <w:r w:rsidR="004D6D35" w:rsidRPr="00A624C2">
        <w:rPr>
          <w:rFonts w:ascii="Book Antiqua" w:hAnsi="Book Antiqua"/>
          <w:sz w:val="24"/>
          <w:szCs w:val="24"/>
        </w:rPr>
        <w:t xml:space="preserve">disease </w:t>
      </w:r>
      <w:r w:rsidR="001C1E2D" w:rsidRPr="00A624C2">
        <w:rPr>
          <w:rFonts w:ascii="Book Antiqua" w:hAnsi="Book Antiqua"/>
          <w:sz w:val="24"/>
          <w:szCs w:val="24"/>
        </w:rPr>
        <w:t xml:space="preserve">without </w:t>
      </w:r>
      <w:r w:rsidR="00296970" w:rsidRPr="00A624C2">
        <w:rPr>
          <w:rFonts w:ascii="Book Antiqua" w:hAnsi="Book Antiqua"/>
          <w:sz w:val="24"/>
          <w:szCs w:val="24"/>
        </w:rPr>
        <w:t xml:space="preserve">significant </w:t>
      </w:r>
      <w:r w:rsidR="001C1E2D" w:rsidRPr="00A624C2">
        <w:rPr>
          <w:rFonts w:ascii="Book Antiqua" w:hAnsi="Book Antiqua"/>
          <w:sz w:val="24"/>
          <w:szCs w:val="24"/>
        </w:rPr>
        <w:t>luminal activity</w:t>
      </w:r>
      <w:r w:rsidR="00C605AF" w:rsidRPr="00A624C2">
        <w:rPr>
          <w:rFonts w:ascii="Book Antiqua" w:hAnsi="Book Antiqua"/>
          <w:sz w:val="24"/>
          <w:szCs w:val="24"/>
        </w:rPr>
        <w:t xml:space="preserve"> (</w:t>
      </w:r>
      <w:r w:rsidR="00FE4AE9" w:rsidRPr="00A624C2">
        <w:rPr>
          <w:rFonts w:ascii="Book Antiqua" w:hAnsi="Book Antiqua"/>
          <w:i/>
          <w:sz w:val="24"/>
          <w:szCs w:val="24"/>
        </w:rPr>
        <w:t>n</w:t>
      </w:r>
      <w:r w:rsidR="00FE4AE9" w:rsidRPr="00A624C2">
        <w:rPr>
          <w:rFonts w:ascii="Book Antiqua" w:hAnsi="Book Antiqua"/>
          <w:sz w:val="24"/>
          <w:szCs w:val="24"/>
        </w:rPr>
        <w:t xml:space="preserve"> </w:t>
      </w:r>
      <w:r w:rsidR="00C605AF" w:rsidRPr="00A624C2">
        <w:rPr>
          <w:rFonts w:ascii="Book Antiqua" w:hAnsi="Book Antiqua"/>
          <w:sz w:val="24"/>
          <w:szCs w:val="24"/>
        </w:rPr>
        <w:t>=</w:t>
      </w:r>
      <w:r w:rsidR="00FE4AE9" w:rsidRPr="00A624C2">
        <w:rPr>
          <w:rFonts w:ascii="Book Antiqua" w:eastAsia="宋体" w:hAnsi="Book Antiqua"/>
          <w:sz w:val="24"/>
          <w:szCs w:val="24"/>
          <w:lang w:eastAsia="zh-CN"/>
        </w:rPr>
        <w:t xml:space="preserve"> </w:t>
      </w:r>
      <w:r w:rsidR="00C605AF" w:rsidRPr="00A624C2">
        <w:rPr>
          <w:rFonts w:ascii="Book Antiqua" w:hAnsi="Book Antiqua"/>
          <w:sz w:val="24"/>
          <w:szCs w:val="24"/>
        </w:rPr>
        <w:t>2)</w:t>
      </w:r>
      <w:r w:rsidR="001C1E2D" w:rsidRPr="00A624C2">
        <w:rPr>
          <w:rFonts w:ascii="Book Antiqua" w:hAnsi="Book Antiqua"/>
          <w:sz w:val="24"/>
          <w:szCs w:val="24"/>
        </w:rPr>
        <w:t>.</w:t>
      </w:r>
    </w:p>
    <w:p w14:paraId="26F413BC" w14:textId="037ABE57" w:rsidR="0059541A" w:rsidRPr="00A624C2" w:rsidRDefault="00B96FBA" w:rsidP="00FE4AE9">
      <w:pPr>
        <w:spacing w:after="0" w:line="360" w:lineRule="auto"/>
        <w:ind w:firstLineChars="100" w:firstLine="240"/>
        <w:jc w:val="both"/>
        <w:rPr>
          <w:rFonts w:ascii="Book Antiqua" w:hAnsi="Book Antiqua"/>
          <w:sz w:val="24"/>
          <w:szCs w:val="24"/>
        </w:rPr>
      </w:pPr>
      <w:r w:rsidRPr="00A624C2">
        <w:rPr>
          <w:rFonts w:ascii="Book Antiqua" w:hAnsi="Book Antiqua"/>
          <w:sz w:val="24"/>
          <w:szCs w:val="24"/>
        </w:rPr>
        <w:t>Seven</w:t>
      </w:r>
      <w:r w:rsidR="006F2A89" w:rsidRPr="00A624C2">
        <w:rPr>
          <w:rFonts w:ascii="Book Antiqua" w:hAnsi="Book Antiqua"/>
          <w:sz w:val="24"/>
          <w:szCs w:val="24"/>
        </w:rPr>
        <w:t xml:space="preserve"> patients dropped out </w:t>
      </w:r>
      <w:r w:rsidR="00C605AF" w:rsidRPr="00A624C2">
        <w:rPr>
          <w:rFonts w:ascii="Book Antiqua" w:hAnsi="Book Antiqua"/>
          <w:sz w:val="24"/>
          <w:szCs w:val="24"/>
        </w:rPr>
        <w:t xml:space="preserve">from </w:t>
      </w:r>
      <w:r w:rsidR="006F2A89" w:rsidRPr="00A624C2">
        <w:rPr>
          <w:rFonts w:ascii="Book Antiqua" w:hAnsi="Book Antiqua"/>
          <w:sz w:val="24"/>
          <w:szCs w:val="24"/>
        </w:rPr>
        <w:t>the study</w:t>
      </w:r>
      <w:r w:rsidRPr="00A624C2">
        <w:rPr>
          <w:rFonts w:ascii="Book Antiqua" w:hAnsi="Book Antiqua"/>
          <w:sz w:val="24"/>
          <w:szCs w:val="24"/>
        </w:rPr>
        <w:t xml:space="preserve">, three of them during induction and four </w:t>
      </w:r>
      <w:r w:rsidR="0016389B" w:rsidRPr="00A624C2">
        <w:rPr>
          <w:rFonts w:ascii="Book Antiqua" w:hAnsi="Book Antiqua"/>
          <w:sz w:val="24"/>
          <w:szCs w:val="24"/>
        </w:rPr>
        <w:t xml:space="preserve">during the </w:t>
      </w:r>
      <w:r w:rsidRPr="00A624C2">
        <w:rPr>
          <w:rFonts w:ascii="Book Antiqua" w:hAnsi="Book Antiqua"/>
          <w:sz w:val="24"/>
          <w:szCs w:val="24"/>
        </w:rPr>
        <w:t>maintenance period</w:t>
      </w:r>
      <w:r w:rsidR="00BA50FD" w:rsidRPr="00A624C2">
        <w:rPr>
          <w:rFonts w:ascii="Book Antiqua" w:hAnsi="Book Antiqua"/>
          <w:sz w:val="24"/>
          <w:szCs w:val="24"/>
        </w:rPr>
        <w:t>.</w:t>
      </w:r>
      <w:r w:rsidRPr="00A624C2">
        <w:rPr>
          <w:rFonts w:ascii="Book Antiqua" w:hAnsi="Book Antiqua"/>
          <w:sz w:val="24"/>
          <w:szCs w:val="24"/>
        </w:rPr>
        <w:t xml:space="preserve"> </w:t>
      </w:r>
      <w:r w:rsidR="00BA50FD" w:rsidRPr="00A624C2">
        <w:rPr>
          <w:rFonts w:ascii="Book Antiqua" w:hAnsi="Book Antiqua"/>
          <w:sz w:val="24"/>
          <w:szCs w:val="24"/>
        </w:rPr>
        <w:t>I</w:t>
      </w:r>
      <w:r w:rsidR="00870D24" w:rsidRPr="00A624C2">
        <w:rPr>
          <w:rFonts w:ascii="Book Antiqua" w:hAnsi="Book Antiqua"/>
          <w:sz w:val="24"/>
          <w:szCs w:val="24"/>
        </w:rPr>
        <w:t>n</w:t>
      </w:r>
      <w:r w:rsidR="006F2A89" w:rsidRPr="00A624C2">
        <w:rPr>
          <w:rFonts w:ascii="Book Antiqua" w:hAnsi="Book Antiqua"/>
          <w:sz w:val="24"/>
          <w:szCs w:val="24"/>
        </w:rPr>
        <w:t xml:space="preserve"> </w:t>
      </w:r>
      <w:r w:rsidR="004D6D35" w:rsidRPr="00A624C2">
        <w:rPr>
          <w:rFonts w:ascii="Book Antiqua" w:hAnsi="Book Antiqua"/>
          <w:sz w:val="24"/>
          <w:szCs w:val="24"/>
        </w:rPr>
        <w:t xml:space="preserve">5 </w:t>
      </w:r>
      <w:r w:rsidR="00C605AF" w:rsidRPr="00A624C2">
        <w:rPr>
          <w:rFonts w:ascii="Book Antiqua" w:hAnsi="Book Antiqua"/>
          <w:sz w:val="24"/>
          <w:szCs w:val="24"/>
        </w:rPr>
        <w:t xml:space="preserve">cases </w:t>
      </w:r>
      <w:r w:rsidR="004D6D35" w:rsidRPr="00A624C2">
        <w:rPr>
          <w:rFonts w:ascii="Book Antiqua" w:hAnsi="Book Antiqua"/>
          <w:sz w:val="24"/>
          <w:szCs w:val="24"/>
        </w:rPr>
        <w:t xml:space="preserve">because </w:t>
      </w:r>
      <w:r w:rsidR="0064423F" w:rsidRPr="00A624C2">
        <w:rPr>
          <w:rFonts w:ascii="Book Antiqua" w:hAnsi="Book Antiqua"/>
          <w:sz w:val="24"/>
          <w:szCs w:val="24"/>
        </w:rPr>
        <w:t>surgery</w:t>
      </w:r>
      <w:r w:rsidR="004D6D35" w:rsidRPr="00A624C2">
        <w:rPr>
          <w:rFonts w:ascii="Book Antiqua" w:hAnsi="Book Antiqua"/>
          <w:sz w:val="24"/>
          <w:szCs w:val="24"/>
        </w:rPr>
        <w:t xml:space="preserve"> was required</w:t>
      </w:r>
      <w:r w:rsidRPr="00A624C2">
        <w:rPr>
          <w:rFonts w:ascii="Book Antiqua" w:hAnsi="Book Antiqua"/>
          <w:sz w:val="24"/>
          <w:szCs w:val="24"/>
        </w:rPr>
        <w:t xml:space="preserve">, in one </w:t>
      </w:r>
      <w:r w:rsidR="00BA50FD" w:rsidRPr="00A624C2">
        <w:rPr>
          <w:rFonts w:ascii="Book Antiqua" w:hAnsi="Book Antiqua"/>
          <w:sz w:val="24"/>
          <w:szCs w:val="24"/>
        </w:rPr>
        <w:t xml:space="preserve">patient </w:t>
      </w:r>
      <w:r w:rsidRPr="00A624C2">
        <w:rPr>
          <w:rFonts w:ascii="Book Antiqua" w:hAnsi="Book Antiqua"/>
          <w:sz w:val="24"/>
          <w:szCs w:val="24"/>
        </w:rPr>
        <w:t xml:space="preserve">treatment was </w:t>
      </w:r>
      <w:r w:rsidRPr="00A624C2">
        <w:rPr>
          <w:rFonts w:ascii="Book Antiqua" w:hAnsi="Book Antiqua" w:cs="Arial"/>
          <w:color w:val="000000"/>
          <w:sz w:val="24"/>
          <w:szCs w:val="24"/>
          <w:shd w:val="clear" w:color="auto" w:fill="FFFFFF"/>
        </w:rPr>
        <w:t>switch</w:t>
      </w:r>
      <w:r w:rsidR="0016389B" w:rsidRPr="00A624C2">
        <w:rPr>
          <w:rFonts w:ascii="Book Antiqua" w:hAnsi="Book Antiqua" w:cs="Arial"/>
          <w:color w:val="000000"/>
          <w:sz w:val="24"/>
          <w:szCs w:val="24"/>
          <w:shd w:val="clear" w:color="auto" w:fill="FFFFFF"/>
        </w:rPr>
        <w:t>ed</w:t>
      </w:r>
      <w:r w:rsidRPr="00A624C2">
        <w:rPr>
          <w:rFonts w:ascii="Book Antiqua" w:hAnsi="Book Antiqua" w:cs="Arial"/>
          <w:color w:val="000000"/>
          <w:sz w:val="24"/>
          <w:szCs w:val="24"/>
          <w:shd w:val="clear" w:color="auto" w:fill="FFFFFF"/>
        </w:rPr>
        <w:t xml:space="preserve"> to another anti-TNF</w:t>
      </w:r>
      <w:r w:rsidR="009D12BF" w:rsidRPr="00A624C2">
        <w:rPr>
          <w:rFonts w:ascii="Book Antiqua" w:hAnsi="Book Antiqua" w:cs="Arial"/>
          <w:color w:val="000000"/>
          <w:sz w:val="24"/>
          <w:szCs w:val="24"/>
          <w:shd w:val="clear" w:color="auto" w:fill="FFFFFF"/>
        </w:rPr>
        <w:t xml:space="preserve"> due to </w:t>
      </w:r>
      <w:r w:rsidR="0016389B" w:rsidRPr="00A624C2">
        <w:rPr>
          <w:rFonts w:ascii="Book Antiqua" w:hAnsi="Book Antiqua" w:cs="Arial"/>
          <w:color w:val="000000"/>
          <w:sz w:val="24"/>
          <w:szCs w:val="24"/>
          <w:shd w:val="clear" w:color="auto" w:fill="FFFFFF"/>
        </w:rPr>
        <w:t xml:space="preserve">immunogenicity with </w:t>
      </w:r>
      <w:r w:rsidR="009D12BF" w:rsidRPr="00A624C2">
        <w:rPr>
          <w:rFonts w:ascii="Book Antiqua" w:hAnsi="Book Antiqua" w:cs="Arial"/>
          <w:color w:val="000000"/>
          <w:sz w:val="24"/>
          <w:szCs w:val="24"/>
          <w:shd w:val="clear" w:color="auto" w:fill="FFFFFF"/>
        </w:rPr>
        <w:t>secondary loss of response</w:t>
      </w:r>
      <w:r w:rsidRPr="00A624C2">
        <w:rPr>
          <w:rFonts w:ascii="Book Antiqua" w:hAnsi="Book Antiqua" w:cs="Arial"/>
          <w:color w:val="000000"/>
          <w:sz w:val="24"/>
          <w:szCs w:val="24"/>
          <w:shd w:val="clear" w:color="auto" w:fill="FFFFFF"/>
        </w:rPr>
        <w:t xml:space="preserve"> and in </w:t>
      </w:r>
      <w:r w:rsidRPr="00A624C2">
        <w:rPr>
          <w:rFonts w:ascii="Book Antiqua" w:hAnsi="Book Antiqua"/>
          <w:sz w:val="24"/>
          <w:szCs w:val="24"/>
        </w:rPr>
        <w:t xml:space="preserve">one </w:t>
      </w:r>
      <w:r w:rsidR="00C605AF" w:rsidRPr="00A624C2">
        <w:rPr>
          <w:rFonts w:ascii="Book Antiqua" w:hAnsi="Book Antiqua"/>
          <w:sz w:val="24"/>
          <w:szCs w:val="24"/>
        </w:rPr>
        <w:t xml:space="preserve">case </w:t>
      </w:r>
      <w:r w:rsidR="007F61B4" w:rsidRPr="00A624C2">
        <w:rPr>
          <w:rFonts w:ascii="Book Antiqua" w:hAnsi="Book Antiqua"/>
          <w:sz w:val="24"/>
          <w:szCs w:val="24"/>
        </w:rPr>
        <w:t>treatment was stopped</w:t>
      </w:r>
      <w:r w:rsidR="0006426C" w:rsidRPr="00A624C2">
        <w:rPr>
          <w:rFonts w:ascii="Book Antiqua" w:hAnsi="Book Antiqua"/>
          <w:sz w:val="24"/>
          <w:szCs w:val="24"/>
        </w:rPr>
        <w:t xml:space="preserve"> due </w:t>
      </w:r>
      <w:r w:rsidR="004D6D35" w:rsidRPr="00A624C2">
        <w:rPr>
          <w:rFonts w:ascii="Book Antiqua" w:hAnsi="Book Antiqua"/>
          <w:sz w:val="24"/>
          <w:szCs w:val="24"/>
        </w:rPr>
        <w:t xml:space="preserve">to an </w:t>
      </w:r>
      <w:r w:rsidR="00B37F1F" w:rsidRPr="00A624C2">
        <w:rPr>
          <w:rFonts w:ascii="Book Antiqua" w:hAnsi="Book Antiqua"/>
          <w:sz w:val="24"/>
          <w:szCs w:val="24"/>
        </w:rPr>
        <w:t>adverse event</w:t>
      </w:r>
      <w:r w:rsidR="007F3C2A" w:rsidRPr="00A624C2">
        <w:rPr>
          <w:rFonts w:ascii="Book Antiqua" w:hAnsi="Book Antiqua"/>
          <w:sz w:val="24"/>
          <w:szCs w:val="24"/>
        </w:rPr>
        <w:t xml:space="preserve"> (infusion </w:t>
      </w:r>
      <w:r w:rsidR="00D540BE" w:rsidRPr="00A624C2">
        <w:rPr>
          <w:rFonts w:ascii="Book Antiqua" w:hAnsi="Book Antiqua"/>
          <w:sz w:val="24"/>
          <w:szCs w:val="24"/>
        </w:rPr>
        <w:t>reaction</w:t>
      </w:r>
      <w:r w:rsidR="007F3C2A" w:rsidRPr="00A624C2">
        <w:rPr>
          <w:rFonts w:ascii="Book Antiqua" w:hAnsi="Book Antiqua"/>
          <w:sz w:val="24"/>
          <w:szCs w:val="24"/>
        </w:rPr>
        <w:t>)</w:t>
      </w:r>
      <w:r w:rsidR="007F61B4" w:rsidRPr="00A624C2">
        <w:rPr>
          <w:rFonts w:ascii="Book Antiqua" w:hAnsi="Book Antiqua"/>
          <w:sz w:val="24"/>
          <w:szCs w:val="24"/>
        </w:rPr>
        <w:t>. All</w:t>
      </w:r>
      <w:r w:rsidR="0006426C" w:rsidRPr="00A624C2">
        <w:rPr>
          <w:rFonts w:ascii="Book Antiqua" w:hAnsi="Book Antiqua"/>
          <w:sz w:val="24"/>
          <w:szCs w:val="24"/>
        </w:rPr>
        <w:t xml:space="preserve"> </w:t>
      </w:r>
      <w:r w:rsidR="00870D24" w:rsidRPr="00A624C2">
        <w:rPr>
          <w:rFonts w:ascii="Book Antiqua" w:hAnsi="Book Antiqua"/>
          <w:sz w:val="24"/>
          <w:szCs w:val="24"/>
        </w:rPr>
        <w:t>s</w:t>
      </w:r>
      <w:r w:rsidRPr="00A624C2">
        <w:rPr>
          <w:rFonts w:ascii="Book Antiqua" w:hAnsi="Book Antiqua"/>
          <w:sz w:val="24"/>
          <w:szCs w:val="24"/>
        </w:rPr>
        <w:t>even</w:t>
      </w:r>
      <w:r w:rsidR="00870D24" w:rsidRPr="00A624C2">
        <w:rPr>
          <w:rFonts w:ascii="Book Antiqua" w:hAnsi="Book Antiqua"/>
          <w:sz w:val="24"/>
          <w:szCs w:val="24"/>
        </w:rPr>
        <w:t xml:space="preserve"> </w:t>
      </w:r>
      <w:r w:rsidR="00BF4DF4" w:rsidRPr="00A624C2">
        <w:rPr>
          <w:rFonts w:ascii="Book Antiqua" w:hAnsi="Book Antiqua"/>
          <w:sz w:val="24"/>
          <w:szCs w:val="24"/>
        </w:rPr>
        <w:t xml:space="preserve">cases </w:t>
      </w:r>
      <w:r w:rsidR="0064423F" w:rsidRPr="00A624C2">
        <w:rPr>
          <w:rFonts w:ascii="Book Antiqua" w:hAnsi="Book Antiqua"/>
          <w:sz w:val="24"/>
          <w:szCs w:val="24"/>
        </w:rPr>
        <w:t xml:space="preserve">were imputed as non-responders. </w:t>
      </w:r>
      <w:r w:rsidR="005A546E" w:rsidRPr="00A624C2">
        <w:rPr>
          <w:rFonts w:ascii="Book Antiqua" w:hAnsi="Book Antiqua"/>
          <w:sz w:val="24"/>
          <w:szCs w:val="24"/>
        </w:rPr>
        <w:t>Fifty-</w:t>
      </w:r>
      <w:r w:rsidR="00FB2EF9" w:rsidRPr="00A624C2">
        <w:rPr>
          <w:rFonts w:ascii="Book Antiqua" w:hAnsi="Book Antiqua"/>
          <w:sz w:val="24"/>
          <w:szCs w:val="24"/>
        </w:rPr>
        <w:t>nine</w:t>
      </w:r>
      <w:r w:rsidR="001C35A2" w:rsidRPr="00A624C2">
        <w:rPr>
          <w:rFonts w:ascii="Book Antiqua" w:hAnsi="Book Antiqua"/>
          <w:sz w:val="24"/>
          <w:szCs w:val="24"/>
        </w:rPr>
        <w:t xml:space="preserve"> patients </w:t>
      </w:r>
      <w:r w:rsidR="00296970" w:rsidRPr="00A624C2">
        <w:rPr>
          <w:rFonts w:ascii="Book Antiqua" w:hAnsi="Book Antiqua"/>
          <w:sz w:val="24"/>
          <w:szCs w:val="24"/>
        </w:rPr>
        <w:t xml:space="preserve">(95.2%) </w:t>
      </w:r>
      <w:r w:rsidR="001C35A2" w:rsidRPr="00A624C2">
        <w:rPr>
          <w:rFonts w:ascii="Book Antiqua" w:hAnsi="Book Antiqua"/>
          <w:sz w:val="24"/>
          <w:szCs w:val="24"/>
        </w:rPr>
        <w:t>complete</w:t>
      </w:r>
      <w:r w:rsidR="00E879F7" w:rsidRPr="00A624C2">
        <w:rPr>
          <w:rFonts w:ascii="Book Antiqua" w:hAnsi="Book Antiqua"/>
          <w:sz w:val="24"/>
          <w:szCs w:val="24"/>
        </w:rPr>
        <w:t>d</w:t>
      </w:r>
      <w:r w:rsidR="00BF4DF4" w:rsidRPr="00A624C2">
        <w:rPr>
          <w:rFonts w:ascii="Book Antiqua" w:hAnsi="Book Antiqua"/>
          <w:sz w:val="24"/>
          <w:szCs w:val="24"/>
        </w:rPr>
        <w:t xml:space="preserve"> the</w:t>
      </w:r>
      <w:r w:rsidR="001C35A2" w:rsidRPr="00A624C2">
        <w:rPr>
          <w:rFonts w:ascii="Book Antiqua" w:hAnsi="Book Antiqua"/>
          <w:sz w:val="24"/>
          <w:szCs w:val="24"/>
        </w:rPr>
        <w:t xml:space="preserve"> 14 w</w:t>
      </w:r>
      <w:r w:rsidR="00FE4AE9" w:rsidRPr="00A624C2">
        <w:rPr>
          <w:rFonts w:ascii="Book Antiqua" w:hAnsi="Book Antiqua"/>
          <w:sz w:val="24"/>
          <w:szCs w:val="24"/>
        </w:rPr>
        <w:t>k</w:t>
      </w:r>
      <w:r w:rsidR="001C35A2" w:rsidRPr="00A624C2">
        <w:rPr>
          <w:rFonts w:ascii="Book Antiqua" w:hAnsi="Book Antiqua"/>
          <w:sz w:val="24"/>
          <w:szCs w:val="24"/>
        </w:rPr>
        <w:t xml:space="preserve"> </w:t>
      </w:r>
      <w:r w:rsidR="00BF4DF4" w:rsidRPr="00A624C2">
        <w:rPr>
          <w:rFonts w:ascii="Book Antiqua" w:hAnsi="Book Antiqua"/>
          <w:sz w:val="24"/>
          <w:szCs w:val="24"/>
        </w:rPr>
        <w:t>induction period</w:t>
      </w:r>
      <w:r w:rsidR="005A546E" w:rsidRPr="00A624C2">
        <w:rPr>
          <w:rFonts w:ascii="Book Antiqua" w:hAnsi="Book Antiqua"/>
          <w:sz w:val="24"/>
          <w:szCs w:val="24"/>
        </w:rPr>
        <w:t>. Of these,</w:t>
      </w:r>
      <w:r w:rsidR="00367512" w:rsidRPr="00A624C2">
        <w:rPr>
          <w:rFonts w:ascii="Book Antiqua" w:hAnsi="Book Antiqua"/>
          <w:sz w:val="24"/>
          <w:szCs w:val="24"/>
        </w:rPr>
        <w:t xml:space="preserve"> </w:t>
      </w:r>
      <w:r w:rsidR="00FB2EF9" w:rsidRPr="00A624C2">
        <w:rPr>
          <w:rFonts w:ascii="Book Antiqua" w:hAnsi="Book Antiqua"/>
          <w:sz w:val="24"/>
          <w:szCs w:val="24"/>
        </w:rPr>
        <w:t>53</w:t>
      </w:r>
      <w:r w:rsidR="00367512" w:rsidRPr="00A624C2">
        <w:rPr>
          <w:rFonts w:ascii="Book Antiqua" w:hAnsi="Book Antiqua"/>
          <w:sz w:val="24"/>
          <w:szCs w:val="24"/>
        </w:rPr>
        <w:t xml:space="preserve"> </w:t>
      </w:r>
      <w:r w:rsidR="005A546E" w:rsidRPr="00A624C2">
        <w:rPr>
          <w:rFonts w:ascii="Book Antiqua" w:hAnsi="Book Antiqua"/>
          <w:sz w:val="24"/>
          <w:szCs w:val="24"/>
        </w:rPr>
        <w:t>underwent endoscopic evaluation</w:t>
      </w:r>
      <w:r w:rsidR="003915C8" w:rsidRPr="00A624C2">
        <w:rPr>
          <w:rFonts w:ascii="Book Antiqua" w:hAnsi="Book Antiqua"/>
          <w:sz w:val="24"/>
          <w:szCs w:val="24"/>
        </w:rPr>
        <w:t>.</w:t>
      </w:r>
      <w:r w:rsidR="001C35A2" w:rsidRPr="00A624C2">
        <w:rPr>
          <w:rFonts w:ascii="Book Antiqua" w:hAnsi="Book Antiqua"/>
          <w:sz w:val="24"/>
          <w:szCs w:val="24"/>
        </w:rPr>
        <w:t xml:space="preserve"> </w:t>
      </w:r>
      <w:r w:rsidR="003915C8" w:rsidRPr="00A624C2">
        <w:rPr>
          <w:rFonts w:ascii="Book Antiqua" w:hAnsi="Book Antiqua"/>
          <w:sz w:val="24"/>
          <w:szCs w:val="24"/>
        </w:rPr>
        <w:t>F</w:t>
      </w:r>
      <w:r w:rsidR="00FB2EF9" w:rsidRPr="00A624C2">
        <w:rPr>
          <w:rFonts w:ascii="Book Antiqua" w:hAnsi="Book Antiqua"/>
          <w:sz w:val="24"/>
          <w:szCs w:val="24"/>
        </w:rPr>
        <w:t>ifty</w:t>
      </w:r>
      <w:r w:rsidR="003915C8" w:rsidRPr="00A624C2">
        <w:rPr>
          <w:rFonts w:ascii="Book Antiqua" w:hAnsi="Book Antiqua"/>
          <w:sz w:val="24"/>
          <w:szCs w:val="24"/>
        </w:rPr>
        <w:t>-</w:t>
      </w:r>
      <w:r w:rsidR="00FB2EF9" w:rsidRPr="00A624C2">
        <w:rPr>
          <w:rFonts w:ascii="Book Antiqua" w:hAnsi="Book Antiqua"/>
          <w:sz w:val="24"/>
          <w:szCs w:val="24"/>
        </w:rPr>
        <w:t>six</w:t>
      </w:r>
      <w:r w:rsidR="00367512" w:rsidRPr="00A624C2">
        <w:rPr>
          <w:rFonts w:ascii="Book Antiqua" w:hAnsi="Book Antiqua"/>
          <w:sz w:val="24"/>
          <w:szCs w:val="24"/>
        </w:rPr>
        <w:t xml:space="preserve"> patients </w:t>
      </w:r>
      <w:r w:rsidR="006A08AF" w:rsidRPr="00A624C2">
        <w:rPr>
          <w:rFonts w:ascii="Book Antiqua" w:hAnsi="Book Antiqua"/>
          <w:sz w:val="24"/>
          <w:szCs w:val="24"/>
        </w:rPr>
        <w:t xml:space="preserve">(90.3%) </w:t>
      </w:r>
      <w:r w:rsidR="00367512" w:rsidRPr="00A624C2">
        <w:rPr>
          <w:rFonts w:ascii="Book Antiqua" w:hAnsi="Book Antiqua"/>
          <w:sz w:val="24"/>
          <w:szCs w:val="24"/>
        </w:rPr>
        <w:t>complete</w:t>
      </w:r>
      <w:r w:rsidR="004D6D35" w:rsidRPr="00A624C2">
        <w:rPr>
          <w:rFonts w:ascii="Book Antiqua" w:hAnsi="Book Antiqua"/>
          <w:sz w:val="24"/>
          <w:szCs w:val="24"/>
        </w:rPr>
        <w:t>d</w:t>
      </w:r>
      <w:r w:rsidR="001C35A2" w:rsidRPr="00A624C2">
        <w:rPr>
          <w:rFonts w:ascii="Book Antiqua" w:hAnsi="Book Antiqua"/>
          <w:sz w:val="24"/>
          <w:szCs w:val="24"/>
        </w:rPr>
        <w:t xml:space="preserve"> one</w:t>
      </w:r>
      <w:r w:rsidR="00367512" w:rsidRPr="00A624C2">
        <w:rPr>
          <w:rFonts w:ascii="Book Antiqua" w:hAnsi="Book Antiqua"/>
          <w:sz w:val="24"/>
          <w:szCs w:val="24"/>
        </w:rPr>
        <w:t xml:space="preserve"> year of follow up</w:t>
      </w:r>
      <w:r w:rsidR="00243A88" w:rsidRPr="00A624C2">
        <w:rPr>
          <w:rFonts w:ascii="Book Antiqua" w:hAnsi="Book Antiqua"/>
          <w:sz w:val="24"/>
          <w:szCs w:val="24"/>
        </w:rPr>
        <w:t xml:space="preserve"> </w:t>
      </w:r>
      <w:r w:rsidR="00962987" w:rsidRPr="00A624C2">
        <w:rPr>
          <w:rFonts w:ascii="Book Antiqua" w:hAnsi="Book Antiqua"/>
          <w:sz w:val="24"/>
          <w:szCs w:val="24"/>
        </w:rPr>
        <w:t>of whom</w:t>
      </w:r>
      <w:r w:rsidR="00213D1F" w:rsidRPr="00A624C2">
        <w:rPr>
          <w:rFonts w:ascii="Book Antiqua" w:hAnsi="Book Antiqua"/>
          <w:sz w:val="24"/>
          <w:szCs w:val="24"/>
        </w:rPr>
        <w:t xml:space="preserve"> forty-</w:t>
      </w:r>
      <w:r w:rsidR="00FB2EF9" w:rsidRPr="00A624C2">
        <w:rPr>
          <w:rFonts w:ascii="Book Antiqua" w:hAnsi="Book Antiqua"/>
          <w:sz w:val="24"/>
          <w:szCs w:val="24"/>
        </w:rPr>
        <w:t xml:space="preserve">seven </w:t>
      </w:r>
      <w:r w:rsidR="00962987" w:rsidRPr="00A624C2">
        <w:rPr>
          <w:rFonts w:ascii="Book Antiqua" w:hAnsi="Book Antiqua"/>
          <w:sz w:val="24"/>
          <w:szCs w:val="24"/>
        </w:rPr>
        <w:t>underwent</w:t>
      </w:r>
      <w:r w:rsidR="00213D1F" w:rsidRPr="00A624C2">
        <w:rPr>
          <w:rFonts w:ascii="Book Antiqua" w:hAnsi="Book Antiqua"/>
          <w:sz w:val="24"/>
          <w:szCs w:val="24"/>
        </w:rPr>
        <w:t xml:space="preserve"> </w:t>
      </w:r>
      <w:r w:rsidR="00243A88" w:rsidRPr="00A624C2">
        <w:rPr>
          <w:rFonts w:ascii="Book Antiqua" w:hAnsi="Book Antiqua"/>
          <w:sz w:val="24"/>
          <w:szCs w:val="24"/>
        </w:rPr>
        <w:t xml:space="preserve">endoscopic evaluation </w:t>
      </w:r>
      <w:r w:rsidR="00E150D6" w:rsidRPr="00A624C2">
        <w:rPr>
          <w:rFonts w:ascii="Book Antiqua" w:hAnsi="Book Antiqua"/>
          <w:sz w:val="24"/>
          <w:szCs w:val="24"/>
        </w:rPr>
        <w:t>(Figure 1)</w:t>
      </w:r>
      <w:r w:rsidR="001C35A2" w:rsidRPr="00A624C2">
        <w:rPr>
          <w:rFonts w:ascii="Book Antiqua" w:hAnsi="Book Antiqua"/>
          <w:sz w:val="24"/>
          <w:szCs w:val="24"/>
        </w:rPr>
        <w:t>.</w:t>
      </w:r>
      <w:r w:rsidR="00C30B8F" w:rsidRPr="00A624C2">
        <w:rPr>
          <w:rFonts w:ascii="Book Antiqua" w:hAnsi="Book Antiqua"/>
          <w:sz w:val="24"/>
          <w:szCs w:val="24"/>
        </w:rPr>
        <w:t xml:space="preserve"> </w:t>
      </w:r>
      <w:r w:rsidR="00C05DCC" w:rsidRPr="00A624C2">
        <w:rPr>
          <w:rFonts w:ascii="Book Antiqua" w:hAnsi="Book Antiqua"/>
          <w:sz w:val="24"/>
          <w:szCs w:val="24"/>
        </w:rPr>
        <w:t xml:space="preserve">Endoscopic </w:t>
      </w:r>
      <w:r w:rsidR="00CB1B53" w:rsidRPr="00A624C2">
        <w:rPr>
          <w:rFonts w:ascii="Book Antiqua" w:hAnsi="Book Antiqua"/>
          <w:sz w:val="24"/>
          <w:szCs w:val="24"/>
        </w:rPr>
        <w:t xml:space="preserve">assessment </w:t>
      </w:r>
      <w:r w:rsidR="00317A47" w:rsidRPr="00A624C2">
        <w:rPr>
          <w:rFonts w:ascii="Book Antiqua" w:hAnsi="Book Antiqua"/>
          <w:sz w:val="24"/>
          <w:szCs w:val="24"/>
        </w:rPr>
        <w:t>was not performed in some patients</w:t>
      </w:r>
      <w:r w:rsidR="00C05DCC" w:rsidRPr="00A624C2">
        <w:rPr>
          <w:rFonts w:ascii="Book Antiqua" w:hAnsi="Book Antiqua"/>
          <w:sz w:val="24"/>
          <w:szCs w:val="24"/>
        </w:rPr>
        <w:t xml:space="preserve"> </w:t>
      </w:r>
      <w:r w:rsidR="00317A47" w:rsidRPr="00A624C2">
        <w:rPr>
          <w:rFonts w:ascii="Book Antiqua" w:hAnsi="Book Antiqua"/>
          <w:sz w:val="24"/>
          <w:szCs w:val="24"/>
        </w:rPr>
        <w:t>at week</w:t>
      </w:r>
      <w:r w:rsidR="00870D24" w:rsidRPr="00A624C2">
        <w:rPr>
          <w:rFonts w:ascii="Book Antiqua" w:hAnsi="Book Antiqua"/>
          <w:sz w:val="24"/>
          <w:szCs w:val="24"/>
        </w:rPr>
        <w:t>s</w:t>
      </w:r>
      <w:r w:rsidR="00317A47" w:rsidRPr="00A624C2">
        <w:rPr>
          <w:rFonts w:ascii="Book Antiqua" w:hAnsi="Book Antiqua"/>
          <w:sz w:val="24"/>
          <w:szCs w:val="24"/>
        </w:rPr>
        <w:t xml:space="preserve"> 14 </w:t>
      </w:r>
      <w:r w:rsidR="0016389B" w:rsidRPr="00A624C2">
        <w:rPr>
          <w:rFonts w:ascii="Book Antiqua" w:hAnsi="Book Antiqua"/>
          <w:sz w:val="24"/>
          <w:szCs w:val="24"/>
        </w:rPr>
        <w:t xml:space="preserve">or </w:t>
      </w:r>
      <w:r w:rsidR="00317A47" w:rsidRPr="00A624C2">
        <w:rPr>
          <w:rFonts w:ascii="Book Antiqua" w:hAnsi="Book Antiqua"/>
          <w:sz w:val="24"/>
          <w:szCs w:val="24"/>
        </w:rPr>
        <w:t>46 due to</w:t>
      </w:r>
      <w:r w:rsidR="00870D24" w:rsidRPr="00A624C2">
        <w:rPr>
          <w:rFonts w:ascii="Book Antiqua" w:hAnsi="Book Antiqua"/>
          <w:sz w:val="24"/>
          <w:szCs w:val="24"/>
        </w:rPr>
        <w:t xml:space="preserve"> </w:t>
      </w:r>
      <w:r w:rsidR="00317A47" w:rsidRPr="00A624C2">
        <w:rPr>
          <w:rFonts w:ascii="Book Antiqua" w:hAnsi="Book Antiqua"/>
          <w:sz w:val="24"/>
          <w:szCs w:val="24"/>
        </w:rPr>
        <w:t>patient’s refusal</w:t>
      </w:r>
      <w:r w:rsidR="00774CD9" w:rsidRPr="00A624C2">
        <w:rPr>
          <w:rFonts w:ascii="Book Antiqua" w:hAnsi="Book Antiqua"/>
          <w:sz w:val="24"/>
          <w:szCs w:val="24"/>
        </w:rPr>
        <w:t>;</w:t>
      </w:r>
      <w:r w:rsidR="005A571A" w:rsidRPr="00A624C2">
        <w:rPr>
          <w:rFonts w:ascii="Book Antiqua" w:hAnsi="Book Antiqua"/>
          <w:sz w:val="24"/>
          <w:szCs w:val="24"/>
        </w:rPr>
        <w:t xml:space="preserve"> all of them were considered as </w:t>
      </w:r>
      <w:r w:rsidR="00774CD9" w:rsidRPr="00A624C2">
        <w:rPr>
          <w:rFonts w:ascii="Book Antiqua" w:hAnsi="Book Antiqua"/>
          <w:sz w:val="24"/>
          <w:szCs w:val="24"/>
        </w:rPr>
        <w:t>non-responders</w:t>
      </w:r>
      <w:r w:rsidR="00317A47" w:rsidRPr="00A624C2">
        <w:rPr>
          <w:rFonts w:ascii="Book Antiqua" w:hAnsi="Book Antiqua"/>
          <w:sz w:val="24"/>
          <w:szCs w:val="24"/>
        </w:rPr>
        <w:t xml:space="preserve">. </w:t>
      </w:r>
    </w:p>
    <w:p w14:paraId="32428F5E" w14:textId="3CA4966E" w:rsidR="0092735B" w:rsidRPr="00A624C2" w:rsidRDefault="00D35144" w:rsidP="00FE4AE9">
      <w:pPr>
        <w:spacing w:after="0" w:line="360" w:lineRule="auto"/>
        <w:ind w:firstLineChars="100" w:firstLine="180"/>
        <w:jc w:val="both"/>
        <w:rPr>
          <w:rFonts w:ascii="Book Antiqua" w:eastAsia="宋体" w:hAnsi="Book Antiqua"/>
          <w:sz w:val="24"/>
          <w:szCs w:val="24"/>
          <w:lang w:eastAsia="zh-CN"/>
        </w:rPr>
      </w:pPr>
      <w:r w:rsidRPr="00A624C2">
        <w:rPr>
          <w:rFonts w:ascii="Book Antiqua" w:eastAsia="OTNEJMQuadraat" w:hAnsi="Book Antiqua" w:cs="OTNEJMQuadraat"/>
          <w:sz w:val="24"/>
          <w:szCs w:val="24"/>
        </w:rPr>
        <w:t>Demographic and baseline disease characteristics are summarized in Table 1.</w:t>
      </w:r>
      <w:r w:rsidR="006A0282" w:rsidRPr="00A624C2">
        <w:rPr>
          <w:rFonts w:ascii="Book Antiqua" w:eastAsia="OTNEJMQuadraat" w:hAnsi="Book Antiqua" w:cs="OTNEJMQuadraat"/>
          <w:sz w:val="24"/>
          <w:szCs w:val="24"/>
        </w:rPr>
        <w:t xml:space="preserve"> </w:t>
      </w:r>
      <w:r w:rsidR="00C21152" w:rsidRPr="00A624C2">
        <w:rPr>
          <w:rFonts w:ascii="Book Antiqua" w:hAnsi="Book Antiqua"/>
          <w:sz w:val="24"/>
          <w:szCs w:val="24"/>
        </w:rPr>
        <w:t xml:space="preserve">A majority of patients </w:t>
      </w:r>
      <w:r w:rsidR="00774CD9" w:rsidRPr="00A624C2">
        <w:rPr>
          <w:rFonts w:ascii="Book Antiqua" w:hAnsi="Book Antiqua"/>
          <w:sz w:val="24"/>
          <w:szCs w:val="24"/>
        </w:rPr>
        <w:t>received</w:t>
      </w:r>
      <w:r w:rsidR="00C21152" w:rsidRPr="00A624C2">
        <w:rPr>
          <w:rFonts w:ascii="Book Antiqua" w:hAnsi="Book Antiqua"/>
          <w:sz w:val="24"/>
          <w:szCs w:val="24"/>
        </w:rPr>
        <w:t xml:space="preserve"> comb</w:t>
      </w:r>
      <w:r w:rsidR="006A0282" w:rsidRPr="00A624C2">
        <w:rPr>
          <w:rFonts w:ascii="Book Antiqua" w:hAnsi="Book Antiqua"/>
          <w:sz w:val="24"/>
          <w:szCs w:val="24"/>
        </w:rPr>
        <w:t xml:space="preserve">ination </w:t>
      </w:r>
      <w:r w:rsidRPr="00A624C2">
        <w:rPr>
          <w:rFonts w:ascii="Book Antiqua" w:hAnsi="Book Antiqua"/>
          <w:sz w:val="24"/>
          <w:szCs w:val="24"/>
        </w:rPr>
        <w:t>therapy (86%)</w:t>
      </w:r>
      <w:r w:rsidR="00774CD9" w:rsidRPr="00A624C2">
        <w:rPr>
          <w:rFonts w:ascii="Book Antiqua" w:hAnsi="Book Antiqua"/>
          <w:sz w:val="24"/>
          <w:szCs w:val="24"/>
        </w:rPr>
        <w:t>.</w:t>
      </w:r>
      <w:r w:rsidRPr="00A624C2">
        <w:rPr>
          <w:rFonts w:ascii="Book Antiqua" w:hAnsi="Book Antiqua"/>
          <w:sz w:val="24"/>
          <w:szCs w:val="24"/>
        </w:rPr>
        <w:t xml:space="preserve"> </w:t>
      </w:r>
      <w:r w:rsidR="00774CD9" w:rsidRPr="00A624C2">
        <w:rPr>
          <w:rFonts w:ascii="Book Antiqua" w:hAnsi="Book Antiqua"/>
          <w:sz w:val="24"/>
          <w:szCs w:val="24"/>
        </w:rPr>
        <w:t>T</w:t>
      </w:r>
      <w:r w:rsidR="00C21152" w:rsidRPr="00A624C2">
        <w:rPr>
          <w:rFonts w:ascii="Book Antiqua" w:hAnsi="Book Antiqua"/>
          <w:sz w:val="24"/>
          <w:szCs w:val="24"/>
        </w:rPr>
        <w:t>he proportion of patients achieving MH</w:t>
      </w:r>
      <w:r w:rsidRPr="00A624C2">
        <w:rPr>
          <w:rFonts w:ascii="Book Antiqua" w:hAnsi="Book Antiqua"/>
          <w:sz w:val="24"/>
          <w:szCs w:val="24"/>
        </w:rPr>
        <w:t xml:space="preserve"> at week 46</w:t>
      </w:r>
      <w:r w:rsidR="00C21152" w:rsidRPr="00A624C2">
        <w:rPr>
          <w:rFonts w:ascii="Book Antiqua" w:hAnsi="Book Antiqua"/>
          <w:sz w:val="24"/>
          <w:szCs w:val="24"/>
        </w:rPr>
        <w:t xml:space="preserve"> under IFX and ADA were </w:t>
      </w:r>
      <w:r w:rsidR="00842A29" w:rsidRPr="00A624C2">
        <w:rPr>
          <w:rFonts w:ascii="Book Antiqua" w:hAnsi="Book Antiqua"/>
          <w:sz w:val="24"/>
          <w:szCs w:val="24"/>
        </w:rPr>
        <w:t>similar</w:t>
      </w:r>
      <w:r w:rsidR="00C21152" w:rsidRPr="00A624C2">
        <w:rPr>
          <w:rFonts w:ascii="Book Antiqua" w:hAnsi="Book Antiqua"/>
          <w:sz w:val="24"/>
          <w:szCs w:val="24"/>
        </w:rPr>
        <w:t xml:space="preserve"> (46% </w:t>
      </w:r>
      <w:r w:rsidR="00FE4AE9" w:rsidRPr="00A624C2">
        <w:rPr>
          <w:rFonts w:ascii="Book Antiqua" w:hAnsi="Book Antiqua"/>
          <w:i/>
          <w:sz w:val="24"/>
          <w:szCs w:val="24"/>
        </w:rPr>
        <w:t>vs</w:t>
      </w:r>
      <w:r w:rsidR="00C21152" w:rsidRPr="00A624C2">
        <w:rPr>
          <w:rFonts w:ascii="Book Antiqua" w:hAnsi="Book Antiqua"/>
          <w:sz w:val="24"/>
          <w:szCs w:val="24"/>
        </w:rPr>
        <w:t xml:space="preserve"> 42%), the subsequent analysis </w:t>
      </w:r>
      <w:r w:rsidR="00774CD9" w:rsidRPr="00A624C2">
        <w:rPr>
          <w:rFonts w:ascii="Book Antiqua" w:hAnsi="Book Antiqua"/>
          <w:sz w:val="24"/>
          <w:szCs w:val="24"/>
        </w:rPr>
        <w:t>was</w:t>
      </w:r>
      <w:r w:rsidR="00C21152" w:rsidRPr="00A624C2">
        <w:rPr>
          <w:rFonts w:ascii="Book Antiqua" w:hAnsi="Book Antiqua"/>
          <w:sz w:val="24"/>
          <w:szCs w:val="24"/>
        </w:rPr>
        <w:t xml:space="preserve"> </w:t>
      </w:r>
      <w:r w:rsidR="00774CD9" w:rsidRPr="00A624C2">
        <w:rPr>
          <w:rFonts w:ascii="Book Antiqua" w:hAnsi="Book Antiqua"/>
          <w:sz w:val="24"/>
          <w:szCs w:val="24"/>
        </w:rPr>
        <w:t xml:space="preserve">therefore </w:t>
      </w:r>
      <w:r w:rsidR="00C21152" w:rsidRPr="00A624C2">
        <w:rPr>
          <w:rFonts w:ascii="Book Antiqua" w:hAnsi="Book Antiqua"/>
          <w:sz w:val="24"/>
          <w:szCs w:val="24"/>
        </w:rPr>
        <w:t xml:space="preserve">performed in </w:t>
      </w:r>
      <w:r w:rsidR="006A0282" w:rsidRPr="00A624C2">
        <w:rPr>
          <w:rFonts w:ascii="Book Antiqua" w:hAnsi="Book Antiqua"/>
          <w:sz w:val="24"/>
          <w:szCs w:val="24"/>
        </w:rPr>
        <w:t xml:space="preserve">the </w:t>
      </w:r>
      <w:r w:rsidR="00C21152" w:rsidRPr="00A624C2">
        <w:rPr>
          <w:rFonts w:ascii="Book Antiqua" w:hAnsi="Book Antiqua"/>
          <w:sz w:val="24"/>
          <w:szCs w:val="24"/>
        </w:rPr>
        <w:t xml:space="preserve">pooled population. </w:t>
      </w:r>
    </w:p>
    <w:p w14:paraId="50DC5D65" w14:textId="09629555" w:rsidR="00CD6E60" w:rsidRPr="00A624C2" w:rsidRDefault="00454203" w:rsidP="00FE4AE9">
      <w:pPr>
        <w:spacing w:after="0" w:line="360" w:lineRule="auto"/>
        <w:ind w:firstLineChars="100" w:firstLine="240"/>
        <w:jc w:val="both"/>
        <w:rPr>
          <w:rFonts w:ascii="Book Antiqua" w:hAnsi="Book Antiqua" w:cs="AdvOT4b47d116"/>
          <w:color w:val="231F20"/>
          <w:sz w:val="24"/>
          <w:szCs w:val="24"/>
        </w:rPr>
      </w:pPr>
      <w:r w:rsidRPr="00A624C2">
        <w:rPr>
          <w:rFonts w:ascii="Book Antiqua" w:hAnsi="Book Antiqua" w:cs="AdvOT4b47d116"/>
          <w:color w:val="231F20"/>
          <w:sz w:val="24"/>
          <w:szCs w:val="24"/>
        </w:rPr>
        <w:t>Clinical, b</w:t>
      </w:r>
      <w:r w:rsidR="005B31C1" w:rsidRPr="00A624C2">
        <w:rPr>
          <w:rFonts w:ascii="Book Antiqua" w:hAnsi="Book Antiqua" w:cs="AdvOT4b47d116"/>
          <w:color w:val="231F20"/>
          <w:sz w:val="24"/>
          <w:szCs w:val="24"/>
        </w:rPr>
        <w:t>iological, pharmacokinetic, and endoscopic data</w:t>
      </w:r>
      <w:r w:rsidR="006D5C5C" w:rsidRPr="00A624C2">
        <w:rPr>
          <w:rFonts w:ascii="Book Antiqua" w:hAnsi="Book Antiqua" w:cs="AdvOT4b47d116"/>
          <w:color w:val="231F20"/>
          <w:sz w:val="24"/>
          <w:szCs w:val="24"/>
        </w:rPr>
        <w:t xml:space="preserve"> </w:t>
      </w:r>
      <w:r w:rsidR="00F74997" w:rsidRPr="00A624C2">
        <w:rPr>
          <w:rFonts w:ascii="Book Antiqua" w:hAnsi="Book Antiqua" w:cs="AdvOT4b47d116"/>
          <w:color w:val="231F20"/>
          <w:sz w:val="24"/>
          <w:szCs w:val="24"/>
        </w:rPr>
        <w:t xml:space="preserve">at baseline and during follow up </w:t>
      </w:r>
      <w:r w:rsidR="00F24D4D" w:rsidRPr="00A624C2">
        <w:rPr>
          <w:rFonts w:ascii="Book Antiqua" w:hAnsi="Book Antiqua" w:cs="AdvOT4b47d116"/>
          <w:color w:val="231F20"/>
          <w:sz w:val="24"/>
          <w:szCs w:val="24"/>
        </w:rPr>
        <w:t xml:space="preserve">are </w:t>
      </w:r>
      <w:r w:rsidR="001A49BB" w:rsidRPr="00A624C2">
        <w:rPr>
          <w:rFonts w:ascii="Book Antiqua" w:hAnsi="Book Antiqua" w:cs="AdvOT4b47d116"/>
          <w:color w:val="231F20"/>
          <w:sz w:val="24"/>
          <w:szCs w:val="24"/>
        </w:rPr>
        <w:t>presented in Table 2.</w:t>
      </w:r>
      <w:r w:rsidR="00D96AA2" w:rsidRPr="00A624C2">
        <w:rPr>
          <w:rFonts w:ascii="Book Antiqua" w:hAnsi="Book Antiqua" w:cs="AdvOT4b47d116"/>
          <w:color w:val="231F20"/>
          <w:sz w:val="24"/>
          <w:szCs w:val="24"/>
        </w:rPr>
        <w:t xml:space="preserve"> </w:t>
      </w:r>
      <w:r w:rsidR="002A30F4" w:rsidRPr="00A624C2">
        <w:rPr>
          <w:rFonts w:ascii="Book Antiqua" w:hAnsi="Book Antiqua" w:cs="AdvOT4b47d116"/>
          <w:color w:val="231F20"/>
          <w:sz w:val="24"/>
          <w:szCs w:val="24"/>
        </w:rPr>
        <w:t>At baseline</w:t>
      </w:r>
      <w:r w:rsidR="00F968A4" w:rsidRPr="00A624C2">
        <w:rPr>
          <w:rFonts w:ascii="Book Antiqua" w:hAnsi="Book Antiqua" w:cs="AdvOT4b47d116"/>
          <w:color w:val="231F20"/>
          <w:sz w:val="24"/>
          <w:szCs w:val="24"/>
        </w:rPr>
        <w:t>,</w:t>
      </w:r>
      <w:r w:rsidR="002A30F4" w:rsidRPr="00A624C2">
        <w:rPr>
          <w:rFonts w:ascii="Book Antiqua" w:hAnsi="Book Antiqua" w:cs="AdvOT4b47d116"/>
          <w:color w:val="231F20"/>
          <w:sz w:val="24"/>
          <w:szCs w:val="24"/>
        </w:rPr>
        <w:t xml:space="preserve"> m</w:t>
      </w:r>
      <w:r w:rsidR="00957A50" w:rsidRPr="00A624C2">
        <w:rPr>
          <w:rFonts w:ascii="Book Antiqua" w:hAnsi="Book Antiqua" w:cs="AdvOT4b47d116"/>
          <w:color w:val="231F20"/>
          <w:sz w:val="24"/>
          <w:szCs w:val="24"/>
        </w:rPr>
        <w:t>edian</w:t>
      </w:r>
      <w:r w:rsidR="002A30F4" w:rsidRPr="00A624C2">
        <w:rPr>
          <w:rFonts w:ascii="Book Antiqua" w:hAnsi="Book Antiqua" w:cs="AdvOT4b47d116"/>
          <w:color w:val="231F20"/>
          <w:sz w:val="24"/>
          <w:szCs w:val="24"/>
        </w:rPr>
        <w:t xml:space="preserve"> CDAI was </w:t>
      </w:r>
      <w:r w:rsidR="00957A50" w:rsidRPr="00A624C2">
        <w:rPr>
          <w:rFonts w:ascii="Book Antiqua" w:hAnsi="Book Antiqua" w:cs="AdvOT4b47d116"/>
          <w:color w:val="231F20"/>
          <w:sz w:val="24"/>
          <w:szCs w:val="24"/>
        </w:rPr>
        <w:t>20</w:t>
      </w:r>
      <w:r w:rsidR="002555E8" w:rsidRPr="00A624C2">
        <w:rPr>
          <w:rFonts w:ascii="Book Antiqua" w:hAnsi="Book Antiqua" w:cs="AdvOT4b47d116"/>
          <w:color w:val="231F20"/>
          <w:sz w:val="24"/>
          <w:szCs w:val="24"/>
        </w:rPr>
        <w:t>1</w:t>
      </w:r>
      <w:r w:rsidR="00F968A4" w:rsidRPr="00A624C2">
        <w:rPr>
          <w:rFonts w:ascii="Book Antiqua" w:hAnsi="Book Antiqua" w:cs="AdvOT4b47d116"/>
          <w:color w:val="231F20"/>
          <w:sz w:val="24"/>
          <w:szCs w:val="24"/>
        </w:rPr>
        <w:t>;</w:t>
      </w:r>
      <w:r w:rsidR="00AA6A64" w:rsidRPr="00A624C2">
        <w:rPr>
          <w:rFonts w:ascii="Book Antiqua" w:hAnsi="Book Antiqua" w:cs="AdvOT4b47d116"/>
          <w:color w:val="231F20"/>
          <w:sz w:val="24"/>
          <w:szCs w:val="24"/>
        </w:rPr>
        <w:t xml:space="preserve"> t</w:t>
      </w:r>
      <w:r w:rsidR="006903FA" w:rsidRPr="00A624C2">
        <w:rPr>
          <w:rFonts w:ascii="Book Antiqua" w:hAnsi="Book Antiqua" w:cs="AdvOT4b47d116"/>
          <w:color w:val="231F20"/>
          <w:sz w:val="24"/>
          <w:szCs w:val="24"/>
        </w:rPr>
        <w:t xml:space="preserve">reatment </w:t>
      </w:r>
      <w:r w:rsidR="005974B5" w:rsidRPr="00A624C2">
        <w:rPr>
          <w:rFonts w:ascii="Book Antiqua" w:hAnsi="Book Antiqua" w:cs="AdvOT4b47d116"/>
          <w:color w:val="231F20"/>
          <w:sz w:val="24"/>
          <w:szCs w:val="24"/>
        </w:rPr>
        <w:t>with</w:t>
      </w:r>
      <w:r w:rsidR="006903FA" w:rsidRPr="00A624C2">
        <w:rPr>
          <w:rFonts w:ascii="Book Antiqua" w:hAnsi="Book Antiqua" w:cs="AdvOT4b47d116"/>
          <w:color w:val="231F20"/>
          <w:sz w:val="24"/>
          <w:szCs w:val="24"/>
        </w:rPr>
        <w:t xml:space="preserve"> anti-TNF resulted in a significant decrease in CDAI</w:t>
      </w:r>
      <w:r w:rsidR="008E5EA2" w:rsidRPr="00A624C2">
        <w:rPr>
          <w:rFonts w:ascii="Book Antiqua" w:hAnsi="Book Antiqua" w:cs="AdvOT4b47d116"/>
          <w:color w:val="231F20"/>
          <w:sz w:val="24"/>
          <w:szCs w:val="24"/>
        </w:rPr>
        <w:t xml:space="preserve"> </w:t>
      </w:r>
      <w:r w:rsidR="002A30F4" w:rsidRPr="00A624C2">
        <w:rPr>
          <w:rFonts w:ascii="Book Antiqua" w:hAnsi="Book Antiqua" w:cs="AdvOT4b47d116"/>
          <w:color w:val="231F20"/>
          <w:sz w:val="24"/>
          <w:szCs w:val="24"/>
        </w:rPr>
        <w:t xml:space="preserve">to </w:t>
      </w:r>
      <w:r w:rsidR="00957A50" w:rsidRPr="00A624C2">
        <w:rPr>
          <w:rFonts w:ascii="Book Antiqua" w:hAnsi="Book Antiqua" w:cs="AdvOT4b47d116"/>
          <w:color w:val="231F20"/>
          <w:sz w:val="24"/>
          <w:szCs w:val="24"/>
        </w:rPr>
        <w:t>6</w:t>
      </w:r>
      <w:r w:rsidR="002555E8" w:rsidRPr="00A624C2">
        <w:rPr>
          <w:rFonts w:ascii="Book Antiqua" w:hAnsi="Book Antiqua" w:cs="AdvOT4b47d116"/>
          <w:color w:val="231F20"/>
          <w:sz w:val="24"/>
          <w:szCs w:val="24"/>
        </w:rPr>
        <w:t>0</w:t>
      </w:r>
      <w:r w:rsidR="002A30F4" w:rsidRPr="00A624C2">
        <w:rPr>
          <w:rFonts w:ascii="Book Antiqua" w:hAnsi="Book Antiqua" w:cs="AdvOT4b47d116"/>
          <w:color w:val="231F20"/>
          <w:sz w:val="24"/>
          <w:szCs w:val="24"/>
        </w:rPr>
        <w:t xml:space="preserve"> (</w:t>
      </w:r>
      <w:r w:rsidR="00FE4AE9" w:rsidRPr="00A624C2">
        <w:rPr>
          <w:rFonts w:ascii="Book Antiqua" w:hAnsi="Book Antiqua" w:cs="AdvOT4b47d116"/>
          <w:i/>
          <w:color w:val="231F20"/>
          <w:sz w:val="24"/>
          <w:szCs w:val="24"/>
        </w:rPr>
        <w:t>P</w:t>
      </w:r>
      <w:r w:rsidR="00FE4AE9" w:rsidRPr="00A624C2">
        <w:rPr>
          <w:rFonts w:ascii="Book Antiqua" w:eastAsia="宋体" w:hAnsi="Book Antiqua" w:cs="AdvOT4b47d116"/>
          <w:color w:val="231F20"/>
          <w:sz w:val="24"/>
          <w:szCs w:val="24"/>
          <w:lang w:eastAsia="zh-CN"/>
        </w:rPr>
        <w:t xml:space="preserve"> </w:t>
      </w:r>
      <w:r w:rsidR="002A30F4" w:rsidRPr="00A624C2">
        <w:rPr>
          <w:rFonts w:ascii="Book Antiqua" w:hAnsi="Book Antiqua" w:cs="AdvOT4b47d116"/>
          <w:color w:val="231F20"/>
          <w:sz w:val="24"/>
          <w:szCs w:val="24"/>
        </w:rPr>
        <w:t>&lt;</w:t>
      </w:r>
      <w:r w:rsidR="00FE4AE9" w:rsidRPr="00A624C2">
        <w:rPr>
          <w:rFonts w:ascii="Book Antiqua" w:eastAsia="宋体" w:hAnsi="Book Antiqua" w:cs="AdvOT4b47d116"/>
          <w:color w:val="231F20"/>
          <w:sz w:val="24"/>
          <w:szCs w:val="24"/>
          <w:lang w:eastAsia="zh-CN"/>
        </w:rPr>
        <w:t xml:space="preserve"> </w:t>
      </w:r>
      <w:r w:rsidR="002A30F4" w:rsidRPr="00A624C2">
        <w:rPr>
          <w:rFonts w:ascii="Book Antiqua" w:hAnsi="Book Antiqua" w:cs="AdvOT4b47d116"/>
          <w:color w:val="231F20"/>
          <w:sz w:val="24"/>
          <w:szCs w:val="24"/>
        </w:rPr>
        <w:t>0</w:t>
      </w:r>
      <w:r w:rsidR="00B91BE6" w:rsidRPr="00A624C2">
        <w:rPr>
          <w:rFonts w:ascii="Book Antiqua" w:hAnsi="Book Antiqua" w:cs="AdvOT4b47d116"/>
          <w:color w:val="231F20"/>
          <w:sz w:val="24"/>
          <w:szCs w:val="24"/>
        </w:rPr>
        <w:t>.</w:t>
      </w:r>
      <w:r w:rsidR="002A30F4" w:rsidRPr="00A624C2">
        <w:rPr>
          <w:rFonts w:ascii="Book Antiqua" w:hAnsi="Book Antiqua" w:cs="AdvOT4b47d116"/>
          <w:color w:val="231F20"/>
          <w:sz w:val="24"/>
          <w:szCs w:val="24"/>
        </w:rPr>
        <w:t>001) at week 14 and</w:t>
      </w:r>
      <w:r w:rsidR="00F968A4" w:rsidRPr="00A624C2">
        <w:rPr>
          <w:rFonts w:ascii="Book Antiqua" w:hAnsi="Book Antiqua" w:cs="AdvOT4b47d116"/>
          <w:color w:val="231F20"/>
          <w:sz w:val="24"/>
          <w:szCs w:val="24"/>
        </w:rPr>
        <w:t xml:space="preserve"> </w:t>
      </w:r>
      <w:r w:rsidR="002A30F4" w:rsidRPr="00A624C2">
        <w:rPr>
          <w:rFonts w:ascii="Book Antiqua" w:hAnsi="Book Antiqua" w:cs="AdvOT4b47d116"/>
          <w:color w:val="231F20"/>
          <w:sz w:val="24"/>
          <w:szCs w:val="24"/>
        </w:rPr>
        <w:t xml:space="preserve">to </w:t>
      </w:r>
      <w:r w:rsidR="00957A50" w:rsidRPr="00A624C2">
        <w:rPr>
          <w:rFonts w:ascii="Book Antiqua" w:hAnsi="Book Antiqua" w:cs="AdvOT4b47d116"/>
          <w:color w:val="231F20"/>
          <w:sz w:val="24"/>
          <w:szCs w:val="24"/>
        </w:rPr>
        <w:t>5</w:t>
      </w:r>
      <w:r w:rsidR="002555E8" w:rsidRPr="00A624C2">
        <w:rPr>
          <w:rFonts w:ascii="Book Antiqua" w:hAnsi="Book Antiqua" w:cs="AdvOT4b47d116"/>
          <w:color w:val="231F20"/>
          <w:sz w:val="24"/>
          <w:szCs w:val="24"/>
        </w:rPr>
        <w:t>3</w:t>
      </w:r>
      <w:r w:rsidR="002A30F4" w:rsidRPr="00A624C2">
        <w:rPr>
          <w:rFonts w:ascii="Book Antiqua" w:hAnsi="Book Antiqua" w:cs="AdvOT4b47d116"/>
          <w:color w:val="231F20"/>
          <w:sz w:val="24"/>
          <w:szCs w:val="24"/>
        </w:rPr>
        <w:t xml:space="preserve"> </w:t>
      </w:r>
      <w:r w:rsidR="007827DF" w:rsidRPr="00A624C2">
        <w:rPr>
          <w:rFonts w:ascii="Book Antiqua" w:hAnsi="Book Antiqua" w:cs="AdvOT4b47d116"/>
          <w:color w:val="231F20"/>
          <w:sz w:val="24"/>
          <w:szCs w:val="24"/>
        </w:rPr>
        <w:t>at week 46</w:t>
      </w:r>
      <w:r w:rsidR="002A30F4" w:rsidRPr="00A624C2">
        <w:rPr>
          <w:rFonts w:ascii="Book Antiqua" w:hAnsi="Book Antiqua" w:cs="AdvOT4b47d116"/>
          <w:color w:val="231F20"/>
          <w:sz w:val="24"/>
          <w:szCs w:val="24"/>
        </w:rPr>
        <w:t xml:space="preserve"> (</w:t>
      </w:r>
      <w:r w:rsidR="00FE4AE9" w:rsidRPr="00A624C2">
        <w:rPr>
          <w:rFonts w:ascii="Book Antiqua" w:hAnsi="Book Antiqua" w:cs="AdvOT4b47d116"/>
          <w:i/>
          <w:color w:val="231F20"/>
          <w:sz w:val="24"/>
          <w:szCs w:val="24"/>
        </w:rPr>
        <w:t>P</w:t>
      </w:r>
      <w:r w:rsidR="00FE4AE9" w:rsidRPr="00A624C2">
        <w:rPr>
          <w:rFonts w:ascii="Book Antiqua" w:eastAsia="宋体" w:hAnsi="Book Antiqua" w:cs="AdvOT4b47d116"/>
          <w:color w:val="231F20"/>
          <w:sz w:val="24"/>
          <w:szCs w:val="24"/>
          <w:lang w:eastAsia="zh-CN"/>
        </w:rPr>
        <w:t xml:space="preserve"> </w:t>
      </w:r>
      <w:r w:rsidR="002A30F4" w:rsidRPr="00A624C2">
        <w:rPr>
          <w:rFonts w:ascii="Book Antiqua" w:hAnsi="Book Antiqua" w:cs="AdvOT4b47d116"/>
          <w:color w:val="231F20"/>
          <w:sz w:val="24"/>
          <w:szCs w:val="24"/>
        </w:rPr>
        <w:t>&lt;</w:t>
      </w:r>
      <w:r w:rsidR="00FE4AE9" w:rsidRPr="00A624C2">
        <w:rPr>
          <w:rFonts w:ascii="Book Antiqua" w:eastAsia="宋体" w:hAnsi="Book Antiqua" w:cs="AdvOT4b47d116"/>
          <w:color w:val="231F20"/>
          <w:sz w:val="24"/>
          <w:szCs w:val="24"/>
          <w:lang w:eastAsia="zh-CN"/>
        </w:rPr>
        <w:t xml:space="preserve"> </w:t>
      </w:r>
      <w:r w:rsidR="002A30F4" w:rsidRPr="00A624C2">
        <w:rPr>
          <w:rFonts w:ascii="Book Antiqua" w:hAnsi="Book Antiqua" w:cs="AdvOT4b47d116"/>
          <w:color w:val="231F20"/>
          <w:sz w:val="24"/>
          <w:szCs w:val="24"/>
        </w:rPr>
        <w:t>0</w:t>
      </w:r>
      <w:r w:rsidR="00B91BE6" w:rsidRPr="00A624C2">
        <w:rPr>
          <w:rFonts w:ascii="Book Antiqua" w:hAnsi="Book Antiqua" w:cs="AdvOT4b47d116"/>
          <w:color w:val="231F20"/>
          <w:sz w:val="24"/>
          <w:szCs w:val="24"/>
        </w:rPr>
        <w:t>.</w:t>
      </w:r>
      <w:r w:rsidR="002A30F4" w:rsidRPr="00A624C2">
        <w:rPr>
          <w:rFonts w:ascii="Book Antiqua" w:hAnsi="Book Antiqua" w:cs="AdvOT4b47d116"/>
          <w:color w:val="231F20"/>
          <w:sz w:val="24"/>
          <w:szCs w:val="24"/>
        </w:rPr>
        <w:t>001).</w:t>
      </w:r>
      <w:r w:rsidR="00FE4AE9" w:rsidRPr="00A624C2">
        <w:rPr>
          <w:rFonts w:ascii="Book Antiqua" w:eastAsia="宋体" w:hAnsi="Book Antiqua" w:cs="AdvOT4b47d116"/>
          <w:color w:val="231F20"/>
          <w:sz w:val="24"/>
          <w:szCs w:val="24"/>
          <w:lang w:eastAsia="zh-CN"/>
        </w:rPr>
        <w:t xml:space="preserve"> </w:t>
      </w:r>
      <w:r w:rsidR="009849E8" w:rsidRPr="00A624C2">
        <w:rPr>
          <w:rFonts w:ascii="Book Antiqua" w:hAnsi="Book Antiqua" w:cs="AdvOT4b47d116"/>
          <w:color w:val="231F20"/>
          <w:sz w:val="24"/>
          <w:szCs w:val="24"/>
        </w:rPr>
        <w:t xml:space="preserve">Changes in biomarkers are summarized in Table 2. </w:t>
      </w:r>
      <w:r w:rsidR="007D3AEF" w:rsidRPr="00A624C2">
        <w:rPr>
          <w:rFonts w:ascii="Book Antiqua" w:hAnsi="Book Antiqua" w:cs="AdvOT4b47d116"/>
          <w:color w:val="231F20"/>
          <w:sz w:val="24"/>
          <w:szCs w:val="24"/>
        </w:rPr>
        <w:t>Cal</w:t>
      </w:r>
      <w:r w:rsidR="00D96AA2" w:rsidRPr="00A624C2">
        <w:rPr>
          <w:rFonts w:ascii="Book Antiqua" w:hAnsi="Book Antiqua" w:cs="AdvOT4b47d116"/>
          <w:color w:val="231F20"/>
          <w:sz w:val="24"/>
          <w:szCs w:val="24"/>
        </w:rPr>
        <w:t>protectin</w:t>
      </w:r>
      <w:r w:rsidR="009849E8" w:rsidRPr="00A624C2">
        <w:rPr>
          <w:rFonts w:ascii="Book Antiqua" w:hAnsi="Book Antiqua" w:cs="AdvOT4b47d116"/>
          <w:color w:val="231F20"/>
          <w:sz w:val="24"/>
          <w:szCs w:val="24"/>
        </w:rPr>
        <w:t xml:space="preserve"> levels</w:t>
      </w:r>
      <w:r w:rsidR="00D96AA2" w:rsidRPr="00A624C2">
        <w:rPr>
          <w:rFonts w:ascii="Book Antiqua" w:hAnsi="Book Antiqua" w:cs="AdvOT4b47d116"/>
          <w:color w:val="231F20"/>
          <w:sz w:val="24"/>
          <w:szCs w:val="24"/>
        </w:rPr>
        <w:t xml:space="preserve"> </w:t>
      </w:r>
      <w:r w:rsidR="00CC4AEE" w:rsidRPr="00A624C2">
        <w:rPr>
          <w:rFonts w:ascii="Book Antiqua" w:hAnsi="Book Antiqua" w:cs="AdvOT4b47d116"/>
          <w:color w:val="231F20"/>
          <w:sz w:val="24"/>
          <w:szCs w:val="24"/>
        </w:rPr>
        <w:t xml:space="preserve">decreased </w:t>
      </w:r>
      <w:r w:rsidR="00D96AA2" w:rsidRPr="00A624C2">
        <w:rPr>
          <w:rFonts w:ascii="Book Antiqua" w:hAnsi="Book Antiqua" w:cs="AdvOT4b47d116"/>
          <w:color w:val="231F20"/>
          <w:sz w:val="24"/>
          <w:szCs w:val="24"/>
        </w:rPr>
        <w:t xml:space="preserve">progressively </w:t>
      </w:r>
      <w:r w:rsidR="00CC4AEE" w:rsidRPr="00A624C2">
        <w:rPr>
          <w:rFonts w:ascii="Book Antiqua" w:hAnsi="Book Antiqua" w:cs="AdvOT4b47d116"/>
          <w:color w:val="231F20"/>
          <w:sz w:val="24"/>
          <w:szCs w:val="24"/>
        </w:rPr>
        <w:t xml:space="preserve">with significant differences relative to baseline at </w:t>
      </w:r>
      <w:r w:rsidR="00736E87" w:rsidRPr="00A624C2">
        <w:rPr>
          <w:rFonts w:ascii="Book Antiqua" w:hAnsi="Book Antiqua" w:cs="AdvOT4b47d116"/>
          <w:color w:val="231F20"/>
          <w:sz w:val="24"/>
          <w:szCs w:val="24"/>
        </w:rPr>
        <w:t>week</w:t>
      </w:r>
      <w:r w:rsidR="007D3AEF" w:rsidRPr="00A624C2">
        <w:rPr>
          <w:rFonts w:ascii="Book Antiqua" w:hAnsi="Book Antiqua" w:cs="AdvOT4b47d116"/>
          <w:color w:val="231F20"/>
          <w:sz w:val="24"/>
          <w:szCs w:val="24"/>
        </w:rPr>
        <w:t>s</w:t>
      </w:r>
      <w:r w:rsidR="00736E87" w:rsidRPr="00A624C2">
        <w:rPr>
          <w:rFonts w:ascii="Book Antiqua" w:hAnsi="Book Antiqua" w:cs="AdvOT4b47d116"/>
          <w:color w:val="231F20"/>
          <w:sz w:val="24"/>
          <w:szCs w:val="24"/>
        </w:rPr>
        <w:t xml:space="preserve"> 14</w:t>
      </w:r>
      <w:r w:rsidR="00244146" w:rsidRPr="00A624C2">
        <w:rPr>
          <w:rFonts w:ascii="Book Antiqua" w:hAnsi="Book Antiqua" w:cs="AdvOT4b47d116"/>
          <w:color w:val="231F20"/>
          <w:sz w:val="24"/>
          <w:szCs w:val="24"/>
        </w:rPr>
        <w:t xml:space="preserve"> </w:t>
      </w:r>
      <w:r w:rsidR="00736E87" w:rsidRPr="00A624C2">
        <w:rPr>
          <w:rFonts w:ascii="Book Antiqua" w:hAnsi="Book Antiqua" w:cs="AdvOT4b47d116"/>
          <w:color w:val="231F20"/>
          <w:sz w:val="24"/>
          <w:szCs w:val="24"/>
        </w:rPr>
        <w:t>and</w:t>
      </w:r>
      <w:r w:rsidR="007D3AEF" w:rsidRPr="00A624C2">
        <w:rPr>
          <w:rFonts w:ascii="Book Antiqua" w:hAnsi="Book Antiqua" w:cs="AdvOT4b47d116"/>
          <w:color w:val="231F20"/>
          <w:sz w:val="24"/>
          <w:szCs w:val="24"/>
        </w:rPr>
        <w:t xml:space="preserve"> 46. </w:t>
      </w:r>
      <w:r w:rsidR="00E30268" w:rsidRPr="00A624C2">
        <w:rPr>
          <w:rFonts w:ascii="Book Antiqua" w:hAnsi="Book Antiqua" w:cs="AdvOT4b47d116"/>
          <w:color w:val="231F20"/>
          <w:sz w:val="24"/>
          <w:szCs w:val="24"/>
        </w:rPr>
        <w:t xml:space="preserve">CRP </w:t>
      </w:r>
      <w:r w:rsidR="00244146" w:rsidRPr="00A624C2">
        <w:rPr>
          <w:rFonts w:ascii="Book Antiqua" w:hAnsi="Book Antiqua" w:cs="AdvOT4b47d116"/>
          <w:color w:val="231F20"/>
          <w:sz w:val="24"/>
          <w:szCs w:val="24"/>
        </w:rPr>
        <w:t xml:space="preserve">value </w:t>
      </w:r>
      <w:r w:rsidR="00E30268" w:rsidRPr="00A624C2">
        <w:rPr>
          <w:rFonts w:ascii="Book Antiqua" w:hAnsi="Book Antiqua" w:cs="AdvOT4b47d116"/>
          <w:color w:val="231F20"/>
          <w:sz w:val="24"/>
          <w:szCs w:val="24"/>
        </w:rPr>
        <w:t>also decreased during follow</w:t>
      </w:r>
      <w:r w:rsidR="00F968A4" w:rsidRPr="00A624C2">
        <w:rPr>
          <w:rFonts w:ascii="Book Antiqua" w:hAnsi="Book Antiqua" w:cs="AdvOT4b47d116"/>
          <w:color w:val="231F20"/>
          <w:sz w:val="24"/>
          <w:szCs w:val="24"/>
        </w:rPr>
        <w:t>-</w:t>
      </w:r>
      <w:r w:rsidR="00E30268" w:rsidRPr="00A624C2">
        <w:rPr>
          <w:rFonts w:ascii="Book Antiqua" w:hAnsi="Book Antiqua" w:cs="AdvOT4b47d116"/>
          <w:color w:val="231F20"/>
          <w:sz w:val="24"/>
          <w:szCs w:val="24"/>
        </w:rPr>
        <w:t xml:space="preserve">up reaching </w:t>
      </w:r>
      <w:r w:rsidR="00BE334B" w:rsidRPr="00A624C2">
        <w:rPr>
          <w:rFonts w:ascii="Book Antiqua" w:hAnsi="Book Antiqua" w:cs="AdvOT4b47d116"/>
          <w:color w:val="231F20"/>
          <w:sz w:val="24"/>
          <w:szCs w:val="24"/>
        </w:rPr>
        <w:t>statistical</w:t>
      </w:r>
      <w:r w:rsidR="00E30268" w:rsidRPr="00A624C2">
        <w:rPr>
          <w:rFonts w:ascii="Book Antiqua" w:hAnsi="Book Antiqua" w:cs="AdvOT4b47d116"/>
          <w:color w:val="231F20"/>
          <w:sz w:val="24"/>
          <w:szCs w:val="24"/>
        </w:rPr>
        <w:t xml:space="preserve"> significance</w:t>
      </w:r>
      <w:r w:rsidR="0086437A" w:rsidRPr="00A624C2">
        <w:rPr>
          <w:rFonts w:ascii="Book Antiqua" w:hAnsi="Book Antiqua" w:cs="AdvOT4b47d116"/>
          <w:color w:val="231F20"/>
          <w:sz w:val="24"/>
          <w:szCs w:val="24"/>
        </w:rPr>
        <w:t xml:space="preserve"> </w:t>
      </w:r>
      <w:r w:rsidR="002555E8" w:rsidRPr="00A624C2">
        <w:rPr>
          <w:rFonts w:ascii="Book Antiqua" w:hAnsi="Book Antiqua" w:cs="AdvOT4b47d116"/>
          <w:color w:val="231F20"/>
          <w:sz w:val="24"/>
          <w:szCs w:val="24"/>
        </w:rPr>
        <w:t xml:space="preserve">at week 46 </w:t>
      </w:r>
      <w:r w:rsidR="0086437A" w:rsidRPr="00A624C2">
        <w:rPr>
          <w:rFonts w:ascii="Book Antiqua" w:hAnsi="Book Antiqua" w:cs="AdvOT4b47d116"/>
          <w:color w:val="231F20"/>
          <w:sz w:val="24"/>
          <w:szCs w:val="24"/>
        </w:rPr>
        <w:t xml:space="preserve">in </w:t>
      </w:r>
      <w:r w:rsidR="003E01F0" w:rsidRPr="00A624C2">
        <w:rPr>
          <w:rFonts w:ascii="Book Antiqua" w:hAnsi="Book Antiqua" w:cs="AdvOT4b47d116"/>
          <w:color w:val="231F20"/>
          <w:sz w:val="24"/>
          <w:szCs w:val="24"/>
        </w:rPr>
        <w:t>the whole study population and</w:t>
      </w:r>
      <w:r w:rsidR="0086437A" w:rsidRPr="00A624C2">
        <w:rPr>
          <w:rFonts w:ascii="Book Antiqua" w:hAnsi="Book Antiqua" w:cs="AdvOT4b47d116"/>
          <w:color w:val="231F20"/>
          <w:sz w:val="24"/>
          <w:szCs w:val="24"/>
        </w:rPr>
        <w:t xml:space="preserve"> also in the subgroup of patients with elevated CRP (&gt;</w:t>
      </w:r>
      <w:r w:rsidR="00FE4AE9" w:rsidRPr="00A624C2">
        <w:rPr>
          <w:rFonts w:ascii="Book Antiqua" w:eastAsia="宋体" w:hAnsi="Book Antiqua" w:cs="AdvOT4b47d116"/>
          <w:color w:val="231F20"/>
          <w:sz w:val="24"/>
          <w:szCs w:val="24"/>
          <w:lang w:eastAsia="zh-CN"/>
        </w:rPr>
        <w:t xml:space="preserve"> </w:t>
      </w:r>
      <w:r w:rsidR="0086437A" w:rsidRPr="00A624C2">
        <w:rPr>
          <w:rFonts w:ascii="Book Antiqua" w:hAnsi="Book Antiqua" w:cs="AdvOT4b47d116"/>
          <w:color w:val="231F20"/>
          <w:sz w:val="24"/>
          <w:szCs w:val="24"/>
        </w:rPr>
        <w:t>1.0 mg/d</w:t>
      </w:r>
      <w:r w:rsidR="00FE4AE9" w:rsidRPr="00A624C2">
        <w:rPr>
          <w:rFonts w:ascii="Book Antiqua" w:hAnsi="Book Antiqua" w:cs="AdvOT4b47d116"/>
          <w:color w:val="231F20"/>
          <w:sz w:val="24"/>
          <w:szCs w:val="24"/>
        </w:rPr>
        <w:t>L</w:t>
      </w:r>
      <w:r w:rsidR="0086437A" w:rsidRPr="00A624C2">
        <w:rPr>
          <w:rFonts w:ascii="Book Antiqua" w:hAnsi="Book Antiqua" w:cs="AdvOT4b47d116"/>
          <w:color w:val="231F20"/>
          <w:sz w:val="24"/>
          <w:szCs w:val="24"/>
        </w:rPr>
        <w:t>) at baseline</w:t>
      </w:r>
      <w:r w:rsidR="00EC1D62" w:rsidRPr="00A624C2">
        <w:rPr>
          <w:rFonts w:ascii="Book Antiqua" w:hAnsi="Book Antiqua" w:cs="AdvOT4b47d116"/>
          <w:color w:val="231F20"/>
          <w:sz w:val="24"/>
          <w:szCs w:val="24"/>
        </w:rPr>
        <w:t xml:space="preserve"> (</w:t>
      </w:r>
      <w:r w:rsidR="00EC1D62" w:rsidRPr="00A624C2">
        <w:rPr>
          <w:rFonts w:ascii="Book Antiqua" w:hAnsi="Book Antiqua" w:cs="AdvOT4b47d116"/>
          <w:i/>
          <w:color w:val="231F20"/>
          <w:sz w:val="24"/>
          <w:szCs w:val="24"/>
        </w:rPr>
        <w:t>n</w:t>
      </w:r>
      <w:r w:rsidR="00FE4AE9" w:rsidRPr="00A624C2">
        <w:rPr>
          <w:rFonts w:ascii="Book Antiqua" w:eastAsia="宋体" w:hAnsi="Book Antiqua" w:cs="AdvOT4b47d116"/>
          <w:color w:val="231F20"/>
          <w:sz w:val="24"/>
          <w:szCs w:val="24"/>
          <w:lang w:eastAsia="zh-CN"/>
        </w:rPr>
        <w:t xml:space="preserve"> </w:t>
      </w:r>
      <w:r w:rsidR="00EC1D62" w:rsidRPr="00A624C2">
        <w:rPr>
          <w:rFonts w:ascii="Book Antiqua" w:hAnsi="Book Antiqua" w:cs="AdvOTb63a3543.I"/>
          <w:color w:val="231F20"/>
          <w:sz w:val="24"/>
          <w:szCs w:val="24"/>
        </w:rPr>
        <w:t>=</w:t>
      </w:r>
      <w:r w:rsidR="00FE4AE9" w:rsidRPr="00A624C2">
        <w:rPr>
          <w:rFonts w:ascii="Book Antiqua" w:eastAsia="宋体" w:hAnsi="Book Antiqua" w:cs="AdvOTb63a3543.I"/>
          <w:color w:val="231F20"/>
          <w:sz w:val="24"/>
          <w:szCs w:val="24"/>
          <w:lang w:eastAsia="zh-CN"/>
        </w:rPr>
        <w:t xml:space="preserve"> </w:t>
      </w:r>
      <w:r w:rsidR="00EC1D62" w:rsidRPr="00A624C2">
        <w:rPr>
          <w:rFonts w:ascii="Book Antiqua" w:hAnsi="Book Antiqua" w:cs="AdvOTb63a3543.I"/>
          <w:color w:val="231F20"/>
          <w:sz w:val="24"/>
          <w:szCs w:val="24"/>
        </w:rPr>
        <w:t>26; 41%)</w:t>
      </w:r>
      <w:r w:rsidR="00EC1D62" w:rsidRPr="00A624C2">
        <w:rPr>
          <w:rFonts w:ascii="Book Antiqua" w:hAnsi="Book Antiqua" w:cs="AdvOT4b47d116"/>
          <w:color w:val="231F20"/>
          <w:sz w:val="24"/>
          <w:szCs w:val="24"/>
        </w:rPr>
        <w:t xml:space="preserve">. </w:t>
      </w:r>
      <w:r w:rsidRPr="00A624C2">
        <w:rPr>
          <w:rFonts w:ascii="Book Antiqua" w:hAnsi="Book Antiqua" w:cs="AdvOT4b47d116"/>
          <w:color w:val="231F20"/>
          <w:sz w:val="24"/>
          <w:szCs w:val="24"/>
        </w:rPr>
        <w:t>H</w:t>
      </w:r>
      <w:r w:rsidR="00D96AA2" w:rsidRPr="00A624C2">
        <w:rPr>
          <w:rFonts w:ascii="Book Antiqua" w:hAnsi="Book Antiqua" w:cs="AdvOT4b47d116"/>
          <w:color w:val="231F20"/>
          <w:sz w:val="24"/>
          <w:szCs w:val="24"/>
        </w:rPr>
        <w:t>emoglobin and albumin</w:t>
      </w:r>
      <w:r w:rsidR="006903FA" w:rsidRPr="00A624C2">
        <w:rPr>
          <w:rFonts w:ascii="Book Antiqua" w:hAnsi="Book Antiqua" w:cs="AdvOT4b47d116"/>
          <w:color w:val="231F20"/>
          <w:sz w:val="24"/>
          <w:szCs w:val="24"/>
        </w:rPr>
        <w:t xml:space="preserve"> </w:t>
      </w:r>
      <w:r w:rsidR="00CB0EA8" w:rsidRPr="00A624C2">
        <w:rPr>
          <w:rFonts w:ascii="Book Antiqua" w:hAnsi="Book Antiqua" w:cs="AdvOT4b47d116"/>
          <w:color w:val="231F20"/>
          <w:sz w:val="24"/>
          <w:szCs w:val="24"/>
        </w:rPr>
        <w:t xml:space="preserve">concentrations </w:t>
      </w:r>
      <w:r w:rsidR="00CD6702" w:rsidRPr="00A624C2">
        <w:rPr>
          <w:rFonts w:ascii="Book Antiqua" w:hAnsi="Book Antiqua" w:cs="AdvOT4b47d116"/>
          <w:color w:val="231F20"/>
          <w:sz w:val="24"/>
          <w:szCs w:val="24"/>
        </w:rPr>
        <w:t xml:space="preserve">significantly </w:t>
      </w:r>
      <w:r w:rsidR="00B96F72" w:rsidRPr="00A624C2">
        <w:rPr>
          <w:rFonts w:ascii="Book Antiqua" w:hAnsi="Book Antiqua" w:cs="AdvOT4b47d116"/>
          <w:color w:val="231F20"/>
          <w:sz w:val="24"/>
          <w:szCs w:val="24"/>
        </w:rPr>
        <w:t>increased at</w:t>
      </w:r>
      <w:r w:rsidR="00CC4AEE" w:rsidRPr="00A624C2">
        <w:rPr>
          <w:rFonts w:ascii="Book Antiqua" w:hAnsi="Book Antiqua" w:cs="AdvOT4b47d116"/>
          <w:color w:val="231F20"/>
          <w:sz w:val="24"/>
          <w:szCs w:val="24"/>
        </w:rPr>
        <w:t xml:space="preserve"> week</w:t>
      </w:r>
      <w:r w:rsidR="00F968A4" w:rsidRPr="00A624C2">
        <w:rPr>
          <w:rFonts w:ascii="Book Antiqua" w:hAnsi="Book Antiqua" w:cs="AdvOT4b47d116"/>
          <w:color w:val="231F20"/>
          <w:sz w:val="24"/>
          <w:szCs w:val="24"/>
        </w:rPr>
        <w:t>s</w:t>
      </w:r>
      <w:r w:rsidR="00CC4AEE" w:rsidRPr="00A624C2">
        <w:rPr>
          <w:rFonts w:ascii="Book Antiqua" w:hAnsi="Book Antiqua" w:cs="AdvOT4b47d116"/>
          <w:color w:val="231F20"/>
          <w:sz w:val="24"/>
          <w:szCs w:val="24"/>
        </w:rPr>
        <w:t xml:space="preserve"> 14 and </w:t>
      </w:r>
      <w:r w:rsidR="00472D38" w:rsidRPr="00A624C2">
        <w:rPr>
          <w:rFonts w:ascii="Book Antiqua" w:hAnsi="Book Antiqua" w:cs="AdvOT4b47d116"/>
          <w:color w:val="231F20"/>
          <w:sz w:val="24"/>
          <w:szCs w:val="24"/>
        </w:rPr>
        <w:t>46</w:t>
      </w:r>
      <w:r w:rsidR="00CC4AEE" w:rsidRPr="00A624C2">
        <w:rPr>
          <w:rFonts w:ascii="Book Antiqua" w:hAnsi="Book Antiqua" w:cs="AdvOT4b47d116"/>
          <w:color w:val="231F20"/>
          <w:sz w:val="24"/>
          <w:szCs w:val="24"/>
        </w:rPr>
        <w:t xml:space="preserve"> relative to baseline </w:t>
      </w:r>
      <w:r w:rsidR="00CD6702" w:rsidRPr="00A624C2">
        <w:rPr>
          <w:rFonts w:ascii="Book Antiqua" w:hAnsi="Book Antiqua" w:cs="AdvOT4b47d116"/>
          <w:color w:val="231F20"/>
          <w:sz w:val="24"/>
          <w:szCs w:val="24"/>
        </w:rPr>
        <w:t>(</w:t>
      </w:r>
      <w:r w:rsidR="00FE4AE9" w:rsidRPr="00A624C2">
        <w:rPr>
          <w:rFonts w:ascii="Book Antiqua" w:hAnsi="Book Antiqua" w:cs="AdvOT4b47d116"/>
          <w:i/>
          <w:color w:val="231F20"/>
          <w:sz w:val="24"/>
          <w:szCs w:val="24"/>
        </w:rPr>
        <w:t>P</w:t>
      </w:r>
      <w:r w:rsidR="00FE4AE9" w:rsidRPr="00A624C2">
        <w:rPr>
          <w:rFonts w:ascii="Book Antiqua" w:eastAsia="宋体" w:hAnsi="Book Antiqua" w:cs="AdvOT4b47d116"/>
          <w:color w:val="231F20"/>
          <w:sz w:val="24"/>
          <w:szCs w:val="24"/>
          <w:lang w:eastAsia="zh-CN"/>
        </w:rPr>
        <w:t xml:space="preserve"> </w:t>
      </w:r>
      <w:r w:rsidR="00CD6702" w:rsidRPr="00A624C2">
        <w:rPr>
          <w:rFonts w:ascii="Book Antiqua" w:hAnsi="Book Antiqua" w:cs="AdvOT4b47d116"/>
          <w:color w:val="231F20"/>
          <w:sz w:val="24"/>
          <w:szCs w:val="24"/>
        </w:rPr>
        <w:t>&lt;</w:t>
      </w:r>
      <w:r w:rsidR="00FE4AE9" w:rsidRPr="00A624C2">
        <w:rPr>
          <w:rFonts w:ascii="Book Antiqua" w:eastAsia="宋体" w:hAnsi="Book Antiqua" w:cs="AdvOT4b47d116"/>
          <w:color w:val="231F20"/>
          <w:sz w:val="24"/>
          <w:szCs w:val="24"/>
          <w:lang w:eastAsia="zh-CN"/>
        </w:rPr>
        <w:t xml:space="preserve"> </w:t>
      </w:r>
      <w:r w:rsidR="00CD6702" w:rsidRPr="00A624C2">
        <w:rPr>
          <w:rFonts w:ascii="Book Antiqua" w:hAnsi="Book Antiqua" w:cs="AdvOT4b47d116"/>
          <w:color w:val="231F20"/>
          <w:sz w:val="24"/>
          <w:szCs w:val="24"/>
        </w:rPr>
        <w:t>0</w:t>
      </w:r>
      <w:r w:rsidR="00B91BE6" w:rsidRPr="00A624C2">
        <w:rPr>
          <w:rFonts w:ascii="Book Antiqua" w:hAnsi="Book Antiqua" w:cs="AdvOT4b47d116"/>
          <w:color w:val="231F20"/>
          <w:sz w:val="24"/>
          <w:szCs w:val="24"/>
        </w:rPr>
        <w:t>.</w:t>
      </w:r>
      <w:r w:rsidR="00602C8F" w:rsidRPr="00A624C2">
        <w:rPr>
          <w:rFonts w:ascii="Book Antiqua" w:hAnsi="Book Antiqua" w:cs="AdvOT4b47d116"/>
          <w:color w:val="231F20"/>
          <w:sz w:val="24"/>
          <w:szCs w:val="24"/>
        </w:rPr>
        <w:t>05</w:t>
      </w:r>
      <w:r w:rsidR="00CD6702" w:rsidRPr="00A624C2">
        <w:rPr>
          <w:rFonts w:ascii="Book Antiqua" w:hAnsi="Book Antiqua" w:cs="AdvOT4b47d116"/>
          <w:color w:val="231F20"/>
          <w:sz w:val="24"/>
          <w:szCs w:val="24"/>
        </w:rPr>
        <w:t>).</w:t>
      </w:r>
      <w:r w:rsidR="00514058" w:rsidRPr="00A624C2">
        <w:rPr>
          <w:rFonts w:ascii="Book Antiqua" w:hAnsi="Book Antiqua" w:cs="AdvOT4b47d116"/>
          <w:color w:val="231F20"/>
          <w:sz w:val="24"/>
          <w:szCs w:val="24"/>
        </w:rPr>
        <w:t xml:space="preserve"> </w:t>
      </w:r>
    </w:p>
    <w:p w14:paraId="4F96757C" w14:textId="3C7FC4BC" w:rsidR="00B71548" w:rsidRPr="00A624C2" w:rsidRDefault="002A30F4" w:rsidP="00FE4AE9">
      <w:pPr>
        <w:spacing w:after="0" w:line="360" w:lineRule="auto"/>
        <w:ind w:firstLineChars="100" w:firstLine="240"/>
        <w:jc w:val="both"/>
        <w:rPr>
          <w:rFonts w:ascii="Book Antiqua" w:hAnsi="Book Antiqua" w:cs="AdvOT4b47d116"/>
          <w:color w:val="231F20"/>
          <w:sz w:val="24"/>
          <w:szCs w:val="24"/>
        </w:rPr>
      </w:pPr>
      <w:r w:rsidRPr="00A624C2">
        <w:rPr>
          <w:rFonts w:ascii="Book Antiqua" w:hAnsi="Book Antiqua" w:cs="AdvOT4b47d116"/>
          <w:color w:val="231F20"/>
          <w:sz w:val="24"/>
          <w:szCs w:val="24"/>
        </w:rPr>
        <w:t>Me</w:t>
      </w:r>
      <w:r w:rsidR="00957A50" w:rsidRPr="00A624C2">
        <w:rPr>
          <w:rFonts w:ascii="Book Antiqua" w:hAnsi="Book Antiqua" w:cs="AdvOT4b47d116"/>
          <w:color w:val="231F20"/>
          <w:sz w:val="24"/>
          <w:szCs w:val="24"/>
        </w:rPr>
        <w:t>dian</w:t>
      </w:r>
      <w:r w:rsidRPr="00A624C2">
        <w:rPr>
          <w:rFonts w:ascii="Book Antiqua" w:hAnsi="Book Antiqua" w:cs="AdvOT4b47d116"/>
          <w:color w:val="231F20"/>
          <w:sz w:val="24"/>
          <w:szCs w:val="24"/>
        </w:rPr>
        <w:t xml:space="preserve"> </w:t>
      </w:r>
      <w:r w:rsidR="00CB0EA8" w:rsidRPr="00A624C2">
        <w:rPr>
          <w:rFonts w:ascii="Book Antiqua" w:hAnsi="Book Antiqua" w:cs="AdvOT4b47d116"/>
          <w:color w:val="231F20"/>
          <w:sz w:val="24"/>
          <w:szCs w:val="24"/>
        </w:rPr>
        <w:t>i</w:t>
      </w:r>
      <w:r w:rsidRPr="00A624C2">
        <w:rPr>
          <w:rFonts w:ascii="Book Antiqua" w:hAnsi="Book Antiqua" w:cs="AdvOT4b47d116"/>
          <w:color w:val="231F20"/>
          <w:sz w:val="24"/>
          <w:szCs w:val="24"/>
        </w:rPr>
        <w:t xml:space="preserve">nfliximab and </w:t>
      </w:r>
      <w:r w:rsidR="00CB0EA8" w:rsidRPr="00A624C2">
        <w:rPr>
          <w:rFonts w:ascii="Book Antiqua" w:hAnsi="Book Antiqua" w:cs="AdvOT4b47d116"/>
          <w:color w:val="231F20"/>
          <w:sz w:val="24"/>
          <w:szCs w:val="24"/>
        </w:rPr>
        <w:t>a</w:t>
      </w:r>
      <w:r w:rsidRPr="00A624C2">
        <w:rPr>
          <w:rFonts w:ascii="Book Antiqua" w:hAnsi="Book Antiqua" w:cs="AdvOT4b47d116"/>
          <w:color w:val="231F20"/>
          <w:sz w:val="24"/>
          <w:szCs w:val="24"/>
        </w:rPr>
        <w:t xml:space="preserve">dalimumab </w:t>
      </w:r>
      <w:r w:rsidR="00CB0EA8" w:rsidRPr="00A624C2">
        <w:rPr>
          <w:rFonts w:ascii="Book Antiqua" w:hAnsi="Book Antiqua" w:cs="AdvOT4b47d116"/>
          <w:color w:val="231F20"/>
          <w:sz w:val="24"/>
          <w:szCs w:val="24"/>
        </w:rPr>
        <w:t xml:space="preserve">concentrations </w:t>
      </w:r>
      <w:r w:rsidRPr="00A624C2">
        <w:rPr>
          <w:rFonts w:ascii="Book Antiqua" w:hAnsi="Book Antiqua" w:cs="AdvOT4b47d116"/>
          <w:color w:val="231F20"/>
          <w:sz w:val="24"/>
          <w:szCs w:val="24"/>
        </w:rPr>
        <w:t>a</w:t>
      </w:r>
      <w:r w:rsidR="008616E7" w:rsidRPr="00A624C2">
        <w:rPr>
          <w:rFonts w:ascii="Book Antiqua" w:hAnsi="Book Antiqua" w:cs="AdvOT4b47d116"/>
          <w:color w:val="231F20"/>
          <w:sz w:val="24"/>
          <w:szCs w:val="24"/>
        </w:rPr>
        <w:t xml:space="preserve">t week 14 </w:t>
      </w:r>
      <w:r w:rsidRPr="00A624C2">
        <w:rPr>
          <w:rFonts w:ascii="Book Antiqua" w:hAnsi="Book Antiqua" w:cs="AdvOT4b47d116"/>
          <w:color w:val="231F20"/>
          <w:sz w:val="24"/>
          <w:szCs w:val="24"/>
        </w:rPr>
        <w:t xml:space="preserve">were </w:t>
      </w:r>
      <w:r w:rsidR="00957A50" w:rsidRPr="00A624C2">
        <w:rPr>
          <w:rFonts w:ascii="Book Antiqua" w:hAnsi="Book Antiqua" w:cs="AdvOT4b47d116"/>
          <w:color w:val="231F20"/>
          <w:sz w:val="24"/>
          <w:szCs w:val="24"/>
        </w:rPr>
        <w:t>3</w:t>
      </w:r>
      <w:r w:rsidR="00B91BE6" w:rsidRPr="00A624C2">
        <w:rPr>
          <w:rFonts w:ascii="Book Antiqua" w:hAnsi="Book Antiqua" w:cs="AdvOT4b47d116"/>
          <w:color w:val="231F20"/>
          <w:sz w:val="24"/>
          <w:szCs w:val="24"/>
        </w:rPr>
        <w:t>.</w:t>
      </w:r>
      <w:r w:rsidR="00957A50" w:rsidRPr="00A624C2">
        <w:rPr>
          <w:rFonts w:ascii="Book Antiqua" w:hAnsi="Book Antiqua" w:cs="AdvOT4b47d116"/>
          <w:color w:val="231F20"/>
          <w:sz w:val="24"/>
          <w:szCs w:val="24"/>
        </w:rPr>
        <w:t>1</w:t>
      </w:r>
      <w:r w:rsidR="00FE4AE9" w:rsidRPr="00A624C2">
        <w:rPr>
          <w:rFonts w:ascii="Book Antiqua" w:eastAsia="宋体" w:hAnsi="Book Antiqua" w:cs="AdvOT4b47d116"/>
          <w:color w:val="231F20"/>
          <w:sz w:val="24"/>
          <w:szCs w:val="24"/>
          <w:lang w:eastAsia="zh-CN"/>
        </w:rPr>
        <w:t xml:space="preserve"> </w:t>
      </w:r>
      <w:r w:rsidR="00FE4AE9" w:rsidRPr="00A624C2">
        <w:rPr>
          <w:rFonts w:ascii="Book Antiqua" w:hAnsi="Book Antiqua" w:cs="AdvOT4b47d116"/>
          <w:color w:val="231F20"/>
          <w:sz w:val="24"/>
          <w:szCs w:val="24"/>
        </w:rPr>
        <w:t>μ</w:t>
      </w:r>
      <w:r w:rsidRPr="00A624C2">
        <w:rPr>
          <w:rFonts w:ascii="Book Antiqua" w:hAnsi="Book Antiqua" w:cs="AdvOT4b47d116"/>
          <w:color w:val="231F20"/>
          <w:sz w:val="24"/>
          <w:szCs w:val="24"/>
        </w:rPr>
        <w:t>g/m</w:t>
      </w:r>
      <w:r w:rsidR="00FE4AE9" w:rsidRPr="00A624C2">
        <w:rPr>
          <w:rFonts w:ascii="Book Antiqua" w:hAnsi="Book Antiqua" w:cs="AdvOT4b47d116"/>
          <w:color w:val="231F20"/>
          <w:sz w:val="24"/>
          <w:szCs w:val="24"/>
        </w:rPr>
        <w:t>L</w:t>
      </w:r>
      <w:r w:rsidRPr="00A624C2">
        <w:rPr>
          <w:rFonts w:ascii="Book Antiqua" w:hAnsi="Book Antiqua" w:cs="AdvOT4b47d116"/>
          <w:color w:val="231F20"/>
          <w:sz w:val="24"/>
          <w:szCs w:val="24"/>
        </w:rPr>
        <w:t xml:space="preserve"> and 8</w:t>
      </w:r>
      <w:r w:rsidR="00B91BE6" w:rsidRPr="00A624C2">
        <w:rPr>
          <w:rFonts w:ascii="Book Antiqua" w:hAnsi="Book Antiqua" w:cs="AdvOT4b47d116"/>
          <w:color w:val="231F20"/>
          <w:sz w:val="24"/>
          <w:szCs w:val="24"/>
        </w:rPr>
        <w:t>.</w:t>
      </w:r>
      <w:r w:rsidR="00736E87" w:rsidRPr="00A624C2">
        <w:rPr>
          <w:rFonts w:ascii="Book Antiqua" w:hAnsi="Book Antiqua" w:cs="AdvOT4b47d116"/>
          <w:color w:val="231F20"/>
          <w:sz w:val="24"/>
          <w:szCs w:val="24"/>
        </w:rPr>
        <w:t>9</w:t>
      </w:r>
      <w:r w:rsidR="00FE4AE9" w:rsidRPr="00A624C2">
        <w:rPr>
          <w:rFonts w:ascii="Book Antiqua" w:eastAsia="宋体" w:hAnsi="Book Antiqua" w:cs="AdvOT4b47d116"/>
          <w:color w:val="231F20"/>
          <w:sz w:val="24"/>
          <w:szCs w:val="24"/>
          <w:lang w:eastAsia="zh-CN"/>
        </w:rPr>
        <w:t xml:space="preserve"> </w:t>
      </w:r>
      <w:r w:rsidR="00FE4AE9" w:rsidRPr="00A624C2">
        <w:rPr>
          <w:rFonts w:ascii="Book Antiqua" w:hAnsi="Book Antiqua" w:cs="AdvOT4b47d116"/>
          <w:color w:val="231F20"/>
          <w:sz w:val="24"/>
          <w:szCs w:val="24"/>
        </w:rPr>
        <w:t>μ</w:t>
      </w:r>
      <w:r w:rsidRPr="00A624C2">
        <w:rPr>
          <w:rFonts w:ascii="Book Antiqua" w:hAnsi="Book Antiqua" w:cs="AdvOT4b47d116"/>
          <w:color w:val="231F20"/>
          <w:sz w:val="24"/>
          <w:szCs w:val="24"/>
        </w:rPr>
        <w:t>g/m</w:t>
      </w:r>
      <w:r w:rsidR="00FE4AE9" w:rsidRPr="00A624C2">
        <w:rPr>
          <w:rFonts w:ascii="Book Antiqua" w:hAnsi="Book Antiqua" w:cs="AdvOT4b47d116"/>
          <w:color w:val="231F20"/>
          <w:sz w:val="24"/>
          <w:szCs w:val="24"/>
        </w:rPr>
        <w:t>L</w:t>
      </w:r>
      <w:r w:rsidRPr="00A624C2">
        <w:rPr>
          <w:rFonts w:ascii="Book Antiqua" w:hAnsi="Book Antiqua" w:cs="AdvOT4b47d116"/>
          <w:color w:val="231F20"/>
          <w:sz w:val="24"/>
          <w:szCs w:val="24"/>
        </w:rPr>
        <w:t>,</w:t>
      </w:r>
      <w:r w:rsidR="0078206B" w:rsidRPr="00A624C2">
        <w:rPr>
          <w:rFonts w:ascii="Book Antiqua" w:hAnsi="Book Antiqua" w:cs="AdvOT4b47d116"/>
          <w:color w:val="231F20"/>
          <w:sz w:val="24"/>
          <w:szCs w:val="24"/>
        </w:rPr>
        <w:t xml:space="preserve"> </w:t>
      </w:r>
      <w:r w:rsidRPr="00A624C2">
        <w:rPr>
          <w:rFonts w:ascii="Book Antiqua" w:hAnsi="Book Antiqua" w:cs="AdvOT4b47d116"/>
          <w:color w:val="231F20"/>
          <w:sz w:val="24"/>
          <w:szCs w:val="24"/>
        </w:rPr>
        <w:t>respectively. After one year of treatment</w:t>
      </w:r>
      <w:r w:rsidR="00957A50" w:rsidRPr="00A624C2">
        <w:rPr>
          <w:rFonts w:ascii="Book Antiqua" w:hAnsi="Book Antiqua" w:cs="AdvOT4b47d116"/>
          <w:color w:val="231F20"/>
          <w:sz w:val="24"/>
          <w:szCs w:val="24"/>
        </w:rPr>
        <w:t xml:space="preserve"> median</w:t>
      </w:r>
      <w:r w:rsidRPr="00A624C2">
        <w:rPr>
          <w:rFonts w:ascii="Book Antiqua" w:hAnsi="Book Antiqua" w:cs="AdvOT4b47d116"/>
          <w:color w:val="231F20"/>
          <w:sz w:val="24"/>
          <w:szCs w:val="24"/>
        </w:rPr>
        <w:t xml:space="preserve"> </w:t>
      </w:r>
      <w:r w:rsidR="008F0565" w:rsidRPr="00A624C2">
        <w:rPr>
          <w:rFonts w:ascii="Book Antiqua" w:hAnsi="Book Antiqua" w:cs="AdvOT4b47d116"/>
          <w:color w:val="231F20"/>
          <w:sz w:val="24"/>
          <w:szCs w:val="24"/>
        </w:rPr>
        <w:t xml:space="preserve">serum </w:t>
      </w:r>
      <w:r w:rsidRPr="00A624C2">
        <w:rPr>
          <w:rFonts w:ascii="Book Antiqua" w:hAnsi="Book Antiqua" w:cs="AdvOT4b47d116"/>
          <w:color w:val="231F20"/>
          <w:sz w:val="24"/>
          <w:szCs w:val="24"/>
        </w:rPr>
        <w:t xml:space="preserve">drug </w:t>
      </w:r>
      <w:r w:rsidRPr="00A624C2">
        <w:rPr>
          <w:rFonts w:ascii="Book Antiqua" w:hAnsi="Book Antiqua" w:cs="AdvOT4b47d116"/>
          <w:color w:val="231F20"/>
          <w:sz w:val="24"/>
          <w:szCs w:val="24"/>
        </w:rPr>
        <w:lastRenderedPageBreak/>
        <w:t xml:space="preserve">concentrations were </w:t>
      </w:r>
      <w:r w:rsidR="00957A50" w:rsidRPr="00A624C2">
        <w:rPr>
          <w:rFonts w:ascii="Book Antiqua" w:hAnsi="Book Antiqua" w:cs="AdvOT4b47d116"/>
          <w:color w:val="231F20"/>
          <w:sz w:val="24"/>
          <w:szCs w:val="24"/>
        </w:rPr>
        <w:t>1</w:t>
      </w:r>
      <w:r w:rsidR="00B91BE6" w:rsidRPr="00A624C2">
        <w:rPr>
          <w:rFonts w:ascii="Book Antiqua" w:hAnsi="Book Antiqua" w:cs="AdvOT4b47d116"/>
          <w:color w:val="231F20"/>
          <w:sz w:val="24"/>
          <w:szCs w:val="24"/>
        </w:rPr>
        <w:t>.</w:t>
      </w:r>
      <w:r w:rsidR="00505135" w:rsidRPr="00A624C2">
        <w:rPr>
          <w:rFonts w:ascii="Book Antiqua" w:hAnsi="Book Antiqua" w:cs="AdvOT4b47d116"/>
          <w:color w:val="231F20"/>
          <w:sz w:val="24"/>
          <w:szCs w:val="24"/>
        </w:rPr>
        <w:t>8</w:t>
      </w:r>
      <w:r w:rsidRPr="00A624C2">
        <w:rPr>
          <w:rFonts w:ascii="Book Antiqua" w:hAnsi="Book Antiqua" w:cs="AdvOT4b47d116"/>
          <w:color w:val="231F20"/>
          <w:sz w:val="24"/>
          <w:szCs w:val="24"/>
        </w:rPr>
        <w:t xml:space="preserve"> </w:t>
      </w:r>
      <w:r w:rsidR="00FE4AE9" w:rsidRPr="00A624C2">
        <w:rPr>
          <w:rFonts w:ascii="Book Antiqua" w:hAnsi="Book Antiqua" w:cs="AdvOT4b47d116"/>
          <w:color w:val="231F20"/>
          <w:sz w:val="24"/>
          <w:szCs w:val="24"/>
        </w:rPr>
        <w:t>μ</w:t>
      </w:r>
      <w:r w:rsidRPr="00A624C2">
        <w:rPr>
          <w:rFonts w:ascii="Book Antiqua" w:hAnsi="Book Antiqua" w:cs="AdvOT4b47d116"/>
          <w:color w:val="231F20"/>
          <w:sz w:val="24"/>
          <w:szCs w:val="24"/>
        </w:rPr>
        <w:t>g/m</w:t>
      </w:r>
      <w:r w:rsidR="00FE4AE9" w:rsidRPr="00A624C2">
        <w:rPr>
          <w:rFonts w:ascii="Book Antiqua" w:hAnsi="Book Antiqua" w:cs="AdvOT4b47d116"/>
          <w:color w:val="231F20"/>
          <w:sz w:val="24"/>
          <w:szCs w:val="24"/>
        </w:rPr>
        <w:t>L</w:t>
      </w:r>
      <w:r w:rsidRPr="00A624C2">
        <w:rPr>
          <w:rFonts w:ascii="Book Antiqua" w:hAnsi="Book Antiqua" w:cs="AdvOT4b47d116"/>
          <w:color w:val="231F20"/>
          <w:sz w:val="24"/>
          <w:szCs w:val="24"/>
        </w:rPr>
        <w:t xml:space="preserve"> and </w:t>
      </w:r>
      <w:r w:rsidR="00E30268" w:rsidRPr="00A624C2">
        <w:rPr>
          <w:rFonts w:ascii="Book Antiqua" w:hAnsi="Book Antiqua" w:cs="AdvOT4b47d116"/>
          <w:color w:val="231F20"/>
          <w:sz w:val="24"/>
          <w:szCs w:val="24"/>
        </w:rPr>
        <w:t>9</w:t>
      </w:r>
      <w:r w:rsidR="00B91BE6" w:rsidRPr="00A624C2">
        <w:rPr>
          <w:rFonts w:ascii="Book Antiqua" w:hAnsi="Book Antiqua" w:cs="AdvOT4b47d116"/>
          <w:color w:val="231F20"/>
          <w:sz w:val="24"/>
          <w:szCs w:val="24"/>
        </w:rPr>
        <w:t>.</w:t>
      </w:r>
      <w:r w:rsidR="00957A50" w:rsidRPr="00A624C2">
        <w:rPr>
          <w:rFonts w:ascii="Book Antiqua" w:hAnsi="Book Antiqua" w:cs="AdvOT4b47d116"/>
          <w:color w:val="231F20"/>
          <w:sz w:val="24"/>
          <w:szCs w:val="24"/>
        </w:rPr>
        <w:t>9</w:t>
      </w:r>
      <w:r w:rsidRPr="00A624C2">
        <w:rPr>
          <w:rFonts w:ascii="Book Antiqua" w:hAnsi="Book Antiqua" w:cs="AdvOT4b47d116"/>
          <w:color w:val="231F20"/>
          <w:sz w:val="24"/>
          <w:szCs w:val="24"/>
        </w:rPr>
        <w:t xml:space="preserve"> </w:t>
      </w:r>
      <w:r w:rsidR="00FE4AE9" w:rsidRPr="00A624C2">
        <w:rPr>
          <w:rFonts w:ascii="Book Antiqua" w:hAnsi="Book Antiqua" w:cs="AdvOT4b47d116"/>
          <w:color w:val="231F20"/>
          <w:sz w:val="24"/>
          <w:szCs w:val="24"/>
        </w:rPr>
        <w:t>μ</w:t>
      </w:r>
      <w:r w:rsidRPr="00A624C2">
        <w:rPr>
          <w:rFonts w:ascii="Book Antiqua" w:hAnsi="Book Antiqua" w:cs="AdvOT4b47d116"/>
          <w:color w:val="231F20"/>
          <w:sz w:val="24"/>
          <w:szCs w:val="24"/>
        </w:rPr>
        <w:t>g/m</w:t>
      </w:r>
      <w:r w:rsidR="00FE4AE9" w:rsidRPr="00A624C2">
        <w:rPr>
          <w:rFonts w:ascii="Book Antiqua" w:hAnsi="Book Antiqua" w:cs="AdvOT4b47d116"/>
          <w:color w:val="231F20"/>
          <w:sz w:val="24"/>
          <w:szCs w:val="24"/>
        </w:rPr>
        <w:t>L</w:t>
      </w:r>
      <w:r w:rsidRPr="00A624C2">
        <w:rPr>
          <w:rFonts w:ascii="Book Antiqua" w:hAnsi="Book Antiqua" w:cs="AdvOT4b47d116"/>
          <w:color w:val="231F20"/>
          <w:sz w:val="24"/>
          <w:szCs w:val="24"/>
        </w:rPr>
        <w:t>, respectively.</w:t>
      </w:r>
      <w:r w:rsidR="00FE4AE9" w:rsidRPr="00A624C2">
        <w:rPr>
          <w:rFonts w:ascii="Book Antiqua" w:hAnsi="Book Antiqua" w:cs="AdvOT4b47d116"/>
          <w:color w:val="231F20"/>
          <w:sz w:val="24"/>
          <w:szCs w:val="24"/>
        </w:rPr>
        <w:t xml:space="preserve"> </w:t>
      </w:r>
      <w:r w:rsidR="0015499D" w:rsidRPr="00A624C2">
        <w:rPr>
          <w:rFonts w:ascii="Book Antiqua" w:hAnsi="Book Antiqua" w:cs="AdvOT4b47d116"/>
          <w:color w:val="231F20"/>
          <w:sz w:val="24"/>
          <w:szCs w:val="24"/>
        </w:rPr>
        <w:t xml:space="preserve">At baseline </w:t>
      </w:r>
      <w:r w:rsidR="00736E87" w:rsidRPr="00A624C2">
        <w:rPr>
          <w:rFonts w:ascii="Book Antiqua" w:hAnsi="Book Antiqua" w:cs="AdvOT4b47d116"/>
          <w:color w:val="231F20"/>
          <w:sz w:val="24"/>
          <w:szCs w:val="24"/>
        </w:rPr>
        <w:t>8</w:t>
      </w:r>
      <w:r w:rsidR="0015499D" w:rsidRPr="00A624C2">
        <w:rPr>
          <w:rFonts w:ascii="Book Antiqua" w:hAnsi="Book Antiqua" w:cs="AdvOT4b47d116"/>
          <w:color w:val="231F20"/>
          <w:sz w:val="24"/>
          <w:szCs w:val="24"/>
        </w:rPr>
        <w:t xml:space="preserve">% of patients presented antidrug antibodies to infliximab (ATIs) and </w:t>
      </w:r>
      <w:r w:rsidR="00736E87" w:rsidRPr="00A624C2">
        <w:rPr>
          <w:rFonts w:ascii="Book Antiqua" w:hAnsi="Book Antiqua" w:cs="AdvOT4b47d116"/>
          <w:color w:val="231F20"/>
          <w:sz w:val="24"/>
          <w:szCs w:val="24"/>
        </w:rPr>
        <w:t xml:space="preserve">10% to </w:t>
      </w:r>
      <w:r w:rsidR="0015499D" w:rsidRPr="00A624C2">
        <w:rPr>
          <w:rFonts w:ascii="Book Antiqua" w:hAnsi="Book Antiqua" w:cs="AdvOT4b47d116"/>
          <w:color w:val="231F20"/>
          <w:sz w:val="24"/>
          <w:szCs w:val="24"/>
        </w:rPr>
        <w:t>adalimumab (ATAs)</w:t>
      </w:r>
      <w:r w:rsidR="0022076C" w:rsidRPr="00A624C2">
        <w:rPr>
          <w:rFonts w:ascii="Book Antiqua" w:hAnsi="Book Antiqua" w:cs="AdvOT4b47d116"/>
          <w:color w:val="231F20"/>
          <w:sz w:val="24"/>
          <w:szCs w:val="24"/>
        </w:rPr>
        <w:t xml:space="preserve">; </w:t>
      </w:r>
      <w:r w:rsidR="00E63236" w:rsidRPr="00A624C2">
        <w:rPr>
          <w:rFonts w:ascii="Book Antiqua" w:hAnsi="Book Antiqua" w:cs="AdvOT4b47d116"/>
          <w:color w:val="231F20"/>
          <w:sz w:val="24"/>
          <w:szCs w:val="24"/>
        </w:rPr>
        <w:t>of them 60% and 50% respectively were naïve to anti</w:t>
      </w:r>
      <w:r w:rsidR="008F0565" w:rsidRPr="00A624C2">
        <w:rPr>
          <w:rFonts w:ascii="Book Antiqua" w:hAnsi="Book Antiqua" w:cs="AdvOT4b47d116"/>
          <w:color w:val="231F20"/>
          <w:sz w:val="24"/>
          <w:szCs w:val="24"/>
        </w:rPr>
        <w:t>-</w:t>
      </w:r>
      <w:r w:rsidR="00E63236" w:rsidRPr="00A624C2">
        <w:rPr>
          <w:rFonts w:ascii="Book Antiqua" w:hAnsi="Book Antiqua" w:cs="AdvOT4b47d116"/>
          <w:color w:val="231F20"/>
          <w:sz w:val="24"/>
          <w:szCs w:val="24"/>
        </w:rPr>
        <w:t>TNF therapy</w:t>
      </w:r>
      <w:r w:rsidR="008F0565" w:rsidRPr="00A624C2">
        <w:rPr>
          <w:rFonts w:ascii="Book Antiqua" w:hAnsi="Book Antiqua" w:cs="AdvOT4b47d116"/>
          <w:color w:val="231F20"/>
          <w:sz w:val="24"/>
          <w:szCs w:val="24"/>
        </w:rPr>
        <w:t>.</w:t>
      </w:r>
      <w:r w:rsidR="00E63236" w:rsidRPr="00A624C2">
        <w:rPr>
          <w:rFonts w:ascii="Book Antiqua" w:hAnsi="Book Antiqua" w:cs="AdvOT4b47d116"/>
          <w:color w:val="231F20"/>
          <w:sz w:val="24"/>
          <w:szCs w:val="24"/>
        </w:rPr>
        <w:t xml:space="preserve"> </w:t>
      </w:r>
      <w:r w:rsidR="008F0565" w:rsidRPr="00A624C2">
        <w:rPr>
          <w:rFonts w:ascii="Book Antiqua" w:hAnsi="Book Antiqua" w:cs="AdvOT4b47d116"/>
          <w:color w:val="231F20"/>
          <w:sz w:val="24"/>
          <w:szCs w:val="24"/>
        </w:rPr>
        <w:t>I</w:t>
      </w:r>
      <w:r w:rsidR="009849E8" w:rsidRPr="00A624C2">
        <w:rPr>
          <w:rFonts w:ascii="Book Antiqua" w:hAnsi="Book Antiqua" w:cs="AdvOT4b47d116"/>
          <w:color w:val="231F20"/>
          <w:sz w:val="24"/>
          <w:szCs w:val="24"/>
        </w:rPr>
        <w:t>n all cases</w:t>
      </w:r>
      <w:r w:rsidR="008F0565" w:rsidRPr="00A624C2">
        <w:rPr>
          <w:rFonts w:ascii="Book Antiqua" w:hAnsi="Book Antiqua" w:cs="AdvOT4b47d116"/>
          <w:color w:val="231F20"/>
          <w:sz w:val="24"/>
          <w:szCs w:val="24"/>
        </w:rPr>
        <w:t>,</w:t>
      </w:r>
      <w:r w:rsidR="009849E8" w:rsidRPr="00A624C2">
        <w:rPr>
          <w:rFonts w:ascii="Book Antiqua" w:hAnsi="Book Antiqua" w:cs="AdvOT4b47d116"/>
          <w:color w:val="231F20"/>
          <w:sz w:val="24"/>
          <w:szCs w:val="24"/>
        </w:rPr>
        <w:t xml:space="preserve"> </w:t>
      </w:r>
      <w:r w:rsidR="00E63236" w:rsidRPr="00A624C2">
        <w:rPr>
          <w:rFonts w:ascii="Book Antiqua" w:hAnsi="Book Antiqua" w:cs="AdvOT4b47d116"/>
          <w:color w:val="231F20"/>
          <w:sz w:val="24"/>
          <w:szCs w:val="24"/>
        </w:rPr>
        <w:t>antibod</w:t>
      </w:r>
      <w:r w:rsidR="009849E8" w:rsidRPr="00A624C2">
        <w:rPr>
          <w:rFonts w:ascii="Book Antiqua" w:hAnsi="Book Antiqua" w:cs="AdvOT4b47d116"/>
          <w:color w:val="231F20"/>
          <w:sz w:val="24"/>
          <w:szCs w:val="24"/>
        </w:rPr>
        <w:t>y</w:t>
      </w:r>
      <w:r w:rsidR="00E63236" w:rsidRPr="00A624C2">
        <w:rPr>
          <w:rFonts w:ascii="Book Antiqua" w:hAnsi="Book Antiqua" w:cs="AdvOT4b47d116"/>
          <w:color w:val="231F20"/>
          <w:sz w:val="24"/>
          <w:szCs w:val="24"/>
        </w:rPr>
        <w:t xml:space="preserve"> </w:t>
      </w:r>
      <w:r w:rsidR="009849E8" w:rsidRPr="00A624C2">
        <w:rPr>
          <w:rFonts w:ascii="Book Antiqua" w:hAnsi="Book Antiqua" w:cs="AdvOT4b47d116"/>
          <w:color w:val="231F20"/>
          <w:sz w:val="24"/>
          <w:szCs w:val="24"/>
        </w:rPr>
        <w:t>levels were in the low range</w:t>
      </w:r>
      <w:r w:rsidR="00E63236" w:rsidRPr="00A624C2">
        <w:rPr>
          <w:rFonts w:ascii="Book Antiqua" w:hAnsi="Book Antiqua" w:cs="AdvOT4b47d116"/>
          <w:color w:val="231F20"/>
          <w:sz w:val="24"/>
          <w:szCs w:val="24"/>
        </w:rPr>
        <w:t xml:space="preserve"> </w:t>
      </w:r>
      <w:r w:rsidR="009849E8" w:rsidRPr="00A624C2">
        <w:rPr>
          <w:rFonts w:ascii="Book Antiqua" w:hAnsi="Book Antiqua" w:cs="AdvOT4b47d116"/>
          <w:color w:val="231F20"/>
          <w:sz w:val="24"/>
          <w:szCs w:val="24"/>
        </w:rPr>
        <w:t>(</w:t>
      </w:r>
      <w:r w:rsidR="00FE4AE9" w:rsidRPr="00A624C2">
        <w:rPr>
          <w:rFonts w:ascii="Book Antiqua" w:hAnsi="Book Antiqua" w:cs="AdvOT4b47d116"/>
          <w:color w:val="231F20"/>
          <w:sz w:val="24"/>
          <w:szCs w:val="24"/>
        </w:rPr>
        <w:t>3.9</w:t>
      </w:r>
      <w:r w:rsidR="009849E8" w:rsidRPr="00A624C2">
        <w:rPr>
          <w:rFonts w:ascii="Book Antiqua" w:hAnsi="Book Antiqua" w:cs="AdvOT4b47d116"/>
          <w:color w:val="231F20"/>
          <w:sz w:val="24"/>
          <w:szCs w:val="24"/>
        </w:rPr>
        <w:t>-</w:t>
      </w:r>
      <w:r w:rsidR="00E63236" w:rsidRPr="00A624C2">
        <w:rPr>
          <w:rFonts w:ascii="Book Antiqua" w:hAnsi="Book Antiqua" w:cs="AdvOT4b47d116"/>
          <w:color w:val="231F20"/>
          <w:sz w:val="24"/>
          <w:szCs w:val="24"/>
        </w:rPr>
        <w:t xml:space="preserve">98 </w:t>
      </w:r>
      <w:r w:rsidR="00FD3480" w:rsidRPr="00A624C2">
        <w:rPr>
          <w:rFonts w:ascii="Book Antiqua" w:hAnsi="Book Antiqua" w:cs="AdvOTb63a3543.I"/>
          <w:color w:val="231F20"/>
          <w:sz w:val="24"/>
          <w:szCs w:val="24"/>
        </w:rPr>
        <w:t>μg/m</w:t>
      </w:r>
      <w:r w:rsidR="00FE4AE9" w:rsidRPr="00A624C2">
        <w:rPr>
          <w:rFonts w:ascii="Book Antiqua" w:hAnsi="Book Antiqua" w:cs="AdvOTb63a3543.I"/>
          <w:color w:val="231F20"/>
          <w:sz w:val="24"/>
          <w:szCs w:val="24"/>
        </w:rPr>
        <w:t>L</w:t>
      </w:r>
      <w:r w:rsidR="009849E8" w:rsidRPr="00A624C2">
        <w:rPr>
          <w:rFonts w:ascii="Book Antiqua" w:hAnsi="Book Antiqua" w:cs="AdvOT4b47d116"/>
          <w:color w:val="231F20"/>
          <w:sz w:val="24"/>
          <w:szCs w:val="24"/>
        </w:rPr>
        <w:t>)</w:t>
      </w:r>
      <w:r w:rsidR="00E63236" w:rsidRPr="00A624C2">
        <w:rPr>
          <w:rFonts w:ascii="Book Antiqua" w:hAnsi="Book Antiqua" w:cs="AdvOT4b47d116"/>
          <w:color w:val="231F20"/>
          <w:sz w:val="24"/>
          <w:szCs w:val="24"/>
        </w:rPr>
        <w:t>.</w:t>
      </w:r>
      <w:r w:rsidR="00FE4AE9" w:rsidRPr="00A624C2">
        <w:rPr>
          <w:rFonts w:ascii="Book Antiqua" w:hAnsi="Book Antiqua" w:cs="AdvOT4b47d116"/>
          <w:color w:val="231F20"/>
          <w:sz w:val="24"/>
          <w:szCs w:val="24"/>
        </w:rPr>
        <w:t xml:space="preserve"> </w:t>
      </w:r>
      <w:r w:rsidRPr="00A624C2">
        <w:rPr>
          <w:rFonts w:ascii="Book Antiqua" w:hAnsi="Book Antiqua" w:cs="AdvOT4b47d116"/>
          <w:color w:val="231F20"/>
          <w:sz w:val="24"/>
          <w:szCs w:val="24"/>
        </w:rPr>
        <w:t>At week 14</w:t>
      </w:r>
      <w:r w:rsidR="008F0565" w:rsidRPr="00A624C2">
        <w:rPr>
          <w:rFonts w:ascii="Book Antiqua" w:hAnsi="Book Antiqua" w:cs="AdvOT4b47d116"/>
          <w:color w:val="231F20"/>
          <w:sz w:val="24"/>
          <w:szCs w:val="24"/>
        </w:rPr>
        <w:t>,</w:t>
      </w:r>
      <w:r w:rsidR="009D7F40" w:rsidRPr="00A624C2">
        <w:rPr>
          <w:rFonts w:ascii="Book Antiqua" w:hAnsi="Book Antiqua" w:cs="AdvOT4b47d116"/>
          <w:color w:val="231F20"/>
          <w:sz w:val="24"/>
          <w:szCs w:val="24"/>
        </w:rPr>
        <w:t xml:space="preserve"> </w:t>
      </w:r>
      <w:r w:rsidR="003E01F0" w:rsidRPr="00A624C2">
        <w:rPr>
          <w:rFonts w:ascii="Book Antiqua" w:hAnsi="Book Antiqua" w:cs="AdvOT4b47d116"/>
          <w:color w:val="231F20"/>
          <w:sz w:val="24"/>
          <w:szCs w:val="24"/>
        </w:rPr>
        <w:t xml:space="preserve">ATIs were detected in </w:t>
      </w:r>
      <w:r w:rsidR="009D7F40" w:rsidRPr="00A624C2">
        <w:rPr>
          <w:rFonts w:ascii="Book Antiqua" w:hAnsi="Book Antiqua" w:cs="AdvOT4b47d116"/>
          <w:color w:val="231F20"/>
          <w:sz w:val="24"/>
          <w:szCs w:val="24"/>
        </w:rPr>
        <w:t xml:space="preserve">only one patient </w:t>
      </w:r>
      <w:r w:rsidR="00057810" w:rsidRPr="00A624C2">
        <w:rPr>
          <w:rFonts w:ascii="Book Antiqua" w:hAnsi="Book Antiqua" w:cs="AdvOT4b47d116"/>
          <w:color w:val="231F20"/>
          <w:sz w:val="24"/>
          <w:szCs w:val="24"/>
        </w:rPr>
        <w:t xml:space="preserve">(3%) </w:t>
      </w:r>
      <w:r w:rsidR="009D7F40" w:rsidRPr="00A624C2">
        <w:rPr>
          <w:rFonts w:ascii="Book Antiqua" w:hAnsi="Book Antiqua" w:cs="AdvOT4b47d116"/>
          <w:color w:val="231F20"/>
          <w:sz w:val="24"/>
          <w:szCs w:val="24"/>
        </w:rPr>
        <w:t xml:space="preserve">and </w:t>
      </w:r>
      <w:r w:rsidR="003E01F0" w:rsidRPr="00A624C2">
        <w:rPr>
          <w:rFonts w:ascii="Book Antiqua" w:hAnsi="Book Antiqua" w:cs="AdvOT4b47d116"/>
          <w:color w:val="231F20"/>
          <w:sz w:val="24"/>
          <w:szCs w:val="24"/>
        </w:rPr>
        <w:t xml:space="preserve">ATAs in </w:t>
      </w:r>
      <w:r w:rsidR="009D7F40" w:rsidRPr="00A624C2">
        <w:rPr>
          <w:rFonts w:ascii="Book Antiqua" w:hAnsi="Book Antiqua" w:cs="AdvOT4b47d116"/>
          <w:color w:val="231F20"/>
          <w:sz w:val="24"/>
          <w:szCs w:val="24"/>
        </w:rPr>
        <w:t>non</w:t>
      </w:r>
      <w:r w:rsidR="00192BE7" w:rsidRPr="00A624C2">
        <w:rPr>
          <w:rFonts w:ascii="Book Antiqua" w:hAnsi="Book Antiqua" w:cs="AdvOT4b47d116"/>
          <w:color w:val="231F20"/>
          <w:sz w:val="24"/>
          <w:szCs w:val="24"/>
        </w:rPr>
        <w:t xml:space="preserve">e </w:t>
      </w:r>
      <w:r w:rsidR="008F0565" w:rsidRPr="00A624C2">
        <w:rPr>
          <w:rFonts w:ascii="Book Antiqua" w:hAnsi="Book Antiqua" w:cs="AdvOT4b47d116"/>
          <w:color w:val="231F20"/>
          <w:sz w:val="24"/>
          <w:szCs w:val="24"/>
        </w:rPr>
        <w:t xml:space="preserve">of them </w:t>
      </w:r>
      <w:r w:rsidR="00192BE7" w:rsidRPr="00A624C2">
        <w:rPr>
          <w:rFonts w:ascii="Book Antiqua" w:hAnsi="Book Antiqua" w:cs="AdvOT4b47d116"/>
          <w:color w:val="231F20"/>
          <w:sz w:val="24"/>
          <w:szCs w:val="24"/>
        </w:rPr>
        <w:t>(</w:t>
      </w:r>
      <w:r w:rsidR="005974B5" w:rsidRPr="00A624C2">
        <w:rPr>
          <w:rFonts w:ascii="Book Antiqua" w:hAnsi="Book Antiqua" w:cs="AdvOT4b47d116"/>
          <w:color w:val="231F20"/>
          <w:sz w:val="24"/>
          <w:szCs w:val="24"/>
        </w:rPr>
        <w:t xml:space="preserve">the test </w:t>
      </w:r>
      <w:r w:rsidR="005705F6" w:rsidRPr="00A624C2">
        <w:rPr>
          <w:rFonts w:ascii="Book Antiqua" w:hAnsi="Book Antiqua" w:cs="AdvOT4b47d116"/>
          <w:color w:val="231F20"/>
          <w:sz w:val="24"/>
          <w:szCs w:val="24"/>
        </w:rPr>
        <w:t>used, ELISA,</w:t>
      </w:r>
      <w:r w:rsidR="005974B5" w:rsidRPr="00A624C2">
        <w:rPr>
          <w:rFonts w:ascii="Book Antiqua" w:hAnsi="Book Antiqua" w:cs="AdvOT4b47d116"/>
          <w:color w:val="231F20"/>
          <w:sz w:val="24"/>
          <w:szCs w:val="24"/>
        </w:rPr>
        <w:t xml:space="preserve"> cannot detect antibodies in the presence of</w:t>
      </w:r>
      <w:r w:rsidR="00F968A4" w:rsidRPr="00A624C2">
        <w:rPr>
          <w:rFonts w:ascii="Book Antiqua" w:hAnsi="Book Antiqua" w:cs="AdvOT4b47d116"/>
          <w:color w:val="231F20"/>
          <w:sz w:val="24"/>
          <w:szCs w:val="24"/>
        </w:rPr>
        <w:t xml:space="preserve"> </w:t>
      </w:r>
      <w:r w:rsidR="008F0565" w:rsidRPr="00A624C2">
        <w:rPr>
          <w:rFonts w:ascii="Book Antiqua" w:hAnsi="Book Antiqua" w:cs="AdvOT4b47d116"/>
          <w:color w:val="231F20"/>
          <w:sz w:val="24"/>
          <w:szCs w:val="24"/>
        </w:rPr>
        <w:t xml:space="preserve">circulating </w:t>
      </w:r>
      <w:r w:rsidR="005974B5" w:rsidRPr="00A624C2">
        <w:rPr>
          <w:rFonts w:ascii="Book Antiqua" w:hAnsi="Book Antiqua" w:cs="AdvOT4b47d116"/>
          <w:color w:val="231F20"/>
          <w:sz w:val="24"/>
          <w:szCs w:val="24"/>
        </w:rPr>
        <w:t>drug</w:t>
      </w:r>
      <w:r w:rsidR="005705F6" w:rsidRPr="00A624C2">
        <w:rPr>
          <w:rFonts w:ascii="Book Antiqua" w:hAnsi="Book Antiqua" w:cs="AdvOT4b47d116"/>
          <w:color w:val="231F20"/>
          <w:sz w:val="24"/>
          <w:szCs w:val="24"/>
        </w:rPr>
        <w:t>)</w:t>
      </w:r>
      <w:r w:rsidRPr="00A624C2">
        <w:rPr>
          <w:rFonts w:ascii="Book Antiqua" w:hAnsi="Book Antiqua" w:cs="AdvOT4b47d116"/>
          <w:color w:val="231F20"/>
          <w:sz w:val="24"/>
          <w:szCs w:val="24"/>
        </w:rPr>
        <w:t xml:space="preserve">. </w:t>
      </w:r>
      <w:r w:rsidR="0015499D" w:rsidRPr="00A624C2">
        <w:rPr>
          <w:rFonts w:ascii="Book Antiqua" w:hAnsi="Book Antiqua" w:cs="AdvOT4b47d116"/>
          <w:color w:val="231F20"/>
          <w:sz w:val="24"/>
          <w:szCs w:val="24"/>
        </w:rPr>
        <w:t xml:space="preserve">After one year of treatment, </w:t>
      </w:r>
      <w:r w:rsidR="005705F6" w:rsidRPr="00A624C2">
        <w:rPr>
          <w:rFonts w:ascii="Book Antiqua" w:hAnsi="Book Antiqua" w:cs="AdvOT4b47d116"/>
          <w:color w:val="231F20"/>
          <w:sz w:val="24"/>
          <w:szCs w:val="24"/>
        </w:rPr>
        <w:t>ATIs</w:t>
      </w:r>
      <w:r w:rsidR="0015499D" w:rsidRPr="00A624C2">
        <w:rPr>
          <w:rFonts w:ascii="Book Antiqua" w:hAnsi="Book Antiqua" w:cs="AdvOT4b47d116"/>
          <w:color w:val="231F20"/>
          <w:sz w:val="24"/>
          <w:szCs w:val="24"/>
        </w:rPr>
        <w:t xml:space="preserve"> were detected in </w:t>
      </w:r>
      <w:r w:rsidR="005705F6" w:rsidRPr="00A624C2">
        <w:rPr>
          <w:rFonts w:ascii="Book Antiqua" w:hAnsi="Book Antiqua" w:cs="AdvOT4b47d116"/>
          <w:color w:val="231F20"/>
          <w:sz w:val="24"/>
          <w:szCs w:val="24"/>
        </w:rPr>
        <w:t>4</w:t>
      </w:r>
      <w:r w:rsidR="0015499D" w:rsidRPr="00A624C2">
        <w:rPr>
          <w:rFonts w:ascii="Book Antiqua" w:hAnsi="Book Antiqua" w:cs="AdvOT4b47d116"/>
          <w:color w:val="231F20"/>
          <w:sz w:val="24"/>
          <w:szCs w:val="24"/>
        </w:rPr>
        <w:t xml:space="preserve"> patients (1</w:t>
      </w:r>
      <w:r w:rsidR="00736E87" w:rsidRPr="00A624C2">
        <w:rPr>
          <w:rFonts w:ascii="Book Antiqua" w:hAnsi="Book Antiqua" w:cs="AdvOT4b47d116"/>
          <w:color w:val="231F20"/>
          <w:sz w:val="24"/>
          <w:szCs w:val="24"/>
        </w:rPr>
        <w:t>3</w:t>
      </w:r>
      <w:r w:rsidR="0015499D" w:rsidRPr="00A624C2">
        <w:rPr>
          <w:rFonts w:ascii="Book Antiqua" w:hAnsi="Book Antiqua" w:cs="AdvOT4b47d116"/>
          <w:color w:val="231F20"/>
          <w:sz w:val="24"/>
          <w:szCs w:val="24"/>
        </w:rPr>
        <w:t xml:space="preserve">%) and </w:t>
      </w:r>
      <w:r w:rsidR="005705F6" w:rsidRPr="00A624C2">
        <w:rPr>
          <w:rFonts w:ascii="Book Antiqua" w:hAnsi="Book Antiqua" w:cs="AdvOT4b47d116"/>
          <w:color w:val="231F20"/>
          <w:sz w:val="24"/>
          <w:szCs w:val="24"/>
        </w:rPr>
        <w:t>ATAs</w:t>
      </w:r>
      <w:r w:rsidR="0015499D" w:rsidRPr="00A624C2">
        <w:rPr>
          <w:rFonts w:ascii="Book Antiqua" w:hAnsi="Book Antiqua" w:cs="AdvOT4b47d116"/>
          <w:color w:val="231F20"/>
          <w:sz w:val="24"/>
          <w:szCs w:val="24"/>
        </w:rPr>
        <w:t xml:space="preserve"> in one patient (</w:t>
      </w:r>
      <w:r w:rsidR="00736E87" w:rsidRPr="00A624C2">
        <w:rPr>
          <w:rFonts w:ascii="Book Antiqua" w:hAnsi="Book Antiqua" w:cs="AdvOT4b47d116"/>
          <w:color w:val="231F20"/>
          <w:sz w:val="24"/>
          <w:szCs w:val="24"/>
        </w:rPr>
        <w:t>4</w:t>
      </w:r>
      <w:r w:rsidR="0015499D" w:rsidRPr="00A624C2">
        <w:rPr>
          <w:rFonts w:ascii="Book Antiqua" w:hAnsi="Book Antiqua" w:cs="AdvOT4b47d116"/>
          <w:color w:val="231F20"/>
          <w:sz w:val="24"/>
          <w:szCs w:val="24"/>
        </w:rPr>
        <w:t>%)</w:t>
      </w:r>
      <w:r w:rsidR="00192BE7" w:rsidRPr="00A624C2">
        <w:rPr>
          <w:rFonts w:ascii="Book Antiqua" w:hAnsi="Book Antiqua" w:cs="AdvOT4b47d116"/>
          <w:color w:val="231F20"/>
          <w:sz w:val="24"/>
          <w:szCs w:val="24"/>
        </w:rPr>
        <w:t>. A</w:t>
      </w:r>
      <w:r w:rsidR="0015499D" w:rsidRPr="00A624C2">
        <w:rPr>
          <w:rFonts w:ascii="Book Antiqua" w:hAnsi="Book Antiqua" w:cs="AdvOT4b47d116"/>
          <w:color w:val="231F20"/>
          <w:sz w:val="24"/>
          <w:szCs w:val="24"/>
        </w:rPr>
        <w:t xml:space="preserve">ll of them </w:t>
      </w:r>
      <w:r w:rsidR="007827DF" w:rsidRPr="00A624C2">
        <w:rPr>
          <w:rFonts w:ascii="Book Antiqua" w:hAnsi="Book Antiqua" w:cs="AdvOT4b47d116"/>
          <w:color w:val="231F20"/>
          <w:sz w:val="24"/>
          <w:szCs w:val="24"/>
        </w:rPr>
        <w:t xml:space="preserve">were </w:t>
      </w:r>
      <w:r w:rsidR="0015499D" w:rsidRPr="00A624C2">
        <w:rPr>
          <w:rFonts w:ascii="Book Antiqua" w:hAnsi="Book Antiqua" w:cs="AdvOT4b47d116"/>
          <w:color w:val="231F20"/>
          <w:sz w:val="24"/>
          <w:szCs w:val="24"/>
        </w:rPr>
        <w:t xml:space="preserve">under </w:t>
      </w:r>
      <w:r w:rsidR="0015499D" w:rsidRPr="00A624C2">
        <w:rPr>
          <w:rFonts w:ascii="Book Antiqua" w:hAnsi="Book Antiqua" w:cs="AdvOT4b47d116"/>
          <w:sz w:val="24"/>
          <w:szCs w:val="24"/>
        </w:rPr>
        <w:t>concomitant immunomodulator</w:t>
      </w:r>
      <w:r w:rsidR="00310F8D" w:rsidRPr="00A624C2">
        <w:rPr>
          <w:rFonts w:ascii="Book Antiqua" w:hAnsi="Book Antiqua" w:cs="AdvOT4b47d116"/>
          <w:sz w:val="24"/>
          <w:szCs w:val="24"/>
        </w:rPr>
        <w:t>y</w:t>
      </w:r>
      <w:r w:rsidR="0015499D" w:rsidRPr="00A624C2">
        <w:rPr>
          <w:rFonts w:ascii="Book Antiqua" w:hAnsi="Book Antiqua" w:cs="AdvOT4b47d116"/>
          <w:sz w:val="24"/>
          <w:szCs w:val="24"/>
        </w:rPr>
        <w:t xml:space="preserve"> therap</w:t>
      </w:r>
      <w:r w:rsidR="009849E8" w:rsidRPr="00A624C2">
        <w:rPr>
          <w:rFonts w:ascii="Book Antiqua" w:hAnsi="Book Antiqua" w:cs="AdvOT4b47d116"/>
          <w:sz w:val="24"/>
          <w:szCs w:val="24"/>
        </w:rPr>
        <w:t>y</w:t>
      </w:r>
      <w:r w:rsidR="0015499D" w:rsidRPr="00A624C2">
        <w:rPr>
          <w:rFonts w:ascii="Book Antiqua" w:hAnsi="Book Antiqua" w:cs="AdvOT4b47d116"/>
          <w:sz w:val="24"/>
          <w:szCs w:val="24"/>
        </w:rPr>
        <w:t>.</w:t>
      </w:r>
      <w:r w:rsidR="00FE4AE9" w:rsidRPr="00A624C2">
        <w:rPr>
          <w:rFonts w:ascii="Book Antiqua" w:eastAsia="宋体" w:hAnsi="Book Antiqua" w:cs="AdvOT4b47d116"/>
          <w:color w:val="231F20"/>
          <w:sz w:val="24"/>
          <w:szCs w:val="24"/>
          <w:lang w:eastAsia="zh-CN"/>
        </w:rPr>
        <w:t xml:space="preserve"> </w:t>
      </w:r>
      <w:r w:rsidR="00957A50" w:rsidRPr="00A624C2">
        <w:rPr>
          <w:rFonts w:ascii="Book Antiqua" w:hAnsi="Book Antiqua" w:cs="AdvOT4b47d116"/>
          <w:color w:val="231F20"/>
          <w:sz w:val="24"/>
          <w:szCs w:val="24"/>
        </w:rPr>
        <w:t xml:space="preserve">Median </w:t>
      </w:r>
      <w:r w:rsidR="007175EB" w:rsidRPr="00A624C2">
        <w:rPr>
          <w:rFonts w:ascii="Book Antiqua" w:hAnsi="Book Antiqua" w:cs="AdvOT4b47d116"/>
          <w:color w:val="231F20"/>
          <w:sz w:val="24"/>
          <w:szCs w:val="24"/>
        </w:rPr>
        <w:t>CDEIS</w:t>
      </w:r>
      <w:r w:rsidR="00CD6E60" w:rsidRPr="00A624C2">
        <w:rPr>
          <w:rFonts w:ascii="Book Antiqua" w:hAnsi="Book Antiqua" w:cs="AdvOT4b47d116"/>
          <w:color w:val="231F20"/>
          <w:sz w:val="24"/>
          <w:szCs w:val="24"/>
        </w:rPr>
        <w:t xml:space="preserve"> at baseline</w:t>
      </w:r>
      <w:r w:rsidRPr="00A624C2">
        <w:rPr>
          <w:rFonts w:ascii="Book Antiqua" w:hAnsi="Book Antiqua" w:cs="AdvOT4b47d116"/>
          <w:color w:val="231F20"/>
          <w:sz w:val="24"/>
          <w:szCs w:val="24"/>
        </w:rPr>
        <w:t xml:space="preserve"> </w:t>
      </w:r>
      <w:r w:rsidR="005974B5" w:rsidRPr="00A624C2">
        <w:rPr>
          <w:rFonts w:ascii="Book Antiqua" w:hAnsi="Book Antiqua" w:cs="AdvOT4b47d116"/>
          <w:color w:val="231F20"/>
          <w:sz w:val="24"/>
          <w:szCs w:val="24"/>
        </w:rPr>
        <w:t xml:space="preserve">was </w:t>
      </w:r>
      <w:r w:rsidR="00957A50" w:rsidRPr="00A624C2">
        <w:rPr>
          <w:rFonts w:ascii="Book Antiqua" w:hAnsi="Book Antiqua" w:cs="AdvOT4b47d116"/>
          <w:color w:val="231F20"/>
          <w:sz w:val="24"/>
          <w:szCs w:val="24"/>
        </w:rPr>
        <w:t>6</w:t>
      </w:r>
      <w:r w:rsidR="00307FAD" w:rsidRPr="00A624C2">
        <w:rPr>
          <w:rFonts w:ascii="Book Antiqua" w:hAnsi="Book Antiqua" w:cs="AdvOT4b47d116"/>
          <w:color w:val="231F20"/>
          <w:sz w:val="24"/>
          <w:szCs w:val="24"/>
        </w:rPr>
        <w:t>.</w:t>
      </w:r>
      <w:r w:rsidR="00736E87" w:rsidRPr="00A624C2">
        <w:rPr>
          <w:rFonts w:ascii="Book Antiqua" w:hAnsi="Book Antiqua" w:cs="AdvOT4b47d116"/>
          <w:color w:val="231F20"/>
          <w:sz w:val="24"/>
          <w:szCs w:val="24"/>
        </w:rPr>
        <w:t>7</w:t>
      </w:r>
      <w:r w:rsidR="007175EB" w:rsidRPr="00A624C2">
        <w:rPr>
          <w:rFonts w:ascii="Book Antiqua" w:hAnsi="Book Antiqua" w:cs="AdvOT4b47d116"/>
          <w:color w:val="231F20"/>
          <w:sz w:val="24"/>
          <w:szCs w:val="24"/>
        </w:rPr>
        <w:t xml:space="preserve"> </w:t>
      </w:r>
      <w:r w:rsidRPr="00A624C2">
        <w:rPr>
          <w:rFonts w:ascii="Book Antiqua" w:hAnsi="Book Antiqua" w:cs="AdvOT4b47d116"/>
          <w:color w:val="231F20"/>
          <w:sz w:val="24"/>
          <w:szCs w:val="24"/>
        </w:rPr>
        <w:t xml:space="preserve">with </w:t>
      </w:r>
      <w:r w:rsidR="00CD6E60" w:rsidRPr="00A624C2">
        <w:rPr>
          <w:rFonts w:ascii="Book Antiqua" w:hAnsi="Book Antiqua" w:cs="AdvOT4b47d116"/>
          <w:color w:val="231F20"/>
          <w:sz w:val="24"/>
          <w:szCs w:val="24"/>
        </w:rPr>
        <w:t>significant decrease</w:t>
      </w:r>
      <w:r w:rsidR="00F968A4" w:rsidRPr="00A624C2">
        <w:rPr>
          <w:rFonts w:ascii="Book Antiqua" w:hAnsi="Book Antiqua" w:cs="AdvOT4b47d116"/>
          <w:color w:val="231F20"/>
          <w:sz w:val="24"/>
          <w:szCs w:val="24"/>
        </w:rPr>
        <w:t>s</w:t>
      </w:r>
      <w:r w:rsidR="00CD6E60" w:rsidRPr="00A624C2">
        <w:rPr>
          <w:rFonts w:ascii="Book Antiqua" w:hAnsi="Book Antiqua" w:cs="AdvOT4b47d116"/>
          <w:color w:val="231F20"/>
          <w:sz w:val="24"/>
          <w:szCs w:val="24"/>
        </w:rPr>
        <w:t xml:space="preserve"> </w:t>
      </w:r>
      <w:r w:rsidR="008F0565" w:rsidRPr="00A624C2">
        <w:rPr>
          <w:rFonts w:ascii="Book Antiqua" w:hAnsi="Book Antiqua" w:cs="AdvOT4b47d116"/>
          <w:color w:val="231F20"/>
          <w:sz w:val="24"/>
          <w:szCs w:val="24"/>
        </w:rPr>
        <w:t xml:space="preserve">up </w:t>
      </w:r>
      <w:r w:rsidR="009F4922" w:rsidRPr="00A624C2">
        <w:rPr>
          <w:rFonts w:ascii="Book Antiqua" w:hAnsi="Book Antiqua" w:cs="AdvOT4b47d116"/>
          <w:color w:val="231F20"/>
          <w:sz w:val="24"/>
          <w:szCs w:val="24"/>
        </w:rPr>
        <w:t xml:space="preserve">to </w:t>
      </w:r>
      <w:r w:rsidR="00736E87" w:rsidRPr="00A624C2">
        <w:rPr>
          <w:rFonts w:ascii="Book Antiqua" w:hAnsi="Book Antiqua" w:cs="AdvOT4b47d116"/>
          <w:color w:val="231F20"/>
          <w:sz w:val="24"/>
          <w:szCs w:val="24"/>
        </w:rPr>
        <w:t>3.2</w:t>
      </w:r>
      <w:r w:rsidR="009F4922" w:rsidRPr="00A624C2">
        <w:rPr>
          <w:rFonts w:ascii="Book Antiqua" w:hAnsi="Book Antiqua" w:cs="AdvOT4b47d116"/>
          <w:color w:val="231F20"/>
          <w:sz w:val="24"/>
          <w:szCs w:val="24"/>
        </w:rPr>
        <w:t xml:space="preserve"> a</w:t>
      </w:r>
      <w:r w:rsidR="00CD6E60" w:rsidRPr="00A624C2">
        <w:rPr>
          <w:rFonts w:ascii="Book Antiqua" w:hAnsi="Book Antiqua" w:cs="AdvOT4b47d116"/>
          <w:color w:val="231F20"/>
          <w:sz w:val="24"/>
          <w:szCs w:val="24"/>
        </w:rPr>
        <w:t>t week 14 (</w:t>
      </w:r>
      <w:r w:rsidR="00FE4AE9" w:rsidRPr="00A624C2">
        <w:rPr>
          <w:rFonts w:ascii="Book Antiqua" w:hAnsi="Book Antiqua" w:cs="AdvOT4b47d116"/>
          <w:i/>
          <w:color w:val="231F20"/>
          <w:sz w:val="24"/>
          <w:szCs w:val="24"/>
        </w:rPr>
        <w:t>P</w:t>
      </w:r>
      <w:r w:rsidR="00FE4AE9" w:rsidRPr="00A624C2">
        <w:rPr>
          <w:rFonts w:ascii="Book Antiqua" w:eastAsia="宋体" w:hAnsi="Book Antiqua" w:cs="AdvOT4b47d116"/>
          <w:color w:val="231F20"/>
          <w:sz w:val="24"/>
          <w:szCs w:val="24"/>
          <w:lang w:eastAsia="zh-CN"/>
        </w:rPr>
        <w:t xml:space="preserve"> </w:t>
      </w:r>
      <w:r w:rsidR="00CD6E60" w:rsidRPr="00A624C2">
        <w:rPr>
          <w:rFonts w:ascii="Book Antiqua" w:hAnsi="Book Antiqua" w:cs="AdvOT4b47d116"/>
          <w:color w:val="231F20"/>
          <w:sz w:val="24"/>
          <w:szCs w:val="24"/>
        </w:rPr>
        <w:t>&lt;</w:t>
      </w:r>
      <w:r w:rsidR="00FE4AE9" w:rsidRPr="00A624C2">
        <w:rPr>
          <w:rFonts w:ascii="Book Antiqua" w:eastAsia="宋体" w:hAnsi="Book Antiqua" w:cs="AdvOT4b47d116"/>
          <w:color w:val="231F20"/>
          <w:sz w:val="24"/>
          <w:szCs w:val="24"/>
          <w:lang w:eastAsia="zh-CN"/>
        </w:rPr>
        <w:t xml:space="preserve"> </w:t>
      </w:r>
      <w:r w:rsidR="00CD6E60" w:rsidRPr="00A624C2">
        <w:rPr>
          <w:rFonts w:ascii="Book Antiqua" w:hAnsi="Book Antiqua" w:cs="AdvOT4b47d116"/>
          <w:color w:val="231F20"/>
          <w:sz w:val="24"/>
          <w:szCs w:val="24"/>
        </w:rPr>
        <w:t>0</w:t>
      </w:r>
      <w:r w:rsidR="00307FAD" w:rsidRPr="00A624C2">
        <w:rPr>
          <w:rFonts w:ascii="Book Antiqua" w:hAnsi="Book Antiqua" w:cs="AdvOT4b47d116"/>
          <w:color w:val="231F20"/>
          <w:sz w:val="24"/>
          <w:szCs w:val="24"/>
        </w:rPr>
        <w:t>.</w:t>
      </w:r>
      <w:r w:rsidR="00CD6E60" w:rsidRPr="00A624C2">
        <w:rPr>
          <w:rFonts w:ascii="Book Antiqua" w:hAnsi="Book Antiqua" w:cs="AdvOT4b47d116"/>
          <w:color w:val="231F20"/>
          <w:sz w:val="24"/>
          <w:szCs w:val="24"/>
        </w:rPr>
        <w:t>001)</w:t>
      </w:r>
      <w:r w:rsidRPr="00A624C2">
        <w:rPr>
          <w:rFonts w:ascii="Book Antiqua" w:hAnsi="Book Antiqua" w:cs="AdvOT4b47d116"/>
          <w:color w:val="231F20"/>
          <w:sz w:val="24"/>
          <w:szCs w:val="24"/>
        </w:rPr>
        <w:t xml:space="preserve"> and</w:t>
      </w:r>
      <w:r w:rsidR="008F0565" w:rsidRPr="00A624C2">
        <w:rPr>
          <w:rFonts w:ascii="Book Antiqua" w:hAnsi="Book Antiqua" w:cs="AdvOT4b47d116"/>
          <w:color w:val="231F20"/>
          <w:sz w:val="24"/>
          <w:szCs w:val="24"/>
        </w:rPr>
        <w:t xml:space="preserve"> up</w:t>
      </w:r>
      <w:r w:rsidRPr="00A624C2">
        <w:rPr>
          <w:rFonts w:ascii="Book Antiqua" w:hAnsi="Book Antiqua" w:cs="AdvOT4b47d116"/>
          <w:color w:val="231F20"/>
          <w:sz w:val="24"/>
          <w:szCs w:val="24"/>
        </w:rPr>
        <w:t xml:space="preserve"> </w:t>
      </w:r>
      <w:r w:rsidR="00472D38" w:rsidRPr="00A624C2">
        <w:rPr>
          <w:rFonts w:ascii="Book Antiqua" w:hAnsi="Book Antiqua" w:cs="AdvOT4b47d116"/>
          <w:color w:val="231F20"/>
          <w:sz w:val="24"/>
          <w:szCs w:val="24"/>
        </w:rPr>
        <w:t xml:space="preserve">to </w:t>
      </w:r>
      <w:r w:rsidR="009338F6" w:rsidRPr="00A624C2">
        <w:rPr>
          <w:rFonts w:ascii="Book Antiqua" w:hAnsi="Book Antiqua" w:cs="AdvOT4b47d116"/>
          <w:color w:val="231F20"/>
          <w:sz w:val="24"/>
          <w:szCs w:val="24"/>
        </w:rPr>
        <w:t>3</w:t>
      </w:r>
      <w:r w:rsidR="00307FAD" w:rsidRPr="00A624C2">
        <w:rPr>
          <w:rFonts w:ascii="Book Antiqua" w:hAnsi="Book Antiqua" w:cs="AdvOT4b47d116"/>
          <w:color w:val="231F20"/>
          <w:sz w:val="24"/>
          <w:szCs w:val="24"/>
        </w:rPr>
        <w:t>.</w:t>
      </w:r>
      <w:r w:rsidR="00736E87" w:rsidRPr="00A624C2">
        <w:rPr>
          <w:rFonts w:ascii="Book Antiqua" w:hAnsi="Book Antiqua" w:cs="AdvOT4b47d116"/>
          <w:color w:val="231F20"/>
          <w:sz w:val="24"/>
          <w:szCs w:val="24"/>
        </w:rPr>
        <w:t>0</w:t>
      </w:r>
      <w:r w:rsidR="005974B5" w:rsidRPr="00A624C2">
        <w:rPr>
          <w:rFonts w:ascii="Book Antiqua" w:hAnsi="Book Antiqua" w:cs="AdvOT4b47d116"/>
          <w:color w:val="231F20"/>
          <w:sz w:val="24"/>
          <w:szCs w:val="24"/>
        </w:rPr>
        <w:t xml:space="preserve"> </w:t>
      </w:r>
      <w:r w:rsidR="00736E87" w:rsidRPr="00A624C2">
        <w:rPr>
          <w:rFonts w:ascii="Book Antiqua" w:hAnsi="Book Antiqua" w:cs="AdvOT4b47d116"/>
          <w:color w:val="231F20"/>
          <w:sz w:val="24"/>
          <w:szCs w:val="24"/>
        </w:rPr>
        <w:t>(</w:t>
      </w:r>
      <w:r w:rsidR="00FE4AE9" w:rsidRPr="00A624C2">
        <w:rPr>
          <w:rFonts w:ascii="Book Antiqua" w:hAnsi="Book Antiqua" w:cs="AdvOT4b47d116"/>
          <w:i/>
          <w:color w:val="231F20"/>
          <w:sz w:val="24"/>
          <w:szCs w:val="24"/>
        </w:rPr>
        <w:t>P</w:t>
      </w:r>
      <w:r w:rsidR="00FE4AE9" w:rsidRPr="00A624C2">
        <w:rPr>
          <w:rFonts w:ascii="Book Antiqua" w:eastAsia="宋体" w:hAnsi="Book Antiqua" w:cs="AdvOT4b47d116"/>
          <w:color w:val="231F20"/>
          <w:sz w:val="24"/>
          <w:szCs w:val="24"/>
          <w:lang w:eastAsia="zh-CN"/>
        </w:rPr>
        <w:t xml:space="preserve"> </w:t>
      </w:r>
      <w:r w:rsidR="00736E87" w:rsidRPr="00A624C2">
        <w:rPr>
          <w:rFonts w:ascii="Book Antiqua" w:hAnsi="Book Antiqua" w:cs="AdvOT4b47d116"/>
          <w:color w:val="231F20"/>
          <w:sz w:val="24"/>
          <w:szCs w:val="24"/>
        </w:rPr>
        <w:t>&lt;</w:t>
      </w:r>
      <w:r w:rsidR="00FE4AE9" w:rsidRPr="00A624C2">
        <w:rPr>
          <w:rFonts w:ascii="Book Antiqua" w:eastAsia="宋体" w:hAnsi="Book Antiqua" w:cs="AdvOT4b47d116"/>
          <w:color w:val="231F20"/>
          <w:sz w:val="24"/>
          <w:szCs w:val="24"/>
          <w:lang w:eastAsia="zh-CN"/>
        </w:rPr>
        <w:t xml:space="preserve"> </w:t>
      </w:r>
      <w:r w:rsidR="00736E87" w:rsidRPr="00A624C2">
        <w:rPr>
          <w:rFonts w:ascii="Book Antiqua" w:hAnsi="Book Antiqua" w:cs="AdvOT4b47d116"/>
          <w:color w:val="231F20"/>
          <w:sz w:val="24"/>
          <w:szCs w:val="24"/>
        </w:rPr>
        <w:t xml:space="preserve">0.001) </w:t>
      </w:r>
      <w:r w:rsidRPr="00A624C2">
        <w:rPr>
          <w:rFonts w:ascii="Book Antiqua" w:hAnsi="Book Antiqua" w:cs="AdvOT4b47d116"/>
          <w:color w:val="231F20"/>
          <w:sz w:val="24"/>
          <w:szCs w:val="24"/>
        </w:rPr>
        <w:t>after one year of treatment.</w:t>
      </w:r>
      <w:r w:rsidR="00CD6E60" w:rsidRPr="00A624C2">
        <w:rPr>
          <w:rFonts w:ascii="Book Antiqua" w:hAnsi="Book Antiqua" w:cs="AdvOT4b47d116"/>
          <w:color w:val="231F20"/>
          <w:sz w:val="24"/>
          <w:szCs w:val="24"/>
        </w:rPr>
        <w:t xml:space="preserve"> </w:t>
      </w:r>
      <w:r w:rsidR="00B92C89" w:rsidRPr="00A624C2">
        <w:rPr>
          <w:rFonts w:ascii="Book Antiqua" w:hAnsi="Book Antiqua"/>
          <w:sz w:val="24"/>
          <w:szCs w:val="24"/>
        </w:rPr>
        <w:t xml:space="preserve">As illustrated </w:t>
      </w:r>
      <w:r w:rsidR="00CD6702" w:rsidRPr="00A624C2">
        <w:rPr>
          <w:rFonts w:ascii="Book Antiqua" w:hAnsi="Book Antiqua"/>
          <w:sz w:val="24"/>
          <w:szCs w:val="24"/>
        </w:rPr>
        <w:t xml:space="preserve">in Figure </w:t>
      </w:r>
      <w:r w:rsidR="00CD0941" w:rsidRPr="00A624C2">
        <w:rPr>
          <w:rFonts w:ascii="Book Antiqua" w:hAnsi="Book Antiqua"/>
          <w:sz w:val="24"/>
          <w:szCs w:val="24"/>
        </w:rPr>
        <w:t>2</w:t>
      </w:r>
      <w:r w:rsidR="009849E8" w:rsidRPr="00A624C2">
        <w:rPr>
          <w:rFonts w:ascii="Book Antiqua" w:hAnsi="Book Antiqua"/>
          <w:sz w:val="24"/>
          <w:szCs w:val="24"/>
        </w:rPr>
        <w:t>,</w:t>
      </w:r>
      <w:r w:rsidR="00CD6702" w:rsidRPr="00A624C2">
        <w:rPr>
          <w:rFonts w:ascii="Book Antiqua" w:hAnsi="Book Antiqua"/>
          <w:sz w:val="24"/>
          <w:szCs w:val="24"/>
        </w:rPr>
        <w:t xml:space="preserve"> </w:t>
      </w:r>
      <w:r w:rsidR="00472D38" w:rsidRPr="00A624C2">
        <w:rPr>
          <w:rFonts w:ascii="Book Antiqua" w:hAnsi="Book Antiqua"/>
          <w:sz w:val="24"/>
          <w:szCs w:val="24"/>
        </w:rPr>
        <w:t>at week 14</w:t>
      </w:r>
      <w:r w:rsidR="005705F6" w:rsidRPr="00A624C2">
        <w:rPr>
          <w:rFonts w:ascii="Book Antiqua" w:hAnsi="Book Antiqua"/>
          <w:sz w:val="24"/>
          <w:szCs w:val="24"/>
        </w:rPr>
        <w:t xml:space="preserve">, </w:t>
      </w:r>
      <w:r w:rsidR="00626155" w:rsidRPr="00A624C2">
        <w:rPr>
          <w:rFonts w:ascii="Book Antiqua" w:hAnsi="Book Antiqua"/>
          <w:sz w:val="24"/>
          <w:szCs w:val="24"/>
        </w:rPr>
        <w:t>5</w:t>
      </w:r>
      <w:r w:rsidR="00736E87" w:rsidRPr="00A624C2">
        <w:rPr>
          <w:rFonts w:ascii="Book Antiqua" w:hAnsi="Book Antiqua"/>
          <w:sz w:val="24"/>
          <w:szCs w:val="24"/>
        </w:rPr>
        <w:t>6</w:t>
      </w:r>
      <w:r w:rsidR="00CD6702" w:rsidRPr="00A624C2">
        <w:rPr>
          <w:rFonts w:ascii="Book Antiqua" w:hAnsi="Book Antiqua"/>
          <w:sz w:val="24"/>
          <w:szCs w:val="24"/>
        </w:rPr>
        <w:t>% of patients achieve</w:t>
      </w:r>
      <w:r w:rsidR="00E879F7" w:rsidRPr="00A624C2">
        <w:rPr>
          <w:rFonts w:ascii="Book Antiqua" w:hAnsi="Book Antiqua"/>
          <w:sz w:val="24"/>
          <w:szCs w:val="24"/>
        </w:rPr>
        <w:t>d</w:t>
      </w:r>
      <w:r w:rsidR="00CD6702" w:rsidRPr="00A624C2">
        <w:rPr>
          <w:rFonts w:ascii="Book Antiqua" w:hAnsi="Book Antiqua"/>
          <w:sz w:val="24"/>
          <w:szCs w:val="24"/>
        </w:rPr>
        <w:t xml:space="preserve"> endoscopic response and 3</w:t>
      </w:r>
      <w:r w:rsidR="00736E87" w:rsidRPr="00A624C2">
        <w:rPr>
          <w:rFonts w:ascii="Book Antiqua" w:hAnsi="Book Antiqua"/>
          <w:sz w:val="24"/>
          <w:szCs w:val="24"/>
        </w:rPr>
        <w:t>4</w:t>
      </w:r>
      <w:r w:rsidR="00CD6702" w:rsidRPr="00A624C2">
        <w:rPr>
          <w:rFonts w:ascii="Book Antiqua" w:hAnsi="Book Antiqua"/>
          <w:sz w:val="24"/>
          <w:szCs w:val="24"/>
        </w:rPr>
        <w:t xml:space="preserve">% </w:t>
      </w:r>
      <w:r w:rsidR="00472D38" w:rsidRPr="00A624C2">
        <w:rPr>
          <w:rFonts w:ascii="Book Antiqua" w:hAnsi="Book Antiqua"/>
          <w:sz w:val="24"/>
          <w:szCs w:val="24"/>
        </w:rPr>
        <w:t xml:space="preserve">were on </w:t>
      </w:r>
      <w:r w:rsidR="00F3089F" w:rsidRPr="00A624C2">
        <w:rPr>
          <w:rFonts w:ascii="Book Antiqua" w:hAnsi="Book Antiqua"/>
          <w:sz w:val="24"/>
          <w:szCs w:val="24"/>
        </w:rPr>
        <w:t>MH</w:t>
      </w:r>
      <w:r w:rsidR="00CD6702" w:rsidRPr="00A624C2">
        <w:rPr>
          <w:rFonts w:ascii="Book Antiqua" w:hAnsi="Book Antiqua"/>
          <w:sz w:val="24"/>
          <w:szCs w:val="24"/>
        </w:rPr>
        <w:t>.</w:t>
      </w:r>
      <w:r w:rsidR="00602C8F" w:rsidRPr="00A624C2">
        <w:rPr>
          <w:rFonts w:ascii="Book Antiqua" w:hAnsi="Book Antiqua"/>
          <w:sz w:val="24"/>
          <w:szCs w:val="24"/>
        </w:rPr>
        <w:t xml:space="preserve"> At week 46,</w:t>
      </w:r>
      <w:r w:rsidR="00F968A4" w:rsidRPr="00A624C2">
        <w:rPr>
          <w:rFonts w:ascii="Book Antiqua" w:hAnsi="Book Antiqua"/>
          <w:sz w:val="24"/>
          <w:szCs w:val="24"/>
        </w:rPr>
        <w:t xml:space="preserve"> the</w:t>
      </w:r>
      <w:r w:rsidR="00602C8F" w:rsidRPr="00A624C2">
        <w:rPr>
          <w:rFonts w:ascii="Book Antiqua" w:hAnsi="Book Antiqua"/>
          <w:sz w:val="24"/>
          <w:szCs w:val="24"/>
        </w:rPr>
        <w:t xml:space="preserve"> </w:t>
      </w:r>
      <w:r w:rsidR="007827DF" w:rsidRPr="00A624C2">
        <w:rPr>
          <w:rFonts w:ascii="Book Antiqua" w:hAnsi="Book Antiqua"/>
          <w:sz w:val="24"/>
          <w:szCs w:val="24"/>
        </w:rPr>
        <w:t xml:space="preserve">corresponding </w:t>
      </w:r>
      <w:r w:rsidR="00602C8F" w:rsidRPr="00A624C2">
        <w:rPr>
          <w:rFonts w:ascii="Book Antiqua" w:hAnsi="Book Antiqua"/>
          <w:sz w:val="24"/>
          <w:szCs w:val="24"/>
        </w:rPr>
        <w:t xml:space="preserve">percentages </w:t>
      </w:r>
      <w:r w:rsidR="007827DF" w:rsidRPr="00A624C2">
        <w:rPr>
          <w:rFonts w:ascii="Book Antiqua" w:hAnsi="Book Antiqua"/>
          <w:sz w:val="24"/>
          <w:szCs w:val="24"/>
        </w:rPr>
        <w:t xml:space="preserve">for </w:t>
      </w:r>
      <w:r w:rsidR="00602C8F" w:rsidRPr="00A624C2">
        <w:rPr>
          <w:rFonts w:ascii="Book Antiqua" w:hAnsi="Book Antiqua"/>
          <w:sz w:val="24"/>
          <w:szCs w:val="24"/>
        </w:rPr>
        <w:t xml:space="preserve">endoscopic response and </w:t>
      </w:r>
      <w:r w:rsidR="00F3089F" w:rsidRPr="00A624C2">
        <w:rPr>
          <w:rFonts w:ascii="Book Antiqua" w:hAnsi="Book Antiqua"/>
          <w:sz w:val="24"/>
          <w:szCs w:val="24"/>
        </w:rPr>
        <w:t>MH</w:t>
      </w:r>
      <w:r w:rsidR="00602C8F" w:rsidRPr="00A624C2">
        <w:rPr>
          <w:rFonts w:ascii="Book Antiqua" w:hAnsi="Book Antiqua"/>
          <w:sz w:val="24"/>
          <w:szCs w:val="24"/>
        </w:rPr>
        <w:t xml:space="preserve"> were </w:t>
      </w:r>
      <w:r w:rsidR="00736E87" w:rsidRPr="00A624C2">
        <w:rPr>
          <w:rFonts w:ascii="Book Antiqua" w:hAnsi="Book Antiqua"/>
          <w:sz w:val="24"/>
          <w:szCs w:val="24"/>
        </w:rPr>
        <w:t>52</w:t>
      </w:r>
      <w:r w:rsidR="00602C8F" w:rsidRPr="00A624C2">
        <w:rPr>
          <w:rFonts w:ascii="Book Antiqua" w:hAnsi="Book Antiqua"/>
          <w:sz w:val="24"/>
          <w:szCs w:val="24"/>
        </w:rPr>
        <w:t>% and 4</w:t>
      </w:r>
      <w:r w:rsidR="00736E87" w:rsidRPr="00A624C2">
        <w:rPr>
          <w:rFonts w:ascii="Book Antiqua" w:hAnsi="Book Antiqua"/>
          <w:sz w:val="24"/>
          <w:szCs w:val="24"/>
        </w:rPr>
        <w:t>4</w:t>
      </w:r>
      <w:r w:rsidR="00602C8F" w:rsidRPr="00A624C2">
        <w:rPr>
          <w:rFonts w:ascii="Book Antiqua" w:hAnsi="Book Antiqua"/>
          <w:sz w:val="24"/>
          <w:szCs w:val="24"/>
        </w:rPr>
        <w:t>%</w:t>
      </w:r>
      <w:r w:rsidR="00102EA2" w:rsidRPr="00A624C2">
        <w:rPr>
          <w:rFonts w:ascii="Book Antiqua" w:hAnsi="Book Antiqua"/>
          <w:sz w:val="24"/>
          <w:szCs w:val="24"/>
        </w:rPr>
        <w:t>,</w:t>
      </w:r>
      <w:r w:rsidR="00FE4AE9" w:rsidRPr="00A624C2">
        <w:rPr>
          <w:rFonts w:ascii="Book Antiqua" w:eastAsia="宋体" w:hAnsi="Book Antiqua"/>
          <w:sz w:val="24"/>
          <w:szCs w:val="24"/>
          <w:lang w:eastAsia="zh-CN"/>
        </w:rPr>
        <w:t xml:space="preserve"> </w:t>
      </w:r>
      <w:r w:rsidR="00102EA2" w:rsidRPr="00A624C2">
        <w:rPr>
          <w:rFonts w:ascii="Book Antiqua" w:hAnsi="Book Antiqua"/>
          <w:sz w:val="24"/>
          <w:szCs w:val="24"/>
        </w:rPr>
        <w:t>respe</w:t>
      </w:r>
      <w:r w:rsidR="004A5407" w:rsidRPr="00A624C2">
        <w:rPr>
          <w:rFonts w:ascii="Book Antiqua" w:hAnsi="Book Antiqua"/>
          <w:sz w:val="24"/>
          <w:szCs w:val="24"/>
        </w:rPr>
        <w:t>ctively.</w:t>
      </w:r>
    </w:p>
    <w:p w14:paraId="014CBB02" w14:textId="77777777" w:rsidR="006121F8" w:rsidRPr="00A624C2" w:rsidRDefault="006121F8" w:rsidP="0028587F">
      <w:pPr>
        <w:spacing w:after="0" w:line="360" w:lineRule="auto"/>
        <w:jc w:val="both"/>
        <w:rPr>
          <w:rFonts w:ascii="Book Antiqua" w:eastAsia="宋体" w:hAnsi="Book Antiqua"/>
          <w:sz w:val="24"/>
          <w:szCs w:val="24"/>
          <w:lang w:eastAsia="zh-CN"/>
        </w:rPr>
      </w:pPr>
    </w:p>
    <w:p w14:paraId="3BF7E167" w14:textId="0CAB363E" w:rsidR="007D6AE6" w:rsidRPr="00A624C2" w:rsidRDefault="007D6AE6" w:rsidP="0028587F">
      <w:pPr>
        <w:spacing w:after="0" w:line="360" w:lineRule="auto"/>
        <w:jc w:val="both"/>
        <w:rPr>
          <w:rFonts w:ascii="Book Antiqua" w:eastAsia="宋体" w:hAnsi="Book Antiqua"/>
          <w:i/>
          <w:sz w:val="24"/>
          <w:szCs w:val="24"/>
          <w:lang w:eastAsia="zh-CN"/>
        </w:rPr>
      </w:pPr>
      <w:r w:rsidRPr="00A624C2">
        <w:rPr>
          <w:rFonts w:ascii="Book Antiqua" w:hAnsi="Book Antiqua" w:cs="AdvOTb63a3543.I"/>
          <w:b/>
          <w:i/>
          <w:color w:val="231F20"/>
          <w:sz w:val="24"/>
          <w:szCs w:val="24"/>
        </w:rPr>
        <w:t>Predictors of endoscopic remission</w:t>
      </w:r>
    </w:p>
    <w:p w14:paraId="2F8EEF41" w14:textId="5607A221" w:rsidR="00D35144" w:rsidRPr="00A624C2" w:rsidRDefault="00BD422D" w:rsidP="0028587F">
      <w:pPr>
        <w:tabs>
          <w:tab w:val="num" w:pos="720"/>
        </w:tabs>
        <w:spacing w:after="0" w:line="360" w:lineRule="auto"/>
        <w:jc w:val="both"/>
        <w:rPr>
          <w:rFonts w:ascii="Book Antiqua" w:hAnsi="Book Antiqua"/>
          <w:sz w:val="24"/>
          <w:szCs w:val="24"/>
        </w:rPr>
      </w:pPr>
      <w:r w:rsidRPr="00A624C2">
        <w:rPr>
          <w:rFonts w:ascii="Book Antiqua" w:hAnsi="Book Antiqua"/>
          <w:sz w:val="24"/>
          <w:szCs w:val="24"/>
        </w:rPr>
        <w:t xml:space="preserve">None of the </w:t>
      </w:r>
      <w:r w:rsidR="005705F6" w:rsidRPr="00A624C2">
        <w:rPr>
          <w:rFonts w:ascii="Book Antiqua" w:hAnsi="Book Antiqua"/>
          <w:sz w:val="24"/>
          <w:szCs w:val="24"/>
        </w:rPr>
        <w:t>d</w:t>
      </w:r>
      <w:r w:rsidR="00BC6632" w:rsidRPr="00A624C2">
        <w:rPr>
          <w:rFonts w:ascii="Book Antiqua" w:hAnsi="Book Antiqua"/>
          <w:sz w:val="24"/>
          <w:szCs w:val="24"/>
        </w:rPr>
        <w:t xml:space="preserve">emographic or </w:t>
      </w:r>
      <w:r w:rsidRPr="00A624C2">
        <w:rPr>
          <w:rFonts w:ascii="Book Antiqua" w:hAnsi="Book Antiqua"/>
          <w:sz w:val="24"/>
          <w:szCs w:val="24"/>
        </w:rPr>
        <w:t xml:space="preserve">baseline </w:t>
      </w:r>
      <w:r w:rsidR="00BC6632" w:rsidRPr="00A624C2">
        <w:rPr>
          <w:rFonts w:ascii="Book Antiqua" w:hAnsi="Book Antiqua"/>
          <w:sz w:val="24"/>
          <w:szCs w:val="24"/>
        </w:rPr>
        <w:t>disease characteristics predict</w:t>
      </w:r>
      <w:r w:rsidR="008F0565" w:rsidRPr="00A624C2">
        <w:rPr>
          <w:rFonts w:ascii="Book Antiqua" w:hAnsi="Book Antiqua"/>
          <w:sz w:val="24"/>
          <w:szCs w:val="24"/>
        </w:rPr>
        <w:t>ed</w:t>
      </w:r>
      <w:r w:rsidR="00BC6632" w:rsidRPr="00A624C2">
        <w:rPr>
          <w:rFonts w:ascii="Book Antiqua" w:hAnsi="Book Antiqua"/>
          <w:sz w:val="24"/>
          <w:szCs w:val="24"/>
        </w:rPr>
        <w:t xml:space="preserve"> endoscopic response or remission at week 14</w:t>
      </w:r>
      <w:r w:rsidR="007D6E3E" w:rsidRPr="00A624C2">
        <w:rPr>
          <w:rFonts w:ascii="Book Antiqua" w:hAnsi="Book Antiqua"/>
          <w:sz w:val="24"/>
          <w:szCs w:val="24"/>
        </w:rPr>
        <w:t>.</w:t>
      </w:r>
      <w:r w:rsidR="00634426" w:rsidRPr="00A624C2">
        <w:rPr>
          <w:rFonts w:ascii="Book Antiqua" w:hAnsi="Book Antiqua"/>
          <w:sz w:val="24"/>
          <w:szCs w:val="24"/>
        </w:rPr>
        <w:t xml:space="preserve"> Baseline disease characteristics with predictive value of long-term endoscopic response (wk46) in the univariate analysis included di</w:t>
      </w:r>
      <w:r w:rsidR="003D78B3" w:rsidRPr="00A624C2">
        <w:rPr>
          <w:rFonts w:ascii="Book Antiqua" w:hAnsi="Book Antiqua"/>
          <w:sz w:val="24"/>
          <w:szCs w:val="24"/>
        </w:rPr>
        <w:t>sease duration, CDAI and CDEIS.</w:t>
      </w:r>
      <w:r w:rsidR="00141090" w:rsidRPr="00A624C2">
        <w:rPr>
          <w:rFonts w:ascii="Book Antiqua" w:hAnsi="Book Antiqua"/>
          <w:sz w:val="24"/>
          <w:szCs w:val="24"/>
        </w:rPr>
        <w:t xml:space="preserve"> </w:t>
      </w:r>
      <w:r w:rsidR="005705F6" w:rsidRPr="00A624C2">
        <w:rPr>
          <w:rFonts w:ascii="Book Antiqua" w:hAnsi="Book Antiqua"/>
          <w:sz w:val="24"/>
          <w:szCs w:val="24"/>
        </w:rPr>
        <w:t xml:space="preserve">The </w:t>
      </w:r>
      <w:r w:rsidR="00854C7B" w:rsidRPr="00A624C2">
        <w:rPr>
          <w:rFonts w:ascii="Book Antiqua" w:hAnsi="Book Antiqua"/>
          <w:sz w:val="24"/>
          <w:szCs w:val="24"/>
        </w:rPr>
        <w:t xml:space="preserve">week 14 variables that predicted </w:t>
      </w:r>
      <w:r w:rsidR="003E01F0" w:rsidRPr="00A624C2">
        <w:rPr>
          <w:rFonts w:ascii="Book Antiqua" w:hAnsi="Book Antiqua"/>
          <w:sz w:val="24"/>
          <w:szCs w:val="24"/>
        </w:rPr>
        <w:t xml:space="preserve">endoscopic response </w:t>
      </w:r>
      <w:r w:rsidR="00854C7B" w:rsidRPr="00A624C2">
        <w:rPr>
          <w:rFonts w:ascii="Book Antiqua" w:hAnsi="Book Antiqua"/>
          <w:sz w:val="24"/>
          <w:szCs w:val="24"/>
        </w:rPr>
        <w:t xml:space="preserve">at week 46 </w:t>
      </w:r>
      <w:r w:rsidR="005705F6" w:rsidRPr="00A624C2">
        <w:rPr>
          <w:rFonts w:ascii="Book Antiqua" w:hAnsi="Book Antiqua"/>
          <w:sz w:val="24"/>
          <w:szCs w:val="24"/>
        </w:rPr>
        <w:t xml:space="preserve"> </w:t>
      </w:r>
      <w:r w:rsidR="003E01F0" w:rsidRPr="00A624C2">
        <w:rPr>
          <w:rFonts w:ascii="Book Antiqua" w:hAnsi="Book Antiqua"/>
          <w:sz w:val="24"/>
          <w:szCs w:val="24"/>
        </w:rPr>
        <w:t>were:</w:t>
      </w:r>
      <w:r w:rsidR="00AC07BC" w:rsidRPr="00A624C2">
        <w:rPr>
          <w:rFonts w:ascii="Book Antiqua" w:hAnsi="Book Antiqua"/>
          <w:sz w:val="24"/>
          <w:szCs w:val="24"/>
        </w:rPr>
        <w:t xml:space="preserve"> CRP, a decrease from baseline </w:t>
      </w:r>
      <w:r w:rsidR="005705F6" w:rsidRPr="00A624C2">
        <w:rPr>
          <w:rFonts w:ascii="Book Antiqua" w:hAnsi="Book Antiqua"/>
          <w:sz w:val="24"/>
          <w:szCs w:val="24"/>
        </w:rPr>
        <w:t xml:space="preserve">CDAI </w:t>
      </w:r>
      <w:r w:rsidR="00AC07BC" w:rsidRPr="00A624C2">
        <w:rPr>
          <w:rFonts w:ascii="Book Antiqua" w:hAnsi="Book Antiqua"/>
          <w:sz w:val="24"/>
          <w:szCs w:val="24"/>
        </w:rPr>
        <w:t xml:space="preserve">of 100 points, CDEIS, the percentage of CDEIS reduction from baseline and </w:t>
      </w:r>
      <w:r w:rsidR="008C4FC9" w:rsidRPr="00A624C2">
        <w:rPr>
          <w:rFonts w:ascii="Book Antiqua" w:hAnsi="Book Antiqua"/>
          <w:sz w:val="24"/>
          <w:szCs w:val="24"/>
        </w:rPr>
        <w:t xml:space="preserve">the </w:t>
      </w:r>
      <w:r w:rsidR="00AC07BC" w:rsidRPr="00A624C2">
        <w:rPr>
          <w:rFonts w:ascii="Book Antiqua" w:hAnsi="Book Antiqua"/>
          <w:sz w:val="24"/>
          <w:szCs w:val="24"/>
        </w:rPr>
        <w:t xml:space="preserve">achievement of endoscopic response or MH. </w:t>
      </w:r>
      <w:r w:rsidR="002B5360" w:rsidRPr="00A624C2">
        <w:rPr>
          <w:rFonts w:ascii="Book Antiqua" w:hAnsi="Book Antiqua"/>
          <w:sz w:val="24"/>
          <w:szCs w:val="24"/>
        </w:rPr>
        <w:t>Due to an elevated rate of missing values (35% at baseline and 42% at week 14)</w:t>
      </w:r>
      <w:r w:rsidR="008C4FC9" w:rsidRPr="00A624C2">
        <w:rPr>
          <w:rFonts w:ascii="Book Antiqua" w:hAnsi="Book Antiqua"/>
          <w:sz w:val="24"/>
          <w:szCs w:val="24"/>
        </w:rPr>
        <w:t>,</w:t>
      </w:r>
      <w:r w:rsidR="002B5360" w:rsidRPr="00A624C2">
        <w:rPr>
          <w:rFonts w:ascii="Book Antiqua" w:hAnsi="Book Antiqua"/>
          <w:sz w:val="24"/>
          <w:szCs w:val="24"/>
        </w:rPr>
        <w:t xml:space="preserve"> calprotectin was </w:t>
      </w:r>
      <w:r w:rsidR="008C4FC9" w:rsidRPr="00A624C2">
        <w:rPr>
          <w:rFonts w:ascii="Book Antiqua" w:hAnsi="Book Antiqua"/>
          <w:sz w:val="24"/>
          <w:szCs w:val="24"/>
        </w:rPr>
        <w:t>not included in the</w:t>
      </w:r>
      <w:r w:rsidR="003D78B3" w:rsidRPr="00A624C2">
        <w:rPr>
          <w:rFonts w:ascii="Book Antiqua" w:hAnsi="Book Antiqua"/>
          <w:sz w:val="24"/>
          <w:szCs w:val="24"/>
        </w:rPr>
        <w:t xml:space="preserve"> logistic regression analysis. </w:t>
      </w:r>
      <w:r w:rsidR="004A693F" w:rsidRPr="00A624C2">
        <w:rPr>
          <w:rFonts w:ascii="Book Antiqua" w:hAnsi="Book Antiqua"/>
          <w:sz w:val="24"/>
          <w:szCs w:val="24"/>
        </w:rPr>
        <w:t>In</w:t>
      </w:r>
      <w:r w:rsidR="00AC07BC" w:rsidRPr="00A624C2">
        <w:rPr>
          <w:rFonts w:ascii="Book Antiqua" w:hAnsi="Book Antiqua"/>
          <w:sz w:val="24"/>
          <w:szCs w:val="24"/>
        </w:rPr>
        <w:t xml:space="preserve"> the multivariate analysis</w:t>
      </w:r>
      <w:r w:rsidR="008C4FC9" w:rsidRPr="00A624C2">
        <w:rPr>
          <w:rFonts w:ascii="Book Antiqua" w:hAnsi="Book Antiqua"/>
          <w:sz w:val="24"/>
          <w:szCs w:val="24"/>
        </w:rPr>
        <w:t>,</w:t>
      </w:r>
      <w:r w:rsidR="00AC07BC" w:rsidRPr="00A624C2">
        <w:rPr>
          <w:rFonts w:ascii="Book Antiqua" w:hAnsi="Book Antiqua"/>
          <w:sz w:val="24"/>
          <w:szCs w:val="24"/>
        </w:rPr>
        <w:t xml:space="preserve"> only disease duration and the percentage of CDEIS reduction </w:t>
      </w:r>
      <w:r w:rsidR="00854C7B" w:rsidRPr="00A624C2">
        <w:rPr>
          <w:rFonts w:ascii="Book Antiqua" w:hAnsi="Book Antiqua"/>
          <w:sz w:val="24"/>
          <w:szCs w:val="24"/>
        </w:rPr>
        <w:t>at week 14</w:t>
      </w:r>
      <w:r w:rsidR="008C4FC9" w:rsidRPr="00A624C2">
        <w:rPr>
          <w:rFonts w:ascii="Book Antiqua" w:hAnsi="Book Antiqua"/>
          <w:sz w:val="24"/>
          <w:szCs w:val="24"/>
        </w:rPr>
        <w:t>, independently predicted MH on the long term</w:t>
      </w:r>
      <w:r w:rsidR="00AC07BC" w:rsidRPr="00A624C2">
        <w:rPr>
          <w:rFonts w:ascii="Book Antiqua" w:hAnsi="Book Antiqua"/>
          <w:sz w:val="24"/>
          <w:szCs w:val="24"/>
        </w:rPr>
        <w:t>.</w:t>
      </w:r>
      <w:r w:rsidR="003608C2" w:rsidRPr="00A624C2">
        <w:rPr>
          <w:rFonts w:ascii="Book Antiqua" w:hAnsi="Book Antiqua"/>
          <w:sz w:val="24"/>
          <w:szCs w:val="24"/>
        </w:rPr>
        <w:t xml:space="preserve"> </w:t>
      </w:r>
    </w:p>
    <w:p w14:paraId="197D6B5B" w14:textId="5BF991F8" w:rsidR="003A553B" w:rsidRPr="00A624C2" w:rsidRDefault="003D78B3" w:rsidP="003D78B3">
      <w:pPr>
        <w:tabs>
          <w:tab w:val="num" w:pos="720"/>
        </w:tabs>
        <w:spacing w:after="0" w:line="360" w:lineRule="auto"/>
        <w:ind w:firstLineChars="100" w:firstLine="240"/>
        <w:jc w:val="both"/>
        <w:rPr>
          <w:rFonts w:ascii="Book Antiqua" w:hAnsi="Book Antiqua"/>
          <w:sz w:val="24"/>
          <w:szCs w:val="24"/>
        </w:rPr>
      </w:pPr>
      <w:r w:rsidRPr="00A624C2">
        <w:rPr>
          <w:rFonts w:ascii="Book Antiqua" w:hAnsi="Book Antiqua"/>
          <w:sz w:val="24"/>
          <w:szCs w:val="24"/>
        </w:rPr>
        <w:t>Predictors of MH after 46 wk</w:t>
      </w:r>
      <w:r w:rsidR="00BC6632" w:rsidRPr="00A624C2">
        <w:rPr>
          <w:rFonts w:ascii="Book Antiqua" w:hAnsi="Book Antiqua"/>
          <w:sz w:val="24"/>
          <w:szCs w:val="24"/>
        </w:rPr>
        <w:t xml:space="preserve"> of treatment were identified only at week 14</w:t>
      </w:r>
      <w:r w:rsidR="008C4FC9" w:rsidRPr="00A624C2">
        <w:rPr>
          <w:rFonts w:ascii="Book Antiqua" w:hAnsi="Book Antiqua"/>
          <w:sz w:val="24"/>
          <w:szCs w:val="24"/>
        </w:rPr>
        <w:t xml:space="preserve"> in the univariate analysis</w:t>
      </w:r>
      <w:r w:rsidR="00BC6632" w:rsidRPr="00A624C2">
        <w:rPr>
          <w:rFonts w:ascii="Book Antiqua" w:hAnsi="Book Antiqua"/>
          <w:sz w:val="24"/>
          <w:szCs w:val="24"/>
        </w:rPr>
        <w:t xml:space="preserve">, </w:t>
      </w:r>
      <w:r w:rsidR="005705F6" w:rsidRPr="00A624C2">
        <w:rPr>
          <w:rFonts w:ascii="Book Antiqua" w:hAnsi="Book Antiqua"/>
          <w:sz w:val="24"/>
          <w:szCs w:val="24"/>
        </w:rPr>
        <w:t xml:space="preserve">including </w:t>
      </w:r>
      <w:r w:rsidR="00BC6632" w:rsidRPr="00A624C2">
        <w:rPr>
          <w:rFonts w:ascii="Book Antiqua" w:hAnsi="Book Antiqua"/>
          <w:sz w:val="24"/>
          <w:szCs w:val="24"/>
        </w:rPr>
        <w:t xml:space="preserve">the CRP </w:t>
      </w:r>
      <w:r w:rsidR="008C4FC9" w:rsidRPr="00A624C2">
        <w:rPr>
          <w:rFonts w:ascii="Book Antiqua" w:hAnsi="Book Antiqua"/>
          <w:sz w:val="24"/>
          <w:szCs w:val="24"/>
        </w:rPr>
        <w:t>and</w:t>
      </w:r>
      <w:r w:rsidR="00BC6632" w:rsidRPr="00A624C2">
        <w:rPr>
          <w:rFonts w:ascii="Book Antiqua" w:hAnsi="Book Antiqua"/>
          <w:sz w:val="24"/>
          <w:szCs w:val="24"/>
        </w:rPr>
        <w:t xml:space="preserve"> </w:t>
      </w:r>
      <w:r w:rsidR="00183FC3" w:rsidRPr="00A624C2">
        <w:rPr>
          <w:rFonts w:ascii="Book Antiqua" w:hAnsi="Book Antiqua"/>
          <w:sz w:val="24"/>
          <w:szCs w:val="24"/>
        </w:rPr>
        <w:t xml:space="preserve">the adalimumab concentration, </w:t>
      </w:r>
      <w:r w:rsidR="00BC6632" w:rsidRPr="00A624C2">
        <w:rPr>
          <w:rFonts w:ascii="Book Antiqua" w:hAnsi="Book Antiqua"/>
          <w:sz w:val="24"/>
          <w:szCs w:val="24"/>
        </w:rPr>
        <w:t xml:space="preserve">the CDEIS </w:t>
      </w:r>
      <w:r w:rsidR="004A693F" w:rsidRPr="00A624C2">
        <w:rPr>
          <w:rFonts w:ascii="Book Antiqua" w:hAnsi="Book Antiqua"/>
          <w:sz w:val="24"/>
          <w:szCs w:val="24"/>
        </w:rPr>
        <w:t>score</w:t>
      </w:r>
      <w:r w:rsidR="00BC6632" w:rsidRPr="00A624C2">
        <w:rPr>
          <w:rFonts w:ascii="Book Antiqua" w:hAnsi="Book Antiqua"/>
          <w:sz w:val="24"/>
          <w:szCs w:val="24"/>
        </w:rPr>
        <w:t xml:space="preserve">, </w:t>
      </w:r>
      <w:r w:rsidR="00183FC3" w:rsidRPr="00A624C2">
        <w:rPr>
          <w:rFonts w:ascii="Book Antiqua" w:hAnsi="Book Antiqua"/>
          <w:sz w:val="24"/>
          <w:szCs w:val="24"/>
        </w:rPr>
        <w:t>the</w:t>
      </w:r>
      <w:r w:rsidR="00BC6632" w:rsidRPr="00A624C2">
        <w:rPr>
          <w:rFonts w:ascii="Book Antiqua" w:hAnsi="Book Antiqua"/>
          <w:sz w:val="24"/>
          <w:szCs w:val="24"/>
        </w:rPr>
        <w:t xml:space="preserve"> percentage of CDEIS reduction from baseline and </w:t>
      </w:r>
      <w:r w:rsidR="0010471D" w:rsidRPr="00A624C2">
        <w:rPr>
          <w:rFonts w:ascii="Book Antiqua" w:hAnsi="Book Antiqua"/>
          <w:sz w:val="24"/>
          <w:szCs w:val="24"/>
        </w:rPr>
        <w:t xml:space="preserve">the </w:t>
      </w:r>
      <w:r w:rsidR="00BC6632" w:rsidRPr="00A624C2">
        <w:rPr>
          <w:rFonts w:ascii="Book Antiqua" w:hAnsi="Book Antiqua"/>
          <w:sz w:val="24"/>
          <w:szCs w:val="24"/>
        </w:rPr>
        <w:t xml:space="preserve">achievement of endoscopic response or MH at week 14. </w:t>
      </w:r>
      <w:r w:rsidR="002B5360" w:rsidRPr="00A624C2">
        <w:rPr>
          <w:rFonts w:ascii="Book Antiqua" w:hAnsi="Book Antiqua"/>
          <w:sz w:val="24"/>
          <w:szCs w:val="24"/>
        </w:rPr>
        <w:t>In</w:t>
      </w:r>
      <w:r w:rsidR="00BC6632" w:rsidRPr="00A624C2">
        <w:rPr>
          <w:rFonts w:ascii="Book Antiqua" w:hAnsi="Book Antiqua"/>
          <w:sz w:val="24"/>
          <w:szCs w:val="24"/>
        </w:rPr>
        <w:t xml:space="preserve"> the multivariate analysis </w:t>
      </w:r>
      <w:r w:rsidR="00183FC3" w:rsidRPr="00A624C2">
        <w:rPr>
          <w:rFonts w:ascii="Book Antiqua" w:hAnsi="Book Antiqua"/>
          <w:sz w:val="24"/>
          <w:szCs w:val="24"/>
        </w:rPr>
        <w:t xml:space="preserve">all </w:t>
      </w:r>
      <w:r w:rsidR="00BC6632" w:rsidRPr="00A624C2">
        <w:rPr>
          <w:rFonts w:ascii="Book Antiqua" w:hAnsi="Book Antiqua"/>
          <w:sz w:val="24"/>
          <w:szCs w:val="24"/>
        </w:rPr>
        <w:t xml:space="preserve">the endoscopic variables </w:t>
      </w:r>
      <w:r w:rsidR="00183FC3" w:rsidRPr="00A624C2">
        <w:rPr>
          <w:rFonts w:ascii="Book Antiqua" w:hAnsi="Book Antiqua"/>
          <w:sz w:val="24"/>
          <w:szCs w:val="24"/>
        </w:rPr>
        <w:t xml:space="preserve">independently predicted </w:t>
      </w:r>
      <w:r w:rsidR="00BC6632" w:rsidRPr="00A624C2">
        <w:rPr>
          <w:rFonts w:ascii="Book Antiqua" w:hAnsi="Book Antiqua"/>
          <w:sz w:val="24"/>
          <w:szCs w:val="24"/>
        </w:rPr>
        <w:t>MH at week 46</w:t>
      </w:r>
      <w:r w:rsidR="00F81CA0" w:rsidRPr="00A624C2">
        <w:rPr>
          <w:rFonts w:ascii="Book Antiqua" w:hAnsi="Book Antiqua"/>
          <w:sz w:val="24"/>
          <w:szCs w:val="24"/>
        </w:rPr>
        <w:t>.</w:t>
      </w:r>
      <w:r w:rsidR="0010471D" w:rsidRPr="00A624C2">
        <w:rPr>
          <w:rFonts w:ascii="Book Antiqua" w:hAnsi="Book Antiqua"/>
          <w:sz w:val="24"/>
          <w:szCs w:val="24"/>
        </w:rPr>
        <w:t xml:space="preserve"> </w:t>
      </w:r>
    </w:p>
    <w:p w14:paraId="7B8C3442" w14:textId="5CFA15A6" w:rsidR="003A553B" w:rsidRPr="00A624C2" w:rsidRDefault="00CC7695" w:rsidP="003D78B3">
      <w:pPr>
        <w:spacing w:after="0" w:line="360" w:lineRule="auto"/>
        <w:ind w:firstLineChars="100" w:firstLine="240"/>
        <w:jc w:val="both"/>
        <w:rPr>
          <w:rFonts w:ascii="Book Antiqua" w:hAnsi="Book Antiqua" w:cs="AdvOT223abdbc"/>
          <w:sz w:val="24"/>
          <w:szCs w:val="24"/>
        </w:rPr>
      </w:pPr>
      <w:r w:rsidRPr="00A624C2">
        <w:rPr>
          <w:rFonts w:ascii="Book Antiqua" w:hAnsi="Book Antiqua"/>
          <w:sz w:val="24"/>
          <w:szCs w:val="24"/>
        </w:rPr>
        <w:lastRenderedPageBreak/>
        <w:t xml:space="preserve">The </w:t>
      </w:r>
      <w:r w:rsidR="00854C7B" w:rsidRPr="00A624C2">
        <w:rPr>
          <w:rFonts w:ascii="Book Antiqua" w:hAnsi="Book Antiqua"/>
          <w:sz w:val="24"/>
          <w:szCs w:val="24"/>
        </w:rPr>
        <w:t>changes in</w:t>
      </w:r>
      <w:r w:rsidRPr="00A624C2">
        <w:rPr>
          <w:rFonts w:ascii="Book Antiqua" w:hAnsi="Book Antiqua"/>
          <w:sz w:val="24"/>
          <w:szCs w:val="24"/>
        </w:rPr>
        <w:t xml:space="preserve"> clinical or biomarker variables from baseline to week 14 did not predict MH </w:t>
      </w:r>
      <w:r w:rsidR="00AD0568" w:rsidRPr="00A624C2">
        <w:rPr>
          <w:rFonts w:ascii="Book Antiqua" w:hAnsi="Book Antiqua"/>
          <w:sz w:val="24"/>
          <w:szCs w:val="24"/>
        </w:rPr>
        <w:t>on the</w:t>
      </w:r>
      <w:r w:rsidRPr="00A624C2">
        <w:rPr>
          <w:rFonts w:ascii="Book Antiqua" w:hAnsi="Book Antiqua"/>
          <w:sz w:val="24"/>
          <w:szCs w:val="24"/>
        </w:rPr>
        <w:t xml:space="preserve"> long term</w:t>
      </w:r>
      <w:r w:rsidR="00AD0568" w:rsidRPr="00A624C2">
        <w:rPr>
          <w:rFonts w:ascii="Book Antiqua" w:hAnsi="Book Antiqua"/>
          <w:sz w:val="24"/>
          <w:szCs w:val="24"/>
        </w:rPr>
        <w:t>.</w:t>
      </w:r>
      <w:r w:rsidRPr="00A624C2">
        <w:rPr>
          <w:rFonts w:ascii="Book Antiqua" w:hAnsi="Book Antiqua"/>
          <w:sz w:val="24"/>
          <w:szCs w:val="24"/>
        </w:rPr>
        <w:t xml:space="preserve"> </w:t>
      </w:r>
      <w:r w:rsidR="00AD0568" w:rsidRPr="00A624C2">
        <w:rPr>
          <w:rFonts w:ascii="Book Antiqua" w:hAnsi="Book Antiqua"/>
          <w:sz w:val="24"/>
          <w:szCs w:val="24"/>
        </w:rPr>
        <w:t>A</w:t>
      </w:r>
      <w:r w:rsidR="003A553B" w:rsidRPr="00A624C2">
        <w:rPr>
          <w:rFonts w:ascii="Book Antiqua" w:hAnsi="Book Antiqua" w:cs="AdvOT223abdbc"/>
          <w:sz w:val="24"/>
          <w:szCs w:val="24"/>
        </w:rPr>
        <w:t xml:space="preserve">dalimumab or infliximab </w:t>
      </w:r>
      <w:r w:rsidR="0010471D" w:rsidRPr="00A624C2">
        <w:rPr>
          <w:rFonts w:ascii="Book Antiqua" w:hAnsi="Book Antiqua" w:cs="AdvOT223abdbc"/>
          <w:sz w:val="24"/>
          <w:szCs w:val="24"/>
        </w:rPr>
        <w:t>serum concentrations</w:t>
      </w:r>
      <w:r w:rsidR="003A553B" w:rsidRPr="00A624C2">
        <w:rPr>
          <w:rFonts w:ascii="Book Antiqua" w:hAnsi="Book Antiqua" w:cs="AdvOT223abdbc"/>
          <w:sz w:val="24"/>
          <w:szCs w:val="24"/>
        </w:rPr>
        <w:t xml:space="preserve"> at week 14 were </w:t>
      </w:r>
      <w:r w:rsidR="00AD0568" w:rsidRPr="00A624C2">
        <w:rPr>
          <w:rFonts w:ascii="Book Antiqua" w:hAnsi="Book Antiqua" w:cs="AdvOT223abdbc"/>
          <w:sz w:val="24"/>
          <w:szCs w:val="24"/>
        </w:rPr>
        <w:t xml:space="preserve">not </w:t>
      </w:r>
      <w:r w:rsidR="003A553B" w:rsidRPr="00A624C2">
        <w:rPr>
          <w:rFonts w:ascii="Book Antiqua" w:hAnsi="Book Antiqua" w:cs="AdvOT223abdbc"/>
          <w:sz w:val="24"/>
          <w:szCs w:val="24"/>
        </w:rPr>
        <w:t xml:space="preserve">associated with clinical or endoscopic outcomes at </w:t>
      </w:r>
      <w:r w:rsidR="00310F8D" w:rsidRPr="00A624C2">
        <w:rPr>
          <w:rFonts w:ascii="Book Antiqua" w:hAnsi="Book Antiqua" w:cs="AdvOT223abdbc"/>
          <w:sz w:val="24"/>
          <w:szCs w:val="24"/>
        </w:rPr>
        <w:t>this time point of evaluat</w:t>
      </w:r>
      <w:r w:rsidR="00AD0568" w:rsidRPr="00A624C2">
        <w:rPr>
          <w:rFonts w:ascii="Book Antiqua" w:hAnsi="Book Antiqua" w:cs="AdvOT223abdbc"/>
          <w:sz w:val="24"/>
          <w:szCs w:val="24"/>
        </w:rPr>
        <w:t>ion</w:t>
      </w:r>
      <w:r w:rsidR="005705F6" w:rsidRPr="00A624C2">
        <w:rPr>
          <w:rFonts w:ascii="Book Antiqua" w:hAnsi="Book Antiqua" w:cs="AdvOT223abdbc"/>
          <w:sz w:val="24"/>
          <w:szCs w:val="24"/>
        </w:rPr>
        <w:t xml:space="preserve">. </w:t>
      </w:r>
      <w:r w:rsidR="0010471D" w:rsidRPr="00A624C2">
        <w:rPr>
          <w:rFonts w:ascii="Book Antiqua" w:hAnsi="Book Antiqua" w:cs="AdvOT223abdbc"/>
          <w:sz w:val="24"/>
          <w:szCs w:val="24"/>
        </w:rPr>
        <w:t xml:space="preserve">Serum drug concentration at week 14 </w:t>
      </w:r>
      <w:r w:rsidR="00AD0568" w:rsidRPr="00A624C2">
        <w:rPr>
          <w:rFonts w:ascii="Book Antiqua" w:hAnsi="Book Antiqua" w:cs="AdvOT223abdbc"/>
          <w:sz w:val="24"/>
          <w:szCs w:val="24"/>
        </w:rPr>
        <w:t xml:space="preserve">did not </w:t>
      </w:r>
      <w:r w:rsidR="003A553B" w:rsidRPr="00A624C2">
        <w:rPr>
          <w:rFonts w:ascii="Book Antiqua" w:hAnsi="Book Antiqua" w:cs="AdvOT223abdbc"/>
          <w:sz w:val="24"/>
          <w:szCs w:val="24"/>
        </w:rPr>
        <w:t>predict clinical outcomes</w:t>
      </w:r>
      <w:r w:rsidR="0010471D" w:rsidRPr="00A624C2">
        <w:rPr>
          <w:rFonts w:ascii="Book Antiqua" w:hAnsi="Book Antiqua" w:cs="AdvOT223abdbc"/>
          <w:sz w:val="24"/>
          <w:szCs w:val="24"/>
        </w:rPr>
        <w:t xml:space="preserve"> or endoscopic response</w:t>
      </w:r>
      <w:r w:rsidR="003A553B" w:rsidRPr="00A624C2">
        <w:rPr>
          <w:rFonts w:ascii="Book Antiqua" w:hAnsi="Book Antiqua" w:cs="AdvOT223abdbc"/>
          <w:sz w:val="24"/>
          <w:szCs w:val="24"/>
        </w:rPr>
        <w:t xml:space="preserve"> at week 46.</w:t>
      </w:r>
      <w:r w:rsidR="006B3AD2" w:rsidRPr="00A624C2">
        <w:rPr>
          <w:rFonts w:ascii="Book Antiqua" w:hAnsi="Book Antiqua" w:cs="AdvOT223abdbc"/>
          <w:sz w:val="24"/>
          <w:szCs w:val="24"/>
        </w:rPr>
        <w:t xml:space="preserve"> </w:t>
      </w:r>
      <w:r w:rsidR="003A553B" w:rsidRPr="00A624C2">
        <w:rPr>
          <w:rFonts w:ascii="Book Antiqua" w:hAnsi="Book Antiqua" w:cs="AdvOT223abdbc"/>
          <w:sz w:val="24"/>
          <w:szCs w:val="24"/>
        </w:rPr>
        <w:t xml:space="preserve">Only </w:t>
      </w:r>
      <w:r w:rsidR="00E14CC5" w:rsidRPr="00A624C2">
        <w:rPr>
          <w:rFonts w:ascii="Book Antiqua" w:hAnsi="Book Antiqua" w:cs="AdvOT223abdbc"/>
          <w:sz w:val="24"/>
          <w:szCs w:val="24"/>
        </w:rPr>
        <w:t>a</w:t>
      </w:r>
      <w:r w:rsidR="006B3AD2" w:rsidRPr="00A624C2">
        <w:rPr>
          <w:rFonts w:ascii="Book Antiqua" w:hAnsi="Book Antiqua" w:cs="AdvOT223abdbc"/>
          <w:sz w:val="24"/>
          <w:szCs w:val="24"/>
        </w:rPr>
        <w:t>dalimumab concentration</w:t>
      </w:r>
      <w:r w:rsidR="003A553B" w:rsidRPr="00A624C2">
        <w:rPr>
          <w:rFonts w:ascii="Book Antiqua" w:hAnsi="Book Antiqua" w:cs="AdvOT223abdbc"/>
          <w:sz w:val="24"/>
          <w:szCs w:val="24"/>
        </w:rPr>
        <w:t xml:space="preserve"> at week 14 achieve</w:t>
      </w:r>
      <w:r w:rsidR="004A693F" w:rsidRPr="00A624C2">
        <w:rPr>
          <w:rFonts w:ascii="Book Antiqua" w:hAnsi="Book Antiqua" w:cs="AdvOT223abdbc"/>
          <w:sz w:val="24"/>
          <w:szCs w:val="24"/>
        </w:rPr>
        <w:t>d</w:t>
      </w:r>
      <w:r w:rsidR="003A553B" w:rsidRPr="00A624C2">
        <w:rPr>
          <w:rFonts w:ascii="Book Antiqua" w:hAnsi="Book Antiqua" w:cs="AdvOT223abdbc"/>
          <w:sz w:val="24"/>
          <w:szCs w:val="24"/>
        </w:rPr>
        <w:t xml:space="preserve"> statistical significance to predict MH </w:t>
      </w:r>
      <w:r w:rsidR="00AD0568" w:rsidRPr="00A624C2">
        <w:rPr>
          <w:rFonts w:ascii="Book Antiqua" w:hAnsi="Book Antiqua" w:cs="AdvOT223abdbc"/>
          <w:sz w:val="24"/>
          <w:szCs w:val="24"/>
        </w:rPr>
        <w:t>on the long term (</w:t>
      </w:r>
      <w:r w:rsidR="003A553B" w:rsidRPr="00A624C2">
        <w:rPr>
          <w:rFonts w:ascii="Book Antiqua" w:hAnsi="Book Antiqua" w:cs="AdvOT223abdbc"/>
          <w:sz w:val="24"/>
          <w:szCs w:val="24"/>
        </w:rPr>
        <w:t>week 46</w:t>
      </w:r>
      <w:r w:rsidR="00AD0568" w:rsidRPr="00A624C2">
        <w:rPr>
          <w:rFonts w:ascii="Book Antiqua" w:hAnsi="Book Antiqua" w:cs="AdvOT223abdbc"/>
          <w:sz w:val="24"/>
          <w:szCs w:val="24"/>
        </w:rPr>
        <w:t>)</w:t>
      </w:r>
      <w:r w:rsidR="003D78B3" w:rsidRPr="00A624C2">
        <w:rPr>
          <w:rFonts w:ascii="Book Antiqua" w:hAnsi="Book Antiqua" w:cs="AdvOT223abdbc"/>
          <w:sz w:val="24"/>
          <w:szCs w:val="24"/>
        </w:rPr>
        <w:t xml:space="preserve">. </w:t>
      </w:r>
      <w:r w:rsidR="003A553B" w:rsidRPr="00A624C2">
        <w:rPr>
          <w:rFonts w:ascii="Book Antiqua" w:hAnsi="Book Antiqua" w:cs="AdvOT223abdbc"/>
          <w:sz w:val="24"/>
          <w:szCs w:val="24"/>
        </w:rPr>
        <w:t xml:space="preserve">A </w:t>
      </w:r>
      <w:r w:rsidR="006B3AD2" w:rsidRPr="00A624C2">
        <w:rPr>
          <w:rFonts w:ascii="Book Antiqua" w:hAnsi="Book Antiqua" w:cs="AdvOT223abdbc"/>
          <w:sz w:val="24"/>
          <w:szCs w:val="24"/>
        </w:rPr>
        <w:t>concentration</w:t>
      </w:r>
      <w:r w:rsidR="003A553B" w:rsidRPr="00A624C2">
        <w:rPr>
          <w:rFonts w:ascii="Book Antiqua" w:hAnsi="Book Antiqua" w:cs="AdvOT223abdbc"/>
          <w:sz w:val="24"/>
          <w:szCs w:val="24"/>
        </w:rPr>
        <w:t xml:space="preserve"> of at least 10 </w:t>
      </w:r>
      <w:r w:rsidR="003A553B" w:rsidRPr="00A624C2">
        <w:rPr>
          <w:rFonts w:ascii="Book Antiqua" w:hAnsi="Book Antiqua" w:cs="AdvOTb63a3543.I"/>
          <w:color w:val="231F20"/>
          <w:sz w:val="24"/>
          <w:szCs w:val="24"/>
        </w:rPr>
        <w:t>μg/m</w:t>
      </w:r>
      <w:r w:rsidR="003D78B3" w:rsidRPr="00A624C2">
        <w:rPr>
          <w:rFonts w:ascii="Book Antiqua" w:hAnsi="Book Antiqua" w:cs="AdvOTb63a3543.I"/>
          <w:color w:val="231F20"/>
          <w:sz w:val="24"/>
          <w:szCs w:val="24"/>
        </w:rPr>
        <w:t xml:space="preserve">L </w:t>
      </w:r>
      <w:r w:rsidR="009F5B3B" w:rsidRPr="00A624C2">
        <w:rPr>
          <w:rFonts w:ascii="Book Antiqua" w:hAnsi="Book Antiqua" w:cs="AdvOTb63a3543.I"/>
          <w:color w:val="231F20"/>
          <w:sz w:val="24"/>
          <w:szCs w:val="24"/>
        </w:rPr>
        <w:t>at week</w:t>
      </w:r>
      <w:r w:rsidR="003A553B" w:rsidRPr="00A624C2">
        <w:rPr>
          <w:rFonts w:ascii="Book Antiqua" w:hAnsi="Book Antiqua" w:cs="AdvOTb63a3543.I"/>
          <w:color w:val="231F20"/>
          <w:sz w:val="24"/>
          <w:szCs w:val="24"/>
        </w:rPr>
        <w:t xml:space="preserve"> (area under the curve: 0.76) predicts MH with moderate sensitivity (61%) and good specificity (84%). Drug </w:t>
      </w:r>
      <w:r w:rsidR="008C3376" w:rsidRPr="00A624C2">
        <w:rPr>
          <w:rFonts w:ascii="Book Antiqua" w:hAnsi="Book Antiqua" w:cs="AdvOTb63a3543.I"/>
          <w:color w:val="231F20"/>
          <w:sz w:val="24"/>
          <w:szCs w:val="24"/>
        </w:rPr>
        <w:t xml:space="preserve">concentration </w:t>
      </w:r>
      <w:r w:rsidR="003A553B" w:rsidRPr="00A624C2">
        <w:rPr>
          <w:rFonts w:ascii="Book Antiqua" w:hAnsi="Book Antiqua" w:cs="AdvOTb63a3543.I"/>
          <w:color w:val="231F20"/>
          <w:sz w:val="24"/>
          <w:szCs w:val="24"/>
        </w:rPr>
        <w:t xml:space="preserve">and anti-drug antibodies at week 46 were not correlated with clinical </w:t>
      </w:r>
      <w:r w:rsidR="004A693F" w:rsidRPr="00A624C2">
        <w:rPr>
          <w:rFonts w:ascii="Book Antiqua" w:hAnsi="Book Antiqua" w:cs="AdvOTb63a3543.I"/>
          <w:color w:val="231F20"/>
          <w:sz w:val="24"/>
          <w:szCs w:val="24"/>
        </w:rPr>
        <w:t>or</w:t>
      </w:r>
      <w:r w:rsidR="003A553B" w:rsidRPr="00A624C2">
        <w:rPr>
          <w:rFonts w:ascii="Book Antiqua" w:hAnsi="Book Antiqua" w:cs="AdvOTb63a3543.I"/>
          <w:color w:val="231F20"/>
          <w:sz w:val="24"/>
          <w:szCs w:val="24"/>
        </w:rPr>
        <w:t xml:space="preserve"> endoscopic outcomes at that </w:t>
      </w:r>
      <w:r w:rsidR="004A693F" w:rsidRPr="00A624C2">
        <w:rPr>
          <w:rFonts w:ascii="Book Antiqua" w:hAnsi="Book Antiqua" w:cs="AdvOTb63a3543.I"/>
          <w:color w:val="231F20"/>
          <w:sz w:val="24"/>
          <w:szCs w:val="24"/>
        </w:rPr>
        <w:t xml:space="preserve">time </w:t>
      </w:r>
      <w:r w:rsidR="008C3376" w:rsidRPr="00A624C2">
        <w:rPr>
          <w:rFonts w:ascii="Book Antiqua" w:hAnsi="Book Antiqua" w:cs="AdvOTb63a3543.I"/>
          <w:color w:val="231F20"/>
          <w:sz w:val="24"/>
          <w:szCs w:val="24"/>
        </w:rPr>
        <w:t xml:space="preserve">of </w:t>
      </w:r>
      <w:r w:rsidR="005705F6" w:rsidRPr="00A624C2">
        <w:rPr>
          <w:rFonts w:ascii="Book Antiqua" w:hAnsi="Book Antiqua" w:cs="AdvOTb63a3543.I"/>
          <w:color w:val="231F20"/>
          <w:sz w:val="24"/>
          <w:szCs w:val="24"/>
        </w:rPr>
        <w:t>evaluation.</w:t>
      </w:r>
    </w:p>
    <w:p w14:paraId="25FAB260" w14:textId="6EFB3D6C" w:rsidR="00B62436" w:rsidRPr="00A624C2" w:rsidRDefault="005A33C7" w:rsidP="003D78B3">
      <w:pPr>
        <w:spacing w:after="0" w:line="360" w:lineRule="auto"/>
        <w:ind w:firstLineChars="100" w:firstLine="240"/>
        <w:jc w:val="both"/>
        <w:rPr>
          <w:rFonts w:ascii="Book Antiqua" w:hAnsi="Book Antiqua" w:cs="AdvOT223abdbc"/>
          <w:sz w:val="24"/>
          <w:szCs w:val="24"/>
        </w:rPr>
      </w:pPr>
      <w:r w:rsidRPr="00A624C2">
        <w:rPr>
          <w:rFonts w:ascii="Book Antiqua" w:hAnsi="Book Antiqua" w:cs="AdvOTb63a3543.I"/>
          <w:iCs/>
          <w:sz w:val="24"/>
          <w:szCs w:val="24"/>
        </w:rPr>
        <w:t>In our cohort</w:t>
      </w:r>
      <w:r w:rsidR="006B3AD2" w:rsidRPr="00A624C2">
        <w:rPr>
          <w:rFonts w:ascii="Book Antiqua" w:hAnsi="Book Antiqua" w:cs="AdvOTb63a3543.I"/>
          <w:iCs/>
          <w:sz w:val="24"/>
          <w:szCs w:val="24"/>
        </w:rPr>
        <w:t>,</w:t>
      </w:r>
      <w:r w:rsidRPr="00A624C2">
        <w:rPr>
          <w:rFonts w:ascii="Book Antiqua" w:hAnsi="Book Antiqua" w:cs="AdvOTb63a3543.I"/>
          <w:iCs/>
          <w:sz w:val="24"/>
          <w:szCs w:val="24"/>
        </w:rPr>
        <w:t xml:space="preserve"> </w:t>
      </w:r>
      <w:r w:rsidR="006B3AD2" w:rsidRPr="00A624C2">
        <w:rPr>
          <w:rFonts w:ascii="Book Antiqua" w:hAnsi="Book Antiqua" w:cs="AdvOTb63a3543.I"/>
          <w:iCs/>
          <w:sz w:val="24"/>
          <w:szCs w:val="24"/>
        </w:rPr>
        <w:t xml:space="preserve">only 19% of patients required treatment </w:t>
      </w:r>
      <w:r w:rsidRPr="00A624C2">
        <w:rPr>
          <w:rFonts w:ascii="Book Antiqua" w:hAnsi="Book Antiqua" w:cs="AdvOTb63a3543.I"/>
          <w:iCs/>
          <w:sz w:val="24"/>
          <w:szCs w:val="24"/>
        </w:rPr>
        <w:t>intensifi</w:t>
      </w:r>
      <w:r w:rsidR="006B3AD2" w:rsidRPr="00A624C2">
        <w:rPr>
          <w:rFonts w:ascii="Book Antiqua" w:hAnsi="Book Antiqua" w:cs="AdvOTb63a3543.I"/>
          <w:iCs/>
          <w:sz w:val="24"/>
          <w:szCs w:val="24"/>
        </w:rPr>
        <w:t>cation</w:t>
      </w:r>
      <w:r w:rsidRPr="00A624C2">
        <w:rPr>
          <w:rFonts w:ascii="Book Antiqua" w:hAnsi="Book Antiqua" w:cs="AdvOTb63a3543.I"/>
          <w:iCs/>
          <w:sz w:val="24"/>
          <w:szCs w:val="24"/>
        </w:rPr>
        <w:t xml:space="preserve"> before</w:t>
      </w:r>
      <w:r w:rsidR="006B3AD2" w:rsidRPr="00A624C2">
        <w:rPr>
          <w:rFonts w:ascii="Book Antiqua" w:hAnsi="Book Antiqua" w:cs="AdvOTb63a3543.I"/>
          <w:iCs/>
          <w:sz w:val="24"/>
          <w:szCs w:val="24"/>
        </w:rPr>
        <w:t xml:space="preserve"> achieving </w:t>
      </w:r>
      <w:r w:rsidRPr="00A624C2">
        <w:rPr>
          <w:rFonts w:ascii="Book Antiqua" w:hAnsi="Book Antiqua" w:cs="AdvOTb63a3543.I"/>
          <w:iCs/>
          <w:sz w:val="24"/>
          <w:szCs w:val="24"/>
        </w:rPr>
        <w:t>the endpoint</w:t>
      </w:r>
      <w:r w:rsidR="006B3AD2" w:rsidRPr="00A624C2">
        <w:rPr>
          <w:rFonts w:ascii="Book Antiqua" w:hAnsi="Book Antiqua" w:cs="AdvOTb63a3543.I"/>
          <w:iCs/>
          <w:sz w:val="24"/>
          <w:szCs w:val="24"/>
        </w:rPr>
        <w:t xml:space="preserve"> of</w:t>
      </w:r>
      <w:r w:rsidRPr="00A624C2">
        <w:rPr>
          <w:rFonts w:ascii="Book Antiqua" w:hAnsi="Book Antiqua" w:cs="AdvOTb63a3543.I"/>
          <w:iCs/>
          <w:sz w:val="24"/>
          <w:szCs w:val="24"/>
        </w:rPr>
        <w:t xml:space="preserve"> week 46</w:t>
      </w:r>
      <w:r w:rsidR="006B3AD2" w:rsidRPr="00A624C2">
        <w:rPr>
          <w:rFonts w:ascii="Book Antiqua" w:hAnsi="Book Antiqua" w:cs="AdvOTb63a3543.I"/>
          <w:iCs/>
          <w:sz w:val="24"/>
          <w:szCs w:val="24"/>
        </w:rPr>
        <w:t>. I</w:t>
      </w:r>
      <w:r w:rsidRPr="00A624C2">
        <w:rPr>
          <w:rFonts w:ascii="Book Antiqua" w:hAnsi="Book Antiqua" w:cs="AdvOTb63a3543.I"/>
          <w:iCs/>
          <w:sz w:val="24"/>
          <w:szCs w:val="24"/>
        </w:rPr>
        <w:t>n the logistic regres</w:t>
      </w:r>
      <w:r w:rsidR="006B3AD2" w:rsidRPr="00A624C2">
        <w:rPr>
          <w:rFonts w:ascii="Book Antiqua" w:hAnsi="Book Antiqua" w:cs="AdvOTb63a3543.I"/>
          <w:iCs/>
          <w:sz w:val="24"/>
          <w:szCs w:val="24"/>
        </w:rPr>
        <w:t>sion analysis</w:t>
      </w:r>
      <w:r w:rsidR="009F5B3B" w:rsidRPr="00A624C2">
        <w:rPr>
          <w:rFonts w:ascii="Book Antiqua" w:hAnsi="Book Antiqua" w:cs="AdvOTb63a3543.I"/>
          <w:iCs/>
          <w:sz w:val="24"/>
          <w:szCs w:val="24"/>
        </w:rPr>
        <w:t xml:space="preserve"> treatment</w:t>
      </w:r>
      <w:r w:rsidR="006B3AD2" w:rsidRPr="00A624C2">
        <w:rPr>
          <w:rFonts w:ascii="Book Antiqua" w:hAnsi="Book Antiqua" w:cs="AdvOTb63a3543.I"/>
          <w:iCs/>
          <w:sz w:val="24"/>
          <w:szCs w:val="24"/>
        </w:rPr>
        <w:t xml:space="preserve"> intensification did</w:t>
      </w:r>
      <w:r w:rsidRPr="00A624C2">
        <w:rPr>
          <w:rFonts w:ascii="Book Antiqua" w:hAnsi="Book Antiqua" w:cs="AdvOTb63a3543.I"/>
          <w:iCs/>
          <w:sz w:val="24"/>
          <w:szCs w:val="24"/>
        </w:rPr>
        <w:t xml:space="preserve"> not achieve statistical significance as a predictor of MH.</w:t>
      </w:r>
      <w:r w:rsidR="003D78B3" w:rsidRPr="00A624C2">
        <w:rPr>
          <w:rFonts w:ascii="Book Antiqua" w:eastAsia="宋体" w:hAnsi="Book Antiqua" w:cs="AdvOT223abdbc"/>
          <w:sz w:val="24"/>
          <w:szCs w:val="24"/>
          <w:lang w:eastAsia="zh-CN"/>
        </w:rPr>
        <w:t xml:space="preserve"> </w:t>
      </w:r>
      <w:r w:rsidR="00480BE2" w:rsidRPr="00A624C2">
        <w:rPr>
          <w:rFonts w:ascii="Book Antiqua" w:hAnsi="Book Antiqua" w:cs="AdvOT223abdbc"/>
          <w:sz w:val="24"/>
          <w:szCs w:val="24"/>
        </w:rPr>
        <w:t>To de</w:t>
      </w:r>
      <w:r w:rsidR="00480BE2" w:rsidRPr="00A624C2">
        <w:rPr>
          <w:rFonts w:ascii="Book Antiqua" w:hAnsi="Book Antiqua" w:cs="AdvOT223abdbc+fb"/>
          <w:sz w:val="24"/>
          <w:szCs w:val="24"/>
        </w:rPr>
        <w:t>fi</w:t>
      </w:r>
      <w:r w:rsidR="00480BE2" w:rsidRPr="00A624C2">
        <w:rPr>
          <w:rFonts w:ascii="Book Antiqua" w:hAnsi="Book Antiqua" w:cs="AdvOT223abdbc"/>
          <w:sz w:val="24"/>
          <w:szCs w:val="24"/>
        </w:rPr>
        <w:t>ne the best cutoff value</w:t>
      </w:r>
      <w:r w:rsidR="00480BE2" w:rsidRPr="00A624C2">
        <w:rPr>
          <w:rFonts w:ascii="Book Antiqua" w:hAnsi="Book Antiqua" w:cs="AdvOT4b47d116"/>
          <w:color w:val="231F20"/>
          <w:sz w:val="24"/>
          <w:szCs w:val="24"/>
        </w:rPr>
        <w:t xml:space="preserve"> for predicti</w:t>
      </w:r>
      <w:r w:rsidR="00FA434A" w:rsidRPr="00A624C2">
        <w:rPr>
          <w:rFonts w:ascii="Book Antiqua" w:hAnsi="Book Antiqua" w:cs="AdvOT4b47d116"/>
          <w:color w:val="231F20"/>
          <w:sz w:val="24"/>
          <w:szCs w:val="24"/>
        </w:rPr>
        <w:t>ng</w:t>
      </w:r>
      <w:r w:rsidR="00480BE2" w:rsidRPr="00A624C2">
        <w:rPr>
          <w:rFonts w:ascii="Book Antiqua" w:hAnsi="Book Antiqua" w:cs="AdvOT4b47d116"/>
          <w:color w:val="231F20"/>
          <w:sz w:val="24"/>
          <w:szCs w:val="24"/>
        </w:rPr>
        <w:t xml:space="preserve"> </w:t>
      </w:r>
      <w:r w:rsidR="00F3089F" w:rsidRPr="00A624C2">
        <w:rPr>
          <w:rFonts w:ascii="Book Antiqua" w:hAnsi="Book Antiqua"/>
          <w:sz w:val="24"/>
          <w:szCs w:val="24"/>
        </w:rPr>
        <w:t>MH</w:t>
      </w:r>
      <w:r w:rsidR="00D82D56" w:rsidRPr="00A624C2">
        <w:rPr>
          <w:rFonts w:ascii="Book Antiqua" w:hAnsi="Book Antiqua" w:cs="AdvOT4b47d116"/>
          <w:color w:val="231F20"/>
          <w:sz w:val="24"/>
          <w:szCs w:val="24"/>
        </w:rPr>
        <w:t xml:space="preserve"> </w:t>
      </w:r>
      <w:r w:rsidR="00480BE2" w:rsidRPr="00A624C2">
        <w:rPr>
          <w:rFonts w:ascii="Book Antiqua" w:hAnsi="Book Antiqua" w:cs="AdvOT4b47d116"/>
          <w:color w:val="231F20"/>
          <w:sz w:val="24"/>
          <w:szCs w:val="24"/>
        </w:rPr>
        <w:t>after one year of treatment</w:t>
      </w:r>
      <w:r w:rsidR="00FA3CF0" w:rsidRPr="00A624C2">
        <w:rPr>
          <w:rFonts w:ascii="Book Antiqua" w:hAnsi="Book Antiqua" w:cs="AdvOT4b47d116"/>
          <w:color w:val="231F20"/>
          <w:sz w:val="24"/>
          <w:szCs w:val="24"/>
        </w:rPr>
        <w:t>,</w:t>
      </w:r>
      <w:r w:rsidR="00480BE2" w:rsidRPr="00A624C2">
        <w:rPr>
          <w:rFonts w:ascii="Book Antiqua" w:hAnsi="Book Antiqua" w:cs="AdvOT4b47d116"/>
          <w:color w:val="231F20"/>
          <w:sz w:val="24"/>
          <w:szCs w:val="24"/>
        </w:rPr>
        <w:t xml:space="preserve"> ROC curves were constructed for CDEIS</w:t>
      </w:r>
      <w:r w:rsidR="00037441" w:rsidRPr="00A624C2">
        <w:rPr>
          <w:rFonts w:ascii="Book Antiqua" w:hAnsi="Book Antiqua" w:cs="AdvOT4b47d116"/>
          <w:color w:val="231F20"/>
          <w:sz w:val="24"/>
          <w:szCs w:val="24"/>
        </w:rPr>
        <w:t xml:space="preserve"> scores</w:t>
      </w:r>
      <w:r w:rsidR="00480BE2" w:rsidRPr="00A624C2">
        <w:rPr>
          <w:rFonts w:ascii="Book Antiqua" w:hAnsi="Book Antiqua" w:cs="AdvOT4b47d116"/>
          <w:color w:val="231F20"/>
          <w:sz w:val="24"/>
          <w:szCs w:val="24"/>
        </w:rPr>
        <w:t xml:space="preserve"> at week 14 and for the percentage of CDEIS reduction from baseline to week 14</w:t>
      </w:r>
      <w:r w:rsidR="008C3376" w:rsidRPr="00A624C2">
        <w:rPr>
          <w:rFonts w:ascii="Book Antiqua" w:hAnsi="Book Antiqua" w:cs="AdvOT4b47d116"/>
          <w:color w:val="231F20"/>
          <w:sz w:val="24"/>
          <w:szCs w:val="24"/>
        </w:rPr>
        <w:t>.</w:t>
      </w:r>
      <w:r w:rsidR="00F81CA0" w:rsidRPr="00A624C2">
        <w:rPr>
          <w:rFonts w:ascii="Book Antiqua" w:hAnsi="Book Antiqua" w:cs="AdvOT4b47d116"/>
          <w:color w:val="231F20"/>
          <w:sz w:val="24"/>
          <w:szCs w:val="24"/>
        </w:rPr>
        <w:t xml:space="preserve"> </w:t>
      </w:r>
      <w:r w:rsidR="008C3376" w:rsidRPr="00A624C2">
        <w:rPr>
          <w:rFonts w:ascii="Book Antiqua" w:hAnsi="Book Antiqua" w:cs="AdvOT4b47d116"/>
          <w:color w:val="231F20"/>
          <w:sz w:val="24"/>
          <w:szCs w:val="24"/>
        </w:rPr>
        <w:t>S</w:t>
      </w:r>
      <w:r w:rsidR="00F81CA0" w:rsidRPr="00A624C2">
        <w:rPr>
          <w:rFonts w:ascii="Book Antiqua" w:hAnsi="Book Antiqua" w:cs="AdvOT4b47d116"/>
          <w:color w:val="231F20"/>
          <w:sz w:val="24"/>
          <w:szCs w:val="24"/>
        </w:rPr>
        <w:t xml:space="preserve">ensitivity and specificity were </w:t>
      </w:r>
      <w:r w:rsidR="008C3376" w:rsidRPr="00A624C2">
        <w:rPr>
          <w:rFonts w:ascii="Book Antiqua" w:hAnsi="Book Antiqua" w:cs="AdvOT4b47d116"/>
          <w:color w:val="231F20"/>
          <w:sz w:val="24"/>
          <w:szCs w:val="24"/>
        </w:rPr>
        <w:t xml:space="preserve">also </w:t>
      </w:r>
      <w:r w:rsidR="00F81CA0" w:rsidRPr="00A624C2">
        <w:rPr>
          <w:rFonts w:ascii="Book Antiqua" w:hAnsi="Book Antiqua" w:cs="AdvOT4b47d116"/>
          <w:color w:val="231F20"/>
          <w:sz w:val="24"/>
          <w:szCs w:val="24"/>
        </w:rPr>
        <w:t>calculate</w:t>
      </w:r>
      <w:r w:rsidR="004A693F" w:rsidRPr="00A624C2">
        <w:rPr>
          <w:rFonts w:ascii="Book Antiqua" w:hAnsi="Book Antiqua" w:cs="AdvOT4b47d116"/>
          <w:color w:val="231F20"/>
          <w:sz w:val="24"/>
          <w:szCs w:val="24"/>
        </w:rPr>
        <w:t>d</w:t>
      </w:r>
      <w:r w:rsidR="00F81CA0" w:rsidRPr="00A624C2">
        <w:rPr>
          <w:rFonts w:ascii="Book Antiqua" w:hAnsi="Book Antiqua" w:cs="AdvOT4b47d116"/>
          <w:color w:val="231F20"/>
          <w:sz w:val="24"/>
          <w:szCs w:val="24"/>
        </w:rPr>
        <w:t xml:space="preserve"> for achievement of endoscopic response and </w:t>
      </w:r>
      <w:r w:rsidR="005705F6" w:rsidRPr="00A624C2">
        <w:rPr>
          <w:rFonts w:ascii="Book Antiqua" w:hAnsi="Book Antiqua" w:cs="AdvOT4b47d116"/>
          <w:color w:val="231F20"/>
          <w:sz w:val="24"/>
          <w:szCs w:val="24"/>
        </w:rPr>
        <w:t>MH</w:t>
      </w:r>
      <w:r w:rsidR="0007165B" w:rsidRPr="00A624C2">
        <w:rPr>
          <w:rFonts w:ascii="Book Antiqua" w:hAnsi="Book Antiqua" w:cs="AdvOT4b47d116"/>
          <w:color w:val="231F20"/>
          <w:sz w:val="24"/>
          <w:szCs w:val="24"/>
        </w:rPr>
        <w:t xml:space="preserve"> </w:t>
      </w:r>
      <w:r w:rsidR="00AD08AA" w:rsidRPr="00A624C2">
        <w:rPr>
          <w:rFonts w:ascii="Book Antiqua" w:hAnsi="Book Antiqua" w:cs="AdvOT4b47d116"/>
          <w:color w:val="231F20"/>
          <w:sz w:val="24"/>
          <w:szCs w:val="24"/>
        </w:rPr>
        <w:t xml:space="preserve">at week 14 </w:t>
      </w:r>
      <w:r w:rsidR="00F81CA0" w:rsidRPr="00A624C2">
        <w:rPr>
          <w:rFonts w:ascii="Book Antiqua" w:hAnsi="Book Antiqua" w:cs="AdvOT4b47d116"/>
          <w:color w:val="231F20"/>
          <w:sz w:val="24"/>
          <w:szCs w:val="24"/>
        </w:rPr>
        <w:t xml:space="preserve">as predictors of </w:t>
      </w:r>
      <w:r w:rsidR="008C3376" w:rsidRPr="00A624C2">
        <w:rPr>
          <w:rFonts w:ascii="Book Antiqua" w:hAnsi="Book Antiqua" w:cs="AdvOT4b47d116"/>
          <w:color w:val="231F20"/>
          <w:sz w:val="24"/>
          <w:szCs w:val="24"/>
        </w:rPr>
        <w:t xml:space="preserve">long-term </w:t>
      </w:r>
      <w:r w:rsidR="00F81CA0" w:rsidRPr="00A624C2">
        <w:rPr>
          <w:rFonts w:ascii="Book Antiqua" w:hAnsi="Book Antiqua" w:cs="AdvOT4b47d116"/>
          <w:color w:val="231F20"/>
          <w:sz w:val="24"/>
          <w:szCs w:val="24"/>
        </w:rPr>
        <w:t>MH</w:t>
      </w:r>
      <w:r w:rsidR="00AD08AA" w:rsidRPr="00A624C2">
        <w:rPr>
          <w:rFonts w:ascii="Book Antiqua" w:hAnsi="Book Antiqua" w:cs="AdvOT4b47d116"/>
          <w:color w:val="231F20"/>
          <w:sz w:val="24"/>
          <w:szCs w:val="24"/>
        </w:rPr>
        <w:t xml:space="preserve"> (Table 3)</w:t>
      </w:r>
      <w:r w:rsidR="00480BE2" w:rsidRPr="00A624C2">
        <w:rPr>
          <w:rFonts w:ascii="Book Antiqua" w:hAnsi="Book Antiqua" w:cs="AdvOT4b47d116"/>
          <w:color w:val="231F20"/>
          <w:sz w:val="24"/>
          <w:szCs w:val="24"/>
        </w:rPr>
        <w:t>.</w:t>
      </w:r>
      <w:r w:rsidR="00AB077A" w:rsidRPr="00A624C2">
        <w:rPr>
          <w:rFonts w:ascii="Book Antiqua" w:hAnsi="Book Antiqua" w:cs="AdvOT4b47d116"/>
          <w:color w:val="231F20"/>
          <w:sz w:val="24"/>
          <w:szCs w:val="24"/>
        </w:rPr>
        <w:t xml:space="preserve"> </w:t>
      </w:r>
      <w:r w:rsidR="00E14CC5" w:rsidRPr="00A624C2">
        <w:rPr>
          <w:rFonts w:ascii="Book Antiqua" w:hAnsi="Book Antiqua" w:cs="AdvOT4b47d116"/>
          <w:color w:val="231F20"/>
          <w:sz w:val="24"/>
          <w:szCs w:val="24"/>
        </w:rPr>
        <w:t xml:space="preserve">Relative changes in </w:t>
      </w:r>
      <w:r w:rsidR="008C3376" w:rsidRPr="00A624C2">
        <w:rPr>
          <w:rFonts w:ascii="Book Antiqua" w:hAnsi="Book Antiqua" w:cs="AdvOT4b47d116"/>
          <w:color w:val="231F20"/>
          <w:sz w:val="24"/>
          <w:szCs w:val="24"/>
        </w:rPr>
        <w:t xml:space="preserve">the </w:t>
      </w:r>
      <w:r w:rsidR="00E14CC5" w:rsidRPr="00A624C2">
        <w:rPr>
          <w:rFonts w:ascii="Book Antiqua" w:hAnsi="Book Antiqua" w:cs="AdvOT4b47d116"/>
          <w:color w:val="231F20"/>
          <w:sz w:val="24"/>
          <w:szCs w:val="24"/>
        </w:rPr>
        <w:t>endoscop</w:t>
      </w:r>
      <w:r w:rsidR="008C3376" w:rsidRPr="00A624C2">
        <w:rPr>
          <w:rFonts w:ascii="Book Antiqua" w:hAnsi="Book Antiqua" w:cs="AdvOT4b47d116"/>
          <w:color w:val="231F20"/>
          <w:sz w:val="24"/>
          <w:szCs w:val="24"/>
        </w:rPr>
        <w:t xml:space="preserve">ic </w:t>
      </w:r>
      <w:r w:rsidR="00E14CC5" w:rsidRPr="00A624C2">
        <w:rPr>
          <w:rFonts w:ascii="Book Antiqua" w:hAnsi="Book Antiqua" w:cs="AdvOT4b47d116"/>
          <w:color w:val="231F20"/>
          <w:sz w:val="24"/>
          <w:szCs w:val="24"/>
        </w:rPr>
        <w:t xml:space="preserve">score from baseline to week 14 had higher accuracy in predicting MH at week 46 than absolute CDEIS values at week 14. </w:t>
      </w:r>
      <w:r w:rsidR="00AB077A" w:rsidRPr="00A624C2">
        <w:rPr>
          <w:rFonts w:ascii="Book Antiqua" w:hAnsi="Book Antiqua" w:cs="AdvOT4b47d116"/>
          <w:color w:val="231F20"/>
          <w:sz w:val="24"/>
          <w:szCs w:val="24"/>
        </w:rPr>
        <w:t xml:space="preserve">Based on the </w:t>
      </w:r>
      <w:r w:rsidR="00AB077A" w:rsidRPr="00A624C2">
        <w:rPr>
          <w:rFonts w:ascii="Book Antiqua" w:hAnsi="Book Antiqua" w:cs="AdvOT223abdbc"/>
          <w:sz w:val="24"/>
          <w:szCs w:val="24"/>
        </w:rPr>
        <w:t xml:space="preserve">clinical </w:t>
      </w:r>
      <w:r w:rsidR="00385115" w:rsidRPr="00A624C2">
        <w:rPr>
          <w:rFonts w:ascii="Book Antiqua" w:hAnsi="Book Antiqua" w:cs="AdvOT223abdbc"/>
          <w:sz w:val="24"/>
          <w:szCs w:val="24"/>
        </w:rPr>
        <w:t xml:space="preserve">relevance </w:t>
      </w:r>
      <w:r w:rsidR="00AB077A" w:rsidRPr="00A624C2">
        <w:rPr>
          <w:rFonts w:ascii="Book Antiqua" w:hAnsi="Book Antiqua" w:cs="AdvOT223abdbc"/>
          <w:sz w:val="24"/>
          <w:szCs w:val="24"/>
        </w:rPr>
        <w:t>of the evaluated cutoff values</w:t>
      </w:r>
      <w:r w:rsidR="00B62436" w:rsidRPr="00A624C2">
        <w:rPr>
          <w:rFonts w:ascii="Book Antiqua" w:hAnsi="Book Antiqua" w:cs="AdvOT223abdbc"/>
          <w:sz w:val="24"/>
          <w:szCs w:val="24"/>
        </w:rPr>
        <w:t xml:space="preserve">, </w:t>
      </w:r>
      <w:r w:rsidR="00037441" w:rsidRPr="00A624C2">
        <w:rPr>
          <w:rFonts w:ascii="Book Antiqua" w:hAnsi="Book Antiqua" w:cs="AdvOT223abdbc"/>
          <w:sz w:val="24"/>
          <w:szCs w:val="24"/>
        </w:rPr>
        <w:t xml:space="preserve">a decrease of at least 80% </w:t>
      </w:r>
      <w:r w:rsidR="00B62436" w:rsidRPr="00A624C2">
        <w:rPr>
          <w:rFonts w:ascii="Book Antiqua" w:hAnsi="Book Antiqua" w:cs="AdvOT223abdbc"/>
          <w:sz w:val="24"/>
          <w:szCs w:val="24"/>
        </w:rPr>
        <w:t xml:space="preserve">from baseline CDEIS at </w:t>
      </w:r>
      <w:r w:rsidR="00DC0FE4" w:rsidRPr="00A624C2">
        <w:rPr>
          <w:rFonts w:ascii="Book Antiqua" w:hAnsi="Book Antiqua" w:cs="AdvOT223abdbc"/>
          <w:sz w:val="24"/>
          <w:szCs w:val="24"/>
        </w:rPr>
        <w:t>week 14</w:t>
      </w:r>
      <w:r w:rsidR="00B62436" w:rsidRPr="00A624C2">
        <w:rPr>
          <w:rFonts w:ascii="Book Antiqua" w:hAnsi="Book Antiqua" w:cs="AdvOT223abdbc"/>
          <w:sz w:val="24"/>
          <w:szCs w:val="24"/>
        </w:rPr>
        <w:t xml:space="preserve"> </w:t>
      </w:r>
      <w:r w:rsidR="00385115" w:rsidRPr="00A624C2">
        <w:rPr>
          <w:rFonts w:ascii="Book Antiqua" w:hAnsi="Book Antiqua" w:cs="AdvOT223abdbc"/>
          <w:sz w:val="24"/>
          <w:szCs w:val="24"/>
        </w:rPr>
        <w:t>was</w:t>
      </w:r>
      <w:r w:rsidR="00037441" w:rsidRPr="00A624C2">
        <w:rPr>
          <w:rFonts w:ascii="Book Antiqua" w:hAnsi="Book Antiqua" w:cs="AdvOT223abdbc"/>
          <w:sz w:val="24"/>
          <w:szCs w:val="24"/>
        </w:rPr>
        <w:t xml:space="preserve"> the best discriminative cutoff value</w:t>
      </w:r>
      <w:r w:rsidR="00FA434A" w:rsidRPr="00A624C2">
        <w:rPr>
          <w:rFonts w:ascii="Book Antiqua" w:hAnsi="Book Antiqua" w:cs="AdvOT223abdbc"/>
          <w:sz w:val="24"/>
          <w:szCs w:val="24"/>
        </w:rPr>
        <w:t xml:space="preserve"> for</w:t>
      </w:r>
      <w:r w:rsidR="00037441" w:rsidRPr="00A624C2">
        <w:rPr>
          <w:rFonts w:ascii="Book Antiqua" w:hAnsi="Book Antiqua" w:cs="AdvOT223abdbc"/>
          <w:sz w:val="24"/>
          <w:szCs w:val="24"/>
        </w:rPr>
        <w:t xml:space="preserve"> predict</w:t>
      </w:r>
      <w:r w:rsidR="00FA434A" w:rsidRPr="00A624C2">
        <w:rPr>
          <w:rFonts w:ascii="Book Antiqua" w:hAnsi="Book Antiqua" w:cs="AdvOT223abdbc"/>
          <w:sz w:val="24"/>
          <w:szCs w:val="24"/>
        </w:rPr>
        <w:t>ing</w:t>
      </w:r>
      <w:r w:rsidR="00037441" w:rsidRPr="00A624C2">
        <w:rPr>
          <w:rFonts w:ascii="Book Antiqua" w:hAnsi="Book Antiqua" w:cs="AdvOT223abdbc"/>
          <w:sz w:val="24"/>
          <w:szCs w:val="24"/>
        </w:rPr>
        <w:t xml:space="preserve"> </w:t>
      </w:r>
      <w:r w:rsidR="00F3089F" w:rsidRPr="00A624C2">
        <w:rPr>
          <w:rFonts w:ascii="Book Antiqua" w:hAnsi="Book Antiqua"/>
          <w:sz w:val="24"/>
          <w:szCs w:val="24"/>
        </w:rPr>
        <w:t>MH</w:t>
      </w:r>
      <w:r w:rsidR="00D82D56" w:rsidRPr="00A624C2">
        <w:rPr>
          <w:rFonts w:ascii="Book Antiqua" w:hAnsi="Book Antiqua" w:cs="AdvOT223abdbc"/>
          <w:sz w:val="24"/>
          <w:szCs w:val="24"/>
        </w:rPr>
        <w:t xml:space="preserve"> </w:t>
      </w:r>
      <w:r w:rsidR="00037441" w:rsidRPr="00A624C2">
        <w:rPr>
          <w:rFonts w:ascii="Book Antiqua" w:hAnsi="Book Antiqua" w:cs="AdvOT223abdbc"/>
          <w:sz w:val="24"/>
          <w:szCs w:val="24"/>
        </w:rPr>
        <w:t xml:space="preserve">at week 46 with  </w:t>
      </w:r>
      <w:r w:rsidR="008C3376" w:rsidRPr="00A624C2">
        <w:rPr>
          <w:rFonts w:ascii="Book Antiqua" w:hAnsi="Book Antiqua" w:cs="AdvOT223abdbc"/>
          <w:sz w:val="24"/>
          <w:szCs w:val="24"/>
        </w:rPr>
        <w:t xml:space="preserve">a </w:t>
      </w:r>
      <w:r w:rsidR="00037441" w:rsidRPr="00A624C2">
        <w:rPr>
          <w:rFonts w:ascii="Book Antiqua" w:hAnsi="Book Antiqua" w:cs="AdvOT223abdbc"/>
          <w:sz w:val="24"/>
          <w:szCs w:val="24"/>
        </w:rPr>
        <w:t xml:space="preserve">sensitivity </w:t>
      </w:r>
      <w:r w:rsidR="008C3376" w:rsidRPr="00A624C2">
        <w:rPr>
          <w:rFonts w:ascii="Book Antiqua" w:hAnsi="Book Antiqua" w:cs="AdvOT223abdbc"/>
          <w:sz w:val="24"/>
          <w:szCs w:val="24"/>
        </w:rPr>
        <w:t xml:space="preserve">of 59% </w:t>
      </w:r>
      <w:r w:rsidR="00037441" w:rsidRPr="00A624C2">
        <w:rPr>
          <w:rFonts w:ascii="Book Antiqua" w:hAnsi="Book Antiqua" w:cs="AdvOT223abdbc"/>
          <w:sz w:val="24"/>
          <w:szCs w:val="24"/>
        </w:rPr>
        <w:t xml:space="preserve">and </w:t>
      </w:r>
      <w:r w:rsidR="003F3B8E" w:rsidRPr="00A624C2">
        <w:rPr>
          <w:rFonts w:ascii="Book Antiqua" w:hAnsi="Book Antiqua" w:cs="AdvOT223abdbc"/>
          <w:sz w:val="24"/>
          <w:szCs w:val="24"/>
        </w:rPr>
        <w:t>9</w:t>
      </w:r>
      <w:r w:rsidR="00BC6632" w:rsidRPr="00A624C2">
        <w:rPr>
          <w:rFonts w:ascii="Book Antiqua" w:hAnsi="Book Antiqua" w:cs="AdvOT223abdbc"/>
          <w:sz w:val="24"/>
          <w:szCs w:val="24"/>
        </w:rPr>
        <w:t>1</w:t>
      </w:r>
      <w:r w:rsidR="00037441" w:rsidRPr="00A624C2">
        <w:rPr>
          <w:rFonts w:ascii="Book Antiqua" w:hAnsi="Book Antiqua" w:cs="AdvOT223abdbc"/>
          <w:sz w:val="24"/>
          <w:szCs w:val="24"/>
        </w:rPr>
        <w:t>% specificity</w:t>
      </w:r>
      <w:r w:rsidR="00B62436" w:rsidRPr="00A624C2">
        <w:rPr>
          <w:rFonts w:ascii="Book Antiqua" w:hAnsi="Book Antiqua" w:cs="AdvOT223abdbc"/>
          <w:sz w:val="24"/>
          <w:szCs w:val="24"/>
        </w:rPr>
        <w:t xml:space="preserve"> (Figure 3)</w:t>
      </w:r>
      <w:r w:rsidR="00037441" w:rsidRPr="00A624C2">
        <w:rPr>
          <w:rFonts w:ascii="Book Antiqua" w:hAnsi="Book Antiqua" w:cs="AdvOT223abdbc"/>
          <w:sz w:val="24"/>
          <w:szCs w:val="24"/>
        </w:rPr>
        <w:t>.</w:t>
      </w:r>
      <w:r w:rsidR="002F2C88" w:rsidRPr="00A624C2">
        <w:rPr>
          <w:rFonts w:ascii="Book Antiqua" w:hAnsi="Book Antiqua" w:cs="AdvOT223abdbc"/>
          <w:sz w:val="24"/>
          <w:szCs w:val="24"/>
        </w:rPr>
        <w:t xml:space="preserve"> </w:t>
      </w:r>
      <w:r w:rsidR="00B62436" w:rsidRPr="00A624C2">
        <w:rPr>
          <w:rFonts w:ascii="Book Antiqua" w:hAnsi="Book Antiqua" w:cs="AdvOT223abdbc"/>
          <w:sz w:val="24"/>
          <w:szCs w:val="24"/>
        </w:rPr>
        <w:t xml:space="preserve">As shown in </w:t>
      </w:r>
      <w:r w:rsidR="00B62436" w:rsidRPr="00A624C2">
        <w:rPr>
          <w:rFonts w:ascii="Book Antiqua" w:hAnsi="Book Antiqua" w:cs="AdvOT4b47d116"/>
          <w:color w:val="231F20"/>
          <w:sz w:val="24"/>
          <w:szCs w:val="24"/>
        </w:rPr>
        <w:t xml:space="preserve">Table </w:t>
      </w:r>
      <w:r w:rsidR="00AD08AA" w:rsidRPr="00A624C2">
        <w:rPr>
          <w:rFonts w:ascii="Book Antiqua" w:hAnsi="Book Antiqua" w:cs="AdvOT4b47d116"/>
          <w:color w:val="231F20"/>
          <w:sz w:val="24"/>
          <w:szCs w:val="24"/>
        </w:rPr>
        <w:t>4</w:t>
      </w:r>
      <w:r w:rsidR="00B62436" w:rsidRPr="00A624C2">
        <w:rPr>
          <w:rFonts w:ascii="Book Antiqua" w:hAnsi="Book Antiqua" w:cs="AdvOT4b47d116"/>
          <w:color w:val="231F20"/>
          <w:sz w:val="24"/>
          <w:szCs w:val="24"/>
        </w:rPr>
        <w:t>, at week 14, a reduction of ≥</w:t>
      </w:r>
      <w:r w:rsidR="003D78B3" w:rsidRPr="00A624C2">
        <w:rPr>
          <w:rFonts w:ascii="Book Antiqua" w:eastAsia="宋体" w:hAnsi="Book Antiqua" w:cs="AdvOT4b47d116"/>
          <w:color w:val="231F20"/>
          <w:sz w:val="24"/>
          <w:szCs w:val="24"/>
          <w:lang w:eastAsia="zh-CN"/>
        </w:rPr>
        <w:t xml:space="preserve"> </w:t>
      </w:r>
      <w:r w:rsidR="00B62436" w:rsidRPr="00A624C2">
        <w:rPr>
          <w:rFonts w:ascii="Book Antiqua" w:hAnsi="Book Antiqua" w:cs="AdvOT4b47d116"/>
          <w:color w:val="231F20"/>
          <w:sz w:val="24"/>
          <w:szCs w:val="24"/>
        </w:rPr>
        <w:t xml:space="preserve">80% from baseline CDEIS was </w:t>
      </w:r>
      <w:r w:rsidR="008C3376" w:rsidRPr="00A624C2">
        <w:rPr>
          <w:rFonts w:ascii="Book Antiqua" w:hAnsi="Book Antiqua" w:cs="AdvOT4b47d116"/>
          <w:color w:val="231F20"/>
          <w:sz w:val="24"/>
          <w:szCs w:val="24"/>
        </w:rPr>
        <w:t xml:space="preserve">documented </w:t>
      </w:r>
      <w:r w:rsidR="00B62436" w:rsidRPr="00A624C2">
        <w:rPr>
          <w:rFonts w:ascii="Book Antiqua" w:hAnsi="Book Antiqua" w:cs="AdvOT4b47d116"/>
          <w:color w:val="231F20"/>
          <w:sz w:val="24"/>
          <w:szCs w:val="24"/>
        </w:rPr>
        <w:t>in 1</w:t>
      </w:r>
      <w:r w:rsidR="003F3B8E" w:rsidRPr="00A624C2">
        <w:rPr>
          <w:rFonts w:ascii="Book Antiqua" w:hAnsi="Book Antiqua" w:cs="AdvOT4b47d116"/>
          <w:color w:val="231F20"/>
          <w:sz w:val="24"/>
          <w:szCs w:val="24"/>
        </w:rPr>
        <w:t>9</w:t>
      </w:r>
      <w:r w:rsidR="00B62436" w:rsidRPr="00A624C2">
        <w:rPr>
          <w:rFonts w:ascii="Book Antiqua" w:hAnsi="Book Antiqua" w:cs="AdvOT4b47d116"/>
          <w:color w:val="231F20"/>
          <w:sz w:val="24"/>
          <w:szCs w:val="24"/>
        </w:rPr>
        <w:t xml:space="preserve"> patients (</w:t>
      </w:r>
      <w:r w:rsidR="003F3B8E" w:rsidRPr="00A624C2">
        <w:rPr>
          <w:rFonts w:ascii="Book Antiqua" w:hAnsi="Book Antiqua" w:cs="AdvOT4b47d116"/>
          <w:color w:val="231F20"/>
          <w:sz w:val="24"/>
          <w:szCs w:val="24"/>
        </w:rPr>
        <w:t>31</w:t>
      </w:r>
      <w:r w:rsidR="00B62436" w:rsidRPr="00A624C2">
        <w:rPr>
          <w:rFonts w:ascii="Book Antiqua" w:hAnsi="Book Antiqua" w:cs="AdvOT4b47d116"/>
          <w:color w:val="231F20"/>
          <w:sz w:val="24"/>
          <w:szCs w:val="24"/>
        </w:rPr>
        <w:t xml:space="preserve">%) with a positive predictive value (PPV) of </w:t>
      </w:r>
      <w:r w:rsidR="003F3B8E" w:rsidRPr="00A624C2">
        <w:rPr>
          <w:rFonts w:ascii="Book Antiqua" w:hAnsi="Book Antiqua" w:cs="AdvOT4b47d116"/>
          <w:color w:val="231F20"/>
          <w:sz w:val="24"/>
          <w:szCs w:val="24"/>
        </w:rPr>
        <w:t>84</w:t>
      </w:r>
      <w:r w:rsidR="00B62436" w:rsidRPr="00A624C2">
        <w:rPr>
          <w:rFonts w:ascii="Book Antiqua" w:hAnsi="Book Antiqua" w:cs="AdvOT4b47d116"/>
          <w:color w:val="231F20"/>
          <w:sz w:val="24"/>
          <w:szCs w:val="24"/>
        </w:rPr>
        <w:t>%</w:t>
      </w:r>
      <w:r w:rsidR="003D78B3" w:rsidRPr="00A624C2">
        <w:rPr>
          <w:rFonts w:ascii="Book Antiqua" w:hAnsi="Book Antiqua" w:cs="AdvOT4b47d116"/>
          <w:color w:val="231F20"/>
          <w:sz w:val="24"/>
          <w:szCs w:val="24"/>
        </w:rPr>
        <w:t xml:space="preserve"> and a negative predicted value</w:t>
      </w:r>
      <w:r w:rsidR="00B62436" w:rsidRPr="00A624C2">
        <w:rPr>
          <w:rFonts w:ascii="Book Antiqua" w:hAnsi="Book Antiqua" w:cs="AdvOT4b47d116"/>
          <w:color w:val="231F20"/>
          <w:sz w:val="24"/>
          <w:szCs w:val="24"/>
        </w:rPr>
        <w:t xml:space="preserve"> of </w:t>
      </w:r>
      <w:r w:rsidR="003F3B8E" w:rsidRPr="00A624C2">
        <w:rPr>
          <w:rFonts w:ascii="Book Antiqua" w:hAnsi="Book Antiqua" w:cs="AdvOT4b47d116"/>
          <w:color w:val="231F20"/>
          <w:sz w:val="24"/>
          <w:szCs w:val="24"/>
        </w:rPr>
        <w:t>74</w:t>
      </w:r>
      <w:r w:rsidR="00B62436" w:rsidRPr="00A624C2">
        <w:rPr>
          <w:rFonts w:ascii="Book Antiqua" w:hAnsi="Book Antiqua" w:cs="AdvOT4b47d116"/>
          <w:color w:val="231F20"/>
          <w:sz w:val="24"/>
          <w:szCs w:val="24"/>
        </w:rPr>
        <w:t xml:space="preserve">%. Table </w:t>
      </w:r>
      <w:r w:rsidR="00AD08AA" w:rsidRPr="00A624C2">
        <w:rPr>
          <w:rFonts w:ascii="Book Antiqua" w:hAnsi="Book Antiqua" w:cs="AdvOT4b47d116"/>
          <w:color w:val="231F20"/>
          <w:sz w:val="24"/>
          <w:szCs w:val="24"/>
        </w:rPr>
        <w:t>5</w:t>
      </w:r>
      <w:r w:rsidR="00B62436" w:rsidRPr="00A624C2">
        <w:rPr>
          <w:rFonts w:ascii="Book Antiqua" w:hAnsi="Book Antiqua" w:cs="AdvOT4b47d116"/>
          <w:color w:val="231F20"/>
          <w:sz w:val="24"/>
          <w:szCs w:val="24"/>
        </w:rPr>
        <w:t xml:space="preserve"> shows </w:t>
      </w:r>
      <w:r w:rsidR="00B62436" w:rsidRPr="00A624C2">
        <w:rPr>
          <w:rFonts w:ascii="Book Antiqua" w:hAnsi="Book Antiqua"/>
          <w:sz w:val="24"/>
          <w:szCs w:val="24"/>
        </w:rPr>
        <w:t xml:space="preserve">the comparison </w:t>
      </w:r>
      <w:r w:rsidR="004A693F" w:rsidRPr="00A624C2">
        <w:rPr>
          <w:rFonts w:ascii="Book Antiqua" w:hAnsi="Book Antiqua"/>
          <w:sz w:val="24"/>
          <w:szCs w:val="24"/>
        </w:rPr>
        <w:t xml:space="preserve">of </w:t>
      </w:r>
      <w:r w:rsidR="00F307C3" w:rsidRPr="00A624C2">
        <w:rPr>
          <w:rFonts w:ascii="Book Antiqua" w:hAnsi="Book Antiqua"/>
          <w:sz w:val="24"/>
          <w:szCs w:val="24"/>
        </w:rPr>
        <w:t xml:space="preserve">diagnostic </w:t>
      </w:r>
      <w:r w:rsidR="004A693F" w:rsidRPr="00A624C2">
        <w:rPr>
          <w:rFonts w:ascii="Book Antiqua" w:hAnsi="Book Antiqua"/>
          <w:sz w:val="24"/>
          <w:szCs w:val="24"/>
        </w:rPr>
        <w:t xml:space="preserve">accuracy </w:t>
      </w:r>
      <w:r w:rsidR="00B62436" w:rsidRPr="00A624C2">
        <w:rPr>
          <w:rFonts w:ascii="Book Antiqua" w:hAnsi="Book Antiqua"/>
          <w:sz w:val="24"/>
          <w:szCs w:val="24"/>
        </w:rPr>
        <w:t>between 50</w:t>
      </w:r>
      <w:r w:rsidR="00F307C3" w:rsidRPr="00A624C2">
        <w:rPr>
          <w:rFonts w:ascii="Book Antiqua" w:hAnsi="Book Antiqua"/>
          <w:sz w:val="24"/>
          <w:szCs w:val="24"/>
        </w:rPr>
        <w:t>%</w:t>
      </w:r>
      <w:r w:rsidR="00B62436" w:rsidRPr="00A624C2">
        <w:rPr>
          <w:rFonts w:ascii="Book Antiqua" w:hAnsi="Book Antiqua"/>
          <w:sz w:val="24"/>
          <w:szCs w:val="24"/>
        </w:rPr>
        <w:t xml:space="preserve"> and 80% CDEIS reduction from baseline to week 14 as</w:t>
      </w:r>
      <w:r w:rsidR="00FA434A" w:rsidRPr="00A624C2">
        <w:rPr>
          <w:rFonts w:ascii="Book Antiqua" w:hAnsi="Book Antiqua"/>
          <w:sz w:val="24"/>
          <w:szCs w:val="24"/>
        </w:rPr>
        <w:t xml:space="preserve"> a</w:t>
      </w:r>
      <w:r w:rsidR="00B62436" w:rsidRPr="00A624C2">
        <w:rPr>
          <w:rFonts w:ascii="Book Antiqua" w:hAnsi="Book Antiqua"/>
          <w:sz w:val="24"/>
          <w:szCs w:val="24"/>
        </w:rPr>
        <w:t xml:space="preserve"> predictor of </w:t>
      </w:r>
      <w:r w:rsidR="00F3089F" w:rsidRPr="00A624C2">
        <w:rPr>
          <w:rFonts w:ascii="Book Antiqua" w:hAnsi="Book Antiqua"/>
          <w:sz w:val="24"/>
          <w:szCs w:val="24"/>
        </w:rPr>
        <w:t>MH</w:t>
      </w:r>
      <w:r w:rsidR="00D82D56" w:rsidRPr="00A624C2">
        <w:rPr>
          <w:rFonts w:ascii="Book Antiqua" w:hAnsi="Book Antiqua"/>
          <w:sz w:val="24"/>
          <w:szCs w:val="24"/>
        </w:rPr>
        <w:t xml:space="preserve"> </w:t>
      </w:r>
      <w:r w:rsidR="00B62436" w:rsidRPr="00A624C2">
        <w:rPr>
          <w:rFonts w:ascii="Book Antiqua" w:hAnsi="Book Antiqua"/>
          <w:sz w:val="24"/>
          <w:szCs w:val="24"/>
        </w:rPr>
        <w:t>at week 46.</w:t>
      </w:r>
    </w:p>
    <w:p w14:paraId="47CC10F9" w14:textId="77777777" w:rsidR="008F537B" w:rsidRPr="00A624C2" w:rsidRDefault="008F537B" w:rsidP="0028587F">
      <w:pPr>
        <w:spacing w:after="0" w:line="360" w:lineRule="auto"/>
        <w:jc w:val="both"/>
        <w:rPr>
          <w:rFonts w:ascii="Book Antiqua" w:eastAsia="宋体" w:hAnsi="Book Antiqua"/>
          <w:sz w:val="24"/>
          <w:szCs w:val="24"/>
          <w:lang w:eastAsia="zh-CN"/>
        </w:rPr>
      </w:pPr>
    </w:p>
    <w:p w14:paraId="6EEA3CEE" w14:textId="77777777" w:rsidR="0078206B" w:rsidRPr="00A624C2" w:rsidRDefault="0013258F" w:rsidP="0028587F">
      <w:pPr>
        <w:spacing w:after="0" w:line="360" w:lineRule="auto"/>
        <w:jc w:val="both"/>
        <w:rPr>
          <w:rFonts w:ascii="Book Antiqua" w:hAnsi="Book Antiqua"/>
          <w:b/>
          <w:sz w:val="24"/>
          <w:szCs w:val="24"/>
        </w:rPr>
      </w:pPr>
      <w:r w:rsidRPr="00A624C2">
        <w:rPr>
          <w:rFonts w:ascii="Book Antiqua" w:hAnsi="Book Antiqua"/>
          <w:b/>
          <w:sz w:val="24"/>
          <w:szCs w:val="24"/>
        </w:rPr>
        <w:t>D</w:t>
      </w:r>
      <w:r w:rsidR="00592383" w:rsidRPr="00A624C2">
        <w:rPr>
          <w:rFonts w:ascii="Book Antiqua" w:hAnsi="Book Antiqua"/>
          <w:b/>
          <w:sz w:val="24"/>
          <w:szCs w:val="24"/>
        </w:rPr>
        <w:t>ISCUSSION</w:t>
      </w:r>
    </w:p>
    <w:p w14:paraId="3BD62DCC" w14:textId="56ADF2EC" w:rsidR="00875181" w:rsidRPr="00A624C2" w:rsidRDefault="000A0953" w:rsidP="0028587F">
      <w:pPr>
        <w:autoSpaceDE w:val="0"/>
        <w:autoSpaceDN w:val="0"/>
        <w:adjustRightInd w:val="0"/>
        <w:spacing w:after="0" w:line="360" w:lineRule="auto"/>
        <w:jc w:val="both"/>
        <w:rPr>
          <w:rFonts w:ascii="Book Antiqua" w:eastAsia="宋体" w:hAnsi="Book Antiqua" w:cs="AdvOT4b47d116"/>
          <w:color w:val="231F20"/>
          <w:sz w:val="24"/>
          <w:szCs w:val="24"/>
          <w:lang w:eastAsia="zh-CN"/>
        </w:rPr>
      </w:pPr>
      <w:r w:rsidRPr="00A624C2">
        <w:rPr>
          <w:rFonts w:ascii="Book Antiqua" w:hAnsi="Book Antiqua"/>
          <w:sz w:val="24"/>
          <w:szCs w:val="24"/>
        </w:rPr>
        <w:t xml:space="preserve">In this </w:t>
      </w:r>
      <w:r w:rsidR="007933E9" w:rsidRPr="00A624C2">
        <w:rPr>
          <w:rFonts w:ascii="Book Antiqua" w:hAnsi="Book Antiqua"/>
          <w:sz w:val="24"/>
          <w:szCs w:val="24"/>
        </w:rPr>
        <w:t xml:space="preserve">prospective </w:t>
      </w:r>
      <w:r w:rsidR="00D147A6" w:rsidRPr="00A624C2">
        <w:rPr>
          <w:rFonts w:ascii="Book Antiqua" w:hAnsi="Book Antiqua"/>
          <w:sz w:val="24"/>
          <w:szCs w:val="24"/>
        </w:rPr>
        <w:t xml:space="preserve">observational </w:t>
      </w:r>
      <w:r w:rsidRPr="00A624C2">
        <w:rPr>
          <w:rFonts w:ascii="Book Antiqua" w:hAnsi="Book Antiqua"/>
          <w:sz w:val="24"/>
          <w:szCs w:val="24"/>
        </w:rPr>
        <w:t>study</w:t>
      </w:r>
      <w:r w:rsidR="00F228E5" w:rsidRPr="00A624C2">
        <w:rPr>
          <w:rFonts w:ascii="Book Antiqua" w:hAnsi="Book Antiqua"/>
          <w:sz w:val="24"/>
          <w:szCs w:val="24"/>
        </w:rPr>
        <w:t>,</w:t>
      </w:r>
      <w:r w:rsidRPr="00A624C2">
        <w:rPr>
          <w:rFonts w:ascii="Book Antiqua" w:hAnsi="Book Antiqua"/>
          <w:sz w:val="24"/>
          <w:szCs w:val="24"/>
        </w:rPr>
        <w:t xml:space="preserve"> </w:t>
      </w:r>
      <w:r w:rsidR="00201C33" w:rsidRPr="00A624C2">
        <w:rPr>
          <w:rFonts w:ascii="Book Antiqua" w:hAnsi="Book Antiqua"/>
          <w:sz w:val="24"/>
          <w:szCs w:val="24"/>
        </w:rPr>
        <w:t>we identif</w:t>
      </w:r>
      <w:r w:rsidR="00472D38" w:rsidRPr="00A624C2">
        <w:rPr>
          <w:rFonts w:ascii="Book Antiqua" w:hAnsi="Book Antiqua"/>
          <w:sz w:val="24"/>
          <w:szCs w:val="24"/>
        </w:rPr>
        <w:t>ied</w:t>
      </w:r>
      <w:r w:rsidR="00201C33" w:rsidRPr="00A624C2">
        <w:rPr>
          <w:rFonts w:ascii="Book Antiqua" w:hAnsi="Book Antiqua"/>
          <w:sz w:val="24"/>
          <w:szCs w:val="24"/>
        </w:rPr>
        <w:t xml:space="preserve"> </w:t>
      </w:r>
      <w:r w:rsidRPr="00A624C2">
        <w:rPr>
          <w:rFonts w:ascii="Book Antiqua" w:hAnsi="Book Antiqua"/>
          <w:sz w:val="24"/>
          <w:szCs w:val="24"/>
        </w:rPr>
        <w:t xml:space="preserve">predictors of </w:t>
      </w:r>
      <w:r w:rsidR="00A54751" w:rsidRPr="00A624C2">
        <w:rPr>
          <w:rFonts w:ascii="Book Antiqua" w:hAnsi="Book Antiqua"/>
          <w:sz w:val="24"/>
          <w:szCs w:val="24"/>
        </w:rPr>
        <w:t xml:space="preserve">long-term </w:t>
      </w:r>
      <w:r w:rsidR="007C74AD" w:rsidRPr="00A624C2">
        <w:rPr>
          <w:rFonts w:ascii="Book Antiqua" w:hAnsi="Book Antiqua"/>
          <w:sz w:val="24"/>
          <w:szCs w:val="24"/>
        </w:rPr>
        <w:t>MH</w:t>
      </w:r>
      <w:r w:rsidRPr="00A624C2">
        <w:rPr>
          <w:rFonts w:ascii="Book Antiqua" w:hAnsi="Book Antiqua"/>
          <w:sz w:val="24"/>
          <w:szCs w:val="24"/>
        </w:rPr>
        <w:t xml:space="preserve"> </w:t>
      </w:r>
      <w:r w:rsidR="007C74AD" w:rsidRPr="00A624C2">
        <w:rPr>
          <w:rFonts w:ascii="Book Antiqua" w:hAnsi="Book Antiqua"/>
          <w:sz w:val="24"/>
          <w:szCs w:val="24"/>
        </w:rPr>
        <w:t xml:space="preserve">in patients with CD treated with </w:t>
      </w:r>
      <w:r w:rsidRPr="00A624C2">
        <w:rPr>
          <w:rFonts w:ascii="Book Antiqua" w:hAnsi="Book Antiqua"/>
          <w:sz w:val="24"/>
          <w:szCs w:val="24"/>
        </w:rPr>
        <w:t>TNF</w:t>
      </w:r>
      <w:r w:rsidR="007C74AD" w:rsidRPr="00A624C2">
        <w:rPr>
          <w:rFonts w:ascii="Book Antiqua" w:hAnsi="Book Antiqua"/>
          <w:sz w:val="24"/>
          <w:szCs w:val="24"/>
        </w:rPr>
        <w:t>-α inhibitor</w:t>
      </w:r>
      <w:r w:rsidR="00A54751" w:rsidRPr="00A624C2">
        <w:rPr>
          <w:rFonts w:ascii="Book Antiqua" w:hAnsi="Book Antiqua"/>
          <w:sz w:val="24"/>
          <w:szCs w:val="24"/>
        </w:rPr>
        <w:t>s</w:t>
      </w:r>
      <w:r w:rsidR="007C74AD" w:rsidRPr="00A624C2">
        <w:rPr>
          <w:rFonts w:ascii="Book Antiqua" w:hAnsi="Book Antiqua"/>
          <w:sz w:val="24"/>
          <w:szCs w:val="24"/>
        </w:rPr>
        <w:t>.</w:t>
      </w:r>
      <w:r w:rsidR="009D150B" w:rsidRPr="00A624C2">
        <w:rPr>
          <w:rFonts w:ascii="Book Antiqua" w:hAnsi="Book Antiqua"/>
          <w:sz w:val="24"/>
          <w:szCs w:val="24"/>
        </w:rPr>
        <w:t xml:space="preserve"> A</w:t>
      </w:r>
      <w:r w:rsidR="007C74AD" w:rsidRPr="00A624C2">
        <w:rPr>
          <w:rFonts w:ascii="Book Antiqua" w:hAnsi="Book Antiqua"/>
          <w:sz w:val="24"/>
          <w:szCs w:val="24"/>
        </w:rPr>
        <w:t xml:space="preserve">fter </w:t>
      </w:r>
      <w:r w:rsidR="008D001F" w:rsidRPr="00A624C2">
        <w:rPr>
          <w:rFonts w:ascii="Book Antiqua" w:hAnsi="Book Antiqua"/>
          <w:sz w:val="24"/>
          <w:szCs w:val="24"/>
        </w:rPr>
        <w:t xml:space="preserve">completing </w:t>
      </w:r>
      <w:r w:rsidR="007C74AD" w:rsidRPr="00A624C2">
        <w:rPr>
          <w:rFonts w:ascii="Book Antiqua" w:hAnsi="Book Antiqua"/>
          <w:sz w:val="24"/>
          <w:szCs w:val="24"/>
        </w:rPr>
        <w:t>14</w:t>
      </w:r>
      <w:r w:rsidR="009D150B" w:rsidRPr="00A624C2">
        <w:rPr>
          <w:rFonts w:ascii="Book Antiqua" w:hAnsi="Book Antiqua"/>
          <w:sz w:val="24"/>
          <w:szCs w:val="24"/>
        </w:rPr>
        <w:t xml:space="preserve"> week</w:t>
      </w:r>
      <w:r w:rsidR="007C74AD" w:rsidRPr="00A624C2">
        <w:rPr>
          <w:rFonts w:ascii="Book Antiqua" w:hAnsi="Book Antiqua"/>
          <w:sz w:val="24"/>
          <w:szCs w:val="24"/>
        </w:rPr>
        <w:t>s</w:t>
      </w:r>
      <w:r w:rsidR="009D150B" w:rsidRPr="00A624C2">
        <w:rPr>
          <w:rFonts w:ascii="Book Antiqua" w:hAnsi="Book Antiqua"/>
          <w:sz w:val="24"/>
          <w:szCs w:val="24"/>
        </w:rPr>
        <w:t xml:space="preserve"> </w:t>
      </w:r>
      <w:r w:rsidR="007C74AD" w:rsidRPr="00A624C2">
        <w:rPr>
          <w:rFonts w:ascii="Book Antiqua" w:hAnsi="Book Antiqua"/>
          <w:sz w:val="24"/>
          <w:szCs w:val="24"/>
        </w:rPr>
        <w:t xml:space="preserve">of </w:t>
      </w:r>
      <w:r w:rsidR="007C74AD" w:rsidRPr="00A624C2">
        <w:rPr>
          <w:rFonts w:ascii="Book Antiqua" w:hAnsi="Book Antiqua"/>
          <w:sz w:val="24"/>
          <w:szCs w:val="24"/>
        </w:rPr>
        <w:lastRenderedPageBreak/>
        <w:t>treatment</w:t>
      </w:r>
      <w:r w:rsidR="008D001F" w:rsidRPr="00A624C2">
        <w:rPr>
          <w:rFonts w:ascii="Book Antiqua" w:hAnsi="Book Antiqua"/>
          <w:sz w:val="24"/>
          <w:szCs w:val="24"/>
        </w:rPr>
        <w:t xml:space="preserve"> </w:t>
      </w:r>
      <w:r w:rsidR="007C74AD" w:rsidRPr="00A624C2">
        <w:rPr>
          <w:rFonts w:ascii="Book Antiqua" w:hAnsi="Book Antiqua"/>
          <w:sz w:val="24"/>
          <w:szCs w:val="24"/>
        </w:rPr>
        <w:t>,</w:t>
      </w:r>
      <w:r w:rsidR="007B124F" w:rsidRPr="00A624C2">
        <w:rPr>
          <w:rFonts w:ascii="Book Antiqua" w:hAnsi="Book Antiqua"/>
          <w:sz w:val="24"/>
          <w:szCs w:val="24"/>
        </w:rPr>
        <w:t xml:space="preserve"> we found that </w:t>
      </w:r>
      <w:r w:rsidRPr="00A624C2">
        <w:rPr>
          <w:rFonts w:ascii="Book Antiqua" w:hAnsi="Book Antiqua"/>
          <w:sz w:val="24"/>
          <w:szCs w:val="24"/>
        </w:rPr>
        <w:t>the absolute CDEIS value,</w:t>
      </w:r>
      <w:r w:rsidR="009D150B" w:rsidRPr="00A624C2">
        <w:rPr>
          <w:rFonts w:ascii="Book Antiqua" w:hAnsi="Book Antiqua"/>
          <w:sz w:val="24"/>
          <w:szCs w:val="24"/>
        </w:rPr>
        <w:t xml:space="preserve"> the</w:t>
      </w:r>
      <w:r w:rsidRPr="00A624C2">
        <w:rPr>
          <w:rFonts w:ascii="Book Antiqua" w:hAnsi="Book Antiqua"/>
          <w:sz w:val="24"/>
          <w:szCs w:val="24"/>
        </w:rPr>
        <w:t xml:space="preserve"> percentage of CDEIS reduction from baseline and </w:t>
      </w:r>
      <w:r w:rsidR="00472D38" w:rsidRPr="00A624C2">
        <w:rPr>
          <w:rFonts w:ascii="Book Antiqua" w:hAnsi="Book Antiqua"/>
          <w:sz w:val="24"/>
          <w:szCs w:val="24"/>
        </w:rPr>
        <w:t xml:space="preserve">the </w:t>
      </w:r>
      <w:r w:rsidRPr="00A624C2">
        <w:rPr>
          <w:rFonts w:ascii="Book Antiqua" w:hAnsi="Book Antiqua"/>
          <w:sz w:val="24"/>
          <w:szCs w:val="24"/>
        </w:rPr>
        <w:t>achieve</w:t>
      </w:r>
      <w:r w:rsidR="007C74AD" w:rsidRPr="00A624C2">
        <w:rPr>
          <w:rFonts w:ascii="Book Antiqua" w:hAnsi="Book Antiqua"/>
          <w:sz w:val="24"/>
          <w:szCs w:val="24"/>
        </w:rPr>
        <w:t>ment of</w:t>
      </w:r>
      <w:r w:rsidRPr="00A624C2">
        <w:rPr>
          <w:rFonts w:ascii="Book Antiqua" w:hAnsi="Book Antiqua"/>
          <w:sz w:val="24"/>
          <w:szCs w:val="24"/>
        </w:rPr>
        <w:t xml:space="preserve"> </w:t>
      </w:r>
      <w:r w:rsidR="00E30A32" w:rsidRPr="00A624C2">
        <w:rPr>
          <w:rFonts w:ascii="Book Antiqua" w:hAnsi="Book Antiqua"/>
          <w:sz w:val="24"/>
          <w:szCs w:val="24"/>
        </w:rPr>
        <w:t xml:space="preserve">endoscopic response or </w:t>
      </w:r>
      <w:r w:rsidR="00D82D56" w:rsidRPr="00A624C2">
        <w:rPr>
          <w:rFonts w:ascii="Book Antiqua" w:hAnsi="Book Antiqua"/>
          <w:sz w:val="24"/>
          <w:szCs w:val="24"/>
        </w:rPr>
        <w:t>MH</w:t>
      </w:r>
      <w:r w:rsidR="009D150B" w:rsidRPr="00A624C2">
        <w:rPr>
          <w:rFonts w:ascii="Book Antiqua" w:hAnsi="Book Antiqua"/>
          <w:sz w:val="24"/>
          <w:szCs w:val="24"/>
        </w:rPr>
        <w:t xml:space="preserve"> significantly predict </w:t>
      </w:r>
      <w:r w:rsidR="007D3AEF" w:rsidRPr="00A624C2">
        <w:rPr>
          <w:rFonts w:ascii="Book Antiqua" w:hAnsi="Book Antiqua"/>
          <w:sz w:val="24"/>
          <w:szCs w:val="24"/>
        </w:rPr>
        <w:t>M</w:t>
      </w:r>
      <w:r w:rsidR="007C74AD" w:rsidRPr="00A624C2">
        <w:rPr>
          <w:rFonts w:ascii="Book Antiqua" w:hAnsi="Book Antiqua"/>
          <w:sz w:val="24"/>
          <w:szCs w:val="24"/>
        </w:rPr>
        <w:t>H</w:t>
      </w:r>
      <w:r w:rsidR="009D150B" w:rsidRPr="00A624C2">
        <w:rPr>
          <w:rFonts w:ascii="Book Antiqua" w:hAnsi="Book Antiqua"/>
          <w:sz w:val="24"/>
          <w:szCs w:val="24"/>
        </w:rPr>
        <w:t xml:space="preserve"> after one year of treatment</w:t>
      </w:r>
      <w:r w:rsidR="007D3AEF" w:rsidRPr="00A624C2">
        <w:rPr>
          <w:rFonts w:ascii="Book Antiqua" w:hAnsi="Book Antiqua"/>
          <w:sz w:val="24"/>
          <w:szCs w:val="24"/>
        </w:rPr>
        <w:t>.</w:t>
      </w:r>
      <w:r w:rsidR="007933E9" w:rsidRPr="00A624C2">
        <w:rPr>
          <w:rFonts w:ascii="Book Antiqua" w:hAnsi="Book Antiqua"/>
          <w:sz w:val="24"/>
          <w:szCs w:val="24"/>
        </w:rPr>
        <w:t xml:space="preserve"> Of th</w:t>
      </w:r>
      <w:r w:rsidR="00F228E5" w:rsidRPr="00A624C2">
        <w:rPr>
          <w:rFonts w:ascii="Book Antiqua" w:hAnsi="Book Antiqua"/>
          <w:sz w:val="24"/>
          <w:szCs w:val="24"/>
        </w:rPr>
        <w:t>e</w:t>
      </w:r>
      <w:r w:rsidR="007933E9" w:rsidRPr="00A624C2">
        <w:rPr>
          <w:rFonts w:ascii="Book Antiqua" w:hAnsi="Book Antiqua"/>
          <w:sz w:val="24"/>
          <w:szCs w:val="24"/>
        </w:rPr>
        <w:t>s</w:t>
      </w:r>
      <w:r w:rsidR="00F228E5" w:rsidRPr="00A624C2">
        <w:rPr>
          <w:rFonts w:ascii="Book Antiqua" w:hAnsi="Book Antiqua"/>
          <w:sz w:val="24"/>
          <w:szCs w:val="24"/>
        </w:rPr>
        <w:t>e</w:t>
      </w:r>
      <w:r w:rsidR="007933E9" w:rsidRPr="00A624C2">
        <w:rPr>
          <w:rFonts w:ascii="Book Antiqua" w:hAnsi="Book Antiqua"/>
          <w:sz w:val="24"/>
          <w:szCs w:val="24"/>
        </w:rPr>
        <w:t xml:space="preserve"> </w:t>
      </w:r>
      <w:r w:rsidR="00E30A32" w:rsidRPr="00A624C2">
        <w:rPr>
          <w:rFonts w:ascii="Book Antiqua" w:hAnsi="Book Antiqua"/>
          <w:sz w:val="24"/>
          <w:szCs w:val="24"/>
        </w:rPr>
        <w:t xml:space="preserve">four </w:t>
      </w:r>
      <w:r w:rsidR="007933E9" w:rsidRPr="00A624C2">
        <w:rPr>
          <w:rFonts w:ascii="Book Antiqua" w:hAnsi="Book Antiqua"/>
          <w:sz w:val="24"/>
          <w:szCs w:val="24"/>
        </w:rPr>
        <w:t>predict</w:t>
      </w:r>
      <w:r w:rsidR="00472D38" w:rsidRPr="00A624C2">
        <w:rPr>
          <w:rFonts w:ascii="Book Antiqua" w:hAnsi="Book Antiqua"/>
          <w:sz w:val="24"/>
          <w:szCs w:val="24"/>
        </w:rPr>
        <w:t>ive facto</w:t>
      </w:r>
      <w:r w:rsidR="007933E9" w:rsidRPr="00A624C2">
        <w:rPr>
          <w:rFonts w:ascii="Book Antiqua" w:hAnsi="Book Antiqua"/>
          <w:sz w:val="24"/>
          <w:szCs w:val="24"/>
        </w:rPr>
        <w:t>rs</w:t>
      </w:r>
      <w:r w:rsidR="00F228E5" w:rsidRPr="00A624C2">
        <w:rPr>
          <w:rFonts w:ascii="Book Antiqua" w:hAnsi="Book Antiqua"/>
          <w:sz w:val="24"/>
          <w:szCs w:val="24"/>
        </w:rPr>
        <w:t>,</w:t>
      </w:r>
      <w:r w:rsidR="007933E9" w:rsidRPr="00A624C2">
        <w:rPr>
          <w:rFonts w:ascii="Book Antiqua" w:hAnsi="Book Antiqua"/>
          <w:sz w:val="24"/>
          <w:szCs w:val="24"/>
        </w:rPr>
        <w:t xml:space="preserve"> achieve</w:t>
      </w:r>
      <w:r w:rsidR="006D5F77" w:rsidRPr="00A624C2">
        <w:rPr>
          <w:rFonts w:ascii="Book Antiqua" w:hAnsi="Book Antiqua"/>
          <w:sz w:val="24"/>
          <w:szCs w:val="24"/>
        </w:rPr>
        <w:t>ment of MH</w:t>
      </w:r>
      <w:r w:rsidR="007933E9" w:rsidRPr="00A624C2">
        <w:rPr>
          <w:rFonts w:ascii="Book Antiqua" w:hAnsi="Book Antiqua"/>
          <w:sz w:val="24"/>
          <w:szCs w:val="24"/>
        </w:rPr>
        <w:t xml:space="preserve"> after induction </w:t>
      </w:r>
      <w:r w:rsidR="005B174C" w:rsidRPr="00A624C2">
        <w:rPr>
          <w:rFonts w:ascii="Book Antiqua" w:hAnsi="Book Antiqua"/>
          <w:sz w:val="24"/>
          <w:szCs w:val="24"/>
        </w:rPr>
        <w:t xml:space="preserve">treatment </w:t>
      </w:r>
      <w:r w:rsidR="006D5F77" w:rsidRPr="00A624C2">
        <w:rPr>
          <w:rFonts w:ascii="Book Antiqua" w:hAnsi="Book Antiqua"/>
          <w:sz w:val="24"/>
          <w:szCs w:val="24"/>
        </w:rPr>
        <w:t xml:space="preserve">with an anti-TNF has </w:t>
      </w:r>
      <w:r w:rsidR="007B124F" w:rsidRPr="00A624C2">
        <w:rPr>
          <w:rFonts w:ascii="Book Antiqua" w:hAnsi="Book Antiqua"/>
          <w:sz w:val="24"/>
          <w:szCs w:val="24"/>
        </w:rPr>
        <w:t xml:space="preserve">already </w:t>
      </w:r>
      <w:r w:rsidR="006D5F77" w:rsidRPr="00A624C2">
        <w:rPr>
          <w:rFonts w:ascii="Book Antiqua" w:hAnsi="Book Antiqua"/>
          <w:sz w:val="24"/>
          <w:szCs w:val="24"/>
        </w:rPr>
        <w:t xml:space="preserve">been </w:t>
      </w:r>
      <w:r w:rsidR="007933E9" w:rsidRPr="00A624C2">
        <w:rPr>
          <w:rFonts w:ascii="Book Antiqua" w:hAnsi="Book Antiqua"/>
          <w:sz w:val="24"/>
          <w:szCs w:val="24"/>
        </w:rPr>
        <w:t>described as a predictor</w:t>
      </w:r>
      <w:r w:rsidR="006D5F77" w:rsidRPr="00A624C2">
        <w:rPr>
          <w:rFonts w:ascii="Book Antiqua" w:hAnsi="Book Antiqua"/>
          <w:sz w:val="24"/>
          <w:szCs w:val="24"/>
        </w:rPr>
        <w:t xml:space="preserve"> of</w:t>
      </w:r>
      <w:r w:rsidR="008D001F" w:rsidRPr="00A624C2">
        <w:rPr>
          <w:rFonts w:ascii="Book Antiqua" w:hAnsi="Book Antiqua"/>
          <w:sz w:val="24"/>
          <w:szCs w:val="24"/>
        </w:rPr>
        <w:t xml:space="preserve"> long-term</w:t>
      </w:r>
      <w:r w:rsidR="006D5F77" w:rsidRPr="00A624C2">
        <w:rPr>
          <w:rFonts w:ascii="Book Antiqua" w:hAnsi="Book Antiqua"/>
          <w:sz w:val="24"/>
          <w:szCs w:val="24"/>
        </w:rPr>
        <w:t xml:space="preserve"> </w:t>
      </w:r>
      <w:r w:rsidR="00D82D56" w:rsidRPr="00A624C2">
        <w:rPr>
          <w:rFonts w:ascii="Book Antiqua" w:hAnsi="Book Antiqua"/>
          <w:sz w:val="24"/>
          <w:szCs w:val="24"/>
        </w:rPr>
        <w:t xml:space="preserve">MH </w:t>
      </w:r>
      <w:r w:rsidR="007933E9" w:rsidRPr="00A624C2">
        <w:rPr>
          <w:rFonts w:ascii="Book Antiqua" w:hAnsi="Book Antiqua"/>
          <w:sz w:val="24"/>
          <w:szCs w:val="24"/>
        </w:rPr>
        <w:t xml:space="preserve">in a </w:t>
      </w:r>
      <w:r w:rsidR="006D5F77" w:rsidRPr="00A624C2">
        <w:rPr>
          <w:rFonts w:ascii="Book Antiqua" w:hAnsi="Book Antiqua"/>
          <w:sz w:val="24"/>
          <w:szCs w:val="24"/>
        </w:rPr>
        <w:t>series of patients</w:t>
      </w:r>
      <w:r w:rsidR="00472D38" w:rsidRPr="00A624C2">
        <w:rPr>
          <w:rFonts w:ascii="Book Antiqua" w:hAnsi="Book Antiqua"/>
          <w:sz w:val="24"/>
          <w:szCs w:val="24"/>
        </w:rPr>
        <w:t xml:space="preserve"> </w:t>
      </w:r>
      <w:r w:rsidR="007933E9" w:rsidRPr="00A624C2">
        <w:rPr>
          <w:rFonts w:ascii="Book Antiqua" w:hAnsi="Book Antiqua"/>
          <w:sz w:val="24"/>
          <w:szCs w:val="24"/>
        </w:rPr>
        <w:t>retrospective</w:t>
      </w:r>
      <w:r w:rsidR="006D5F77" w:rsidRPr="00A624C2">
        <w:rPr>
          <w:rFonts w:ascii="Book Antiqua" w:hAnsi="Book Antiqua"/>
          <w:sz w:val="24"/>
          <w:szCs w:val="24"/>
        </w:rPr>
        <w:t>ly</w:t>
      </w:r>
      <w:r w:rsidR="007B124F" w:rsidRPr="00A624C2">
        <w:rPr>
          <w:rFonts w:ascii="Book Antiqua" w:hAnsi="Book Antiqua"/>
          <w:sz w:val="24"/>
          <w:szCs w:val="24"/>
        </w:rPr>
        <w:t xml:space="preserve"> evaluated</w:t>
      </w:r>
      <w:r w:rsidR="007933E9" w:rsidRPr="00A624C2">
        <w:rPr>
          <w:rFonts w:ascii="Book Antiqua" w:hAnsi="Book Antiqua"/>
          <w:sz w:val="24"/>
          <w:szCs w:val="24"/>
        </w:rPr>
        <w:t xml:space="preserve"> and prospective</w:t>
      </w:r>
      <w:r w:rsidR="006D5F77" w:rsidRPr="00A624C2">
        <w:rPr>
          <w:rFonts w:ascii="Book Antiqua" w:hAnsi="Book Antiqua"/>
          <w:sz w:val="24"/>
          <w:szCs w:val="24"/>
        </w:rPr>
        <w:t xml:space="preserve">ly validated in </w:t>
      </w:r>
      <w:r w:rsidR="00472D38" w:rsidRPr="00A624C2">
        <w:rPr>
          <w:rFonts w:ascii="Book Antiqua" w:hAnsi="Book Antiqua"/>
          <w:sz w:val="24"/>
          <w:szCs w:val="24"/>
        </w:rPr>
        <w:t xml:space="preserve">a subsequent </w:t>
      </w:r>
      <w:r w:rsidR="007933E9" w:rsidRPr="00A624C2">
        <w:rPr>
          <w:rFonts w:ascii="Book Antiqua" w:hAnsi="Book Antiqua"/>
          <w:sz w:val="24"/>
          <w:szCs w:val="24"/>
        </w:rPr>
        <w:t>study</w:t>
      </w:r>
      <w:r w:rsidR="003D78B3" w:rsidRPr="00A624C2">
        <w:rPr>
          <w:rFonts w:ascii="Book Antiqua" w:eastAsia="宋体" w:hAnsi="Book Antiqua"/>
          <w:sz w:val="24"/>
          <w:szCs w:val="24"/>
          <w:vertAlign w:val="superscript"/>
          <w:lang w:eastAsia="zh-CN"/>
        </w:rPr>
        <w:t>[12,13]</w:t>
      </w:r>
      <w:r w:rsidR="006D5F77" w:rsidRPr="00A624C2">
        <w:rPr>
          <w:rFonts w:ascii="Book Antiqua" w:hAnsi="Book Antiqua" w:cs="AdvOT4b47d116"/>
          <w:color w:val="231F20"/>
          <w:sz w:val="24"/>
          <w:szCs w:val="24"/>
        </w:rPr>
        <w:t>.</w:t>
      </w:r>
      <w:r w:rsidR="007933E9" w:rsidRPr="00A624C2">
        <w:rPr>
          <w:rFonts w:ascii="Book Antiqua" w:hAnsi="Book Antiqua" w:cs="AdvOT4b47d116"/>
          <w:color w:val="231F20"/>
          <w:sz w:val="24"/>
          <w:szCs w:val="24"/>
        </w:rPr>
        <w:t xml:space="preserve"> </w:t>
      </w:r>
      <w:r w:rsidR="00167E57" w:rsidRPr="00A624C2">
        <w:rPr>
          <w:rFonts w:ascii="Book Antiqua" w:hAnsi="Book Antiqua" w:cs="AdvOT4b47d116"/>
          <w:color w:val="231F20"/>
          <w:sz w:val="24"/>
          <w:szCs w:val="24"/>
        </w:rPr>
        <w:t>In th</w:t>
      </w:r>
      <w:r w:rsidR="00472D38" w:rsidRPr="00A624C2">
        <w:rPr>
          <w:rFonts w:ascii="Book Antiqua" w:hAnsi="Book Antiqua" w:cs="AdvOT4b47d116"/>
          <w:color w:val="231F20"/>
          <w:sz w:val="24"/>
          <w:szCs w:val="24"/>
        </w:rPr>
        <w:t xml:space="preserve">is </w:t>
      </w:r>
      <w:r w:rsidR="00167E57" w:rsidRPr="00A624C2">
        <w:rPr>
          <w:rFonts w:ascii="Book Antiqua" w:hAnsi="Book Antiqua" w:cs="AdvOT4b47d116"/>
          <w:color w:val="231F20"/>
          <w:sz w:val="24"/>
          <w:szCs w:val="24"/>
        </w:rPr>
        <w:t>study</w:t>
      </w:r>
      <w:r w:rsidR="00F041AF" w:rsidRPr="00A624C2">
        <w:rPr>
          <w:rFonts w:ascii="Book Antiqua" w:hAnsi="Book Antiqua" w:cs="AdvOT4b47d116"/>
          <w:color w:val="231F20"/>
          <w:sz w:val="24"/>
          <w:szCs w:val="24"/>
        </w:rPr>
        <w:t>,</w:t>
      </w:r>
      <w:r w:rsidR="00167E57" w:rsidRPr="00A624C2">
        <w:rPr>
          <w:rFonts w:ascii="Book Antiqua" w:hAnsi="Book Antiqua" w:cs="AdvOT4b47d116"/>
          <w:color w:val="231F20"/>
          <w:sz w:val="24"/>
          <w:szCs w:val="24"/>
        </w:rPr>
        <w:t xml:space="preserve"> 42 patients with active luminal </w:t>
      </w:r>
      <w:r w:rsidR="00F041AF" w:rsidRPr="00A624C2">
        <w:rPr>
          <w:rFonts w:ascii="Book Antiqua" w:hAnsi="Book Antiqua" w:cs="AdvOT4b47d116"/>
          <w:color w:val="231F20"/>
          <w:sz w:val="24"/>
          <w:szCs w:val="24"/>
        </w:rPr>
        <w:t>CD</w:t>
      </w:r>
      <w:r w:rsidR="00167E57" w:rsidRPr="00A624C2">
        <w:rPr>
          <w:rFonts w:ascii="Book Antiqua" w:hAnsi="Book Antiqua" w:cs="AdvOT4b47d116"/>
          <w:color w:val="231F20"/>
          <w:sz w:val="24"/>
          <w:szCs w:val="24"/>
        </w:rPr>
        <w:t xml:space="preserve"> (defined as a SES-CD ≥ 3) tr</w:t>
      </w:r>
      <w:r w:rsidR="00BD175F" w:rsidRPr="00A624C2">
        <w:rPr>
          <w:rFonts w:ascii="Book Antiqua" w:hAnsi="Book Antiqua" w:cs="AdvOT4b47d116"/>
          <w:color w:val="231F20"/>
          <w:sz w:val="24"/>
          <w:szCs w:val="24"/>
        </w:rPr>
        <w:t>e</w:t>
      </w:r>
      <w:r w:rsidR="00167E57" w:rsidRPr="00A624C2">
        <w:rPr>
          <w:rFonts w:ascii="Book Antiqua" w:hAnsi="Book Antiqua" w:cs="AdvOT4b47d116"/>
          <w:color w:val="231F20"/>
          <w:sz w:val="24"/>
          <w:szCs w:val="24"/>
        </w:rPr>
        <w:t>ated with an anti-TNF were follow</w:t>
      </w:r>
      <w:r w:rsidR="00F041AF" w:rsidRPr="00A624C2">
        <w:rPr>
          <w:rFonts w:ascii="Book Antiqua" w:hAnsi="Book Antiqua" w:cs="AdvOT4b47d116"/>
          <w:color w:val="231F20"/>
          <w:sz w:val="24"/>
          <w:szCs w:val="24"/>
        </w:rPr>
        <w:t>ed</w:t>
      </w:r>
      <w:r w:rsidR="00167E57" w:rsidRPr="00A624C2">
        <w:rPr>
          <w:rFonts w:ascii="Book Antiqua" w:hAnsi="Book Antiqua" w:cs="AdvOT4b47d116"/>
          <w:color w:val="231F20"/>
          <w:sz w:val="24"/>
          <w:szCs w:val="24"/>
        </w:rPr>
        <w:t xml:space="preserve"> clinically and </w:t>
      </w:r>
      <w:r w:rsidR="00F041AF" w:rsidRPr="00A624C2">
        <w:rPr>
          <w:rFonts w:ascii="Book Antiqua" w:hAnsi="Book Antiqua" w:cs="AdvOT4b47d116"/>
          <w:color w:val="231F20"/>
          <w:sz w:val="24"/>
          <w:szCs w:val="24"/>
        </w:rPr>
        <w:t>endoscopically</w:t>
      </w:r>
      <w:r w:rsidR="00167E57" w:rsidRPr="00A624C2">
        <w:rPr>
          <w:rFonts w:ascii="Book Antiqua" w:hAnsi="Book Antiqua" w:cs="AdvOT4b47d116"/>
          <w:color w:val="231F20"/>
          <w:sz w:val="24"/>
          <w:szCs w:val="24"/>
        </w:rPr>
        <w:t xml:space="preserve"> after</w:t>
      </w:r>
      <w:r w:rsidR="007B124F" w:rsidRPr="00A624C2">
        <w:rPr>
          <w:rFonts w:ascii="Book Antiqua" w:hAnsi="Book Antiqua" w:cs="AdvOT4b47d116"/>
          <w:color w:val="231F20"/>
          <w:sz w:val="24"/>
          <w:szCs w:val="24"/>
        </w:rPr>
        <w:t xml:space="preserve"> </w:t>
      </w:r>
      <w:r w:rsidR="00167E57" w:rsidRPr="00A624C2">
        <w:rPr>
          <w:rFonts w:ascii="Book Antiqua" w:hAnsi="Book Antiqua" w:cs="AdvOT4b47d116"/>
          <w:color w:val="231F20"/>
          <w:sz w:val="24"/>
          <w:szCs w:val="24"/>
        </w:rPr>
        <w:t>3 months and one year of treatment.</w:t>
      </w:r>
      <w:r w:rsidR="00BD175F" w:rsidRPr="00A624C2">
        <w:rPr>
          <w:rFonts w:ascii="Book Antiqua" w:hAnsi="Book Antiqua" w:cs="AdvOT4b47d116"/>
          <w:color w:val="231F20"/>
          <w:sz w:val="24"/>
          <w:szCs w:val="24"/>
        </w:rPr>
        <w:t xml:space="preserve"> The </w:t>
      </w:r>
      <w:r w:rsidR="00D147A6" w:rsidRPr="00A624C2">
        <w:rPr>
          <w:rFonts w:ascii="Book Antiqua" w:hAnsi="Book Antiqua" w:cs="AdvOT4b47d116"/>
          <w:color w:val="231F20"/>
          <w:sz w:val="24"/>
          <w:szCs w:val="24"/>
        </w:rPr>
        <w:t xml:space="preserve">authors </w:t>
      </w:r>
      <w:r w:rsidR="00BD175F" w:rsidRPr="00A624C2">
        <w:rPr>
          <w:rFonts w:ascii="Book Antiqua" w:hAnsi="Book Antiqua" w:cs="AdvOT4b47d116"/>
          <w:color w:val="231F20"/>
          <w:sz w:val="24"/>
          <w:szCs w:val="24"/>
        </w:rPr>
        <w:t>conclude</w:t>
      </w:r>
      <w:r w:rsidR="00472D38" w:rsidRPr="00A624C2">
        <w:rPr>
          <w:rFonts w:ascii="Book Antiqua" w:hAnsi="Book Antiqua" w:cs="AdvOT4b47d116"/>
          <w:color w:val="231F20"/>
          <w:sz w:val="24"/>
          <w:szCs w:val="24"/>
        </w:rPr>
        <w:t>d</w:t>
      </w:r>
      <w:r w:rsidR="00BD175F" w:rsidRPr="00A624C2">
        <w:rPr>
          <w:rFonts w:ascii="Book Antiqua" w:hAnsi="Book Antiqua" w:cs="AdvOT4b47d116"/>
          <w:color w:val="231F20"/>
          <w:sz w:val="24"/>
          <w:szCs w:val="24"/>
        </w:rPr>
        <w:t xml:space="preserve"> that </w:t>
      </w:r>
      <w:r w:rsidR="00D82D56" w:rsidRPr="00A624C2">
        <w:rPr>
          <w:rFonts w:ascii="Book Antiqua" w:hAnsi="Book Antiqua" w:cs="AdvOT4b47d116"/>
          <w:color w:val="231F20"/>
          <w:sz w:val="24"/>
          <w:szCs w:val="24"/>
        </w:rPr>
        <w:t>MH</w:t>
      </w:r>
      <w:r w:rsidR="00BD175F" w:rsidRPr="00A624C2">
        <w:rPr>
          <w:rFonts w:ascii="Book Antiqua" w:hAnsi="Book Antiqua" w:cs="AdvOT4b47d116"/>
          <w:color w:val="231F20"/>
          <w:sz w:val="24"/>
          <w:szCs w:val="24"/>
        </w:rPr>
        <w:t xml:space="preserve"> </w:t>
      </w:r>
      <w:r w:rsidR="00F041AF" w:rsidRPr="00A624C2">
        <w:rPr>
          <w:rFonts w:ascii="Book Antiqua" w:hAnsi="Book Antiqua" w:cs="AdvOT4b47d116"/>
          <w:color w:val="231F20"/>
          <w:sz w:val="24"/>
          <w:szCs w:val="24"/>
        </w:rPr>
        <w:t>(defined as a SES-CD ≤</w:t>
      </w:r>
      <w:r w:rsidR="003D78B3" w:rsidRPr="00A624C2">
        <w:rPr>
          <w:rFonts w:ascii="Book Antiqua" w:eastAsia="宋体" w:hAnsi="Book Antiqua" w:cs="AdvOT4b47d116"/>
          <w:color w:val="231F20"/>
          <w:sz w:val="24"/>
          <w:szCs w:val="24"/>
          <w:lang w:eastAsia="zh-CN"/>
        </w:rPr>
        <w:t xml:space="preserve"> </w:t>
      </w:r>
      <w:r w:rsidR="00F041AF" w:rsidRPr="00A624C2">
        <w:rPr>
          <w:rFonts w:ascii="Book Antiqua" w:hAnsi="Book Antiqua" w:cs="AdvOT4b47d116"/>
          <w:color w:val="231F20"/>
          <w:sz w:val="24"/>
          <w:szCs w:val="24"/>
        </w:rPr>
        <w:t xml:space="preserve">2) </w:t>
      </w:r>
      <w:r w:rsidR="00BD175F" w:rsidRPr="00A624C2">
        <w:rPr>
          <w:rFonts w:ascii="Book Antiqua" w:hAnsi="Book Antiqua" w:cs="AdvOT4b47d116"/>
          <w:color w:val="231F20"/>
          <w:sz w:val="24"/>
          <w:szCs w:val="24"/>
        </w:rPr>
        <w:t>after 3 mo of treatment predict</w:t>
      </w:r>
      <w:r w:rsidR="007B124F" w:rsidRPr="00A624C2">
        <w:rPr>
          <w:rFonts w:ascii="Book Antiqua" w:hAnsi="Book Antiqua" w:cs="AdvOT4b47d116"/>
          <w:color w:val="231F20"/>
          <w:sz w:val="24"/>
          <w:szCs w:val="24"/>
        </w:rPr>
        <w:t>ed</w:t>
      </w:r>
      <w:r w:rsidR="00BD175F" w:rsidRPr="00A624C2">
        <w:rPr>
          <w:rFonts w:ascii="Book Antiqua" w:hAnsi="Book Antiqua" w:cs="AdvOT4b47d116"/>
          <w:color w:val="231F20"/>
          <w:sz w:val="24"/>
          <w:szCs w:val="24"/>
        </w:rPr>
        <w:t xml:space="preserve"> </w:t>
      </w:r>
      <w:r w:rsidR="008D001F" w:rsidRPr="00A624C2">
        <w:rPr>
          <w:rFonts w:ascii="Book Antiqua" w:hAnsi="Book Antiqua" w:cs="AdvOT4b47d116"/>
          <w:color w:val="231F20"/>
          <w:sz w:val="24"/>
          <w:szCs w:val="24"/>
        </w:rPr>
        <w:t xml:space="preserve">long-term </w:t>
      </w:r>
      <w:r w:rsidR="00D82D56" w:rsidRPr="00A624C2">
        <w:rPr>
          <w:rFonts w:ascii="Book Antiqua" w:hAnsi="Book Antiqua" w:cs="AdvOT4b47d116"/>
          <w:color w:val="231F20"/>
          <w:sz w:val="24"/>
          <w:szCs w:val="24"/>
        </w:rPr>
        <w:t>MH</w:t>
      </w:r>
      <w:r w:rsidR="00BD175F" w:rsidRPr="00A624C2">
        <w:rPr>
          <w:rFonts w:ascii="Book Antiqua" w:hAnsi="Book Antiqua" w:cs="AdvOT4b47d116"/>
          <w:color w:val="231F20"/>
          <w:sz w:val="24"/>
          <w:szCs w:val="24"/>
        </w:rPr>
        <w:t xml:space="preserve"> with </w:t>
      </w:r>
      <w:r w:rsidR="00F041AF" w:rsidRPr="00A624C2">
        <w:rPr>
          <w:rFonts w:ascii="Book Antiqua" w:hAnsi="Book Antiqua" w:cs="AdvOT4b47d116"/>
          <w:color w:val="231F20"/>
          <w:sz w:val="24"/>
          <w:szCs w:val="24"/>
        </w:rPr>
        <w:t xml:space="preserve">88% </w:t>
      </w:r>
      <w:r w:rsidR="008D001F" w:rsidRPr="00A624C2">
        <w:rPr>
          <w:rFonts w:ascii="Book Antiqua" w:hAnsi="Book Antiqua" w:cs="AdvOT4b47d116"/>
          <w:color w:val="231F20"/>
          <w:sz w:val="24"/>
          <w:szCs w:val="24"/>
        </w:rPr>
        <w:t xml:space="preserve">of </w:t>
      </w:r>
      <w:r w:rsidR="00BD175F" w:rsidRPr="00A624C2">
        <w:rPr>
          <w:rFonts w:ascii="Book Antiqua" w:hAnsi="Book Antiqua" w:cs="AdvOT4b47d116"/>
          <w:color w:val="231F20"/>
          <w:sz w:val="24"/>
          <w:szCs w:val="24"/>
        </w:rPr>
        <w:t xml:space="preserve">sensitivity and 64% </w:t>
      </w:r>
      <w:r w:rsidR="008D001F" w:rsidRPr="00A624C2">
        <w:rPr>
          <w:rFonts w:ascii="Book Antiqua" w:hAnsi="Book Antiqua" w:cs="AdvOT4b47d116"/>
          <w:color w:val="231F20"/>
          <w:sz w:val="24"/>
          <w:szCs w:val="24"/>
        </w:rPr>
        <w:t xml:space="preserve">of </w:t>
      </w:r>
      <w:r w:rsidR="00BD175F" w:rsidRPr="00A624C2">
        <w:rPr>
          <w:rFonts w:ascii="Book Antiqua" w:hAnsi="Book Antiqua" w:cs="AdvOT4b47d116"/>
          <w:color w:val="231F20"/>
          <w:sz w:val="24"/>
          <w:szCs w:val="24"/>
        </w:rPr>
        <w:t>speci</w:t>
      </w:r>
      <w:r w:rsidR="00BD175F" w:rsidRPr="00A624C2">
        <w:rPr>
          <w:rFonts w:ascii="Book Antiqua" w:hAnsi="Book Antiqua" w:cs="AdvOT4b47d116+fb"/>
          <w:color w:val="231F20"/>
          <w:sz w:val="24"/>
          <w:szCs w:val="24"/>
        </w:rPr>
        <w:t>fi</w:t>
      </w:r>
      <w:r w:rsidR="00BD175F" w:rsidRPr="00A624C2">
        <w:rPr>
          <w:rFonts w:ascii="Book Antiqua" w:hAnsi="Book Antiqua" w:cs="AdvOT4b47d116"/>
          <w:color w:val="231F20"/>
          <w:sz w:val="24"/>
          <w:szCs w:val="24"/>
        </w:rPr>
        <w:t>city.</w:t>
      </w:r>
      <w:r w:rsidR="00896FCC" w:rsidRPr="00A624C2">
        <w:rPr>
          <w:rFonts w:ascii="Book Antiqua" w:hAnsi="Book Antiqua" w:cs="AdvOT4b47d116"/>
          <w:color w:val="231F20"/>
          <w:sz w:val="24"/>
          <w:szCs w:val="24"/>
        </w:rPr>
        <w:t xml:space="preserve"> </w:t>
      </w:r>
      <w:r w:rsidR="00F352F3" w:rsidRPr="00A624C2">
        <w:rPr>
          <w:rFonts w:ascii="Book Antiqua" w:hAnsi="Book Antiqua" w:cs="AdvOT4b47d116"/>
          <w:iCs/>
          <w:color w:val="231F20"/>
          <w:sz w:val="24"/>
          <w:szCs w:val="24"/>
        </w:rPr>
        <w:t>O</w:t>
      </w:r>
      <w:r w:rsidR="00E003B4" w:rsidRPr="00A624C2">
        <w:rPr>
          <w:rFonts w:ascii="Book Antiqua" w:hAnsi="Book Antiqua" w:cs="AdvOT4b47d116"/>
          <w:iCs/>
          <w:color w:val="231F20"/>
          <w:sz w:val="24"/>
          <w:szCs w:val="24"/>
        </w:rPr>
        <w:t xml:space="preserve">ur study </w:t>
      </w:r>
      <w:r w:rsidR="00F352F3" w:rsidRPr="00A624C2">
        <w:rPr>
          <w:rFonts w:ascii="Book Antiqua" w:hAnsi="Book Antiqua" w:cs="AdvOT4b47d116"/>
          <w:iCs/>
          <w:color w:val="231F20"/>
          <w:sz w:val="24"/>
          <w:szCs w:val="24"/>
        </w:rPr>
        <w:t xml:space="preserve">shows that </w:t>
      </w:r>
      <w:r w:rsidR="00E003B4" w:rsidRPr="00A624C2">
        <w:rPr>
          <w:rFonts w:ascii="Book Antiqua" w:hAnsi="Book Antiqua" w:cs="AdvOT4b47d116"/>
          <w:iCs/>
          <w:color w:val="231F20"/>
          <w:sz w:val="24"/>
          <w:szCs w:val="24"/>
        </w:rPr>
        <w:t>not only achieve</w:t>
      </w:r>
      <w:r w:rsidR="00F352F3" w:rsidRPr="00A624C2">
        <w:rPr>
          <w:rFonts w:ascii="Book Antiqua" w:hAnsi="Book Antiqua" w:cs="AdvOT4b47d116"/>
          <w:iCs/>
          <w:color w:val="231F20"/>
          <w:sz w:val="24"/>
          <w:szCs w:val="24"/>
        </w:rPr>
        <w:t>ment of</w:t>
      </w:r>
      <w:r w:rsidR="00E003B4" w:rsidRPr="00A624C2">
        <w:rPr>
          <w:rFonts w:ascii="Book Antiqua" w:hAnsi="Book Antiqua" w:cs="AdvOT4b47d116"/>
          <w:iCs/>
          <w:color w:val="231F20"/>
          <w:sz w:val="24"/>
          <w:szCs w:val="24"/>
        </w:rPr>
        <w:t xml:space="preserve"> MH </w:t>
      </w:r>
      <w:r w:rsidR="00F352F3" w:rsidRPr="00A624C2">
        <w:rPr>
          <w:rFonts w:ascii="Book Antiqua" w:hAnsi="Book Antiqua" w:cs="AdvOT4b47d116"/>
          <w:iCs/>
          <w:color w:val="231F20"/>
          <w:sz w:val="24"/>
          <w:szCs w:val="24"/>
        </w:rPr>
        <w:t>is a</w:t>
      </w:r>
      <w:r w:rsidR="00E003B4" w:rsidRPr="00A624C2">
        <w:rPr>
          <w:rFonts w:ascii="Book Antiqua" w:hAnsi="Book Antiqua" w:cs="AdvOT4b47d116"/>
          <w:iCs/>
          <w:color w:val="231F20"/>
          <w:sz w:val="24"/>
          <w:szCs w:val="24"/>
        </w:rPr>
        <w:t xml:space="preserve"> predictor of long term MH, but also </w:t>
      </w:r>
      <w:r w:rsidR="008D001F" w:rsidRPr="00A624C2">
        <w:rPr>
          <w:rFonts w:ascii="Book Antiqua" w:hAnsi="Book Antiqua" w:cs="AdvOT4b47d116"/>
          <w:iCs/>
          <w:color w:val="231F20"/>
          <w:sz w:val="24"/>
          <w:szCs w:val="24"/>
        </w:rPr>
        <w:t xml:space="preserve">achievement of </w:t>
      </w:r>
      <w:r w:rsidR="00E003B4" w:rsidRPr="00A624C2">
        <w:rPr>
          <w:rFonts w:ascii="Book Antiqua" w:hAnsi="Book Antiqua" w:cs="AdvOT4b47d116"/>
          <w:iCs/>
          <w:color w:val="231F20"/>
          <w:sz w:val="24"/>
          <w:szCs w:val="24"/>
        </w:rPr>
        <w:t>endoscopic response after</w:t>
      </w:r>
      <w:r w:rsidR="008D001F" w:rsidRPr="00A624C2">
        <w:rPr>
          <w:rFonts w:ascii="Book Antiqua" w:hAnsi="Book Antiqua" w:cs="AdvOT4b47d116"/>
          <w:iCs/>
          <w:color w:val="231F20"/>
          <w:sz w:val="24"/>
          <w:szCs w:val="24"/>
        </w:rPr>
        <w:t xml:space="preserve"> completing</w:t>
      </w:r>
      <w:r w:rsidR="00E003B4" w:rsidRPr="00A624C2">
        <w:rPr>
          <w:rFonts w:ascii="Book Antiqua" w:hAnsi="Book Antiqua" w:cs="AdvOT4b47d116"/>
          <w:iCs/>
          <w:color w:val="231F20"/>
          <w:sz w:val="24"/>
          <w:szCs w:val="24"/>
        </w:rPr>
        <w:t xml:space="preserve"> induction</w:t>
      </w:r>
      <w:r w:rsidR="00F352F3" w:rsidRPr="00A624C2">
        <w:rPr>
          <w:rFonts w:ascii="Book Antiqua" w:hAnsi="Book Antiqua" w:cs="AdvOT4b47d116"/>
          <w:iCs/>
          <w:color w:val="231F20"/>
          <w:sz w:val="24"/>
          <w:szCs w:val="24"/>
        </w:rPr>
        <w:t xml:space="preserve"> predicts MH on the long term</w:t>
      </w:r>
      <w:r w:rsidR="00E003B4" w:rsidRPr="00A624C2">
        <w:rPr>
          <w:rFonts w:ascii="Book Antiqua" w:hAnsi="Book Antiqua" w:cs="AdvOT4b47d116"/>
          <w:iCs/>
          <w:color w:val="231F20"/>
          <w:sz w:val="24"/>
          <w:szCs w:val="24"/>
        </w:rPr>
        <w:t xml:space="preserve">, </w:t>
      </w:r>
      <w:r w:rsidR="00F352F3" w:rsidRPr="00A624C2">
        <w:rPr>
          <w:rFonts w:ascii="Book Antiqua" w:hAnsi="Book Antiqua" w:cs="AdvOT4b47d116"/>
          <w:color w:val="231F20"/>
          <w:sz w:val="24"/>
          <w:szCs w:val="24"/>
        </w:rPr>
        <w:t>expanding</w:t>
      </w:r>
      <w:r w:rsidR="00E003B4" w:rsidRPr="00A624C2">
        <w:rPr>
          <w:rFonts w:ascii="Book Antiqua" w:hAnsi="Book Antiqua" w:cs="AdvOT4b47d116"/>
          <w:color w:val="231F20"/>
          <w:sz w:val="24"/>
          <w:szCs w:val="24"/>
        </w:rPr>
        <w:t xml:space="preserve"> </w:t>
      </w:r>
      <w:r w:rsidR="008D001F" w:rsidRPr="00A624C2">
        <w:rPr>
          <w:rFonts w:ascii="Book Antiqua" w:hAnsi="Book Antiqua" w:cs="AdvOT4b47d116"/>
          <w:color w:val="231F20"/>
          <w:sz w:val="24"/>
          <w:szCs w:val="24"/>
        </w:rPr>
        <w:t xml:space="preserve">thus </w:t>
      </w:r>
      <w:r w:rsidR="00A91E0D" w:rsidRPr="00A624C2">
        <w:rPr>
          <w:rFonts w:ascii="Book Antiqua" w:hAnsi="Book Antiqua" w:cs="AdvOT4b47d116"/>
          <w:color w:val="231F20"/>
          <w:sz w:val="24"/>
          <w:szCs w:val="24"/>
        </w:rPr>
        <w:t xml:space="preserve">the </w:t>
      </w:r>
      <w:r w:rsidR="00E003B4" w:rsidRPr="00A624C2">
        <w:rPr>
          <w:rFonts w:ascii="Book Antiqua" w:hAnsi="Book Antiqua" w:cs="AdvOT4b47d116"/>
          <w:color w:val="231F20"/>
          <w:sz w:val="24"/>
          <w:szCs w:val="24"/>
        </w:rPr>
        <w:t xml:space="preserve">number of patients </w:t>
      </w:r>
      <w:r w:rsidR="00F352F3" w:rsidRPr="00A624C2">
        <w:rPr>
          <w:rFonts w:ascii="Book Antiqua" w:hAnsi="Book Antiqua" w:cs="AdvOT4b47d116"/>
          <w:color w:val="231F20"/>
          <w:sz w:val="24"/>
          <w:szCs w:val="24"/>
        </w:rPr>
        <w:t xml:space="preserve">in </w:t>
      </w:r>
      <w:r w:rsidR="00E003B4" w:rsidRPr="00A624C2">
        <w:rPr>
          <w:rFonts w:ascii="Book Antiqua" w:hAnsi="Book Antiqua" w:cs="AdvOT4b47d116"/>
          <w:color w:val="231F20"/>
          <w:sz w:val="24"/>
          <w:szCs w:val="24"/>
        </w:rPr>
        <w:t>who</w:t>
      </w:r>
      <w:r w:rsidR="00F352F3" w:rsidRPr="00A624C2">
        <w:rPr>
          <w:rFonts w:ascii="Book Antiqua" w:hAnsi="Book Antiqua" w:cs="AdvOT4b47d116"/>
          <w:color w:val="231F20"/>
          <w:sz w:val="24"/>
          <w:szCs w:val="24"/>
        </w:rPr>
        <w:t xml:space="preserve">m a recommendation of continued </w:t>
      </w:r>
      <w:r w:rsidR="00896FCC" w:rsidRPr="00A624C2">
        <w:rPr>
          <w:rFonts w:ascii="Book Antiqua" w:hAnsi="Book Antiqua" w:cs="AdvOT4b47d116"/>
          <w:color w:val="231F20"/>
          <w:sz w:val="24"/>
          <w:szCs w:val="24"/>
        </w:rPr>
        <w:t>a</w:t>
      </w:r>
      <w:r w:rsidR="00F352F3" w:rsidRPr="00A624C2">
        <w:rPr>
          <w:rFonts w:ascii="Book Antiqua" w:hAnsi="Book Antiqua" w:cs="AdvOT4b47d116"/>
          <w:color w:val="231F20"/>
          <w:sz w:val="24"/>
          <w:szCs w:val="24"/>
        </w:rPr>
        <w:t xml:space="preserve">nti-TNF therapy is </w:t>
      </w:r>
      <w:r w:rsidR="00A91E0D" w:rsidRPr="00A624C2">
        <w:rPr>
          <w:rFonts w:ascii="Book Antiqua" w:hAnsi="Book Antiqua" w:cs="AdvOT4b47d116"/>
          <w:color w:val="231F20"/>
          <w:sz w:val="24"/>
          <w:szCs w:val="24"/>
        </w:rPr>
        <w:t>made after induction</w:t>
      </w:r>
      <w:r w:rsidR="00F352F3" w:rsidRPr="00A624C2">
        <w:rPr>
          <w:rFonts w:ascii="Book Antiqua" w:hAnsi="Book Antiqua" w:cs="AdvOT4b47d116"/>
          <w:color w:val="231F20"/>
          <w:sz w:val="24"/>
          <w:szCs w:val="24"/>
        </w:rPr>
        <w:t xml:space="preserve"> with high probability of achieving the therapeutic target</w:t>
      </w:r>
      <w:r w:rsidR="00A91E0D" w:rsidRPr="00A624C2">
        <w:rPr>
          <w:rFonts w:ascii="Book Antiqua" w:hAnsi="Book Antiqua" w:cs="AdvOT4b47d116"/>
          <w:color w:val="231F20"/>
          <w:sz w:val="24"/>
          <w:szCs w:val="24"/>
        </w:rPr>
        <w:t xml:space="preserve"> </w:t>
      </w:r>
      <w:r w:rsidR="009F5B3B" w:rsidRPr="00A624C2">
        <w:rPr>
          <w:rFonts w:ascii="Book Antiqua" w:hAnsi="Book Antiqua" w:cs="AdvOT4b47d116"/>
          <w:color w:val="231F20"/>
          <w:sz w:val="24"/>
          <w:szCs w:val="24"/>
        </w:rPr>
        <w:t>o</w:t>
      </w:r>
      <w:r w:rsidR="00A91E0D" w:rsidRPr="00A624C2">
        <w:rPr>
          <w:rFonts w:ascii="Book Antiqua" w:hAnsi="Book Antiqua" w:cs="AdvOT4b47d116"/>
          <w:color w:val="231F20"/>
          <w:sz w:val="24"/>
          <w:szCs w:val="24"/>
        </w:rPr>
        <w:t>f MH</w:t>
      </w:r>
      <w:r w:rsidR="00F352F3" w:rsidRPr="00A624C2">
        <w:rPr>
          <w:rFonts w:ascii="Book Antiqua" w:hAnsi="Book Antiqua" w:cs="AdvOT4b47d116"/>
          <w:color w:val="231F20"/>
          <w:sz w:val="24"/>
          <w:szCs w:val="24"/>
        </w:rPr>
        <w:t xml:space="preserve"> at week 46</w:t>
      </w:r>
      <w:r w:rsidR="00E003B4" w:rsidRPr="00A624C2">
        <w:rPr>
          <w:rFonts w:ascii="Book Antiqua" w:hAnsi="Book Antiqua" w:cs="AdvOT4b47d116"/>
          <w:color w:val="231F20"/>
          <w:sz w:val="24"/>
          <w:szCs w:val="24"/>
        </w:rPr>
        <w:t>.</w:t>
      </w:r>
      <w:r w:rsidR="00A91E0D" w:rsidRPr="00A624C2">
        <w:rPr>
          <w:rFonts w:ascii="Book Antiqua" w:hAnsi="Book Antiqua" w:cs="AdvOT4b47d116"/>
          <w:color w:val="231F20"/>
          <w:sz w:val="24"/>
          <w:szCs w:val="24"/>
        </w:rPr>
        <w:t xml:space="preserve"> </w:t>
      </w:r>
    </w:p>
    <w:p w14:paraId="3E2C3318" w14:textId="6D6035D9" w:rsidR="003608C2" w:rsidRPr="00A624C2" w:rsidRDefault="006D5F77" w:rsidP="003D78B3">
      <w:pPr>
        <w:autoSpaceDE w:val="0"/>
        <w:autoSpaceDN w:val="0"/>
        <w:adjustRightInd w:val="0"/>
        <w:spacing w:after="0" w:line="360" w:lineRule="auto"/>
        <w:ind w:firstLineChars="100" w:firstLine="240"/>
        <w:jc w:val="both"/>
        <w:rPr>
          <w:rFonts w:ascii="Book Antiqua" w:eastAsia="宋体" w:hAnsi="Book Antiqua" w:cs="AdvOT223abdbc"/>
          <w:sz w:val="24"/>
          <w:szCs w:val="24"/>
          <w:lang w:eastAsia="zh-CN"/>
        </w:rPr>
      </w:pPr>
      <w:r w:rsidRPr="00A624C2">
        <w:rPr>
          <w:rFonts w:ascii="Book Antiqua" w:hAnsi="Book Antiqua"/>
          <w:sz w:val="24"/>
          <w:szCs w:val="24"/>
        </w:rPr>
        <w:t>T</w:t>
      </w:r>
      <w:r w:rsidR="009154E9" w:rsidRPr="00A624C2">
        <w:rPr>
          <w:rFonts w:ascii="Book Antiqua" w:hAnsi="Book Antiqua"/>
          <w:sz w:val="24"/>
          <w:szCs w:val="24"/>
        </w:rPr>
        <w:t xml:space="preserve">he percentage of CDEIS reduction as a predictor </w:t>
      </w:r>
      <w:r w:rsidR="00315519" w:rsidRPr="00A624C2">
        <w:rPr>
          <w:rFonts w:ascii="Book Antiqua" w:hAnsi="Book Antiqua"/>
          <w:sz w:val="24"/>
          <w:szCs w:val="24"/>
        </w:rPr>
        <w:t xml:space="preserve">of </w:t>
      </w:r>
      <w:r w:rsidR="00E30A32" w:rsidRPr="00A624C2">
        <w:rPr>
          <w:rFonts w:ascii="Book Antiqua" w:hAnsi="Book Antiqua"/>
          <w:sz w:val="24"/>
          <w:szCs w:val="24"/>
        </w:rPr>
        <w:t>clinical outcomes</w:t>
      </w:r>
      <w:r w:rsidR="00315519" w:rsidRPr="00A624C2">
        <w:rPr>
          <w:rFonts w:ascii="Book Antiqua" w:hAnsi="Book Antiqua"/>
          <w:sz w:val="24"/>
          <w:szCs w:val="24"/>
        </w:rPr>
        <w:t xml:space="preserve"> has been </w:t>
      </w:r>
      <w:r w:rsidR="009154E9" w:rsidRPr="00A624C2">
        <w:rPr>
          <w:rFonts w:ascii="Book Antiqua" w:hAnsi="Book Antiqua"/>
          <w:sz w:val="24"/>
          <w:szCs w:val="24"/>
        </w:rPr>
        <w:t>e</w:t>
      </w:r>
      <w:r w:rsidR="009154E9" w:rsidRPr="00A624C2">
        <w:rPr>
          <w:rFonts w:ascii="Book Antiqua" w:hAnsi="Book Antiqua" w:cs="AdvOT4b47d116"/>
          <w:color w:val="231F20"/>
          <w:sz w:val="24"/>
          <w:szCs w:val="24"/>
        </w:rPr>
        <w:t xml:space="preserve">valuated </w:t>
      </w:r>
      <w:r w:rsidR="00315519" w:rsidRPr="00A624C2">
        <w:rPr>
          <w:rFonts w:ascii="Book Antiqua" w:hAnsi="Book Antiqua" w:cs="AdvOT4b47d116"/>
          <w:color w:val="231F20"/>
          <w:sz w:val="24"/>
          <w:szCs w:val="24"/>
        </w:rPr>
        <w:t>i</w:t>
      </w:r>
      <w:r w:rsidR="009154E9" w:rsidRPr="00A624C2">
        <w:rPr>
          <w:rFonts w:ascii="Book Antiqua" w:hAnsi="Book Antiqua" w:cs="AdvOT4b47d116"/>
          <w:color w:val="231F20"/>
          <w:sz w:val="24"/>
          <w:szCs w:val="24"/>
        </w:rPr>
        <w:t>n</w:t>
      </w:r>
      <w:r w:rsidR="006846BC" w:rsidRPr="00A624C2">
        <w:rPr>
          <w:rFonts w:ascii="Book Antiqua" w:hAnsi="Book Antiqua" w:cs="AdvOT4b47d116"/>
          <w:color w:val="231F20"/>
          <w:sz w:val="24"/>
          <w:szCs w:val="24"/>
        </w:rPr>
        <w:t xml:space="preserve"> a</w:t>
      </w:r>
      <w:r w:rsidR="00A303EE" w:rsidRPr="00A624C2">
        <w:rPr>
          <w:rFonts w:ascii="Book Antiqua" w:hAnsi="Book Antiqua"/>
          <w:sz w:val="24"/>
          <w:szCs w:val="24"/>
        </w:rPr>
        <w:t xml:space="preserve"> </w:t>
      </w:r>
      <w:r w:rsidR="00315519" w:rsidRPr="00A624C2">
        <w:rPr>
          <w:rFonts w:ascii="Book Antiqua" w:hAnsi="Book Antiqua"/>
          <w:sz w:val="24"/>
          <w:szCs w:val="24"/>
        </w:rPr>
        <w:t>post-hoc analysis</w:t>
      </w:r>
      <w:r w:rsidR="00A303EE" w:rsidRPr="00A624C2">
        <w:rPr>
          <w:rFonts w:ascii="Book Antiqua" w:hAnsi="Book Antiqua"/>
          <w:sz w:val="24"/>
          <w:szCs w:val="24"/>
        </w:rPr>
        <w:t xml:space="preserve"> of the SONIC trial</w:t>
      </w:r>
      <w:r w:rsidR="003D78B3" w:rsidRPr="00A624C2">
        <w:rPr>
          <w:rFonts w:ascii="Book Antiqua" w:eastAsia="宋体" w:hAnsi="Book Antiqua"/>
          <w:sz w:val="24"/>
          <w:szCs w:val="24"/>
          <w:vertAlign w:val="superscript"/>
          <w:lang w:eastAsia="zh-CN"/>
        </w:rPr>
        <w:t>[15]</w:t>
      </w:r>
      <w:r w:rsidR="008D001F" w:rsidRPr="00A624C2">
        <w:rPr>
          <w:rFonts w:ascii="Book Antiqua" w:hAnsi="Book Antiqua"/>
          <w:sz w:val="24"/>
          <w:szCs w:val="24"/>
        </w:rPr>
        <w:t>.</w:t>
      </w:r>
      <w:r w:rsidR="009154E9" w:rsidRPr="00A624C2">
        <w:rPr>
          <w:rFonts w:ascii="Book Antiqua" w:hAnsi="Book Antiqua"/>
          <w:sz w:val="24"/>
          <w:szCs w:val="24"/>
        </w:rPr>
        <w:t xml:space="preserve"> </w:t>
      </w:r>
      <w:r w:rsidR="00315519" w:rsidRPr="00A624C2">
        <w:rPr>
          <w:rFonts w:ascii="Book Antiqua" w:hAnsi="Book Antiqua"/>
          <w:sz w:val="24"/>
          <w:szCs w:val="24"/>
        </w:rPr>
        <w:t>In t</w:t>
      </w:r>
      <w:r w:rsidR="009154E9" w:rsidRPr="00A624C2">
        <w:rPr>
          <w:rFonts w:ascii="Book Antiqua" w:hAnsi="Book Antiqua"/>
          <w:sz w:val="24"/>
          <w:szCs w:val="24"/>
        </w:rPr>
        <w:t>his study</w:t>
      </w:r>
      <w:r w:rsidR="00315519" w:rsidRPr="00A624C2">
        <w:rPr>
          <w:rFonts w:ascii="Book Antiqua" w:hAnsi="Book Antiqua"/>
          <w:sz w:val="24"/>
          <w:szCs w:val="24"/>
        </w:rPr>
        <w:t>,</w:t>
      </w:r>
      <w:r w:rsidR="009154E9" w:rsidRPr="00A624C2">
        <w:rPr>
          <w:rFonts w:ascii="Book Antiqua" w:hAnsi="Book Antiqua"/>
          <w:sz w:val="24"/>
          <w:szCs w:val="24"/>
        </w:rPr>
        <w:t xml:space="preserve"> </w:t>
      </w:r>
      <w:r w:rsidR="00803EC9" w:rsidRPr="00A624C2">
        <w:rPr>
          <w:rFonts w:ascii="Book Antiqua" w:hAnsi="Book Antiqua"/>
          <w:sz w:val="24"/>
          <w:szCs w:val="24"/>
        </w:rPr>
        <w:t xml:space="preserve">a </w:t>
      </w:r>
      <w:r w:rsidR="00803EC9" w:rsidRPr="00A624C2">
        <w:rPr>
          <w:rFonts w:ascii="Book Antiqua" w:hAnsi="Book Antiqua" w:cs="AdvOT223abdbc"/>
          <w:sz w:val="24"/>
          <w:szCs w:val="24"/>
        </w:rPr>
        <w:t>decrease from</w:t>
      </w:r>
      <w:r w:rsidR="007B124F" w:rsidRPr="00A624C2">
        <w:rPr>
          <w:rFonts w:ascii="Book Antiqua" w:hAnsi="Book Antiqua" w:cs="AdvOT223abdbc"/>
          <w:sz w:val="24"/>
          <w:szCs w:val="24"/>
        </w:rPr>
        <w:t xml:space="preserve"> the</w:t>
      </w:r>
      <w:r w:rsidR="00803EC9" w:rsidRPr="00A624C2">
        <w:rPr>
          <w:rFonts w:ascii="Book Antiqua" w:hAnsi="Book Antiqua" w:cs="AdvOT223abdbc"/>
          <w:sz w:val="24"/>
          <w:szCs w:val="24"/>
        </w:rPr>
        <w:t xml:space="preserve"> baseline CDEIS of at least 50% at week 26 predicted </w:t>
      </w:r>
      <w:r w:rsidR="00472D38" w:rsidRPr="00A624C2">
        <w:rPr>
          <w:rFonts w:ascii="Book Antiqua" w:hAnsi="Book Antiqua" w:cs="AdvOT223abdbc"/>
          <w:sz w:val="24"/>
          <w:szCs w:val="24"/>
        </w:rPr>
        <w:t>steroid</w:t>
      </w:r>
      <w:r w:rsidR="00803EC9" w:rsidRPr="00A624C2">
        <w:rPr>
          <w:rFonts w:ascii="Book Antiqua" w:hAnsi="Book Antiqua" w:cs="AdvOT223abdbc"/>
          <w:sz w:val="24"/>
          <w:szCs w:val="24"/>
        </w:rPr>
        <w:t>-free clinical remission at week 50</w:t>
      </w:r>
      <w:r w:rsidR="009B22F7" w:rsidRPr="00A624C2">
        <w:rPr>
          <w:rFonts w:ascii="Book Antiqua" w:hAnsi="Book Antiqua" w:cs="AdvOT223abdbc"/>
          <w:sz w:val="24"/>
          <w:szCs w:val="24"/>
        </w:rPr>
        <w:t xml:space="preserve"> with a sensitivity of 73% and a specificity of </w:t>
      </w:r>
      <w:r w:rsidR="009D214B" w:rsidRPr="00A624C2">
        <w:rPr>
          <w:rFonts w:ascii="Book Antiqua" w:hAnsi="Book Antiqua" w:cs="AdvOT223abdbc"/>
          <w:sz w:val="24"/>
          <w:szCs w:val="24"/>
        </w:rPr>
        <w:t>46 %</w:t>
      </w:r>
      <w:r w:rsidR="009D214B" w:rsidRPr="00A624C2">
        <w:rPr>
          <w:rFonts w:ascii="Book Antiqua" w:hAnsi="Book Antiqua"/>
          <w:sz w:val="24"/>
          <w:szCs w:val="24"/>
        </w:rPr>
        <w:t xml:space="preserve">.  </w:t>
      </w:r>
      <w:r w:rsidR="009D214B" w:rsidRPr="00A624C2">
        <w:rPr>
          <w:rFonts w:ascii="Book Antiqua" w:hAnsi="Book Antiqua" w:cs="AdvOT223abdbc"/>
          <w:sz w:val="24"/>
          <w:szCs w:val="24"/>
        </w:rPr>
        <w:t>We consider</w:t>
      </w:r>
      <w:r w:rsidR="00472D38" w:rsidRPr="00A624C2">
        <w:rPr>
          <w:rFonts w:ascii="Book Antiqua" w:hAnsi="Book Antiqua" w:cs="AdvOT223abdbc"/>
          <w:sz w:val="24"/>
          <w:szCs w:val="24"/>
        </w:rPr>
        <w:t>, though,</w:t>
      </w:r>
      <w:r w:rsidR="009D214B" w:rsidRPr="00A624C2">
        <w:rPr>
          <w:rFonts w:ascii="Book Antiqua" w:hAnsi="Book Antiqua" w:cs="AdvOT223abdbc"/>
          <w:sz w:val="24"/>
          <w:szCs w:val="24"/>
        </w:rPr>
        <w:t xml:space="preserve"> that </w:t>
      </w:r>
      <w:r w:rsidR="00D147A6" w:rsidRPr="00A624C2">
        <w:rPr>
          <w:rFonts w:ascii="Book Antiqua" w:hAnsi="Book Antiqua" w:cs="AdvOT223abdbc"/>
          <w:sz w:val="24"/>
          <w:szCs w:val="24"/>
        </w:rPr>
        <w:t xml:space="preserve">objective demonstration of </w:t>
      </w:r>
      <w:r w:rsidR="00315519" w:rsidRPr="00A624C2">
        <w:rPr>
          <w:rFonts w:ascii="Book Antiqua" w:hAnsi="Book Antiqua" w:cs="AdvOT223abdbc"/>
          <w:sz w:val="24"/>
          <w:szCs w:val="24"/>
        </w:rPr>
        <w:t>MH</w:t>
      </w:r>
      <w:r w:rsidR="009D214B" w:rsidRPr="00A624C2">
        <w:rPr>
          <w:rFonts w:ascii="Book Antiqua" w:hAnsi="Book Antiqua" w:cs="AdvOT223abdbc"/>
          <w:sz w:val="24"/>
          <w:szCs w:val="24"/>
        </w:rPr>
        <w:t xml:space="preserve"> </w:t>
      </w:r>
      <w:r w:rsidR="00D147A6" w:rsidRPr="00A624C2">
        <w:rPr>
          <w:rFonts w:ascii="Book Antiqua" w:hAnsi="Book Antiqua" w:cs="AdvOT223abdbc"/>
          <w:sz w:val="24"/>
          <w:szCs w:val="24"/>
        </w:rPr>
        <w:t xml:space="preserve">by endoscopy </w:t>
      </w:r>
      <w:r w:rsidR="009D214B" w:rsidRPr="00A624C2">
        <w:rPr>
          <w:rFonts w:ascii="Book Antiqua" w:hAnsi="Book Antiqua" w:cs="AdvOT223abdbc"/>
          <w:sz w:val="24"/>
          <w:szCs w:val="24"/>
        </w:rPr>
        <w:t xml:space="preserve">is a </w:t>
      </w:r>
      <w:r w:rsidR="00D147A6" w:rsidRPr="00A624C2">
        <w:rPr>
          <w:rFonts w:ascii="Book Antiqua" w:hAnsi="Book Antiqua" w:cs="AdvOT223abdbc"/>
          <w:sz w:val="24"/>
          <w:szCs w:val="24"/>
        </w:rPr>
        <w:t>more robust</w:t>
      </w:r>
      <w:r w:rsidR="009D214B" w:rsidRPr="00A624C2">
        <w:rPr>
          <w:rFonts w:ascii="Book Antiqua" w:hAnsi="Book Antiqua" w:cs="AdvOT223abdbc"/>
          <w:sz w:val="24"/>
          <w:szCs w:val="24"/>
        </w:rPr>
        <w:t xml:space="preserve"> endpoint than </w:t>
      </w:r>
      <w:r w:rsidR="00472D38" w:rsidRPr="00A624C2">
        <w:rPr>
          <w:rFonts w:ascii="Book Antiqua" w:hAnsi="Book Antiqua" w:cs="AdvOT223abdbc"/>
          <w:sz w:val="24"/>
          <w:szCs w:val="24"/>
        </w:rPr>
        <w:t>steroid</w:t>
      </w:r>
      <w:r w:rsidR="009D214B" w:rsidRPr="00A624C2">
        <w:rPr>
          <w:rFonts w:ascii="Book Antiqua" w:hAnsi="Book Antiqua" w:cs="AdvOT223abdbc"/>
          <w:sz w:val="24"/>
          <w:szCs w:val="24"/>
        </w:rPr>
        <w:t>-free clinical remission</w:t>
      </w:r>
      <w:r w:rsidR="00315519" w:rsidRPr="00A624C2">
        <w:rPr>
          <w:rFonts w:ascii="Book Antiqua" w:hAnsi="Book Antiqua" w:cs="AdvOT223abdbc"/>
          <w:sz w:val="24"/>
          <w:szCs w:val="24"/>
        </w:rPr>
        <w:t>.</w:t>
      </w:r>
      <w:r w:rsidR="009D214B" w:rsidRPr="00A624C2">
        <w:rPr>
          <w:rFonts w:ascii="Book Antiqua" w:hAnsi="Book Antiqua" w:cs="AdvOT223abdbc"/>
          <w:sz w:val="24"/>
          <w:szCs w:val="24"/>
        </w:rPr>
        <w:t xml:space="preserve"> </w:t>
      </w:r>
      <w:r w:rsidR="00315519" w:rsidRPr="00A624C2">
        <w:rPr>
          <w:rFonts w:ascii="Book Antiqua" w:hAnsi="Book Antiqua" w:cs="AdvOT223abdbc"/>
          <w:sz w:val="24"/>
          <w:szCs w:val="24"/>
        </w:rPr>
        <w:t>In addition,</w:t>
      </w:r>
      <w:r w:rsidR="009D214B" w:rsidRPr="00A624C2">
        <w:rPr>
          <w:rFonts w:ascii="Book Antiqua" w:hAnsi="Book Antiqua" w:cs="AdvOT223abdbc"/>
          <w:sz w:val="24"/>
          <w:szCs w:val="24"/>
        </w:rPr>
        <w:t xml:space="preserve"> a specificity of 46%</w:t>
      </w:r>
      <w:r w:rsidR="00CB1AE2" w:rsidRPr="00A624C2">
        <w:rPr>
          <w:rFonts w:ascii="Book Antiqua" w:hAnsi="Book Antiqua" w:cs="AdvOT223abdbc"/>
          <w:sz w:val="24"/>
          <w:szCs w:val="24"/>
        </w:rPr>
        <w:t xml:space="preserve"> can lead to a high rate of false positives. </w:t>
      </w:r>
    </w:p>
    <w:p w14:paraId="02249639" w14:textId="02B9F0D1" w:rsidR="00875181" w:rsidRPr="00A624C2" w:rsidRDefault="009D214B" w:rsidP="003D78B3">
      <w:pPr>
        <w:autoSpaceDE w:val="0"/>
        <w:autoSpaceDN w:val="0"/>
        <w:adjustRightInd w:val="0"/>
        <w:spacing w:after="0" w:line="360" w:lineRule="auto"/>
        <w:ind w:firstLineChars="100" w:firstLine="240"/>
        <w:jc w:val="both"/>
        <w:rPr>
          <w:rFonts w:ascii="Book Antiqua" w:eastAsia="宋体" w:hAnsi="Book Antiqua" w:cs="AdvOTb63a3543.I"/>
          <w:color w:val="231F20"/>
          <w:sz w:val="24"/>
          <w:szCs w:val="24"/>
          <w:lang w:eastAsia="zh-CN"/>
        </w:rPr>
      </w:pPr>
      <w:r w:rsidRPr="00A624C2">
        <w:rPr>
          <w:rFonts w:ascii="Book Antiqua" w:hAnsi="Book Antiqua" w:cs="AdvOT223abdbc"/>
          <w:sz w:val="24"/>
          <w:szCs w:val="24"/>
        </w:rPr>
        <w:t>In our cohort</w:t>
      </w:r>
      <w:r w:rsidR="00315519" w:rsidRPr="00A624C2">
        <w:rPr>
          <w:rFonts w:ascii="Book Antiqua" w:hAnsi="Book Antiqua" w:cs="AdvOT223abdbc"/>
          <w:sz w:val="24"/>
          <w:szCs w:val="24"/>
        </w:rPr>
        <w:t>,</w:t>
      </w:r>
      <w:r w:rsidRPr="00A624C2">
        <w:rPr>
          <w:rFonts w:ascii="Book Antiqua" w:hAnsi="Book Antiqua" w:cs="AdvOT223abdbc"/>
          <w:sz w:val="24"/>
          <w:szCs w:val="24"/>
        </w:rPr>
        <w:t xml:space="preserve"> a</w:t>
      </w:r>
      <w:r w:rsidR="009154E9" w:rsidRPr="00A624C2">
        <w:rPr>
          <w:rFonts w:ascii="Book Antiqua" w:hAnsi="Book Antiqua" w:cs="AdvOT4b47d116"/>
          <w:color w:val="231F20"/>
          <w:sz w:val="24"/>
          <w:szCs w:val="24"/>
        </w:rPr>
        <w:t xml:space="preserve"> </w:t>
      </w:r>
      <w:r w:rsidRPr="00A624C2">
        <w:rPr>
          <w:rFonts w:ascii="Book Antiqua" w:hAnsi="Book Antiqua" w:cs="AdvOT4b47d116"/>
          <w:color w:val="231F20"/>
          <w:sz w:val="24"/>
          <w:szCs w:val="24"/>
        </w:rPr>
        <w:t>decrease</w:t>
      </w:r>
      <w:r w:rsidR="009154E9" w:rsidRPr="00A624C2">
        <w:rPr>
          <w:rFonts w:ascii="Book Antiqua" w:hAnsi="Book Antiqua" w:cs="AdvOT4b47d116"/>
          <w:color w:val="231F20"/>
          <w:sz w:val="24"/>
          <w:szCs w:val="24"/>
        </w:rPr>
        <w:t xml:space="preserve"> of</w:t>
      </w:r>
      <w:r w:rsidR="00472D38" w:rsidRPr="00A624C2">
        <w:rPr>
          <w:rFonts w:ascii="Book Antiqua" w:hAnsi="Book Antiqua" w:cs="AdvOT4b47d116"/>
          <w:color w:val="231F20"/>
          <w:sz w:val="24"/>
          <w:szCs w:val="24"/>
        </w:rPr>
        <w:t xml:space="preserve"> at least</w:t>
      </w:r>
      <w:r w:rsidR="009154E9" w:rsidRPr="00A624C2">
        <w:rPr>
          <w:rFonts w:ascii="Book Antiqua" w:hAnsi="Book Antiqua" w:cs="AdvOT4b47d116"/>
          <w:color w:val="231F20"/>
          <w:sz w:val="24"/>
          <w:szCs w:val="24"/>
        </w:rPr>
        <w:t xml:space="preserve"> 50% from baseline CDEIS</w:t>
      </w:r>
      <w:r w:rsidR="00472D38" w:rsidRPr="00A624C2">
        <w:rPr>
          <w:rFonts w:ascii="Book Antiqua" w:hAnsi="Book Antiqua" w:cs="AdvOT4b47d116"/>
          <w:color w:val="231F20"/>
          <w:sz w:val="24"/>
          <w:szCs w:val="24"/>
        </w:rPr>
        <w:t xml:space="preserve"> at week 14</w:t>
      </w:r>
      <w:r w:rsidR="009154E9" w:rsidRPr="00A624C2">
        <w:rPr>
          <w:rFonts w:ascii="Book Antiqua" w:hAnsi="Book Antiqua" w:cs="AdvOT4b47d116"/>
          <w:color w:val="231F20"/>
          <w:sz w:val="24"/>
          <w:szCs w:val="24"/>
        </w:rPr>
        <w:t xml:space="preserve"> ha</w:t>
      </w:r>
      <w:r w:rsidR="00E85B5F" w:rsidRPr="00A624C2">
        <w:rPr>
          <w:rFonts w:ascii="Book Antiqua" w:hAnsi="Book Antiqua" w:cs="AdvOT4b47d116"/>
          <w:color w:val="231F20"/>
          <w:sz w:val="24"/>
          <w:szCs w:val="24"/>
        </w:rPr>
        <w:t>d</w:t>
      </w:r>
      <w:r w:rsidR="009154E9" w:rsidRPr="00A624C2">
        <w:rPr>
          <w:rFonts w:ascii="Book Antiqua" w:hAnsi="Book Antiqua" w:cs="AdvOT4b47d116"/>
          <w:color w:val="231F20"/>
          <w:sz w:val="24"/>
          <w:szCs w:val="24"/>
        </w:rPr>
        <w:t xml:space="preserve"> a</w:t>
      </w:r>
      <w:r w:rsidRPr="00A624C2">
        <w:rPr>
          <w:rFonts w:ascii="Book Antiqua" w:hAnsi="Book Antiqua" w:cs="AdvOT4b47d116"/>
          <w:color w:val="231F20"/>
          <w:sz w:val="24"/>
          <w:szCs w:val="24"/>
        </w:rPr>
        <w:t xml:space="preserve"> </w:t>
      </w:r>
      <w:r w:rsidR="00315519" w:rsidRPr="00A624C2">
        <w:rPr>
          <w:rFonts w:ascii="Book Antiqua" w:hAnsi="Book Antiqua" w:cs="AdvOT4b47d116"/>
          <w:color w:val="231F20"/>
          <w:sz w:val="24"/>
          <w:szCs w:val="24"/>
        </w:rPr>
        <w:t xml:space="preserve">sensitivity </w:t>
      </w:r>
      <w:r w:rsidR="00250DDF" w:rsidRPr="00A624C2">
        <w:rPr>
          <w:rFonts w:ascii="Book Antiqua" w:hAnsi="Book Antiqua" w:cs="AdvOT4b47d116"/>
          <w:color w:val="231F20"/>
          <w:sz w:val="24"/>
          <w:szCs w:val="24"/>
        </w:rPr>
        <w:t xml:space="preserve">of </w:t>
      </w:r>
      <w:r w:rsidR="00642BEF" w:rsidRPr="00A624C2">
        <w:rPr>
          <w:rFonts w:ascii="Book Antiqua" w:hAnsi="Book Antiqua" w:cs="AdvOT4b47d116"/>
          <w:color w:val="231F20"/>
          <w:sz w:val="24"/>
          <w:szCs w:val="24"/>
        </w:rPr>
        <w:t>8</w:t>
      </w:r>
      <w:r w:rsidR="00116B82" w:rsidRPr="00A624C2">
        <w:rPr>
          <w:rFonts w:ascii="Book Antiqua" w:hAnsi="Book Antiqua" w:cs="AdvOT4b47d116"/>
          <w:color w:val="231F20"/>
          <w:sz w:val="24"/>
          <w:szCs w:val="24"/>
        </w:rPr>
        <w:t>5</w:t>
      </w:r>
      <w:r w:rsidR="00250DDF" w:rsidRPr="00A624C2">
        <w:rPr>
          <w:rFonts w:ascii="Book Antiqua" w:hAnsi="Book Antiqua" w:cs="AdvOT4b47d116"/>
          <w:color w:val="231F20"/>
          <w:sz w:val="24"/>
          <w:szCs w:val="24"/>
        </w:rPr>
        <w:t>%</w:t>
      </w:r>
      <w:r w:rsidR="00E85B5F" w:rsidRPr="00A624C2">
        <w:rPr>
          <w:rFonts w:ascii="Book Antiqua" w:hAnsi="Book Antiqua" w:cs="AdvOT4b47d116"/>
          <w:color w:val="231F20"/>
          <w:sz w:val="24"/>
          <w:szCs w:val="24"/>
        </w:rPr>
        <w:t xml:space="preserve"> </w:t>
      </w:r>
      <w:r w:rsidR="008D001F" w:rsidRPr="00A624C2">
        <w:rPr>
          <w:rFonts w:ascii="Book Antiqua" w:hAnsi="Book Antiqua" w:cs="AdvOT4b47d116"/>
          <w:color w:val="231F20"/>
          <w:sz w:val="24"/>
          <w:szCs w:val="24"/>
        </w:rPr>
        <w:t>and</w:t>
      </w:r>
      <w:r w:rsidRPr="00A624C2">
        <w:rPr>
          <w:rFonts w:ascii="Book Antiqua" w:hAnsi="Book Antiqua" w:cs="AdvOT4b47d116"/>
          <w:color w:val="231F20"/>
          <w:sz w:val="24"/>
          <w:szCs w:val="24"/>
        </w:rPr>
        <w:t xml:space="preserve"> </w:t>
      </w:r>
      <w:r w:rsidR="00116B82" w:rsidRPr="00A624C2">
        <w:rPr>
          <w:rFonts w:ascii="Book Antiqua" w:hAnsi="Book Antiqua" w:cs="AdvOT4b47d116"/>
          <w:color w:val="231F20"/>
          <w:sz w:val="24"/>
          <w:szCs w:val="24"/>
        </w:rPr>
        <w:t>moderate</w:t>
      </w:r>
      <w:r w:rsidRPr="00A624C2">
        <w:rPr>
          <w:rFonts w:ascii="Book Antiqua" w:hAnsi="Book Antiqua" w:cs="AdvOT4b47d116"/>
          <w:color w:val="231F20"/>
          <w:sz w:val="24"/>
          <w:szCs w:val="24"/>
        </w:rPr>
        <w:t xml:space="preserve"> </w:t>
      </w:r>
      <w:r w:rsidR="009154E9" w:rsidRPr="00A624C2">
        <w:rPr>
          <w:rFonts w:ascii="Book Antiqua" w:hAnsi="Book Antiqua" w:cs="AdvOT4b47d116"/>
          <w:color w:val="231F20"/>
          <w:sz w:val="24"/>
          <w:szCs w:val="24"/>
        </w:rPr>
        <w:t>specific</w:t>
      </w:r>
      <w:r w:rsidRPr="00A624C2">
        <w:rPr>
          <w:rFonts w:ascii="Book Antiqua" w:hAnsi="Book Antiqua" w:cs="AdvOT4b47d116"/>
          <w:color w:val="231F20"/>
          <w:sz w:val="24"/>
          <w:szCs w:val="24"/>
        </w:rPr>
        <w:t>ity (</w:t>
      </w:r>
      <w:r w:rsidR="00116B82" w:rsidRPr="00A624C2">
        <w:rPr>
          <w:rFonts w:ascii="Book Antiqua" w:hAnsi="Book Antiqua" w:cs="AdvOT4b47d116"/>
          <w:color w:val="231F20"/>
          <w:sz w:val="24"/>
          <w:szCs w:val="24"/>
        </w:rPr>
        <w:t>66</w:t>
      </w:r>
      <w:r w:rsidRPr="00A624C2">
        <w:rPr>
          <w:rFonts w:ascii="Book Antiqua" w:hAnsi="Book Antiqua" w:cs="AdvOT4b47d116"/>
          <w:color w:val="231F20"/>
          <w:sz w:val="24"/>
          <w:szCs w:val="24"/>
        </w:rPr>
        <w:t>%).</w:t>
      </w:r>
      <w:r w:rsidR="00472D38" w:rsidRPr="00A624C2">
        <w:rPr>
          <w:rFonts w:ascii="Book Antiqua" w:hAnsi="Book Antiqua" w:cs="AdvOT4b47d116"/>
          <w:color w:val="231F20"/>
          <w:sz w:val="24"/>
          <w:szCs w:val="24"/>
        </w:rPr>
        <w:t xml:space="preserve"> In our study</w:t>
      </w:r>
      <w:r w:rsidR="00E85B5F" w:rsidRPr="00A624C2">
        <w:rPr>
          <w:rFonts w:ascii="Book Antiqua" w:hAnsi="Book Antiqua" w:cs="AdvOT4b47d116"/>
          <w:color w:val="231F20"/>
          <w:sz w:val="24"/>
          <w:szCs w:val="24"/>
        </w:rPr>
        <w:t>,</w:t>
      </w:r>
      <w:r w:rsidR="00315519" w:rsidRPr="00A624C2">
        <w:rPr>
          <w:rFonts w:ascii="Book Antiqua" w:hAnsi="Book Antiqua" w:cs="AdvOT4b47d116"/>
          <w:color w:val="231F20"/>
          <w:sz w:val="24"/>
          <w:szCs w:val="24"/>
        </w:rPr>
        <w:t xml:space="preserve"> </w:t>
      </w:r>
      <w:r w:rsidR="00472D38" w:rsidRPr="00A624C2">
        <w:rPr>
          <w:rFonts w:ascii="Book Antiqua" w:hAnsi="Book Antiqua" w:cs="AdvOT4b47d116"/>
          <w:color w:val="231F20"/>
          <w:sz w:val="24"/>
          <w:szCs w:val="24"/>
        </w:rPr>
        <w:t>w</w:t>
      </w:r>
      <w:r w:rsidR="00315519" w:rsidRPr="00A624C2">
        <w:rPr>
          <w:rFonts w:ascii="Book Antiqua" w:hAnsi="Book Antiqua" w:cs="AdvOT4b47d116"/>
          <w:color w:val="231F20"/>
          <w:sz w:val="24"/>
          <w:szCs w:val="24"/>
        </w:rPr>
        <w:t xml:space="preserve">e chose a reduction of 80% from baseline CDEIS as a predictor of </w:t>
      </w:r>
      <w:r w:rsidR="000B31BE" w:rsidRPr="00A624C2">
        <w:rPr>
          <w:rFonts w:ascii="Book Antiqua" w:hAnsi="Book Antiqua" w:cs="AdvOT4b47d116"/>
          <w:color w:val="231F20"/>
          <w:sz w:val="24"/>
          <w:szCs w:val="24"/>
        </w:rPr>
        <w:t xml:space="preserve">long term </w:t>
      </w:r>
      <w:r w:rsidR="00315519" w:rsidRPr="00A624C2">
        <w:rPr>
          <w:rFonts w:ascii="Book Antiqua" w:hAnsi="Book Antiqua" w:cs="AdvOT4b47d116"/>
          <w:color w:val="231F20"/>
          <w:sz w:val="24"/>
          <w:szCs w:val="24"/>
        </w:rPr>
        <w:t xml:space="preserve">MH </w:t>
      </w:r>
      <w:r w:rsidR="000B31BE" w:rsidRPr="00A624C2">
        <w:rPr>
          <w:rFonts w:ascii="Book Antiqua" w:hAnsi="Book Antiqua" w:cs="AdvOT4b47d116"/>
          <w:color w:val="231F20"/>
          <w:sz w:val="24"/>
          <w:szCs w:val="24"/>
        </w:rPr>
        <w:t xml:space="preserve">since </w:t>
      </w:r>
      <w:r w:rsidR="00315519" w:rsidRPr="00A624C2">
        <w:rPr>
          <w:rFonts w:ascii="Book Antiqua" w:hAnsi="Book Antiqua" w:cs="AdvOT4b47d116"/>
          <w:color w:val="231F20"/>
          <w:sz w:val="24"/>
          <w:szCs w:val="24"/>
        </w:rPr>
        <w:t>it has better diagnostic accuracy, with moderate sensitivity (</w:t>
      </w:r>
      <w:r w:rsidR="00116B82" w:rsidRPr="00A624C2">
        <w:rPr>
          <w:rFonts w:ascii="Book Antiqua" w:hAnsi="Book Antiqua" w:cs="AdvOT4b47d116"/>
          <w:color w:val="231F20"/>
          <w:sz w:val="24"/>
          <w:szCs w:val="24"/>
        </w:rPr>
        <w:t>59</w:t>
      </w:r>
      <w:r w:rsidR="00315519" w:rsidRPr="00A624C2">
        <w:rPr>
          <w:rFonts w:ascii="Book Antiqua" w:hAnsi="Book Antiqua" w:cs="AdvOT4b47d116"/>
          <w:color w:val="231F20"/>
          <w:sz w:val="24"/>
          <w:szCs w:val="24"/>
        </w:rPr>
        <w:t xml:space="preserve">%) </w:t>
      </w:r>
      <w:r w:rsidR="0029546E" w:rsidRPr="00A624C2">
        <w:rPr>
          <w:rFonts w:ascii="Book Antiqua" w:hAnsi="Book Antiqua" w:cs="AdvOT4b47d116"/>
          <w:color w:val="231F20"/>
          <w:sz w:val="24"/>
          <w:szCs w:val="24"/>
        </w:rPr>
        <w:t xml:space="preserve">but </w:t>
      </w:r>
      <w:r w:rsidR="00116B82" w:rsidRPr="00A624C2">
        <w:rPr>
          <w:rFonts w:ascii="Book Antiqua" w:hAnsi="Book Antiqua" w:cs="AdvOT4b47d116"/>
          <w:color w:val="231F20"/>
          <w:sz w:val="24"/>
          <w:szCs w:val="24"/>
        </w:rPr>
        <w:t>excellent specificity (</w:t>
      </w:r>
      <w:r w:rsidR="00E30A32" w:rsidRPr="00A624C2">
        <w:rPr>
          <w:rFonts w:ascii="Book Antiqua" w:hAnsi="Book Antiqua" w:cs="AdvOT4b47d116"/>
          <w:color w:val="231F20"/>
          <w:sz w:val="24"/>
          <w:szCs w:val="24"/>
        </w:rPr>
        <w:t>91</w:t>
      </w:r>
      <w:r w:rsidR="00315519" w:rsidRPr="00A624C2">
        <w:rPr>
          <w:rFonts w:ascii="Book Antiqua" w:hAnsi="Book Antiqua" w:cs="AdvOT4b47d116"/>
          <w:color w:val="231F20"/>
          <w:sz w:val="24"/>
          <w:szCs w:val="24"/>
        </w:rPr>
        <w:t>%)</w:t>
      </w:r>
      <w:r w:rsidR="003D78B3" w:rsidRPr="00A624C2">
        <w:rPr>
          <w:rFonts w:ascii="Book Antiqua" w:hAnsi="Book Antiqua" w:cs="AdvOT4b47d116"/>
          <w:color w:val="231F20"/>
          <w:sz w:val="24"/>
          <w:szCs w:val="24"/>
        </w:rPr>
        <w:t xml:space="preserve">. </w:t>
      </w:r>
      <w:r w:rsidR="00E85B5F" w:rsidRPr="00A624C2">
        <w:rPr>
          <w:rFonts w:ascii="Book Antiqua" w:hAnsi="Book Antiqua" w:cs="AdvOT4b47d116"/>
          <w:color w:val="231F20"/>
          <w:sz w:val="24"/>
          <w:szCs w:val="24"/>
        </w:rPr>
        <w:t xml:space="preserve">Moreover, compared with a 50% reduction, it demonstrated a better </w:t>
      </w:r>
      <w:r w:rsidR="003D78B3" w:rsidRPr="00A624C2">
        <w:rPr>
          <w:rFonts w:ascii="Book Antiqua" w:eastAsia="宋体" w:hAnsi="Book Antiqua" w:cs="AdvOT4b47d116"/>
          <w:color w:val="231F20"/>
          <w:sz w:val="24"/>
          <w:szCs w:val="24"/>
          <w:lang w:eastAsia="zh-CN"/>
        </w:rPr>
        <w:t>PPV</w:t>
      </w:r>
      <w:r w:rsidR="00E85B5F" w:rsidRPr="00A624C2">
        <w:rPr>
          <w:rFonts w:ascii="Book Antiqua" w:hAnsi="Book Antiqua" w:cs="AdvOT4b47d116"/>
          <w:color w:val="231F20"/>
          <w:sz w:val="24"/>
          <w:szCs w:val="24"/>
        </w:rPr>
        <w:t xml:space="preserve"> and </w:t>
      </w:r>
      <w:r w:rsidR="00E85B5F" w:rsidRPr="00A624C2">
        <w:rPr>
          <w:rFonts w:ascii="Book Antiqua" w:hAnsi="Book Antiqua" w:cs="AdvOTb63a3543.I"/>
          <w:color w:val="231F20"/>
          <w:sz w:val="24"/>
          <w:szCs w:val="24"/>
        </w:rPr>
        <w:t>positive likelihood ratio. In cases in which sensitivity is more relevant, a 50% reduction can be chosen as the endpoint</w:t>
      </w:r>
      <w:r w:rsidR="003F660D" w:rsidRPr="00A624C2">
        <w:rPr>
          <w:rFonts w:ascii="Book Antiqua" w:hAnsi="Book Antiqua" w:cs="AdvOTb63a3543.I"/>
          <w:color w:val="231F20"/>
          <w:sz w:val="24"/>
          <w:szCs w:val="24"/>
        </w:rPr>
        <w:t>.</w:t>
      </w:r>
      <w:r w:rsidR="003D78B3" w:rsidRPr="00A624C2">
        <w:rPr>
          <w:rFonts w:ascii="Book Antiqua" w:eastAsia="宋体" w:hAnsi="Book Antiqua" w:cs="AdvOTb63a3543.I"/>
          <w:color w:val="231F20"/>
          <w:sz w:val="24"/>
          <w:szCs w:val="24"/>
          <w:lang w:eastAsia="zh-CN"/>
        </w:rPr>
        <w:t xml:space="preserve"> </w:t>
      </w:r>
      <w:r w:rsidR="00D147A6" w:rsidRPr="00A624C2">
        <w:rPr>
          <w:rFonts w:ascii="Book Antiqua" w:hAnsi="Book Antiqua"/>
          <w:sz w:val="24"/>
          <w:szCs w:val="24"/>
        </w:rPr>
        <w:t>In the current study</w:t>
      </w:r>
      <w:r w:rsidR="00E85B5F" w:rsidRPr="00A624C2">
        <w:rPr>
          <w:rFonts w:ascii="Book Antiqua" w:hAnsi="Book Antiqua"/>
          <w:sz w:val="24"/>
          <w:szCs w:val="24"/>
        </w:rPr>
        <w:t>,</w:t>
      </w:r>
      <w:r w:rsidR="00D147A6" w:rsidRPr="00A624C2">
        <w:rPr>
          <w:rFonts w:ascii="Book Antiqua" w:hAnsi="Book Antiqua"/>
          <w:sz w:val="24"/>
          <w:szCs w:val="24"/>
        </w:rPr>
        <w:t xml:space="preserve"> we observed that changes in CDEIS in response to induction therapy are better predictors of long</w:t>
      </w:r>
      <w:r w:rsidR="00E85B5F" w:rsidRPr="00A624C2">
        <w:rPr>
          <w:rFonts w:ascii="Book Antiqua" w:hAnsi="Book Antiqua"/>
          <w:sz w:val="24"/>
          <w:szCs w:val="24"/>
        </w:rPr>
        <w:t>-</w:t>
      </w:r>
      <w:r w:rsidR="00D147A6" w:rsidRPr="00A624C2">
        <w:rPr>
          <w:rFonts w:ascii="Book Antiqua" w:hAnsi="Book Antiqua"/>
          <w:sz w:val="24"/>
          <w:szCs w:val="24"/>
        </w:rPr>
        <w:t xml:space="preserve">term efficacy of anti-TNF drugs than absolute values. </w:t>
      </w:r>
      <w:r w:rsidR="001A1A82" w:rsidRPr="00A624C2">
        <w:rPr>
          <w:rFonts w:ascii="Book Antiqua" w:hAnsi="Book Antiqua"/>
          <w:sz w:val="24"/>
          <w:szCs w:val="24"/>
        </w:rPr>
        <w:t xml:space="preserve">Absolute values are </w:t>
      </w:r>
      <w:r w:rsidR="0029546E" w:rsidRPr="00A624C2">
        <w:rPr>
          <w:rFonts w:ascii="Book Antiqua" w:hAnsi="Book Antiqua"/>
          <w:sz w:val="24"/>
          <w:szCs w:val="24"/>
        </w:rPr>
        <w:t xml:space="preserve">highly influenced by </w:t>
      </w:r>
      <w:r w:rsidR="000B31BE" w:rsidRPr="00A624C2">
        <w:rPr>
          <w:rFonts w:ascii="Book Antiqua" w:hAnsi="Book Antiqua"/>
          <w:sz w:val="24"/>
          <w:szCs w:val="24"/>
        </w:rPr>
        <w:t xml:space="preserve">disease </w:t>
      </w:r>
      <w:r w:rsidR="001A1A82" w:rsidRPr="00A624C2">
        <w:rPr>
          <w:rFonts w:ascii="Book Antiqua" w:hAnsi="Book Antiqua"/>
          <w:sz w:val="24"/>
          <w:szCs w:val="24"/>
        </w:rPr>
        <w:lastRenderedPageBreak/>
        <w:t>location and extension, whereas</w:t>
      </w:r>
      <w:r w:rsidR="004D5909" w:rsidRPr="00A624C2">
        <w:rPr>
          <w:rFonts w:ascii="Book Antiqua" w:hAnsi="Book Antiqua"/>
          <w:sz w:val="24"/>
          <w:szCs w:val="24"/>
        </w:rPr>
        <w:t xml:space="preserve"> a</w:t>
      </w:r>
      <w:r w:rsidR="00650E54" w:rsidRPr="00A624C2">
        <w:rPr>
          <w:rFonts w:ascii="Book Antiqua" w:hAnsi="Book Antiqua"/>
          <w:sz w:val="24"/>
          <w:szCs w:val="24"/>
        </w:rPr>
        <w:t xml:space="preserve"> percentage reduction</w:t>
      </w:r>
      <w:r w:rsidR="005A33C7" w:rsidRPr="00A624C2">
        <w:rPr>
          <w:rFonts w:ascii="Book Antiqua" w:hAnsi="Book Antiqua"/>
          <w:sz w:val="24"/>
          <w:szCs w:val="24"/>
        </w:rPr>
        <w:t xml:space="preserve"> relative to ba</w:t>
      </w:r>
      <w:r w:rsidR="00A91E0D" w:rsidRPr="00A624C2">
        <w:rPr>
          <w:rFonts w:ascii="Book Antiqua" w:hAnsi="Book Antiqua"/>
          <w:sz w:val="24"/>
          <w:szCs w:val="24"/>
        </w:rPr>
        <w:t>seline</w:t>
      </w:r>
      <w:r w:rsidR="00650E54" w:rsidRPr="00A624C2">
        <w:rPr>
          <w:rFonts w:ascii="Book Antiqua" w:hAnsi="Book Antiqua"/>
          <w:sz w:val="24"/>
          <w:szCs w:val="24"/>
        </w:rPr>
        <w:t xml:space="preserve"> </w:t>
      </w:r>
      <w:r w:rsidR="00A66C10" w:rsidRPr="00A624C2">
        <w:rPr>
          <w:rFonts w:ascii="Book Antiqua" w:hAnsi="Book Antiqua"/>
          <w:sz w:val="24"/>
          <w:szCs w:val="24"/>
        </w:rPr>
        <w:t>may be preferable because</w:t>
      </w:r>
      <w:r w:rsidR="004D5909" w:rsidRPr="00A624C2">
        <w:rPr>
          <w:rFonts w:ascii="Book Antiqua" w:hAnsi="Book Antiqua"/>
          <w:sz w:val="24"/>
          <w:szCs w:val="24"/>
        </w:rPr>
        <w:t xml:space="preserve"> it is a dynamic parameter of response and </w:t>
      </w:r>
      <w:r w:rsidR="00DD6BED" w:rsidRPr="00A624C2">
        <w:rPr>
          <w:rFonts w:ascii="Book Antiqua" w:hAnsi="Book Antiqua"/>
          <w:sz w:val="24"/>
          <w:szCs w:val="24"/>
        </w:rPr>
        <w:t>integrates the magnitude of</w:t>
      </w:r>
      <w:r w:rsidR="0029546E" w:rsidRPr="00A624C2">
        <w:rPr>
          <w:rFonts w:ascii="Book Antiqua" w:hAnsi="Book Antiqua"/>
          <w:sz w:val="24"/>
          <w:szCs w:val="24"/>
        </w:rPr>
        <w:t xml:space="preserve"> </w:t>
      </w:r>
      <w:r w:rsidR="001A1A82" w:rsidRPr="00A624C2">
        <w:rPr>
          <w:rFonts w:ascii="Book Antiqua" w:hAnsi="Book Antiqua"/>
          <w:sz w:val="24"/>
          <w:szCs w:val="24"/>
        </w:rPr>
        <w:t>response to induction therapy</w:t>
      </w:r>
      <w:r w:rsidR="004D5909" w:rsidRPr="00A624C2">
        <w:rPr>
          <w:rFonts w:ascii="Book Antiqua" w:hAnsi="Book Antiqua"/>
          <w:sz w:val="24"/>
          <w:szCs w:val="24"/>
        </w:rPr>
        <w:t>.</w:t>
      </w:r>
    </w:p>
    <w:p w14:paraId="22F91EBD" w14:textId="3C86D0CC" w:rsidR="006D2CCA" w:rsidRPr="00A624C2" w:rsidRDefault="00E85B5F" w:rsidP="003D78B3">
      <w:pPr>
        <w:spacing w:after="0" w:line="360" w:lineRule="auto"/>
        <w:ind w:firstLineChars="100" w:firstLine="240"/>
        <w:jc w:val="both"/>
        <w:rPr>
          <w:rFonts w:ascii="Book Antiqua" w:eastAsia="宋体" w:hAnsi="Book Antiqua"/>
          <w:sz w:val="24"/>
          <w:szCs w:val="24"/>
          <w:lang w:eastAsia="zh-CN"/>
        </w:rPr>
      </w:pPr>
      <w:r w:rsidRPr="00A624C2">
        <w:rPr>
          <w:rFonts w:ascii="Book Antiqua" w:hAnsi="Book Antiqua"/>
          <w:sz w:val="24"/>
          <w:szCs w:val="24"/>
        </w:rPr>
        <w:t xml:space="preserve">In </w:t>
      </w:r>
      <w:r w:rsidR="00B05801" w:rsidRPr="00A624C2">
        <w:rPr>
          <w:rFonts w:ascii="Book Antiqua" w:hAnsi="Book Antiqua"/>
          <w:sz w:val="24"/>
          <w:szCs w:val="24"/>
        </w:rPr>
        <w:t>this</w:t>
      </w:r>
      <w:r w:rsidRPr="00A624C2">
        <w:rPr>
          <w:rFonts w:ascii="Book Antiqua" w:hAnsi="Book Antiqua"/>
          <w:sz w:val="24"/>
          <w:szCs w:val="24"/>
        </w:rPr>
        <w:t xml:space="preserve"> cohort, 8</w:t>
      </w:r>
      <w:r w:rsidR="00116B82" w:rsidRPr="00A624C2">
        <w:rPr>
          <w:rFonts w:ascii="Book Antiqua" w:hAnsi="Book Antiqua"/>
          <w:sz w:val="24"/>
          <w:szCs w:val="24"/>
        </w:rPr>
        <w:t>4</w:t>
      </w:r>
      <w:r w:rsidRPr="00A624C2">
        <w:rPr>
          <w:rFonts w:ascii="Book Antiqua" w:hAnsi="Book Antiqua"/>
          <w:sz w:val="24"/>
          <w:szCs w:val="24"/>
        </w:rPr>
        <w:t xml:space="preserve">% of patients that achieved an 80% reduction in CDEIS from baseline to week 14 </w:t>
      </w:r>
      <w:r w:rsidR="00A66C10" w:rsidRPr="00A624C2">
        <w:rPr>
          <w:rFonts w:ascii="Book Antiqua" w:hAnsi="Book Antiqua"/>
          <w:sz w:val="24"/>
          <w:szCs w:val="24"/>
        </w:rPr>
        <w:t xml:space="preserve">were in </w:t>
      </w:r>
      <w:r w:rsidR="00D82D56" w:rsidRPr="00A624C2">
        <w:rPr>
          <w:rFonts w:ascii="Book Antiqua" w:hAnsi="Book Antiqua"/>
          <w:sz w:val="24"/>
          <w:szCs w:val="24"/>
        </w:rPr>
        <w:t>MH</w:t>
      </w:r>
      <w:r w:rsidRPr="00A624C2">
        <w:rPr>
          <w:rFonts w:ascii="Book Antiqua" w:hAnsi="Book Antiqua"/>
          <w:sz w:val="24"/>
          <w:szCs w:val="24"/>
        </w:rPr>
        <w:t xml:space="preserve"> after one year of treatment. In patients who do not achieve this endpoint</w:t>
      </w:r>
      <w:r w:rsidR="004D5909" w:rsidRPr="00A624C2">
        <w:rPr>
          <w:rFonts w:ascii="Book Antiqua" w:hAnsi="Book Antiqua"/>
          <w:sz w:val="24"/>
          <w:szCs w:val="24"/>
        </w:rPr>
        <w:t>,</w:t>
      </w:r>
      <w:r w:rsidRPr="00A624C2">
        <w:rPr>
          <w:rFonts w:ascii="Book Antiqua" w:hAnsi="Book Antiqua"/>
          <w:sz w:val="24"/>
          <w:szCs w:val="24"/>
        </w:rPr>
        <w:t xml:space="preserve"> potential </w:t>
      </w:r>
      <w:r w:rsidR="004D5909" w:rsidRPr="00A624C2">
        <w:rPr>
          <w:rFonts w:ascii="Book Antiqua" w:hAnsi="Book Antiqua"/>
          <w:sz w:val="24"/>
          <w:szCs w:val="24"/>
        </w:rPr>
        <w:t xml:space="preserve">treatment optimization </w:t>
      </w:r>
      <w:r w:rsidR="00432F64" w:rsidRPr="00A624C2">
        <w:rPr>
          <w:rFonts w:ascii="Book Antiqua" w:hAnsi="Book Antiqua"/>
          <w:sz w:val="24"/>
          <w:szCs w:val="24"/>
        </w:rPr>
        <w:t xml:space="preserve">might </w:t>
      </w:r>
      <w:r w:rsidR="004D5909" w:rsidRPr="00A624C2">
        <w:rPr>
          <w:rFonts w:ascii="Book Antiqua" w:hAnsi="Book Antiqua"/>
          <w:sz w:val="24"/>
          <w:szCs w:val="24"/>
        </w:rPr>
        <w:t xml:space="preserve">be considered by the addition of immunosuppressive </w:t>
      </w:r>
      <w:r w:rsidR="00EB4C10" w:rsidRPr="00A624C2">
        <w:rPr>
          <w:rFonts w:ascii="Book Antiqua" w:hAnsi="Book Antiqua"/>
          <w:sz w:val="24"/>
          <w:szCs w:val="24"/>
        </w:rPr>
        <w:t>agents</w:t>
      </w:r>
      <w:r w:rsidR="004D5909" w:rsidRPr="00A624C2">
        <w:rPr>
          <w:rFonts w:ascii="Book Antiqua" w:hAnsi="Book Antiqua"/>
          <w:sz w:val="24"/>
          <w:szCs w:val="24"/>
        </w:rPr>
        <w:t xml:space="preserve"> in case of anti-TNF monotherapy</w:t>
      </w:r>
      <w:r w:rsidR="00EB4C10" w:rsidRPr="00A624C2">
        <w:rPr>
          <w:rFonts w:ascii="Book Antiqua" w:hAnsi="Book Antiqua"/>
          <w:sz w:val="24"/>
          <w:szCs w:val="24"/>
        </w:rPr>
        <w:t>, intensification of anti-TNF treatment or by considering alternative treatment strategies other than TNF-α inhibitors</w:t>
      </w:r>
      <w:r w:rsidR="000219C3" w:rsidRPr="00A624C2">
        <w:rPr>
          <w:rFonts w:ascii="Book Antiqua" w:hAnsi="Book Antiqua"/>
          <w:sz w:val="24"/>
          <w:szCs w:val="24"/>
        </w:rPr>
        <w:t>.</w:t>
      </w:r>
      <w:r w:rsidR="00432F64" w:rsidRPr="00A624C2">
        <w:rPr>
          <w:rFonts w:ascii="Book Antiqua" w:hAnsi="Book Antiqua"/>
          <w:sz w:val="24"/>
          <w:szCs w:val="24"/>
        </w:rPr>
        <w:t xml:space="preserve"> The effectiveness of these type of interventions remains to be assessed in prospective clinical trials.</w:t>
      </w:r>
      <w:r w:rsidR="003D78B3" w:rsidRPr="00A624C2">
        <w:rPr>
          <w:rFonts w:ascii="Book Antiqua" w:eastAsia="宋体" w:hAnsi="Book Antiqua"/>
          <w:sz w:val="24"/>
          <w:szCs w:val="24"/>
          <w:lang w:eastAsia="zh-CN"/>
        </w:rPr>
        <w:t xml:space="preserve"> </w:t>
      </w:r>
      <w:r w:rsidR="006D2CCA" w:rsidRPr="00A624C2">
        <w:rPr>
          <w:rFonts w:ascii="Book Antiqua" w:hAnsi="Book Antiqua"/>
          <w:sz w:val="24"/>
          <w:szCs w:val="24"/>
        </w:rPr>
        <w:t xml:space="preserve">In our study neither demographic nor disease characteristic predicted achievement of endoscopic response at week 14, </w:t>
      </w:r>
      <w:r w:rsidR="00432F64" w:rsidRPr="00A624C2">
        <w:rPr>
          <w:rFonts w:ascii="Book Antiqua" w:hAnsi="Book Antiqua"/>
          <w:sz w:val="24"/>
          <w:szCs w:val="24"/>
        </w:rPr>
        <w:t>or</w:t>
      </w:r>
      <w:r w:rsidR="006D2CCA" w:rsidRPr="00A624C2">
        <w:rPr>
          <w:rFonts w:ascii="Book Antiqua" w:hAnsi="Book Antiqua"/>
          <w:sz w:val="24"/>
          <w:szCs w:val="24"/>
        </w:rPr>
        <w:t xml:space="preserve"> </w:t>
      </w:r>
      <w:r w:rsidR="000B31BE" w:rsidRPr="00A624C2">
        <w:rPr>
          <w:rFonts w:ascii="Book Antiqua" w:hAnsi="Book Antiqua"/>
          <w:sz w:val="24"/>
          <w:szCs w:val="24"/>
        </w:rPr>
        <w:t>MH</w:t>
      </w:r>
      <w:r w:rsidR="006D2CCA" w:rsidRPr="00A624C2">
        <w:rPr>
          <w:rFonts w:ascii="Book Antiqua" w:hAnsi="Book Antiqua"/>
          <w:sz w:val="24"/>
          <w:szCs w:val="24"/>
        </w:rPr>
        <w:t xml:space="preserve"> after induction or at week 46. This was also true for clin</w:t>
      </w:r>
      <w:r w:rsidR="003D78B3" w:rsidRPr="00A624C2">
        <w:rPr>
          <w:rFonts w:ascii="Book Antiqua" w:hAnsi="Book Antiqua"/>
          <w:sz w:val="24"/>
          <w:szCs w:val="24"/>
        </w:rPr>
        <w:t xml:space="preserve">ical disease activity and CRP. </w:t>
      </w:r>
      <w:r w:rsidR="006D2CCA" w:rsidRPr="00A624C2">
        <w:rPr>
          <w:rFonts w:ascii="Book Antiqua" w:hAnsi="Book Antiqua"/>
          <w:sz w:val="24"/>
          <w:szCs w:val="24"/>
        </w:rPr>
        <w:t xml:space="preserve">Disease duration  </w:t>
      </w:r>
      <w:r w:rsidR="00432F64" w:rsidRPr="00A624C2">
        <w:rPr>
          <w:rFonts w:ascii="Book Antiqua" w:hAnsi="Book Antiqua"/>
          <w:sz w:val="24"/>
          <w:szCs w:val="24"/>
        </w:rPr>
        <w:t>has</w:t>
      </w:r>
      <w:r w:rsidR="006D2CCA" w:rsidRPr="00A624C2">
        <w:rPr>
          <w:rFonts w:ascii="Book Antiqua" w:hAnsi="Book Antiqua"/>
          <w:sz w:val="24"/>
          <w:szCs w:val="24"/>
        </w:rPr>
        <w:t xml:space="preserve"> been </w:t>
      </w:r>
      <w:r w:rsidR="00432F64" w:rsidRPr="00A624C2">
        <w:rPr>
          <w:rFonts w:ascii="Book Antiqua" w:hAnsi="Book Antiqua"/>
          <w:sz w:val="24"/>
          <w:szCs w:val="24"/>
        </w:rPr>
        <w:t>reported to be</w:t>
      </w:r>
      <w:r w:rsidR="006D2CCA" w:rsidRPr="00A624C2">
        <w:rPr>
          <w:rFonts w:ascii="Book Antiqua" w:hAnsi="Book Antiqua"/>
          <w:sz w:val="24"/>
          <w:szCs w:val="24"/>
        </w:rPr>
        <w:t xml:space="preserve"> a predictor of clinical response</w:t>
      </w:r>
      <w:r w:rsidR="003D78B3" w:rsidRPr="00A624C2">
        <w:rPr>
          <w:rFonts w:ascii="Book Antiqua" w:eastAsia="宋体" w:hAnsi="Book Antiqua"/>
          <w:sz w:val="24"/>
          <w:szCs w:val="24"/>
          <w:vertAlign w:val="superscript"/>
          <w:lang w:eastAsia="zh-CN"/>
        </w:rPr>
        <w:t>[5]</w:t>
      </w:r>
      <w:r w:rsidR="006D2CCA" w:rsidRPr="00A624C2">
        <w:rPr>
          <w:rFonts w:ascii="Book Antiqua" w:hAnsi="Book Antiqua"/>
          <w:sz w:val="24"/>
          <w:szCs w:val="24"/>
        </w:rPr>
        <w:t xml:space="preserve"> and in our study was identified as a predictor of endoscopic response </w:t>
      </w:r>
      <w:r w:rsidR="000B31BE" w:rsidRPr="00A624C2">
        <w:rPr>
          <w:rFonts w:ascii="Book Antiqua" w:hAnsi="Book Antiqua"/>
          <w:sz w:val="24"/>
          <w:szCs w:val="24"/>
        </w:rPr>
        <w:t xml:space="preserve">in the </w:t>
      </w:r>
      <w:r w:rsidR="006D2CCA" w:rsidRPr="00A624C2">
        <w:rPr>
          <w:rFonts w:ascii="Book Antiqua" w:hAnsi="Book Antiqua"/>
          <w:sz w:val="24"/>
          <w:szCs w:val="24"/>
        </w:rPr>
        <w:t>long term</w:t>
      </w:r>
      <w:r w:rsidR="000B31BE" w:rsidRPr="00A624C2">
        <w:rPr>
          <w:rFonts w:ascii="Book Antiqua" w:hAnsi="Book Antiqua"/>
          <w:sz w:val="24"/>
          <w:szCs w:val="24"/>
        </w:rPr>
        <w:t xml:space="preserve"> (the </w:t>
      </w:r>
      <w:r w:rsidR="006D2CCA" w:rsidRPr="00A624C2">
        <w:rPr>
          <w:rFonts w:ascii="Book Antiqua" w:hAnsi="Book Antiqua"/>
          <w:sz w:val="24"/>
          <w:szCs w:val="24"/>
        </w:rPr>
        <w:t xml:space="preserve">longer </w:t>
      </w:r>
      <w:r w:rsidR="000B31BE" w:rsidRPr="00A624C2">
        <w:rPr>
          <w:rFonts w:ascii="Book Antiqua" w:hAnsi="Book Antiqua"/>
          <w:sz w:val="24"/>
          <w:szCs w:val="24"/>
        </w:rPr>
        <w:t xml:space="preserve">the </w:t>
      </w:r>
      <w:r w:rsidR="006D2CCA" w:rsidRPr="00A624C2">
        <w:rPr>
          <w:rFonts w:ascii="Book Antiqua" w:hAnsi="Book Antiqua"/>
          <w:sz w:val="24"/>
          <w:szCs w:val="24"/>
        </w:rPr>
        <w:t xml:space="preserve">disease duration </w:t>
      </w:r>
      <w:r w:rsidR="000B31BE" w:rsidRPr="00A624C2">
        <w:rPr>
          <w:rFonts w:ascii="Book Antiqua" w:hAnsi="Book Antiqua"/>
          <w:sz w:val="24"/>
          <w:szCs w:val="24"/>
        </w:rPr>
        <w:t xml:space="preserve">the less </w:t>
      </w:r>
      <w:r w:rsidR="006D2CCA" w:rsidRPr="00A624C2">
        <w:rPr>
          <w:rFonts w:ascii="Book Antiqua" w:hAnsi="Book Antiqua"/>
          <w:sz w:val="24"/>
          <w:szCs w:val="24"/>
        </w:rPr>
        <w:t>probabilities to achieve endoscopic response</w:t>
      </w:r>
      <w:r w:rsidR="000B31BE" w:rsidRPr="00A624C2">
        <w:rPr>
          <w:rFonts w:ascii="Book Antiqua" w:hAnsi="Book Antiqua"/>
          <w:sz w:val="24"/>
          <w:szCs w:val="24"/>
        </w:rPr>
        <w:t>)</w:t>
      </w:r>
      <w:r w:rsidR="006D2CCA" w:rsidRPr="00A624C2">
        <w:rPr>
          <w:rFonts w:ascii="Book Antiqua" w:hAnsi="Book Antiqua"/>
          <w:sz w:val="24"/>
          <w:szCs w:val="24"/>
        </w:rPr>
        <w:t>.</w:t>
      </w:r>
    </w:p>
    <w:p w14:paraId="4A1D0F6D" w14:textId="4894B0C6" w:rsidR="00B05801" w:rsidRPr="00A624C2" w:rsidRDefault="000B31BE" w:rsidP="003D78B3">
      <w:pPr>
        <w:spacing w:after="0" w:line="360" w:lineRule="auto"/>
        <w:ind w:firstLineChars="100" w:firstLine="240"/>
        <w:jc w:val="both"/>
        <w:rPr>
          <w:rFonts w:ascii="Book Antiqua" w:hAnsi="Book Antiqua" w:cs="AdvOTb63a3543.I"/>
          <w:color w:val="231F20"/>
          <w:sz w:val="24"/>
          <w:szCs w:val="24"/>
        </w:rPr>
      </w:pPr>
      <w:r w:rsidRPr="00A624C2">
        <w:rPr>
          <w:rFonts w:ascii="Book Antiqua" w:hAnsi="Book Antiqua"/>
          <w:sz w:val="24"/>
          <w:szCs w:val="24"/>
        </w:rPr>
        <w:t>In our cohort, a</w:t>
      </w:r>
      <w:r w:rsidR="006D2CCA" w:rsidRPr="00A624C2">
        <w:rPr>
          <w:rFonts w:ascii="Book Antiqua" w:hAnsi="Book Antiqua"/>
          <w:sz w:val="24"/>
          <w:szCs w:val="24"/>
        </w:rPr>
        <w:t xml:space="preserve">dalimumab </w:t>
      </w:r>
      <w:r w:rsidRPr="00A624C2">
        <w:rPr>
          <w:rFonts w:ascii="Book Antiqua" w:hAnsi="Book Antiqua"/>
          <w:sz w:val="24"/>
          <w:szCs w:val="24"/>
        </w:rPr>
        <w:t xml:space="preserve">serum concentration </w:t>
      </w:r>
      <w:r w:rsidR="006D2CCA" w:rsidRPr="00A624C2">
        <w:rPr>
          <w:rFonts w:ascii="Book Antiqua" w:hAnsi="Book Antiqua"/>
          <w:sz w:val="24"/>
          <w:szCs w:val="24"/>
        </w:rPr>
        <w:t xml:space="preserve">after </w:t>
      </w:r>
      <w:r w:rsidRPr="00A624C2">
        <w:rPr>
          <w:rFonts w:ascii="Book Antiqua" w:hAnsi="Book Antiqua"/>
          <w:sz w:val="24"/>
          <w:szCs w:val="24"/>
        </w:rPr>
        <w:t xml:space="preserve">completing treatment </w:t>
      </w:r>
      <w:r w:rsidR="006D2CCA" w:rsidRPr="00A624C2">
        <w:rPr>
          <w:rFonts w:ascii="Book Antiqua" w:hAnsi="Book Antiqua"/>
          <w:sz w:val="24"/>
          <w:szCs w:val="24"/>
        </w:rPr>
        <w:t xml:space="preserve">induction </w:t>
      </w:r>
      <w:r w:rsidRPr="00A624C2">
        <w:rPr>
          <w:rFonts w:ascii="Book Antiqua" w:hAnsi="Book Antiqua"/>
          <w:sz w:val="24"/>
          <w:szCs w:val="24"/>
        </w:rPr>
        <w:t xml:space="preserve">has </w:t>
      </w:r>
      <w:r w:rsidR="006D2CCA" w:rsidRPr="00A624C2">
        <w:rPr>
          <w:rFonts w:ascii="Book Antiqua" w:hAnsi="Book Antiqua"/>
          <w:sz w:val="24"/>
          <w:szCs w:val="24"/>
        </w:rPr>
        <w:t>predict</w:t>
      </w:r>
      <w:r w:rsidRPr="00A624C2">
        <w:rPr>
          <w:rFonts w:ascii="Book Antiqua" w:hAnsi="Book Antiqua"/>
          <w:sz w:val="24"/>
          <w:szCs w:val="24"/>
        </w:rPr>
        <w:t xml:space="preserve">ive value for the long term MH diagnosis. </w:t>
      </w:r>
      <w:r w:rsidR="006D2CCA" w:rsidRPr="00A624C2">
        <w:rPr>
          <w:rFonts w:ascii="Book Antiqua" w:hAnsi="Book Antiqua"/>
          <w:sz w:val="24"/>
          <w:szCs w:val="24"/>
        </w:rPr>
        <w:t>Previous reports have describe</w:t>
      </w:r>
      <w:r w:rsidR="00A91E0D" w:rsidRPr="00A624C2">
        <w:rPr>
          <w:rFonts w:ascii="Book Antiqua" w:hAnsi="Book Antiqua"/>
          <w:sz w:val="24"/>
          <w:szCs w:val="24"/>
        </w:rPr>
        <w:t>d</w:t>
      </w:r>
      <w:r w:rsidR="006D2CCA" w:rsidRPr="00A624C2">
        <w:rPr>
          <w:rFonts w:ascii="Book Antiqua" w:hAnsi="Book Antiqua"/>
          <w:sz w:val="24"/>
          <w:szCs w:val="24"/>
        </w:rPr>
        <w:t xml:space="preserve"> an association between adalimumab serum levels and achievement of MH</w:t>
      </w:r>
      <w:r w:rsidR="00FF5311" w:rsidRPr="00A624C2">
        <w:rPr>
          <w:rFonts w:ascii="Book Antiqua" w:hAnsi="Book Antiqua"/>
          <w:sz w:val="24"/>
          <w:szCs w:val="24"/>
        </w:rPr>
        <w:t>.</w:t>
      </w:r>
      <w:r w:rsidR="006D2CCA" w:rsidRPr="00A624C2">
        <w:rPr>
          <w:rFonts w:ascii="Book Antiqua" w:hAnsi="Book Antiqua"/>
          <w:sz w:val="24"/>
          <w:szCs w:val="24"/>
        </w:rPr>
        <w:t xml:space="preserve"> </w:t>
      </w:r>
      <w:r w:rsidR="00FF5311" w:rsidRPr="00A624C2">
        <w:rPr>
          <w:rFonts w:ascii="Book Antiqua" w:hAnsi="Book Antiqua"/>
          <w:sz w:val="24"/>
          <w:szCs w:val="24"/>
        </w:rPr>
        <w:t xml:space="preserve">The </w:t>
      </w:r>
      <w:r w:rsidR="006D2CCA" w:rsidRPr="00A624C2">
        <w:rPr>
          <w:rFonts w:ascii="Book Antiqua" w:hAnsi="Book Antiqua"/>
          <w:sz w:val="24"/>
          <w:szCs w:val="24"/>
        </w:rPr>
        <w:t xml:space="preserve">cutoff </w:t>
      </w:r>
      <w:r w:rsidR="00FF5311" w:rsidRPr="00A624C2">
        <w:rPr>
          <w:rFonts w:ascii="Book Antiqua" w:hAnsi="Book Antiqua"/>
          <w:sz w:val="24"/>
          <w:szCs w:val="24"/>
        </w:rPr>
        <w:t xml:space="preserve">point of this parameter </w:t>
      </w:r>
      <w:r w:rsidR="006D2CCA" w:rsidRPr="00A624C2">
        <w:rPr>
          <w:rFonts w:ascii="Book Antiqua" w:hAnsi="Book Antiqua"/>
          <w:sz w:val="24"/>
          <w:szCs w:val="24"/>
        </w:rPr>
        <w:t>ha</w:t>
      </w:r>
      <w:r w:rsidR="00FF5311" w:rsidRPr="00A624C2">
        <w:rPr>
          <w:rFonts w:ascii="Book Antiqua" w:hAnsi="Book Antiqua"/>
          <w:sz w:val="24"/>
          <w:szCs w:val="24"/>
        </w:rPr>
        <w:t>s</w:t>
      </w:r>
      <w:r w:rsidR="006D2CCA" w:rsidRPr="00A624C2">
        <w:rPr>
          <w:rFonts w:ascii="Book Antiqua" w:hAnsi="Book Antiqua"/>
          <w:sz w:val="24"/>
          <w:szCs w:val="24"/>
        </w:rPr>
        <w:t xml:space="preserve"> been situated in at least 4.9 </w:t>
      </w:r>
      <w:r w:rsidR="006D2CCA" w:rsidRPr="00A624C2">
        <w:rPr>
          <w:rFonts w:ascii="Book Antiqua" w:hAnsi="Book Antiqua" w:cs="AdvOTb63a3543.I"/>
          <w:color w:val="231F20"/>
          <w:sz w:val="24"/>
          <w:szCs w:val="24"/>
        </w:rPr>
        <w:t>μg/</w:t>
      </w:r>
      <w:r w:rsidR="003D78B3" w:rsidRPr="00A624C2">
        <w:rPr>
          <w:rFonts w:ascii="Book Antiqua" w:hAnsi="Book Antiqua" w:cs="AdvOTb63a3543.I"/>
          <w:color w:val="231F20"/>
          <w:sz w:val="24"/>
          <w:szCs w:val="24"/>
        </w:rPr>
        <w:t>Ml</w:t>
      </w:r>
      <w:r w:rsidR="003D78B3" w:rsidRPr="00A624C2">
        <w:rPr>
          <w:rFonts w:ascii="Book Antiqua" w:eastAsia="宋体" w:hAnsi="Book Antiqua" w:cs="AdvOTb63a3543.I"/>
          <w:color w:val="231F20"/>
          <w:sz w:val="24"/>
          <w:szCs w:val="24"/>
          <w:vertAlign w:val="superscript"/>
          <w:lang w:eastAsia="zh-CN"/>
        </w:rPr>
        <w:t>[16]</w:t>
      </w:r>
      <w:r w:rsidR="006D2CCA" w:rsidRPr="00A624C2">
        <w:rPr>
          <w:rFonts w:ascii="Book Antiqua" w:hAnsi="Book Antiqua" w:cs="AdvOT140f2bdb"/>
          <w:color w:val="231F20"/>
          <w:sz w:val="24"/>
          <w:szCs w:val="24"/>
          <w:vertAlign w:val="superscript"/>
        </w:rPr>
        <w:t xml:space="preserve"> </w:t>
      </w:r>
      <w:r w:rsidR="006D2CCA" w:rsidRPr="00A624C2">
        <w:rPr>
          <w:rFonts w:ascii="Book Antiqua" w:hAnsi="Book Antiqua" w:cs="AdvOT140f2bdb"/>
          <w:color w:val="231F20"/>
          <w:sz w:val="24"/>
          <w:szCs w:val="24"/>
        </w:rPr>
        <w:t xml:space="preserve">and some retrospective studies or studies with </w:t>
      </w:r>
      <w:r w:rsidR="00432F64" w:rsidRPr="00A624C2">
        <w:rPr>
          <w:rFonts w:ascii="Book Antiqua" w:hAnsi="Book Antiqua" w:cs="AdvOT140f2bdb"/>
          <w:color w:val="231F20"/>
          <w:sz w:val="24"/>
          <w:szCs w:val="24"/>
        </w:rPr>
        <w:t>non-systematic</w:t>
      </w:r>
      <w:r w:rsidR="006D2CCA" w:rsidRPr="00A624C2">
        <w:rPr>
          <w:rFonts w:ascii="Book Antiqua" w:hAnsi="Book Antiqua" w:cs="AdvOT140f2bdb"/>
          <w:color w:val="231F20"/>
          <w:sz w:val="24"/>
          <w:szCs w:val="24"/>
        </w:rPr>
        <w:t xml:space="preserve"> measurement of adalimumab </w:t>
      </w:r>
      <w:r w:rsidR="00FF5311" w:rsidRPr="00A624C2">
        <w:rPr>
          <w:rFonts w:ascii="Book Antiqua" w:hAnsi="Book Antiqua" w:cs="AdvOT140f2bdb"/>
          <w:color w:val="231F20"/>
          <w:sz w:val="24"/>
          <w:szCs w:val="24"/>
        </w:rPr>
        <w:t xml:space="preserve">serum concentration </w:t>
      </w:r>
      <w:r w:rsidR="006D2CCA" w:rsidRPr="00A624C2">
        <w:rPr>
          <w:rFonts w:ascii="Book Antiqua" w:hAnsi="Book Antiqua" w:cs="AdvOT140f2bdb"/>
          <w:color w:val="231F20"/>
          <w:sz w:val="24"/>
          <w:szCs w:val="24"/>
        </w:rPr>
        <w:t xml:space="preserve">suggest that the </w:t>
      </w:r>
      <w:r w:rsidR="00FF5311" w:rsidRPr="00A624C2">
        <w:rPr>
          <w:rFonts w:ascii="Book Antiqua" w:hAnsi="Book Antiqua" w:cs="AdvOT140f2bdb"/>
          <w:color w:val="231F20"/>
          <w:sz w:val="24"/>
          <w:szCs w:val="24"/>
        </w:rPr>
        <w:t>concentration</w:t>
      </w:r>
      <w:r w:rsidR="006D2CCA" w:rsidRPr="00A624C2">
        <w:rPr>
          <w:rFonts w:ascii="Book Antiqua" w:hAnsi="Book Antiqua" w:cs="AdvOT140f2bdb"/>
          <w:color w:val="231F20"/>
          <w:sz w:val="24"/>
          <w:szCs w:val="24"/>
        </w:rPr>
        <w:t xml:space="preserve"> needed to achieve this endoscopic outcome </w:t>
      </w:r>
      <w:r w:rsidRPr="00A624C2">
        <w:rPr>
          <w:rFonts w:ascii="Book Antiqua" w:hAnsi="Book Antiqua" w:cs="AdvOT140f2bdb"/>
          <w:color w:val="231F20"/>
          <w:sz w:val="24"/>
          <w:szCs w:val="24"/>
        </w:rPr>
        <w:t>are</w:t>
      </w:r>
      <w:r w:rsidR="006D2CCA" w:rsidRPr="00A624C2">
        <w:rPr>
          <w:rFonts w:ascii="Book Antiqua" w:hAnsi="Book Antiqua" w:cs="AdvOT140f2bdb"/>
          <w:color w:val="231F20"/>
          <w:sz w:val="24"/>
          <w:szCs w:val="24"/>
        </w:rPr>
        <w:t xml:space="preserve"> </w:t>
      </w:r>
      <w:r w:rsidRPr="00A624C2">
        <w:rPr>
          <w:rFonts w:ascii="Book Antiqua" w:hAnsi="Book Antiqua" w:cs="AdvOT140f2bdb"/>
          <w:color w:val="231F20"/>
          <w:sz w:val="24"/>
          <w:szCs w:val="24"/>
        </w:rPr>
        <w:t xml:space="preserve">even </w:t>
      </w:r>
      <w:r w:rsidR="006D2CCA" w:rsidRPr="00A624C2">
        <w:rPr>
          <w:rFonts w:ascii="Book Antiqua" w:hAnsi="Book Antiqua" w:cs="AdvOT140f2bdb"/>
          <w:color w:val="231F20"/>
          <w:sz w:val="24"/>
          <w:szCs w:val="24"/>
        </w:rPr>
        <w:t>higher (&gt;</w:t>
      </w:r>
      <w:r w:rsidR="003D78B3" w:rsidRPr="00A624C2">
        <w:rPr>
          <w:rFonts w:ascii="Book Antiqua" w:eastAsia="宋体" w:hAnsi="Book Antiqua" w:cs="AdvOT140f2bdb"/>
          <w:color w:val="231F20"/>
          <w:sz w:val="24"/>
          <w:szCs w:val="24"/>
          <w:lang w:eastAsia="zh-CN"/>
        </w:rPr>
        <w:t xml:space="preserve"> </w:t>
      </w:r>
      <w:r w:rsidR="006D2CCA" w:rsidRPr="00A624C2">
        <w:rPr>
          <w:rFonts w:ascii="Book Antiqua" w:hAnsi="Book Antiqua" w:cs="AdvOT140f2bdb"/>
          <w:color w:val="231F20"/>
          <w:sz w:val="24"/>
          <w:szCs w:val="24"/>
        </w:rPr>
        <w:t>7.1</w:t>
      </w:r>
      <w:r w:rsidR="006D2CCA" w:rsidRPr="00A624C2">
        <w:rPr>
          <w:rFonts w:ascii="Book Antiqua" w:hAnsi="Book Antiqua" w:cs="AdvOTb63a3543.I"/>
          <w:color w:val="231F20"/>
          <w:sz w:val="24"/>
          <w:szCs w:val="24"/>
        </w:rPr>
        <w:t xml:space="preserve"> μg/m</w:t>
      </w:r>
      <w:r w:rsidR="003D78B3" w:rsidRPr="00A624C2">
        <w:rPr>
          <w:rFonts w:ascii="Book Antiqua" w:hAnsi="Book Antiqua" w:cs="AdvOTb63a3543.I"/>
          <w:color w:val="231F20"/>
          <w:sz w:val="24"/>
          <w:szCs w:val="24"/>
        </w:rPr>
        <w:t>L</w:t>
      </w:r>
      <w:r w:rsidR="006D2CCA" w:rsidRPr="00A624C2">
        <w:rPr>
          <w:rFonts w:ascii="Book Antiqua" w:hAnsi="Book Antiqua" w:cs="AdvOT140f2bdb"/>
          <w:color w:val="231F20"/>
          <w:sz w:val="24"/>
          <w:szCs w:val="24"/>
        </w:rPr>
        <w:t>)</w:t>
      </w:r>
      <w:r w:rsidR="003D78B3" w:rsidRPr="00A624C2">
        <w:rPr>
          <w:rFonts w:ascii="Book Antiqua" w:eastAsia="宋体" w:hAnsi="Book Antiqua" w:cs="AdvOT140f2bdb"/>
          <w:color w:val="231F20"/>
          <w:sz w:val="24"/>
          <w:szCs w:val="24"/>
          <w:vertAlign w:val="superscript"/>
          <w:lang w:eastAsia="zh-CN"/>
        </w:rPr>
        <w:t>[17-19]</w:t>
      </w:r>
      <w:r w:rsidR="003D78B3" w:rsidRPr="00A624C2">
        <w:rPr>
          <w:rFonts w:ascii="Book Antiqua" w:hAnsi="Book Antiqua" w:cs="AdvOT140f2bdb"/>
          <w:color w:val="231F20"/>
          <w:sz w:val="24"/>
          <w:szCs w:val="24"/>
        </w:rPr>
        <w:t xml:space="preserve">. </w:t>
      </w:r>
      <w:r w:rsidR="006D2CCA" w:rsidRPr="00A624C2">
        <w:rPr>
          <w:rFonts w:ascii="Book Antiqua" w:hAnsi="Book Antiqua" w:cs="AdvOT140f2bdb"/>
          <w:color w:val="231F20"/>
          <w:sz w:val="24"/>
          <w:szCs w:val="24"/>
        </w:rPr>
        <w:t>In our prospective cohort</w:t>
      </w:r>
      <w:r w:rsidRPr="00A624C2">
        <w:rPr>
          <w:rFonts w:ascii="Book Antiqua" w:hAnsi="Book Antiqua" w:cs="AdvOT140f2bdb"/>
          <w:color w:val="231F20"/>
          <w:sz w:val="24"/>
          <w:szCs w:val="24"/>
        </w:rPr>
        <w:t>,</w:t>
      </w:r>
      <w:r w:rsidR="006D2CCA" w:rsidRPr="00A624C2">
        <w:rPr>
          <w:rFonts w:ascii="Book Antiqua" w:hAnsi="Book Antiqua" w:cs="AdvOT140f2bdb"/>
          <w:color w:val="231F20"/>
          <w:sz w:val="24"/>
          <w:szCs w:val="24"/>
        </w:rPr>
        <w:t xml:space="preserve"> a</w:t>
      </w:r>
      <w:r w:rsidRPr="00A624C2">
        <w:rPr>
          <w:rFonts w:ascii="Book Antiqua" w:hAnsi="Book Antiqua" w:cs="AdvOT140f2bdb"/>
          <w:color w:val="231F20"/>
          <w:sz w:val="24"/>
          <w:szCs w:val="24"/>
        </w:rPr>
        <w:t>n adalimumab concentration</w:t>
      </w:r>
      <w:r w:rsidR="006D2CCA" w:rsidRPr="00A624C2">
        <w:rPr>
          <w:rFonts w:ascii="Book Antiqua" w:hAnsi="Book Antiqua" w:cs="AdvOT140f2bdb"/>
          <w:color w:val="231F20"/>
          <w:sz w:val="24"/>
          <w:szCs w:val="24"/>
        </w:rPr>
        <w:t xml:space="preserve"> of at least 10 </w:t>
      </w:r>
      <w:r w:rsidR="006D2CCA" w:rsidRPr="00A624C2">
        <w:rPr>
          <w:rFonts w:ascii="Book Antiqua" w:hAnsi="Book Antiqua" w:cs="AdvOTb63a3543.I"/>
          <w:color w:val="231F20"/>
          <w:sz w:val="24"/>
          <w:szCs w:val="24"/>
        </w:rPr>
        <w:t>μg/m</w:t>
      </w:r>
      <w:r w:rsidR="003D78B3" w:rsidRPr="00A624C2">
        <w:rPr>
          <w:rFonts w:ascii="Book Antiqua" w:hAnsi="Book Antiqua" w:cs="AdvOTb63a3543.I"/>
          <w:color w:val="231F20"/>
          <w:sz w:val="24"/>
          <w:szCs w:val="24"/>
        </w:rPr>
        <w:t>L</w:t>
      </w:r>
      <w:r w:rsidR="006D2CCA" w:rsidRPr="00A624C2">
        <w:rPr>
          <w:rFonts w:ascii="Book Antiqua" w:hAnsi="Book Antiqua" w:cs="AdvOTb63a3543.I"/>
          <w:color w:val="231F20"/>
          <w:sz w:val="24"/>
          <w:szCs w:val="24"/>
        </w:rPr>
        <w:t xml:space="preserve"> after induction was best correlated with </w:t>
      </w:r>
      <w:r w:rsidRPr="00A624C2">
        <w:rPr>
          <w:rFonts w:ascii="Book Antiqua" w:hAnsi="Book Antiqua" w:cs="AdvOTb63a3543.I"/>
          <w:color w:val="231F20"/>
          <w:sz w:val="24"/>
          <w:szCs w:val="24"/>
        </w:rPr>
        <w:t xml:space="preserve">long term MH </w:t>
      </w:r>
      <w:r w:rsidR="006D2CCA" w:rsidRPr="00A624C2">
        <w:rPr>
          <w:rFonts w:ascii="Book Antiqua" w:hAnsi="Book Antiqua" w:cs="AdvOTb63a3543.I"/>
          <w:color w:val="231F20"/>
          <w:sz w:val="24"/>
          <w:szCs w:val="24"/>
        </w:rPr>
        <w:t xml:space="preserve">with a moderate sensitivity and good specificity, suggesting that patients may need even higher </w:t>
      </w:r>
      <w:r w:rsidR="00FF5311" w:rsidRPr="00A624C2">
        <w:rPr>
          <w:rFonts w:ascii="Book Antiqua" w:hAnsi="Book Antiqua" w:cs="AdvOTb63a3543.I"/>
          <w:color w:val="231F20"/>
          <w:sz w:val="24"/>
          <w:szCs w:val="24"/>
        </w:rPr>
        <w:t>concentrations than</w:t>
      </w:r>
      <w:r w:rsidR="006D2CCA" w:rsidRPr="00A624C2">
        <w:rPr>
          <w:rFonts w:ascii="Book Antiqua" w:hAnsi="Book Antiqua" w:cs="AdvOTb63a3543.I"/>
          <w:color w:val="231F20"/>
          <w:sz w:val="24"/>
          <w:szCs w:val="24"/>
        </w:rPr>
        <w:t xml:space="preserve"> previous</w:t>
      </w:r>
      <w:r w:rsidR="00432F64" w:rsidRPr="00A624C2">
        <w:rPr>
          <w:rFonts w:ascii="Book Antiqua" w:hAnsi="Book Antiqua" w:cs="AdvOTb63a3543.I"/>
          <w:color w:val="231F20"/>
          <w:sz w:val="24"/>
          <w:szCs w:val="24"/>
        </w:rPr>
        <w:t>ly</w:t>
      </w:r>
      <w:r w:rsidR="006D2CCA" w:rsidRPr="00A624C2">
        <w:rPr>
          <w:rFonts w:ascii="Book Antiqua" w:hAnsi="Book Antiqua" w:cs="AdvOTb63a3543.I"/>
          <w:color w:val="231F20"/>
          <w:sz w:val="24"/>
          <w:szCs w:val="24"/>
        </w:rPr>
        <w:t xml:space="preserve"> report</w:t>
      </w:r>
      <w:r w:rsidR="00432F64" w:rsidRPr="00A624C2">
        <w:rPr>
          <w:rFonts w:ascii="Book Antiqua" w:hAnsi="Book Antiqua" w:cs="AdvOTb63a3543.I"/>
          <w:color w:val="231F20"/>
          <w:sz w:val="24"/>
          <w:szCs w:val="24"/>
        </w:rPr>
        <w:t>ed</w:t>
      </w:r>
      <w:r w:rsidR="00FF5311" w:rsidRPr="00A624C2">
        <w:rPr>
          <w:rFonts w:ascii="Book Antiqua" w:hAnsi="Book Antiqua" w:cs="AdvOTb63a3543.I"/>
          <w:color w:val="231F20"/>
          <w:sz w:val="24"/>
          <w:szCs w:val="24"/>
        </w:rPr>
        <w:t>.</w:t>
      </w:r>
      <w:r w:rsidR="006D2CCA" w:rsidRPr="00A624C2">
        <w:rPr>
          <w:rFonts w:ascii="Book Antiqua" w:hAnsi="Book Antiqua" w:cs="AdvOTb63a3543.I"/>
          <w:color w:val="231F20"/>
          <w:sz w:val="24"/>
          <w:szCs w:val="24"/>
        </w:rPr>
        <w:t xml:space="preserve"> </w:t>
      </w:r>
      <w:r w:rsidR="00FF5311" w:rsidRPr="00A624C2">
        <w:rPr>
          <w:rFonts w:ascii="Book Antiqua" w:hAnsi="Book Antiqua" w:cs="AdvOTb63a3543.I"/>
          <w:color w:val="231F20"/>
          <w:sz w:val="24"/>
          <w:szCs w:val="24"/>
        </w:rPr>
        <w:t>M</w:t>
      </w:r>
      <w:r w:rsidR="006D2CCA" w:rsidRPr="00A624C2">
        <w:rPr>
          <w:rFonts w:ascii="Book Antiqua" w:hAnsi="Book Antiqua" w:cs="AdvOTb63a3543.I"/>
          <w:color w:val="231F20"/>
          <w:sz w:val="24"/>
          <w:szCs w:val="24"/>
        </w:rPr>
        <w:t xml:space="preserve">easurement of </w:t>
      </w:r>
      <w:r w:rsidR="00FF5311" w:rsidRPr="00A624C2">
        <w:rPr>
          <w:rFonts w:ascii="Book Antiqua" w:hAnsi="Book Antiqua" w:cs="AdvOTb63a3543.I"/>
          <w:color w:val="231F20"/>
          <w:sz w:val="24"/>
          <w:szCs w:val="24"/>
        </w:rPr>
        <w:t>serum drug concentration</w:t>
      </w:r>
      <w:r w:rsidR="006D2CCA" w:rsidRPr="00A624C2">
        <w:rPr>
          <w:rFonts w:ascii="Book Antiqua" w:hAnsi="Book Antiqua" w:cs="AdvOTb63a3543.I"/>
          <w:color w:val="231F20"/>
          <w:sz w:val="24"/>
          <w:szCs w:val="24"/>
        </w:rPr>
        <w:t xml:space="preserve"> after induction could be considered as a time point to perform th</w:t>
      </w:r>
      <w:r w:rsidR="00A91E0D" w:rsidRPr="00A624C2">
        <w:rPr>
          <w:rFonts w:ascii="Book Antiqua" w:hAnsi="Book Antiqua" w:cs="AdvOTb63a3543.I"/>
          <w:color w:val="231F20"/>
          <w:sz w:val="24"/>
          <w:szCs w:val="24"/>
        </w:rPr>
        <w:t>is</w:t>
      </w:r>
      <w:r w:rsidR="006D2CCA" w:rsidRPr="00A624C2">
        <w:rPr>
          <w:rFonts w:ascii="Book Antiqua" w:hAnsi="Book Antiqua" w:cs="AdvOTb63a3543.I"/>
          <w:color w:val="231F20"/>
          <w:sz w:val="24"/>
          <w:szCs w:val="24"/>
        </w:rPr>
        <w:t xml:space="preserve"> evaluation </w:t>
      </w:r>
      <w:r w:rsidR="00FF5311" w:rsidRPr="00A624C2">
        <w:rPr>
          <w:rFonts w:ascii="Book Antiqua" w:hAnsi="Book Antiqua" w:cs="AdvOTb63a3543.I"/>
          <w:color w:val="231F20"/>
          <w:sz w:val="24"/>
          <w:szCs w:val="24"/>
        </w:rPr>
        <w:t>for</w:t>
      </w:r>
      <w:r w:rsidR="006D2CCA" w:rsidRPr="00A624C2">
        <w:rPr>
          <w:rFonts w:ascii="Book Antiqua" w:hAnsi="Book Antiqua" w:cs="AdvOTb63a3543.I"/>
          <w:color w:val="231F20"/>
          <w:sz w:val="24"/>
          <w:szCs w:val="24"/>
        </w:rPr>
        <w:t xml:space="preserve"> predict</w:t>
      </w:r>
      <w:r w:rsidR="00FF5311" w:rsidRPr="00A624C2">
        <w:rPr>
          <w:rFonts w:ascii="Book Antiqua" w:hAnsi="Book Antiqua" w:cs="AdvOTb63a3543.I"/>
          <w:color w:val="231F20"/>
          <w:sz w:val="24"/>
          <w:szCs w:val="24"/>
        </w:rPr>
        <w:t>ing</w:t>
      </w:r>
      <w:r w:rsidR="006D2CCA" w:rsidRPr="00A624C2">
        <w:rPr>
          <w:rFonts w:ascii="Book Antiqua" w:hAnsi="Book Antiqua" w:cs="AdvOTb63a3543.I"/>
          <w:color w:val="231F20"/>
          <w:sz w:val="24"/>
          <w:szCs w:val="24"/>
        </w:rPr>
        <w:t xml:space="preserve"> long term endoscopic outcomes. </w:t>
      </w:r>
      <w:r w:rsidR="00432F64" w:rsidRPr="00A624C2">
        <w:rPr>
          <w:rFonts w:ascii="Book Antiqua" w:hAnsi="Book Antiqua" w:cs="AdvOTb63a3543.I"/>
          <w:color w:val="231F20"/>
          <w:sz w:val="24"/>
          <w:szCs w:val="24"/>
        </w:rPr>
        <w:t xml:space="preserve">Infliximab </w:t>
      </w:r>
      <w:r w:rsidR="00FF5311" w:rsidRPr="00A624C2">
        <w:rPr>
          <w:rFonts w:ascii="Book Antiqua" w:hAnsi="Book Antiqua" w:cs="AdvOTb63a3543.I"/>
          <w:color w:val="231F20"/>
          <w:sz w:val="24"/>
          <w:szCs w:val="24"/>
        </w:rPr>
        <w:t>serum concentration</w:t>
      </w:r>
      <w:r w:rsidR="00432F64" w:rsidRPr="00A624C2">
        <w:rPr>
          <w:rFonts w:ascii="Book Antiqua" w:hAnsi="Book Antiqua" w:cs="AdvOTb63a3543.I"/>
          <w:color w:val="231F20"/>
          <w:sz w:val="24"/>
          <w:szCs w:val="24"/>
        </w:rPr>
        <w:t xml:space="preserve"> were not predictive of </w:t>
      </w:r>
      <w:r w:rsidR="00A91E0D" w:rsidRPr="00A624C2">
        <w:rPr>
          <w:rFonts w:ascii="Book Antiqua" w:hAnsi="Book Antiqua" w:cs="AdvOTb63a3543.I"/>
          <w:color w:val="231F20"/>
          <w:sz w:val="24"/>
          <w:szCs w:val="24"/>
        </w:rPr>
        <w:t>MH</w:t>
      </w:r>
      <w:r w:rsidR="00432F64" w:rsidRPr="00A624C2">
        <w:rPr>
          <w:rFonts w:ascii="Book Antiqua" w:hAnsi="Book Antiqua" w:cs="AdvOTb63a3543.I"/>
          <w:color w:val="231F20"/>
          <w:sz w:val="24"/>
          <w:szCs w:val="24"/>
        </w:rPr>
        <w:t xml:space="preserve">; lack of statistical power, </w:t>
      </w:r>
      <w:r w:rsidR="001B4BFA" w:rsidRPr="00A624C2">
        <w:rPr>
          <w:rFonts w:ascii="Book Antiqua" w:hAnsi="Book Antiqua" w:cs="AdvOTb63a3543.I"/>
          <w:color w:val="231F20"/>
          <w:sz w:val="24"/>
          <w:szCs w:val="24"/>
        </w:rPr>
        <w:t xml:space="preserve">and the fact that a considerable number of patients had low </w:t>
      </w:r>
      <w:r w:rsidR="001B4BFA" w:rsidRPr="00A624C2">
        <w:rPr>
          <w:rFonts w:ascii="Book Antiqua" w:hAnsi="Book Antiqua" w:cs="AdvOTb63a3543.I"/>
          <w:color w:val="231F20"/>
          <w:sz w:val="24"/>
          <w:szCs w:val="24"/>
        </w:rPr>
        <w:lastRenderedPageBreak/>
        <w:t>serum infliximab concentrations may have prevented the identification of the relationship between drug levels and therapeutic response.</w:t>
      </w:r>
    </w:p>
    <w:p w14:paraId="21899DDC" w14:textId="31A3FC5F" w:rsidR="008614D5" w:rsidRPr="00A624C2" w:rsidRDefault="0052531A" w:rsidP="003D78B3">
      <w:pPr>
        <w:spacing w:after="0" w:line="360" w:lineRule="auto"/>
        <w:ind w:firstLineChars="100" w:firstLine="240"/>
        <w:jc w:val="both"/>
        <w:rPr>
          <w:rFonts w:ascii="Book Antiqua" w:hAnsi="Book Antiqua" w:cs="AdvOTb63a3543.I"/>
          <w:color w:val="231F20"/>
          <w:sz w:val="24"/>
          <w:szCs w:val="24"/>
        </w:rPr>
      </w:pPr>
      <w:r w:rsidRPr="00A624C2">
        <w:rPr>
          <w:rFonts w:ascii="Book Antiqua" w:hAnsi="Book Antiqua" w:cs="AdvOTb63a3543.I"/>
          <w:color w:val="231F20"/>
          <w:sz w:val="24"/>
          <w:szCs w:val="24"/>
        </w:rPr>
        <w:t>When we analyzed the subgroup of patients that achieve</w:t>
      </w:r>
      <w:r w:rsidR="002713D3" w:rsidRPr="00A624C2">
        <w:rPr>
          <w:rFonts w:ascii="Book Antiqua" w:hAnsi="Book Antiqua" w:cs="AdvOTb63a3543.I"/>
          <w:color w:val="231F20"/>
          <w:sz w:val="24"/>
          <w:szCs w:val="24"/>
        </w:rPr>
        <w:t>d</w:t>
      </w:r>
      <w:r w:rsidRPr="00A624C2">
        <w:rPr>
          <w:rFonts w:ascii="Book Antiqua" w:hAnsi="Book Antiqua" w:cs="AdvOTb63a3543.I"/>
          <w:color w:val="231F20"/>
          <w:sz w:val="24"/>
          <w:szCs w:val="24"/>
        </w:rPr>
        <w:t xml:space="preserve"> </w:t>
      </w:r>
      <w:r w:rsidR="00896FCC" w:rsidRPr="00A624C2">
        <w:rPr>
          <w:rFonts w:ascii="Book Antiqua" w:hAnsi="Book Antiqua" w:cs="AdvOTb63a3543.I"/>
          <w:color w:val="231F20"/>
          <w:sz w:val="24"/>
          <w:szCs w:val="24"/>
        </w:rPr>
        <w:t>MH</w:t>
      </w:r>
      <w:r w:rsidRPr="00A624C2">
        <w:rPr>
          <w:rFonts w:ascii="Book Antiqua" w:hAnsi="Book Antiqua" w:cs="AdvOTb63a3543.I"/>
          <w:color w:val="231F20"/>
          <w:sz w:val="24"/>
          <w:szCs w:val="24"/>
        </w:rPr>
        <w:t xml:space="preserve"> at weeks 14 and 46, a recommended </w:t>
      </w:r>
      <w:r w:rsidR="00192188" w:rsidRPr="00A624C2">
        <w:rPr>
          <w:rFonts w:ascii="Book Antiqua" w:hAnsi="Book Antiqua" w:cs="AdvOTb63a3543.I"/>
          <w:color w:val="231F20"/>
          <w:sz w:val="24"/>
          <w:szCs w:val="24"/>
        </w:rPr>
        <w:t>concentration</w:t>
      </w:r>
      <w:r w:rsidRPr="00A624C2">
        <w:rPr>
          <w:rFonts w:ascii="Book Antiqua" w:hAnsi="Book Antiqua" w:cs="AdvOTb63a3543.I"/>
          <w:color w:val="231F20"/>
          <w:sz w:val="24"/>
          <w:szCs w:val="24"/>
        </w:rPr>
        <w:t xml:space="preserve"> of infliximab </w:t>
      </w:r>
      <w:r w:rsidR="00634426" w:rsidRPr="00A624C2">
        <w:rPr>
          <w:rFonts w:ascii="Book Antiqua" w:hAnsi="Book Antiqua" w:cs="AdvOTb63a3543.I"/>
          <w:color w:val="231F20"/>
          <w:sz w:val="24"/>
          <w:szCs w:val="24"/>
        </w:rPr>
        <w:t xml:space="preserve">(equal or higher than 3.0 </w:t>
      </w:r>
      <w:r w:rsidR="003D78B3" w:rsidRPr="00A624C2">
        <w:rPr>
          <w:rFonts w:ascii="Book Antiqua" w:hAnsi="Book Antiqua" w:cs="AdvOTb63a3543.I"/>
          <w:color w:val="231F20"/>
          <w:sz w:val="24"/>
          <w:szCs w:val="24"/>
        </w:rPr>
        <w:t>μ</w:t>
      </w:r>
      <w:r w:rsidR="00634426" w:rsidRPr="00A624C2">
        <w:rPr>
          <w:rFonts w:ascii="Book Antiqua" w:hAnsi="Book Antiqua" w:cs="AdvOTb63a3543.I"/>
          <w:color w:val="231F20"/>
          <w:sz w:val="24"/>
          <w:szCs w:val="24"/>
        </w:rPr>
        <w:t>g/m</w:t>
      </w:r>
      <w:r w:rsidR="003D78B3" w:rsidRPr="00A624C2">
        <w:rPr>
          <w:rFonts w:ascii="Book Antiqua" w:hAnsi="Book Antiqua" w:cs="AdvOTb63a3543.I"/>
          <w:color w:val="231F20"/>
          <w:sz w:val="24"/>
          <w:szCs w:val="24"/>
        </w:rPr>
        <w:t>L</w:t>
      </w:r>
      <w:r w:rsidR="00634426" w:rsidRPr="00A624C2">
        <w:rPr>
          <w:rFonts w:ascii="Book Antiqua" w:hAnsi="Book Antiqua" w:cs="AdvOTb63a3543.I"/>
          <w:color w:val="231F20"/>
          <w:sz w:val="24"/>
          <w:szCs w:val="24"/>
        </w:rPr>
        <w:t xml:space="preserve">) </w:t>
      </w:r>
      <w:r w:rsidRPr="00A624C2">
        <w:rPr>
          <w:rFonts w:ascii="Book Antiqua" w:hAnsi="Book Antiqua" w:cs="AdvOTb63a3543.I"/>
          <w:color w:val="231F20"/>
          <w:sz w:val="24"/>
          <w:szCs w:val="24"/>
        </w:rPr>
        <w:t xml:space="preserve">was </w:t>
      </w:r>
      <w:r w:rsidR="0084666C" w:rsidRPr="00A624C2">
        <w:rPr>
          <w:rFonts w:ascii="Book Antiqua" w:hAnsi="Book Antiqua" w:cs="AdvOTb63a3543.I"/>
          <w:color w:val="231F20"/>
          <w:sz w:val="24"/>
          <w:szCs w:val="24"/>
        </w:rPr>
        <w:t>observed</w:t>
      </w:r>
      <w:r w:rsidRPr="00A624C2">
        <w:rPr>
          <w:rFonts w:ascii="Book Antiqua" w:hAnsi="Book Antiqua" w:cs="AdvOTb63a3543.I"/>
          <w:color w:val="231F20"/>
          <w:sz w:val="24"/>
          <w:szCs w:val="24"/>
        </w:rPr>
        <w:t xml:space="preserve"> in a 73% and 29% of patients respectively. </w:t>
      </w:r>
      <w:r w:rsidR="0084666C" w:rsidRPr="00A624C2">
        <w:rPr>
          <w:rFonts w:ascii="Book Antiqua" w:hAnsi="Book Antiqua" w:cs="AdvOTb63a3543.I"/>
          <w:color w:val="231F20"/>
          <w:sz w:val="24"/>
          <w:szCs w:val="24"/>
        </w:rPr>
        <w:t xml:space="preserve">The high proportion of patients in MH and low anti-TNF </w:t>
      </w:r>
      <w:r w:rsidR="00192188" w:rsidRPr="00A624C2">
        <w:rPr>
          <w:rFonts w:ascii="Book Antiqua" w:hAnsi="Book Antiqua" w:cs="AdvOTb63a3543.I"/>
          <w:color w:val="231F20"/>
          <w:sz w:val="24"/>
          <w:szCs w:val="24"/>
        </w:rPr>
        <w:t>serum concentration</w:t>
      </w:r>
      <w:r w:rsidR="0084666C" w:rsidRPr="00A624C2">
        <w:rPr>
          <w:rFonts w:ascii="Book Antiqua" w:hAnsi="Book Antiqua" w:cs="AdvOTb63a3543.I"/>
          <w:color w:val="231F20"/>
          <w:sz w:val="24"/>
          <w:szCs w:val="24"/>
        </w:rPr>
        <w:t xml:space="preserve"> during maintenance might indicate that lower drug levels may be sufficient after achieving healin</w:t>
      </w:r>
      <w:r w:rsidR="005A33C7" w:rsidRPr="00A624C2">
        <w:rPr>
          <w:rFonts w:ascii="Book Antiqua" w:hAnsi="Book Antiqua" w:cs="AdvOTb63a3543.I"/>
          <w:color w:val="231F20"/>
          <w:sz w:val="24"/>
          <w:szCs w:val="24"/>
        </w:rPr>
        <w:t>g</w:t>
      </w:r>
      <w:r w:rsidR="0084666C" w:rsidRPr="00A624C2">
        <w:rPr>
          <w:rFonts w:ascii="Book Antiqua" w:hAnsi="Book Antiqua" w:cs="AdvOTb63a3543.I"/>
          <w:color w:val="231F20"/>
          <w:sz w:val="24"/>
          <w:szCs w:val="24"/>
        </w:rPr>
        <w:t xml:space="preserve">. </w:t>
      </w:r>
      <w:r w:rsidR="002D3C26" w:rsidRPr="00A624C2">
        <w:rPr>
          <w:rFonts w:ascii="Book Antiqua" w:hAnsi="Book Antiqua"/>
          <w:sz w:val="24"/>
          <w:szCs w:val="24"/>
        </w:rPr>
        <w:t>The current study has several strengths. It has been prospectively performed</w:t>
      </w:r>
      <w:r w:rsidR="00FC00F3" w:rsidRPr="00A624C2">
        <w:rPr>
          <w:rFonts w:ascii="Book Antiqua" w:hAnsi="Book Antiqua"/>
          <w:sz w:val="24"/>
          <w:szCs w:val="24"/>
        </w:rPr>
        <w:t xml:space="preserve"> and</w:t>
      </w:r>
      <w:r w:rsidR="002D3C26" w:rsidRPr="00A624C2">
        <w:rPr>
          <w:rFonts w:ascii="Book Antiqua" w:hAnsi="Book Antiqua"/>
          <w:sz w:val="24"/>
          <w:szCs w:val="24"/>
        </w:rPr>
        <w:t xml:space="preserve"> all patients ha</w:t>
      </w:r>
      <w:r w:rsidR="00FC00F3" w:rsidRPr="00A624C2">
        <w:rPr>
          <w:rFonts w:ascii="Book Antiqua" w:hAnsi="Book Antiqua"/>
          <w:sz w:val="24"/>
          <w:szCs w:val="24"/>
        </w:rPr>
        <w:t>d</w:t>
      </w:r>
      <w:r w:rsidR="002D3C26" w:rsidRPr="00A624C2">
        <w:rPr>
          <w:rFonts w:ascii="Book Antiqua" w:hAnsi="Book Antiqua"/>
          <w:sz w:val="24"/>
          <w:szCs w:val="24"/>
        </w:rPr>
        <w:t xml:space="preserve"> </w:t>
      </w:r>
      <w:r w:rsidR="00FC00F3" w:rsidRPr="00A624C2">
        <w:rPr>
          <w:rFonts w:ascii="Book Antiqua" w:hAnsi="Book Antiqua"/>
          <w:sz w:val="24"/>
          <w:szCs w:val="24"/>
        </w:rPr>
        <w:t xml:space="preserve">documented </w:t>
      </w:r>
      <w:r w:rsidR="002D3C26" w:rsidRPr="00A624C2">
        <w:rPr>
          <w:rFonts w:ascii="Book Antiqua" w:hAnsi="Book Antiqua"/>
          <w:sz w:val="24"/>
          <w:szCs w:val="24"/>
        </w:rPr>
        <w:t>endoscopic active disease at baseline</w:t>
      </w:r>
      <w:r w:rsidR="00FC00F3" w:rsidRPr="00A624C2">
        <w:rPr>
          <w:rFonts w:ascii="Book Antiqua" w:hAnsi="Book Antiqua"/>
          <w:sz w:val="24"/>
          <w:szCs w:val="24"/>
        </w:rPr>
        <w:t>.</w:t>
      </w:r>
      <w:r w:rsidR="002D3C26" w:rsidRPr="00A624C2">
        <w:rPr>
          <w:rFonts w:ascii="Book Antiqua" w:hAnsi="Book Antiqua"/>
          <w:sz w:val="24"/>
          <w:szCs w:val="24"/>
        </w:rPr>
        <w:t xml:space="preserve"> </w:t>
      </w:r>
      <w:r w:rsidR="00E85B5F" w:rsidRPr="00A624C2">
        <w:rPr>
          <w:rFonts w:ascii="Book Antiqua" w:hAnsi="Book Antiqua"/>
          <w:sz w:val="24"/>
          <w:szCs w:val="24"/>
        </w:rPr>
        <w:t>In addition</w:t>
      </w:r>
      <w:r w:rsidR="00FC00F3" w:rsidRPr="00A624C2">
        <w:rPr>
          <w:rFonts w:ascii="Book Antiqua" w:hAnsi="Book Antiqua"/>
          <w:sz w:val="24"/>
          <w:szCs w:val="24"/>
        </w:rPr>
        <w:t xml:space="preserve">, </w:t>
      </w:r>
      <w:r w:rsidR="003F234A" w:rsidRPr="00A624C2">
        <w:rPr>
          <w:rFonts w:ascii="Book Antiqua" w:hAnsi="Book Antiqua"/>
          <w:sz w:val="24"/>
          <w:szCs w:val="24"/>
        </w:rPr>
        <w:t xml:space="preserve">monitoring </w:t>
      </w:r>
      <w:r w:rsidR="00613FA1" w:rsidRPr="00A624C2">
        <w:rPr>
          <w:rFonts w:ascii="Book Antiqua" w:hAnsi="Book Antiqua"/>
          <w:sz w:val="24"/>
          <w:szCs w:val="24"/>
        </w:rPr>
        <w:t xml:space="preserve">of disease activity was prospectively </w:t>
      </w:r>
      <w:r w:rsidR="002713D3" w:rsidRPr="00A624C2">
        <w:rPr>
          <w:rFonts w:ascii="Book Antiqua" w:hAnsi="Book Antiqua"/>
          <w:sz w:val="24"/>
          <w:szCs w:val="24"/>
        </w:rPr>
        <w:t xml:space="preserve">registered </w:t>
      </w:r>
      <w:r w:rsidR="00E85B5F" w:rsidRPr="00A624C2">
        <w:rPr>
          <w:rFonts w:ascii="Book Antiqua" w:hAnsi="Book Antiqua"/>
          <w:sz w:val="24"/>
          <w:szCs w:val="24"/>
        </w:rPr>
        <w:t xml:space="preserve">using </w:t>
      </w:r>
      <w:r w:rsidR="002D3C26" w:rsidRPr="00A624C2">
        <w:rPr>
          <w:rFonts w:ascii="Book Antiqua" w:hAnsi="Book Antiqua"/>
          <w:sz w:val="24"/>
          <w:szCs w:val="24"/>
        </w:rPr>
        <w:t>clinical, biologic</w:t>
      </w:r>
      <w:r w:rsidR="00613FA1" w:rsidRPr="00A624C2">
        <w:rPr>
          <w:rFonts w:ascii="Book Antiqua" w:hAnsi="Book Antiqua"/>
          <w:sz w:val="24"/>
          <w:szCs w:val="24"/>
        </w:rPr>
        <w:t>al</w:t>
      </w:r>
      <w:r w:rsidR="002D3C26" w:rsidRPr="00A624C2">
        <w:rPr>
          <w:rFonts w:ascii="Book Antiqua" w:hAnsi="Book Antiqua"/>
          <w:sz w:val="24"/>
          <w:szCs w:val="24"/>
        </w:rPr>
        <w:t>, an</w:t>
      </w:r>
      <w:r w:rsidR="00613FA1" w:rsidRPr="00A624C2">
        <w:rPr>
          <w:rFonts w:ascii="Book Antiqua" w:hAnsi="Book Antiqua"/>
          <w:sz w:val="24"/>
          <w:szCs w:val="24"/>
        </w:rPr>
        <w:t>d</w:t>
      </w:r>
      <w:r w:rsidR="002D3C26" w:rsidRPr="00A624C2">
        <w:rPr>
          <w:rFonts w:ascii="Book Antiqua" w:hAnsi="Book Antiqua"/>
          <w:sz w:val="24"/>
          <w:szCs w:val="24"/>
        </w:rPr>
        <w:t xml:space="preserve"> endoscopic </w:t>
      </w:r>
      <w:r w:rsidR="00F66C35" w:rsidRPr="00A624C2">
        <w:rPr>
          <w:rFonts w:ascii="Book Antiqua" w:hAnsi="Book Antiqua"/>
          <w:sz w:val="24"/>
          <w:szCs w:val="24"/>
        </w:rPr>
        <w:t>variables</w:t>
      </w:r>
      <w:r w:rsidR="00613FA1" w:rsidRPr="00A624C2">
        <w:rPr>
          <w:rFonts w:ascii="Book Antiqua" w:hAnsi="Book Antiqua"/>
          <w:sz w:val="24"/>
          <w:szCs w:val="24"/>
        </w:rPr>
        <w:t>.</w:t>
      </w:r>
      <w:r w:rsidR="00C71028" w:rsidRPr="00A624C2">
        <w:rPr>
          <w:rFonts w:ascii="Book Antiqua" w:hAnsi="Book Antiqua"/>
          <w:sz w:val="24"/>
          <w:szCs w:val="24"/>
        </w:rPr>
        <w:t xml:space="preserve"> O</w:t>
      </w:r>
      <w:r w:rsidR="00C71028" w:rsidRPr="00A624C2">
        <w:rPr>
          <w:rFonts w:ascii="Book Antiqua" w:hAnsi="Book Antiqua"/>
          <w:iCs/>
          <w:sz w:val="24"/>
          <w:szCs w:val="24"/>
        </w:rPr>
        <w:t>ur cohort ha</w:t>
      </w:r>
      <w:r w:rsidR="00192188" w:rsidRPr="00A624C2">
        <w:rPr>
          <w:rFonts w:ascii="Book Antiqua" w:hAnsi="Book Antiqua"/>
          <w:iCs/>
          <w:sz w:val="24"/>
          <w:szCs w:val="24"/>
        </w:rPr>
        <w:t>s</w:t>
      </w:r>
      <w:r w:rsidR="00C71028" w:rsidRPr="00A624C2">
        <w:rPr>
          <w:rFonts w:ascii="Book Antiqua" w:hAnsi="Book Antiqua"/>
          <w:iCs/>
          <w:sz w:val="24"/>
          <w:szCs w:val="24"/>
        </w:rPr>
        <w:t xml:space="preserve"> a lower clinical activity </w:t>
      </w:r>
      <w:r w:rsidR="002713D3" w:rsidRPr="00A624C2">
        <w:rPr>
          <w:rFonts w:ascii="Book Antiqua" w:hAnsi="Book Antiqua"/>
          <w:iCs/>
          <w:sz w:val="24"/>
          <w:szCs w:val="24"/>
        </w:rPr>
        <w:t>at baseline compared to</w:t>
      </w:r>
      <w:r w:rsidR="00C71028" w:rsidRPr="00A624C2">
        <w:rPr>
          <w:rFonts w:ascii="Book Antiqua" w:hAnsi="Book Antiqua"/>
          <w:iCs/>
          <w:sz w:val="24"/>
          <w:szCs w:val="24"/>
        </w:rPr>
        <w:t xml:space="preserve"> pivotal registration trials. Indeed</w:t>
      </w:r>
      <w:r w:rsidR="00192188" w:rsidRPr="00A624C2">
        <w:rPr>
          <w:rFonts w:ascii="Book Antiqua" w:hAnsi="Book Antiqua"/>
          <w:iCs/>
          <w:sz w:val="24"/>
          <w:szCs w:val="24"/>
        </w:rPr>
        <w:t xml:space="preserve">, </w:t>
      </w:r>
      <w:r w:rsidR="00C71028" w:rsidRPr="00A624C2">
        <w:rPr>
          <w:rFonts w:ascii="Book Antiqua" w:hAnsi="Book Antiqua"/>
          <w:iCs/>
          <w:sz w:val="24"/>
          <w:szCs w:val="24"/>
        </w:rPr>
        <w:t>our population probably better reflects clinical practice, where anti-TNF therapies are used not only in patients with severe disease as in pivotal trials, but also in patients with milder forms</w:t>
      </w:r>
      <w:r w:rsidR="00192188" w:rsidRPr="00A624C2">
        <w:rPr>
          <w:rFonts w:ascii="Book Antiqua" w:hAnsi="Book Antiqua"/>
          <w:iCs/>
          <w:sz w:val="24"/>
          <w:szCs w:val="24"/>
        </w:rPr>
        <w:t>.</w:t>
      </w:r>
    </w:p>
    <w:p w14:paraId="3779BFCA" w14:textId="7D30E4B3" w:rsidR="00D04226" w:rsidRPr="00A624C2" w:rsidRDefault="005B174C" w:rsidP="003D78B3">
      <w:pPr>
        <w:spacing w:after="0" w:line="360" w:lineRule="auto"/>
        <w:ind w:firstLineChars="100" w:firstLine="240"/>
        <w:jc w:val="both"/>
        <w:rPr>
          <w:rFonts w:ascii="Book Antiqua" w:hAnsi="Book Antiqua" w:cs="AdvOTb63a3543.I"/>
          <w:iCs/>
          <w:color w:val="FF0000"/>
          <w:sz w:val="24"/>
          <w:szCs w:val="24"/>
        </w:rPr>
      </w:pPr>
      <w:r w:rsidRPr="00A624C2">
        <w:rPr>
          <w:rFonts w:ascii="Book Antiqua" w:hAnsi="Book Antiqua"/>
          <w:sz w:val="24"/>
          <w:szCs w:val="24"/>
        </w:rPr>
        <w:t xml:space="preserve">This study </w:t>
      </w:r>
      <w:r w:rsidR="00E85B5F" w:rsidRPr="00A624C2">
        <w:rPr>
          <w:rFonts w:ascii="Book Antiqua" w:hAnsi="Book Antiqua"/>
          <w:sz w:val="24"/>
          <w:szCs w:val="24"/>
        </w:rPr>
        <w:t>has</w:t>
      </w:r>
      <w:r w:rsidR="00F66C35" w:rsidRPr="00A624C2">
        <w:rPr>
          <w:rFonts w:ascii="Book Antiqua" w:hAnsi="Book Antiqua"/>
          <w:sz w:val="24"/>
          <w:szCs w:val="24"/>
        </w:rPr>
        <w:t xml:space="preserve"> </w:t>
      </w:r>
      <w:r w:rsidR="002713D3" w:rsidRPr="00A624C2">
        <w:rPr>
          <w:rFonts w:ascii="Book Antiqua" w:hAnsi="Book Antiqua"/>
          <w:sz w:val="24"/>
          <w:szCs w:val="24"/>
        </w:rPr>
        <w:t xml:space="preserve">also </w:t>
      </w:r>
      <w:r w:rsidRPr="00A624C2">
        <w:rPr>
          <w:rFonts w:ascii="Book Antiqua" w:hAnsi="Book Antiqua"/>
          <w:sz w:val="24"/>
          <w:szCs w:val="24"/>
        </w:rPr>
        <w:t>some limitations</w:t>
      </w:r>
      <w:r w:rsidR="00192188" w:rsidRPr="00A624C2">
        <w:rPr>
          <w:rFonts w:ascii="Book Antiqua" w:hAnsi="Book Antiqua"/>
          <w:sz w:val="24"/>
          <w:szCs w:val="24"/>
        </w:rPr>
        <w:t xml:space="preserve"> that should be acknowledged</w:t>
      </w:r>
      <w:r w:rsidRPr="00A624C2">
        <w:rPr>
          <w:rFonts w:ascii="Book Antiqua" w:hAnsi="Book Antiqua"/>
          <w:sz w:val="24"/>
          <w:szCs w:val="24"/>
        </w:rPr>
        <w:t>. It</w:t>
      </w:r>
      <w:r w:rsidR="00F66C35" w:rsidRPr="00A624C2">
        <w:rPr>
          <w:rFonts w:ascii="Book Antiqua" w:hAnsi="Book Antiqua"/>
          <w:sz w:val="24"/>
          <w:szCs w:val="24"/>
        </w:rPr>
        <w:t xml:space="preserve"> is</w:t>
      </w:r>
      <w:r w:rsidRPr="00A624C2">
        <w:rPr>
          <w:rFonts w:ascii="Book Antiqua" w:hAnsi="Book Antiqua"/>
          <w:sz w:val="24"/>
          <w:szCs w:val="24"/>
        </w:rPr>
        <w:t xml:space="preserve"> a single center study</w:t>
      </w:r>
      <w:r w:rsidR="00E85B5F" w:rsidRPr="00A624C2">
        <w:rPr>
          <w:rFonts w:ascii="Book Antiqua" w:hAnsi="Book Antiqua"/>
          <w:sz w:val="24"/>
          <w:szCs w:val="24"/>
        </w:rPr>
        <w:t xml:space="preserve"> </w:t>
      </w:r>
      <w:r w:rsidR="00A66C10" w:rsidRPr="00A624C2">
        <w:rPr>
          <w:rFonts w:ascii="Book Antiqua" w:hAnsi="Book Antiqua"/>
          <w:sz w:val="24"/>
          <w:szCs w:val="24"/>
        </w:rPr>
        <w:t>with a limited sample size</w:t>
      </w:r>
      <w:r w:rsidR="00F66C35" w:rsidRPr="00A624C2">
        <w:rPr>
          <w:rFonts w:ascii="Book Antiqua" w:hAnsi="Book Antiqua"/>
          <w:sz w:val="24"/>
          <w:szCs w:val="24"/>
        </w:rPr>
        <w:t>. With regard to biomarkers as predictors of endoscopic response</w:t>
      </w:r>
      <w:r w:rsidR="00E85B5F" w:rsidRPr="00A624C2">
        <w:rPr>
          <w:rFonts w:ascii="Book Antiqua" w:hAnsi="Book Antiqua"/>
          <w:sz w:val="24"/>
          <w:szCs w:val="24"/>
        </w:rPr>
        <w:t>,</w:t>
      </w:r>
      <w:r w:rsidR="00B62436" w:rsidRPr="00A624C2">
        <w:rPr>
          <w:rFonts w:ascii="Book Antiqua" w:hAnsi="Book Antiqua"/>
          <w:sz w:val="24"/>
          <w:szCs w:val="24"/>
        </w:rPr>
        <w:t xml:space="preserve"> </w:t>
      </w:r>
      <w:r w:rsidR="00C71028" w:rsidRPr="00A624C2">
        <w:rPr>
          <w:rFonts w:ascii="Book Antiqua" w:hAnsi="Book Antiqua"/>
          <w:sz w:val="24"/>
          <w:szCs w:val="24"/>
        </w:rPr>
        <w:t>calprotectin could not be incorporated in the analysis due to a considerable proportion of missing samples, despite proactively remind</w:t>
      </w:r>
      <w:r w:rsidR="0084666C" w:rsidRPr="00A624C2">
        <w:rPr>
          <w:rFonts w:ascii="Book Antiqua" w:hAnsi="Book Antiqua"/>
          <w:sz w:val="24"/>
          <w:szCs w:val="24"/>
        </w:rPr>
        <w:t>ing</w:t>
      </w:r>
      <w:r w:rsidR="00C71028" w:rsidRPr="00A624C2">
        <w:rPr>
          <w:rFonts w:ascii="Book Antiqua" w:hAnsi="Book Antiqua"/>
          <w:sz w:val="24"/>
          <w:szCs w:val="24"/>
        </w:rPr>
        <w:t xml:space="preserve"> the patients to collect them. This is an inherent limitation of this monitoring modality</w:t>
      </w:r>
      <w:r w:rsidR="00192188" w:rsidRPr="00A624C2">
        <w:rPr>
          <w:rFonts w:ascii="Book Antiqua" w:hAnsi="Book Antiqua"/>
          <w:sz w:val="24"/>
          <w:szCs w:val="24"/>
        </w:rPr>
        <w:t xml:space="preserve">. </w:t>
      </w:r>
      <w:r w:rsidR="0059541A" w:rsidRPr="00A624C2">
        <w:rPr>
          <w:rFonts w:ascii="Book Antiqua" w:hAnsi="Book Antiqua" w:cs="AdvOTb63a3543.I"/>
          <w:sz w:val="24"/>
          <w:szCs w:val="24"/>
        </w:rPr>
        <w:t xml:space="preserve">Escalation of drug doses was </w:t>
      </w:r>
      <w:r w:rsidR="0084666C" w:rsidRPr="00A624C2">
        <w:rPr>
          <w:rFonts w:ascii="Book Antiqua" w:hAnsi="Book Antiqua" w:cs="AdvOTb63a3543.I"/>
          <w:sz w:val="24"/>
          <w:szCs w:val="24"/>
        </w:rPr>
        <w:t>triggered by</w:t>
      </w:r>
      <w:r w:rsidR="0059541A" w:rsidRPr="00A624C2">
        <w:rPr>
          <w:rFonts w:ascii="Book Antiqua" w:hAnsi="Book Antiqua" w:cs="AdvOTb63a3543.I"/>
          <w:sz w:val="24"/>
          <w:szCs w:val="24"/>
        </w:rPr>
        <w:t xml:space="preserve"> clinical symptoms. </w:t>
      </w:r>
      <w:r w:rsidR="0059541A" w:rsidRPr="00A624C2">
        <w:rPr>
          <w:rFonts w:ascii="Book Antiqua" w:hAnsi="Book Antiqua" w:cs="AdvOTb63a3543.I"/>
          <w:iCs/>
          <w:sz w:val="24"/>
          <w:szCs w:val="24"/>
        </w:rPr>
        <w:t xml:space="preserve">This could be considered as a limitation, however, there is no evidence at this moment </w:t>
      </w:r>
      <w:r w:rsidR="002713D3" w:rsidRPr="00A624C2">
        <w:rPr>
          <w:rFonts w:ascii="Book Antiqua" w:hAnsi="Book Antiqua" w:cs="AdvOTb63a3543.I"/>
          <w:iCs/>
          <w:sz w:val="24"/>
          <w:szCs w:val="24"/>
        </w:rPr>
        <w:t xml:space="preserve">supporting that treatment </w:t>
      </w:r>
      <w:r w:rsidR="0059541A" w:rsidRPr="00A624C2">
        <w:rPr>
          <w:rFonts w:ascii="Book Antiqua" w:hAnsi="Book Antiqua" w:cs="AdvOTb63a3543.I"/>
          <w:iCs/>
          <w:sz w:val="24"/>
          <w:szCs w:val="24"/>
        </w:rPr>
        <w:t xml:space="preserve">intensification based on </w:t>
      </w:r>
      <w:r w:rsidR="002713D3" w:rsidRPr="00A624C2">
        <w:rPr>
          <w:rFonts w:ascii="Book Antiqua" w:hAnsi="Book Antiqua" w:cs="AdvOTb63a3543.I"/>
          <w:iCs/>
          <w:sz w:val="24"/>
          <w:szCs w:val="24"/>
        </w:rPr>
        <w:t xml:space="preserve">a </w:t>
      </w:r>
      <w:r w:rsidR="0059541A" w:rsidRPr="00A624C2">
        <w:rPr>
          <w:rFonts w:ascii="Book Antiqua" w:hAnsi="Book Antiqua" w:cs="AdvOTb63a3543.I"/>
          <w:iCs/>
          <w:sz w:val="24"/>
          <w:szCs w:val="24"/>
        </w:rPr>
        <w:t xml:space="preserve">target </w:t>
      </w:r>
      <w:r w:rsidR="002713D3" w:rsidRPr="00A624C2">
        <w:rPr>
          <w:rFonts w:ascii="Book Antiqua" w:hAnsi="Book Antiqua" w:cs="AdvOTb63a3543.I"/>
          <w:iCs/>
          <w:sz w:val="24"/>
          <w:szCs w:val="24"/>
        </w:rPr>
        <w:t xml:space="preserve">serum </w:t>
      </w:r>
      <w:r w:rsidR="0059541A" w:rsidRPr="00A624C2">
        <w:rPr>
          <w:rFonts w:ascii="Book Antiqua" w:hAnsi="Book Antiqua" w:cs="AdvOTb63a3543.I"/>
          <w:iCs/>
          <w:sz w:val="24"/>
          <w:szCs w:val="24"/>
        </w:rPr>
        <w:t xml:space="preserve">drug </w:t>
      </w:r>
      <w:r w:rsidR="002713D3" w:rsidRPr="00A624C2">
        <w:rPr>
          <w:rFonts w:ascii="Book Antiqua" w:hAnsi="Book Antiqua" w:cs="AdvOTb63a3543.I"/>
          <w:iCs/>
          <w:sz w:val="24"/>
          <w:szCs w:val="24"/>
        </w:rPr>
        <w:t>concentration</w:t>
      </w:r>
      <w:r w:rsidR="003D78B3" w:rsidRPr="00A624C2">
        <w:rPr>
          <w:rFonts w:ascii="Book Antiqua" w:eastAsia="宋体" w:hAnsi="Book Antiqua" w:cs="AdvOTb63a3543.I"/>
          <w:iCs/>
          <w:sz w:val="24"/>
          <w:szCs w:val="24"/>
          <w:vertAlign w:val="superscript"/>
          <w:lang w:eastAsia="zh-CN"/>
        </w:rPr>
        <w:t>[20,21]</w:t>
      </w:r>
      <w:r w:rsidR="002713D3" w:rsidRPr="00A624C2">
        <w:rPr>
          <w:rFonts w:ascii="Book Antiqua" w:hAnsi="Book Antiqua" w:cs="AdvOTb63a3543.I"/>
          <w:iCs/>
          <w:sz w:val="24"/>
          <w:szCs w:val="24"/>
        </w:rPr>
        <w:t xml:space="preserve"> is superior </w:t>
      </w:r>
      <w:r w:rsidR="001B4BFA" w:rsidRPr="00A624C2">
        <w:rPr>
          <w:rFonts w:ascii="Book Antiqua" w:hAnsi="Book Antiqua" w:cs="AdvOTb63a3543.I"/>
          <w:iCs/>
          <w:sz w:val="24"/>
          <w:szCs w:val="24"/>
        </w:rPr>
        <w:t xml:space="preserve">to </w:t>
      </w:r>
      <w:r w:rsidR="0059541A" w:rsidRPr="00A624C2">
        <w:rPr>
          <w:rFonts w:ascii="Book Antiqua" w:hAnsi="Book Antiqua" w:cs="AdvOTb63a3543.I"/>
          <w:iCs/>
          <w:sz w:val="24"/>
          <w:szCs w:val="24"/>
        </w:rPr>
        <w:t>clinically based dosing</w:t>
      </w:r>
      <w:r w:rsidR="002713D3" w:rsidRPr="00A624C2">
        <w:rPr>
          <w:rFonts w:ascii="Book Antiqua" w:hAnsi="Book Antiqua" w:cs="AdvOTb63a3543.I"/>
          <w:iCs/>
          <w:sz w:val="24"/>
          <w:szCs w:val="24"/>
        </w:rPr>
        <w:t>.</w:t>
      </w:r>
      <w:r w:rsidR="0059541A" w:rsidRPr="00A624C2">
        <w:rPr>
          <w:rFonts w:ascii="Book Antiqua" w:hAnsi="Book Antiqua" w:cs="AdvOTb63a3543.I"/>
          <w:iCs/>
          <w:sz w:val="24"/>
          <w:szCs w:val="24"/>
        </w:rPr>
        <w:t xml:space="preserve"> </w:t>
      </w:r>
      <w:r w:rsidR="002713D3" w:rsidRPr="00A624C2">
        <w:rPr>
          <w:rFonts w:ascii="Book Antiqua" w:hAnsi="Book Antiqua" w:cs="AdvOTb63a3543.I"/>
          <w:iCs/>
          <w:sz w:val="24"/>
          <w:szCs w:val="24"/>
        </w:rPr>
        <w:t>I</w:t>
      </w:r>
      <w:r w:rsidR="0059541A" w:rsidRPr="00A624C2">
        <w:rPr>
          <w:rFonts w:ascii="Book Antiqua" w:hAnsi="Book Antiqua" w:cs="AdvOTb63a3543.I"/>
          <w:iCs/>
          <w:sz w:val="24"/>
          <w:szCs w:val="24"/>
        </w:rPr>
        <w:t xml:space="preserve">n this scenario, </w:t>
      </w:r>
      <w:r w:rsidR="00F60381" w:rsidRPr="00A624C2">
        <w:rPr>
          <w:rFonts w:ascii="Book Antiqua" w:hAnsi="Book Antiqua" w:cs="AdvOTb63a3543.I"/>
          <w:iCs/>
          <w:sz w:val="24"/>
          <w:szCs w:val="24"/>
        </w:rPr>
        <w:t xml:space="preserve">treatment </w:t>
      </w:r>
      <w:r w:rsidR="0059541A" w:rsidRPr="00A624C2">
        <w:rPr>
          <w:rFonts w:ascii="Book Antiqua" w:hAnsi="Book Antiqua" w:cs="AdvOTb63a3543.I"/>
          <w:iCs/>
          <w:sz w:val="24"/>
          <w:szCs w:val="24"/>
        </w:rPr>
        <w:t>intensification based on clinical decisions represent the current clinical practice in the majority of centers until new evidence is available.</w:t>
      </w:r>
      <w:r w:rsidR="00FE467B" w:rsidRPr="00A624C2">
        <w:rPr>
          <w:rFonts w:ascii="Book Antiqua" w:hAnsi="Book Antiqua" w:cs="AdvOTb63a3543.I"/>
          <w:iCs/>
          <w:color w:val="FF0000"/>
          <w:sz w:val="24"/>
          <w:szCs w:val="24"/>
        </w:rPr>
        <w:t xml:space="preserve"> </w:t>
      </w:r>
    </w:p>
    <w:p w14:paraId="54BF6B11" w14:textId="77777777" w:rsidR="00DA0DB3" w:rsidRPr="00A624C2" w:rsidRDefault="00DA0DB3" w:rsidP="003D78B3">
      <w:pPr>
        <w:spacing w:after="0" w:line="360" w:lineRule="auto"/>
        <w:ind w:firstLineChars="100" w:firstLine="240"/>
        <w:jc w:val="both"/>
        <w:rPr>
          <w:rFonts w:ascii="Book Antiqua" w:hAnsi="Book Antiqua"/>
          <w:sz w:val="24"/>
          <w:szCs w:val="24"/>
        </w:rPr>
      </w:pPr>
      <w:r w:rsidRPr="00A624C2">
        <w:rPr>
          <w:rFonts w:ascii="Book Antiqua" w:hAnsi="Book Antiqua"/>
          <w:sz w:val="24"/>
          <w:szCs w:val="24"/>
        </w:rPr>
        <w:t xml:space="preserve">In summary, </w:t>
      </w:r>
      <w:r w:rsidR="00A66C10" w:rsidRPr="00A624C2">
        <w:rPr>
          <w:rFonts w:ascii="Book Antiqua" w:hAnsi="Book Antiqua"/>
          <w:sz w:val="24"/>
          <w:szCs w:val="24"/>
        </w:rPr>
        <w:t xml:space="preserve">in </w:t>
      </w:r>
      <w:r w:rsidRPr="00A624C2">
        <w:rPr>
          <w:rFonts w:ascii="Book Antiqua" w:hAnsi="Book Antiqua"/>
          <w:sz w:val="24"/>
          <w:szCs w:val="24"/>
        </w:rPr>
        <w:t>patients</w:t>
      </w:r>
      <w:r w:rsidR="00F60381" w:rsidRPr="00A624C2">
        <w:rPr>
          <w:rFonts w:ascii="Book Antiqua" w:hAnsi="Book Antiqua"/>
          <w:sz w:val="24"/>
          <w:szCs w:val="24"/>
        </w:rPr>
        <w:t xml:space="preserve"> with</w:t>
      </w:r>
      <w:r w:rsidRPr="00A624C2">
        <w:rPr>
          <w:rFonts w:ascii="Book Antiqua" w:hAnsi="Book Antiqua"/>
          <w:sz w:val="24"/>
          <w:szCs w:val="24"/>
        </w:rPr>
        <w:t xml:space="preserve"> </w:t>
      </w:r>
      <w:r w:rsidR="00F60381" w:rsidRPr="00A624C2">
        <w:rPr>
          <w:rFonts w:ascii="Book Antiqua" w:hAnsi="Book Antiqua"/>
          <w:sz w:val="24"/>
          <w:szCs w:val="24"/>
        </w:rPr>
        <w:t xml:space="preserve">CD </w:t>
      </w:r>
      <w:r w:rsidRPr="00A624C2">
        <w:rPr>
          <w:rFonts w:ascii="Book Antiqua" w:hAnsi="Book Antiqua"/>
          <w:sz w:val="24"/>
          <w:szCs w:val="24"/>
        </w:rPr>
        <w:t>treated with an anti-TNF</w:t>
      </w:r>
      <w:r w:rsidR="00964846" w:rsidRPr="00A624C2">
        <w:rPr>
          <w:rFonts w:ascii="Book Antiqua" w:hAnsi="Book Antiqua"/>
          <w:sz w:val="24"/>
          <w:szCs w:val="24"/>
        </w:rPr>
        <w:t>,</w:t>
      </w:r>
      <w:r w:rsidRPr="00A624C2">
        <w:rPr>
          <w:rFonts w:ascii="Book Antiqua" w:hAnsi="Book Antiqua"/>
          <w:sz w:val="24"/>
          <w:szCs w:val="24"/>
        </w:rPr>
        <w:t xml:space="preserve"> endoscopic evaluation following completion of induction treatment should be considered for determining endoscopic response and predicting long-term outcomes. After 14 weeks of treatment, a</w:t>
      </w:r>
      <w:r w:rsidR="00964846" w:rsidRPr="00A624C2">
        <w:rPr>
          <w:rFonts w:ascii="Book Antiqua" w:hAnsi="Book Antiqua"/>
          <w:sz w:val="24"/>
          <w:szCs w:val="24"/>
        </w:rPr>
        <w:t>chievement of a</w:t>
      </w:r>
      <w:r w:rsidRPr="00A624C2">
        <w:rPr>
          <w:rFonts w:ascii="Book Antiqua" w:hAnsi="Book Antiqua"/>
          <w:sz w:val="24"/>
          <w:szCs w:val="24"/>
        </w:rPr>
        <w:t xml:space="preserve"> reduction of 80% from baseline CDEIS </w:t>
      </w:r>
      <w:r w:rsidR="001B4BFA" w:rsidRPr="00A624C2">
        <w:rPr>
          <w:rFonts w:ascii="Book Antiqua" w:hAnsi="Book Antiqua"/>
          <w:sz w:val="24"/>
          <w:szCs w:val="24"/>
        </w:rPr>
        <w:t xml:space="preserve">may </w:t>
      </w:r>
      <w:r w:rsidRPr="00A624C2">
        <w:rPr>
          <w:rFonts w:ascii="Book Antiqua" w:hAnsi="Book Antiqua"/>
          <w:sz w:val="24"/>
          <w:szCs w:val="24"/>
        </w:rPr>
        <w:t xml:space="preserve">be considered a </w:t>
      </w:r>
      <w:r w:rsidR="0084666C" w:rsidRPr="00A624C2">
        <w:rPr>
          <w:rFonts w:ascii="Book Antiqua" w:hAnsi="Book Antiqua"/>
          <w:sz w:val="24"/>
          <w:szCs w:val="24"/>
        </w:rPr>
        <w:t xml:space="preserve">target </w:t>
      </w:r>
      <w:r w:rsidRPr="00A624C2">
        <w:rPr>
          <w:rFonts w:ascii="Book Antiqua" w:hAnsi="Book Antiqua"/>
          <w:sz w:val="24"/>
          <w:szCs w:val="24"/>
        </w:rPr>
        <w:t>for optimization of anti-TNF therapy in clinical practice.</w:t>
      </w:r>
    </w:p>
    <w:p w14:paraId="5427B950" w14:textId="77777777" w:rsidR="006121F8" w:rsidRPr="00A624C2" w:rsidRDefault="006121F8" w:rsidP="0028587F">
      <w:pPr>
        <w:spacing w:after="0" w:line="360" w:lineRule="auto"/>
        <w:jc w:val="both"/>
        <w:rPr>
          <w:rFonts w:ascii="Book Antiqua" w:eastAsia="宋体" w:hAnsi="Book Antiqua"/>
          <w:sz w:val="24"/>
          <w:szCs w:val="24"/>
          <w:lang w:eastAsia="zh-CN"/>
        </w:rPr>
      </w:pPr>
    </w:p>
    <w:p w14:paraId="2A9F6BE8" w14:textId="57C2AA3A" w:rsidR="006121F8" w:rsidRPr="00A624C2" w:rsidRDefault="006121F8" w:rsidP="0028587F">
      <w:pPr>
        <w:adjustRightInd w:val="0"/>
        <w:snapToGrid w:val="0"/>
        <w:spacing w:after="0" w:line="360" w:lineRule="auto"/>
        <w:jc w:val="both"/>
        <w:rPr>
          <w:rFonts w:ascii="Book Antiqua" w:hAnsi="Book Antiqua"/>
          <w:b/>
          <w:color w:val="000000"/>
          <w:sz w:val="24"/>
          <w:szCs w:val="24"/>
          <w:lang w:val="es-ES_tradnl"/>
        </w:rPr>
      </w:pPr>
      <w:r w:rsidRPr="00A624C2">
        <w:rPr>
          <w:rFonts w:ascii="Book Antiqua" w:hAnsi="Book Antiqua" w:cs="Garamond-Bold"/>
          <w:b/>
          <w:bCs/>
          <w:sz w:val="24"/>
          <w:szCs w:val="24"/>
        </w:rPr>
        <w:lastRenderedPageBreak/>
        <w:t>ARTICLE HIGHLIGHTS</w:t>
      </w:r>
    </w:p>
    <w:p w14:paraId="71FAF6C0" w14:textId="746DB12F" w:rsidR="00DA38FC" w:rsidRPr="00A624C2" w:rsidRDefault="00DA38FC" w:rsidP="0028587F">
      <w:pPr>
        <w:adjustRightInd w:val="0"/>
        <w:snapToGrid w:val="0"/>
        <w:spacing w:after="0" w:line="360" w:lineRule="auto"/>
        <w:jc w:val="both"/>
        <w:rPr>
          <w:rFonts w:ascii="Book Antiqua" w:hAnsi="Book Antiqua"/>
          <w:b/>
          <w:i/>
          <w:color w:val="000000"/>
          <w:sz w:val="24"/>
          <w:szCs w:val="24"/>
          <w:lang w:val="es-ES_tradnl"/>
        </w:rPr>
      </w:pPr>
      <w:r w:rsidRPr="00A624C2">
        <w:rPr>
          <w:rFonts w:ascii="Book Antiqua" w:hAnsi="Book Antiqua"/>
          <w:b/>
          <w:i/>
          <w:color w:val="000000"/>
          <w:sz w:val="24"/>
          <w:szCs w:val="24"/>
          <w:lang w:val="es-ES_tradnl"/>
        </w:rPr>
        <w:t>Research background</w:t>
      </w:r>
    </w:p>
    <w:p w14:paraId="7E8861A7" w14:textId="7DB45002" w:rsidR="00DA38FC" w:rsidRPr="00A624C2" w:rsidRDefault="003D78B3" w:rsidP="0028587F">
      <w:pPr>
        <w:adjustRightInd w:val="0"/>
        <w:snapToGrid w:val="0"/>
        <w:spacing w:after="0" w:line="360" w:lineRule="auto"/>
        <w:jc w:val="both"/>
        <w:rPr>
          <w:rFonts w:ascii="Book Antiqua" w:hAnsi="Book Antiqua"/>
          <w:sz w:val="24"/>
          <w:szCs w:val="24"/>
          <w:lang w:val="en-US"/>
        </w:rPr>
      </w:pPr>
      <w:r w:rsidRPr="00A624C2">
        <w:rPr>
          <w:rFonts w:ascii="Book Antiqua" w:hAnsi="Book Antiqua"/>
          <w:sz w:val="24"/>
          <w:szCs w:val="24"/>
          <w:lang w:val="en-US"/>
        </w:rPr>
        <w:t>Tumor necrosis factor</w:t>
      </w:r>
      <w:r w:rsidRPr="00A624C2">
        <w:rPr>
          <w:rFonts w:ascii="Book Antiqua" w:eastAsia="宋体" w:hAnsi="Book Antiqua"/>
          <w:sz w:val="24"/>
          <w:szCs w:val="24"/>
          <w:lang w:val="en-US" w:eastAsia="zh-CN"/>
        </w:rPr>
        <w:t xml:space="preserve"> (</w:t>
      </w:r>
      <w:r w:rsidR="00267290" w:rsidRPr="00A624C2">
        <w:rPr>
          <w:rFonts w:ascii="Book Antiqua" w:hAnsi="Book Antiqua"/>
          <w:sz w:val="24"/>
          <w:szCs w:val="24"/>
        </w:rPr>
        <w:t>TNF</w:t>
      </w:r>
      <w:r w:rsidRPr="00A624C2">
        <w:rPr>
          <w:rFonts w:ascii="Book Antiqua" w:eastAsia="宋体" w:hAnsi="Book Antiqua"/>
          <w:sz w:val="24"/>
          <w:szCs w:val="24"/>
          <w:lang w:eastAsia="zh-CN"/>
        </w:rPr>
        <w:t>)</w:t>
      </w:r>
      <w:r w:rsidR="00267290" w:rsidRPr="00A624C2">
        <w:rPr>
          <w:rFonts w:ascii="Book Antiqua" w:hAnsi="Book Antiqua"/>
          <w:sz w:val="24"/>
          <w:szCs w:val="24"/>
        </w:rPr>
        <w:t xml:space="preserve"> inhibitors are one of the most effective therapies for induction and maintenance of remissi</w:t>
      </w:r>
      <w:r w:rsidRPr="00A624C2">
        <w:rPr>
          <w:rFonts w:ascii="Book Antiqua" w:hAnsi="Book Antiqua"/>
          <w:sz w:val="24"/>
          <w:szCs w:val="24"/>
        </w:rPr>
        <w:t xml:space="preserve">on in patients with </w:t>
      </w:r>
      <w:r w:rsidRPr="00A624C2">
        <w:rPr>
          <w:rFonts w:ascii="Book Antiqua" w:hAnsi="Book Antiqua" w:cs="AdvOTb63a3543.I"/>
          <w:color w:val="231F20"/>
          <w:sz w:val="24"/>
          <w:szCs w:val="24"/>
        </w:rPr>
        <w:t>Crohn</w:t>
      </w:r>
      <w:r w:rsidRPr="00A624C2">
        <w:rPr>
          <w:rFonts w:ascii="Book Antiqua" w:eastAsia="宋体" w:hAnsi="Book Antiqua" w:cs="AdvOTb63a3543.I"/>
          <w:color w:val="231F20"/>
          <w:sz w:val="24"/>
          <w:szCs w:val="24"/>
          <w:lang w:eastAsia="zh-CN"/>
        </w:rPr>
        <w:t>’</w:t>
      </w:r>
      <w:r w:rsidRPr="00A624C2">
        <w:rPr>
          <w:rFonts w:ascii="Book Antiqua" w:hAnsi="Book Antiqua" w:cs="AdvOTb63a3543.I"/>
          <w:color w:val="231F20"/>
          <w:sz w:val="24"/>
          <w:szCs w:val="24"/>
        </w:rPr>
        <w:t>s disease</w:t>
      </w:r>
      <w:r w:rsidRPr="00A624C2">
        <w:rPr>
          <w:rFonts w:ascii="Book Antiqua" w:hAnsi="Book Antiqua"/>
          <w:sz w:val="24"/>
          <w:szCs w:val="24"/>
        </w:rPr>
        <w:t xml:space="preserve"> </w:t>
      </w:r>
      <w:r w:rsidRPr="00A624C2">
        <w:rPr>
          <w:rFonts w:ascii="Book Antiqua" w:eastAsia="宋体" w:hAnsi="Book Antiqua"/>
          <w:sz w:val="24"/>
          <w:szCs w:val="24"/>
          <w:lang w:eastAsia="zh-CN"/>
        </w:rPr>
        <w:t>(</w:t>
      </w:r>
      <w:r w:rsidRPr="00A624C2">
        <w:rPr>
          <w:rFonts w:ascii="Book Antiqua" w:hAnsi="Book Antiqua"/>
          <w:sz w:val="24"/>
          <w:szCs w:val="24"/>
        </w:rPr>
        <w:t>CD</w:t>
      </w:r>
      <w:r w:rsidRPr="00A624C2">
        <w:rPr>
          <w:rFonts w:ascii="Book Antiqua" w:eastAsia="宋体" w:hAnsi="Book Antiqua"/>
          <w:sz w:val="24"/>
          <w:szCs w:val="24"/>
          <w:lang w:eastAsia="zh-CN"/>
        </w:rPr>
        <w:t>)</w:t>
      </w:r>
      <w:r w:rsidRPr="00A624C2">
        <w:rPr>
          <w:rFonts w:ascii="Book Antiqua" w:hAnsi="Book Antiqua"/>
          <w:sz w:val="24"/>
          <w:szCs w:val="24"/>
        </w:rPr>
        <w:t>, however</w:t>
      </w:r>
      <w:r w:rsidR="00267290" w:rsidRPr="00A624C2">
        <w:rPr>
          <w:rFonts w:ascii="Book Antiqua" w:eastAsia="Times New Roman" w:hAnsi="Book Antiqua" w:cs="Courier New"/>
          <w:color w:val="212121"/>
          <w:sz w:val="24"/>
          <w:szCs w:val="24"/>
          <w:lang w:eastAsia="es-ES"/>
        </w:rPr>
        <w:t>,</w:t>
      </w:r>
      <w:r w:rsidRPr="00A624C2">
        <w:rPr>
          <w:rFonts w:ascii="Book Antiqua" w:eastAsia="宋体" w:hAnsi="Book Antiqua" w:cs="Courier New"/>
          <w:color w:val="212121"/>
          <w:sz w:val="24"/>
          <w:szCs w:val="24"/>
          <w:lang w:eastAsia="zh-CN"/>
        </w:rPr>
        <w:t xml:space="preserve"> </w:t>
      </w:r>
      <w:r w:rsidR="00267290" w:rsidRPr="00A624C2">
        <w:rPr>
          <w:rFonts w:ascii="Book Antiqua" w:eastAsia="Times New Roman" w:hAnsi="Book Antiqua" w:cs="Courier New"/>
          <w:color w:val="212121"/>
          <w:sz w:val="24"/>
          <w:szCs w:val="24"/>
          <w:lang w:eastAsia="es-ES"/>
        </w:rPr>
        <w:t xml:space="preserve">to date, </w:t>
      </w:r>
      <w:r w:rsidR="00267290" w:rsidRPr="00A624C2">
        <w:rPr>
          <w:rFonts w:ascii="Book Antiqua" w:hAnsi="Book Antiqua"/>
          <w:sz w:val="24"/>
          <w:szCs w:val="24"/>
        </w:rPr>
        <w:t xml:space="preserve">no observational prospective studies have been specifically designed to identify predictors of </w:t>
      </w:r>
      <w:r w:rsidRPr="00A624C2">
        <w:rPr>
          <w:rFonts w:ascii="Book Antiqua" w:hAnsi="Book Antiqua"/>
          <w:sz w:val="24"/>
          <w:szCs w:val="24"/>
        </w:rPr>
        <w:t xml:space="preserve">mucosal healing </w:t>
      </w:r>
      <w:r w:rsidRPr="00A624C2">
        <w:rPr>
          <w:rFonts w:ascii="Book Antiqua" w:eastAsia="宋体" w:hAnsi="Book Antiqua"/>
          <w:sz w:val="24"/>
          <w:szCs w:val="24"/>
          <w:lang w:eastAsia="zh-CN"/>
        </w:rPr>
        <w:t>(</w:t>
      </w:r>
      <w:r w:rsidR="00267290" w:rsidRPr="00A624C2">
        <w:rPr>
          <w:rFonts w:ascii="Book Antiqua" w:hAnsi="Book Antiqua"/>
          <w:sz w:val="24"/>
          <w:szCs w:val="24"/>
        </w:rPr>
        <w:t>MH</w:t>
      </w:r>
      <w:r w:rsidRPr="00A624C2">
        <w:rPr>
          <w:rFonts w:ascii="Book Antiqua" w:eastAsia="宋体" w:hAnsi="Book Antiqua"/>
          <w:sz w:val="24"/>
          <w:szCs w:val="24"/>
          <w:lang w:eastAsia="zh-CN"/>
        </w:rPr>
        <w:t>)</w:t>
      </w:r>
      <w:r w:rsidR="00267290" w:rsidRPr="00A624C2">
        <w:rPr>
          <w:rFonts w:ascii="Book Antiqua" w:hAnsi="Book Antiqua"/>
          <w:sz w:val="24"/>
          <w:szCs w:val="24"/>
        </w:rPr>
        <w:t>, which should be the therapeutic target.</w:t>
      </w:r>
    </w:p>
    <w:p w14:paraId="4ECAF86C" w14:textId="77777777" w:rsidR="00267290" w:rsidRPr="00A624C2" w:rsidRDefault="00267290" w:rsidP="0028587F">
      <w:pPr>
        <w:adjustRightInd w:val="0"/>
        <w:snapToGrid w:val="0"/>
        <w:spacing w:after="0" w:line="360" w:lineRule="auto"/>
        <w:jc w:val="both"/>
        <w:rPr>
          <w:rFonts w:ascii="Book Antiqua" w:hAnsi="Book Antiqua"/>
          <w:b/>
          <w:color w:val="000000"/>
          <w:sz w:val="24"/>
          <w:szCs w:val="24"/>
          <w:lang w:val="es-ES_tradnl"/>
        </w:rPr>
      </w:pPr>
    </w:p>
    <w:p w14:paraId="443C8F0C" w14:textId="2861312A" w:rsidR="00DA38FC" w:rsidRPr="00A624C2" w:rsidRDefault="00DA38FC" w:rsidP="0028587F">
      <w:pPr>
        <w:adjustRightInd w:val="0"/>
        <w:snapToGrid w:val="0"/>
        <w:spacing w:after="0" w:line="360" w:lineRule="auto"/>
        <w:jc w:val="both"/>
        <w:rPr>
          <w:rFonts w:ascii="Book Antiqua" w:hAnsi="Book Antiqua"/>
          <w:b/>
          <w:i/>
          <w:color w:val="000000"/>
          <w:sz w:val="24"/>
          <w:szCs w:val="24"/>
          <w:lang w:val="es-ES_tradnl"/>
        </w:rPr>
      </w:pPr>
      <w:r w:rsidRPr="00A624C2">
        <w:rPr>
          <w:rFonts w:ascii="Book Antiqua" w:hAnsi="Book Antiqua"/>
          <w:b/>
          <w:i/>
          <w:color w:val="000000"/>
          <w:sz w:val="24"/>
          <w:szCs w:val="24"/>
          <w:lang w:val="es-ES_tradnl"/>
        </w:rPr>
        <w:t>Research motivation</w:t>
      </w:r>
    </w:p>
    <w:p w14:paraId="64BD82C6" w14:textId="77777777" w:rsidR="00267290" w:rsidRPr="00A624C2" w:rsidRDefault="00267290" w:rsidP="0028587F">
      <w:pPr>
        <w:adjustRightInd w:val="0"/>
        <w:snapToGrid w:val="0"/>
        <w:spacing w:after="0" w:line="360" w:lineRule="auto"/>
        <w:jc w:val="both"/>
        <w:rPr>
          <w:rFonts w:ascii="Book Antiqua" w:hAnsi="Book Antiqua"/>
          <w:color w:val="000000"/>
          <w:sz w:val="24"/>
          <w:szCs w:val="24"/>
          <w:lang w:val="es-ES_tradnl"/>
        </w:rPr>
      </w:pPr>
      <w:r w:rsidRPr="00A624C2">
        <w:rPr>
          <w:rFonts w:ascii="Book Antiqua" w:hAnsi="Book Antiqua"/>
          <w:color w:val="000000"/>
          <w:sz w:val="24"/>
          <w:szCs w:val="24"/>
          <w:lang w:val="es-ES_tradnl"/>
        </w:rPr>
        <w:t>Improve knowledge about the predictive factors of response to TNF inhibitors and try to provide more tools to perform a personalized treatment.</w:t>
      </w:r>
    </w:p>
    <w:p w14:paraId="18D54207" w14:textId="77777777" w:rsidR="00267290" w:rsidRPr="00A624C2" w:rsidRDefault="00267290" w:rsidP="0028587F">
      <w:pPr>
        <w:adjustRightInd w:val="0"/>
        <w:snapToGrid w:val="0"/>
        <w:spacing w:after="0" w:line="360" w:lineRule="auto"/>
        <w:jc w:val="both"/>
        <w:rPr>
          <w:rFonts w:ascii="Book Antiqua" w:hAnsi="Book Antiqua"/>
          <w:color w:val="000000"/>
          <w:sz w:val="24"/>
          <w:szCs w:val="24"/>
          <w:lang w:val="es-ES_tradnl"/>
        </w:rPr>
      </w:pPr>
    </w:p>
    <w:p w14:paraId="5ED2588A" w14:textId="554ED93E" w:rsidR="00DA38FC" w:rsidRPr="00A624C2" w:rsidRDefault="00DA38FC" w:rsidP="0028587F">
      <w:pPr>
        <w:adjustRightInd w:val="0"/>
        <w:snapToGrid w:val="0"/>
        <w:spacing w:after="0" w:line="360" w:lineRule="auto"/>
        <w:jc w:val="both"/>
        <w:rPr>
          <w:rFonts w:ascii="Book Antiqua" w:hAnsi="Book Antiqua"/>
          <w:b/>
          <w:i/>
          <w:color w:val="000000"/>
          <w:sz w:val="24"/>
          <w:szCs w:val="24"/>
          <w:lang w:val="es-ES_tradnl"/>
        </w:rPr>
      </w:pPr>
      <w:r w:rsidRPr="00A624C2">
        <w:rPr>
          <w:rFonts w:ascii="Book Antiqua" w:hAnsi="Book Antiqua"/>
          <w:b/>
          <w:i/>
          <w:color w:val="000000"/>
          <w:sz w:val="24"/>
          <w:szCs w:val="24"/>
          <w:lang w:val="es-ES_tradnl"/>
        </w:rPr>
        <w:t>Research objectives</w:t>
      </w:r>
    </w:p>
    <w:p w14:paraId="1B61DF76" w14:textId="77777777" w:rsidR="00267290" w:rsidRPr="00A624C2" w:rsidRDefault="00267290" w:rsidP="0028587F">
      <w:pPr>
        <w:spacing w:after="0" w:line="360" w:lineRule="auto"/>
        <w:jc w:val="both"/>
        <w:rPr>
          <w:rFonts w:ascii="Book Antiqua" w:hAnsi="Book Antiqua"/>
          <w:sz w:val="24"/>
          <w:szCs w:val="24"/>
        </w:rPr>
      </w:pPr>
      <w:r w:rsidRPr="00A624C2">
        <w:rPr>
          <w:rFonts w:ascii="Book Antiqua" w:hAnsi="Book Antiqua"/>
          <w:sz w:val="24"/>
          <w:szCs w:val="24"/>
        </w:rPr>
        <w:t>The aim of this study was to identify predictors of MH after one year of treatment with TNF-α inhibitors.</w:t>
      </w:r>
    </w:p>
    <w:p w14:paraId="1B5E4E86" w14:textId="77777777" w:rsidR="00DA38FC" w:rsidRPr="00A624C2" w:rsidRDefault="00DA38FC" w:rsidP="0028587F">
      <w:pPr>
        <w:adjustRightInd w:val="0"/>
        <w:snapToGrid w:val="0"/>
        <w:spacing w:after="0" w:line="360" w:lineRule="auto"/>
        <w:jc w:val="both"/>
        <w:rPr>
          <w:rFonts w:ascii="Book Antiqua" w:hAnsi="Book Antiqua"/>
          <w:b/>
          <w:color w:val="000000"/>
          <w:sz w:val="24"/>
          <w:szCs w:val="24"/>
          <w:lang w:val="es-ES_tradnl"/>
        </w:rPr>
      </w:pPr>
    </w:p>
    <w:p w14:paraId="4C42AE3F" w14:textId="14C1DD61" w:rsidR="00DA38FC" w:rsidRPr="00A624C2" w:rsidRDefault="00DA38FC" w:rsidP="0028587F">
      <w:pPr>
        <w:adjustRightInd w:val="0"/>
        <w:snapToGrid w:val="0"/>
        <w:spacing w:after="0" w:line="360" w:lineRule="auto"/>
        <w:jc w:val="both"/>
        <w:rPr>
          <w:rFonts w:ascii="Book Antiqua" w:hAnsi="Book Antiqua"/>
          <w:b/>
          <w:i/>
          <w:color w:val="000000"/>
          <w:sz w:val="24"/>
          <w:szCs w:val="24"/>
          <w:lang w:val="es-ES_tradnl"/>
        </w:rPr>
      </w:pPr>
      <w:r w:rsidRPr="00A624C2">
        <w:rPr>
          <w:rFonts w:ascii="Book Antiqua" w:hAnsi="Book Antiqua"/>
          <w:b/>
          <w:i/>
          <w:color w:val="000000"/>
          <w:sz w:val="24"/>
          <w:szCs w:val="24"/>
          <w:lang w:val="es-ES_tradnl"/>
        </w:rPr>
        <w:t>Research methods</w:t>
      </w:r>
    </w:p>
    <w:p w14:paraId="09B7F076" w14:textId="7390E16B" w:rsidR="00267290" w:rsidRPr="00A624C2" w:rsidRDefault="00267290" w:rsidP="0028587F">
      <w:pPr>
        <w:spacing w:after="0" w:line="360" w:lineRule="auto"/>
        <w:jc w:val="both"/>
        <w:rPr>
          <w:rFonts w:ascii="Book Antiqua" w:eastAsia="宋体" w:hAnsi="Book Antiqua"/>
          <w:sz w:val="24"/>
          <w:szCs w:val="24"/>
          <w:lang w:eastAsia="zh-CN"/>
        </w:rPr>
      </w:pPr>
      <w:r w:rsidRPr="00A624C2">
        <w:rPr>
          <w:rFonts w:ascii="Book Antiqua" w:hAnsi="Book Antiqua"/>
          <w:sz w:val="24"/>
          <w:szCs w:val="24"/>
        </w:rPr>
        <w:t>Prospective observational single center study. Consecutive patients with clinically active CD requiring treatment with a TNF-</w:t>
      </w:r>
      <w:r w:rsidRPr="00A624C2">
        <w:rPr>
          <w:rFonts w:ascii="Book Antiqua" w:hAnsi="Book Antiqua" w:cs="Times New Roman"/>
          <w:sz w:val="24"/>
          <w:szCs w:val="24"/>
        </w:rPr>
        <w:t>α</w:t>
      </w:r>
      <w:r w:rsidRPr="00A624C2">
        <w:rPr>
          <w:rFonts w:ascii="Book Antiqua" w:hAnsi="Book Antiqua"/>
          <w:sz w:val="24"/>
          <w:szCs w:val="24"/>
        </w:rPr>
        <w:t xml:space="preserve"> inhibitor were included. Clinical, biological and endoscopic data were obtained at baseline, weeks 14 and 46. </w:t>
      </w:r>
    </w:p>
    <w:p w14:paraId="1796F1AB" w14:textId="77777777" w:rsidR="00DA38FC" w:rsidRPr="00A624C2" w:rsidRDefault="00DA38FC" w:rsidP="0028587F">
      <w:pPr>
        <w:adjustRightInd w:val="0"/>
        <w:snapToGrid w:val="0"/>
        <w:spacing w:after="0" w:line="360" w:lineRule="auto"/>
        <w:jc w:val="both"/>
        <w:rPr>
          <w:rFonts w:ascii="Book Antiqua" w:hAnsi="Book Antiqua"/>
          <w:b/>
          <w:color w:val="000000"/>
          <w:sz w:val="24"/>
          <w:szCs w:val="24"/>
          <w:lang w:val="es-ES_tradnl"/>
        </w:rPr>
      </w:pPr>
    </w:p>
    <w:p w14:paraId="2E9BCD7C" w14:textId="41D5CBBD" w:rsidR="00DA38FC" w:rsidRPr="00A624C2" w:rsidRDefault="00DA38FC" w:rsidP="0028587F">
      <w:pPr>
        <w:adjustRightInd w:val="0"/>
        <w:snapToGrid w:val="0"/>
        <w:spacing w:after="0" w:line="360" w:lineRule="auto"/>
        <w:jc w:val="both"/>
        <w:rPr>
          <w:rFonts w:ascii="Book Antiqua" w:hAnsi="Book Antiqua"/>
          <w:b/>
          <w:i/>
          <w:color w:val="000000"/>
          <w:sz w:val="24"/>
          <w:szCs w:val="24"/>
          <w:lang w:val="es-ES_tradnl"/>
        </w:rPr>
      </w:pPr>
      <w:r w:rsidRPr="00A624C2">
        <w:rPr>
          <w:rFonts w:ascii="Book Antiqua" w:hAnsi="Book Antiqua"/>
          <w:b/>
          <w:i/>
          <w:color w:val="000000"/>
          <w:sz w:val="24"/>
          <w:szCs w:val="24"/>
          <w:lang w:val="es-ES_tradnl"/>
        </w:rPr>
        <w:t>Research conclusions</w:t>
      </w:r>
    </w:p>
    <w:p w14:paraId="4215B378" w14:textId="13D2A55C" w:rsidR="00DA38FC" w:rsidRPr="00A624C2" w:rsidRDefault="003D78B3" w:rsidP="000B5193">
      <w:pPr>
        <w:spacing w:after="0" w:line="360" w:lineRule="auto"/>
        <w:jc w:val="both"/>
        <w:rPr>
          <w:rFonts w:ascii="Book Antiqua" w:hAnsi="Book Antiqua"/>
          <w:sz w:val="24"/>
          <w:szCs w:val="24"/>
        </w:rPr>
      </w:pPr>
      <w:r w:rsidRPr="00A624C2">
        <w:rPr>
          <w:rFonts w:ascii="Book Antiqua" w:hAnsi="Book Antiqua"/>
          <w:sz w:val="24"/>
          <w:szCs w:val="24"/>
        </w:rPr>
        <w:t xml:space="preserve">Endoscopic response </w:t>
      </w:r>
      <w:r w:rsidR="00267290" w:rsidRPr="00A624C2">
        <w:rPr>
          <w:rFonts w:ascii="Book Antiqua" w:hAnsi="Book Antiqua"/>
          <w:sz w:val="24"/>
          <w:szCs w:val="24"/>
        </w:rPr>
        <w:t xml:space="preserve">to induction therapy, defined as 80% reduction in global </w:t>
      </w:r>
      <w:r w:rsidRPr="00A624C2">
        <w:rPr>
          <w:rFonts w:ascii="Book Antiqua" w:eastAsia="宋体" w:hAnsi="Book Antiqua" w:cs="AdvTT08640291"/>
          <w:sz w:val="24"/>
          <w:szCs w:val="24"/>
          <w:lang w:eastAsia="zh-CN"/>
        </w:rPr>
        <w:t>CD</w:t>
      </w:r>
      <w:r w:rsidRPr="00A624C2">
        <w:rPr>
          <w:rFonts w:ascii="Book Antiqua" w:hAnsi="Book Antiqua" w:cs="AdvTT08640291"/>
          <w:sz w:val="24"/>
          <w:szCs w:val="24"/>
        </w:rPr>
        <w:t xml:space="preserve"> Endoscopic Index of Severity</w:t>
      </w:r>
      <w:r w:rsidRPr="00A624C2">
        <w:rPr>
          <w:rFonts w:ascii="Book Antiqua" w:hAnsi="Book Antiqua"/>
          <w:sz w:val="24"/>
          <w:szCs w:val="24"/>
        </w:rPr>
        <w:t xml:space="preserve"> </w:t>
      </w:r>
      <w:r w:rsidRPr="00A624C2">
        <w:rPr>
          <w:rFonts w:ascii="Book Antiqua" w:eastAsia="宋体" w:hAnsi="Book Antiqua"/>
          <w:sz w:val="24"/>
          <w:szCs w:val="24"/>
          <w:lang w:eastAsia="zh-CN"/>
        </w:rPr>
        <w:t>(</w:t>
      </w:r>
      <w:r w:rsidR="00267290" w:rsidRPr="00A624C2">
        <w:rPr>
          <w:rFonts w:ascii="Book Antiqua" w:hAnsi="Book Antiqua"/>
          <w:sz w:val="24"/>
          <w:szCs w:val="24"/>
        </w:rPr>
        <w:t>CDEIS</w:t>
      </w:r>
      <w:r w:rsidRPr="00A624C2">
        <w:rPr>
          <w:rFonts w:ascii="Book Antiqua" w:eastAsia="宋体" w:hAnsi="Book Antiqua"/>
          <w:sz w:val="24"/>
          <w:szCs w:val="24"/>
          <w:lang w:eastAsia="zh-CN"/>
        </w:rPr>
        <w:t>)</w:t>
      </w:r>
      <w:r w:rsidR="00267290" w:rsidRPr="00A624C2">
        <w:rPr>
          <w:rFonts w:ascii="Book Antiqua" w:hAnsi="Book Antiqua"/>
          <w:sz w:val="24"/>
          <w:szCs w:val="24"/>
        </w:rPr>
        <w:t xml:space="preserve">, is a robust predictor of long-term </w:t>
      </w:r>
      <w:r w:rsidRPr="00A624C2">
        <w:rPr>
          <w:rFonts w:ascii="Book Antiqua" w:eastAsia="宋体" w:hAnsi="Book Antiqua"/>
          <w:sz w:val="24"/>
          <w:szCs w:val="24"/>
          <w:lang w:eastAsia="zh-CN"/>
        </w:rPr>
        <w:t>MH</w:t>
      </w:r>
      <w:r w:rsidR="00267290" w:rsidRPr="00A624C2">
        <w:rPr>
          <w:rFonts w:ascii="Book Antiqua" w:hAnsi="Book Antiqua"/>
          <w:sz w:val="24"/>
          <w:szCs w:val="24"/>
        </w:rPr>
        <w:t>.</w:t>
      </w:r>
      <w:r w:rsidRPr="00A624C2">
        <w:rPr>
          <w:rFonts w:ascii="Book Antiqua" w:eastAsia="宋体" w:hAnsi="Book Antiqua"/>
          <w:sz w:val="24"/>
          <w:szCs w:val="24"/>
          <w:lang w:eastAsia="zh-CN"/>
        </w:rPr>
        <w:t xml:space="preserve"> </w:t>
      </w:r>
      <w:r w:rsidR="00267290" w:rsidRPr="00A624C2">
        <w:rPr>
          <w:rFonts w:ascii="Book Antiqua" w:hAnsi="Book Antiqua"/>
          <w:color w:val="000000"/>
          <w:sz w:val="24"/>
          <w:szCs w:val="24"/>
          <w:lang w:val="es-ES_tradnl"/>
        </w:rPr>
        <w:t xml:space="preserve">Endoscopic response is a predictor of </w:t>
      </w:r>
      <w:r w:rsidRPr="00A624C2">
        <w:rPr>
          <w:rFonts w:ascii="Book Antiqua" w:eastAsia="宋体" w:hAnsi="Book Antiqua"/>
          <w:color w:val="000000"/>
          <w:sz w:val="24"/>
          <w:szCs w:val="24"/>
          <w:lang w:val="es-ES_tradnl" w:eastAsia="zh-CN"/>
        </w:rPr>
        <w:t>MH.</w:t>
      </w:r>
      <w:r w:rsidRPr="00A624C2">
        <w:rPr>
          <w:rFonts w:ascii="Book Antiqua" w:eastAsia="宋体" w:hAnsi="Book Antiqua"/>
          <w:sz w:val="24"/>
          <w:szCs w:val="24"/>
          <w:lang w:eastAsia="zh-CN"/>
        </w:rPr>
        <w:t xml:space="preserve"> </w:t>
      </w:r>
      <w:r w:rsidR="00267290" w:rsidRPr="00A624C2">
        <w:rPr>
          <w:rFonts w:ascii="Book Antiqua" w:hAnsi="Book Antiqua"/>
          <w:sz w:val="24"/>
          <w:szCs w:val="24"/>
        </w:rPr>
        <w:t>Achievem</w:t>
      </w:r>
      <w:r w:rsidR="00541F8C" w:rsidRPr="00A624C2">
        <w:rPr>
          <w:rFonts w:ascii="Book Antiqua" w:hAnsi="Book Antiqua"/>
          <w:sz w:val="24"/>
          <w:szCs w:val="24"/>
        </w:rPr>
        <w:t xml:space="preserve">ent endoscopic response after induction </w:t>
      </w:r>
      <w:r w:rsidR="00267290" w:rsidRPr="00A624C2">
        <w:rPr>
          <w:rFonts w:ascii="Book Antiqua" w:hAnsi="Book Antiqua"/>
          <w:sz w:val="24"/>
          <w:szCs w:val="24"/>
        </w:rPr>
        <w:t>may be considered as a therapeutic target for anti-TNF-</w:t>
      </w:r>
      <w:r w:rsidR="00267290" w:rsidRPr="00A624C2">
        <w:rPr>
          <w:rFonts w:ascii="Book Antiqua" w:hAnsi="Book Antiqua" w:cs="Times New Roman"/>
          <w:sz w:val="24"/>
          <w:szCs w:val="24"/>
        </w:rPr>
        <w:t>α</w:t>
      </w:r>
      <w:r w:rsidR="00267290" w:rsidRPr="00A624C2">
        <w:rPr>
          <w:rFonts w:ascii="Book Antiqua" w:hAnsi="Book Antiqua"/>
          <w:sz w:val="24"/>
          <w:szCs w:val="24"/>
        </w:rPr>
        <w:t xml:space="preserve"> therapy.</w:t>
      </w:r>
      <w:r w:rsidRPr="00A624C2">
        <w:rPr>
          <w:rFonts w:ascii="Book Antiqua" w:eastAsia="宋体" w:hAnsi="Book Antiqua"/>
          <w:sz w:val="24"/>
          <w:szCs w:val="24"/>
          <w:lang w:eastAsia="zh-CN"/>
        </w:rPr>
        <w:t xml:space="preserve"> </w:t>
      </w:r>
      <w:r w:rsidR="00541F8C" w:rsidRPr="00A624C2">
        <w:rPr>
          <w:rFonts w:ascii="Book Antiqua" w:hAnsi="Book Antiqua" w:cs="Arial"/>
          <w:sz w:val="24"/>
          <w:szCs w:val="24"/>
        </w:rPr>
        <w:t>None, it was a observational study to identify predictors.</w:t>
      </w:r>
      <w:r w:rsidR="000B5193" w:rsidRPr="00A624C2">
        <w:rPr>
          <w:rFonts w:ascii="Book Antiqua" w:eastAsia="宋体" w:hAnsi="Book Antiqua"/>
          <w:sz w:val="24"/>
          <w:szCs w:val="24"/>
          <w:lang w:eastAsia="zh-CN"/>
        </w:rPr>
        <w:t xml:space="preserve"> </w:t>
      </w:r>
      <w:r w:rsidR="00541F8C" w:rsidRPr="00A624C2">
        <w:rPr>
          <w:rFonts w:ascii="Book Antiqua" w:hAnsi="Book Antiqua" w:cs="Arial"/>
          <w:sz w:val="24"/>
          <w:szCs w:val="24"/>
        </w:rPr>
        <w:t>After induction of remision with a TNF inhibitor perform a colonoscopy should be considered to predict long-term outocomes.</w:t>
      </w:r>
      <w:r w:rsidR="000B5193" w:rsidRPr="00A624C2">
        <w:rPr>
          <w:rFonts w:ascii="Book Antiqua" w:eastAsia="宋体" w:hAnsi="Book Antiqua"/>
          <w:sz w:val="24"/>
          <w:szCs w:val="24"/>
          <w:lang w:eastAsia="zh-CN"/>
        </w:rPr>
        <w:t xml:space="preserve"> </w:t>
      </w:r>
      <w:r w:rsidR="00541F8C" w:rsidRPr="00A624C2">
        <w:rPr>
          <w:rFonts w:ascii="Book Antiqua" w:hAnsi="Book Antiqua" w:cs="Arial"/>
          <w:sz w:val="24"/>
          <w:szCs w:val="24"/>
        </w:rPr>
        <w:t>Endoscopic response predict long-term outcomes.</w:t>
      </w:r>
      <w:r w:rsidR="000B5193" w:rsidRPr="00A624C2">
        <w:rPr>
          <w:rFonts w:ascii="Book Antiqua" w:eastAsia="宋体" w:hAnsi="Book Antiqua"/>
          <w:sz w:val="24"/>
          <w:szCs w:val="24"/>
          <w:lang w:eastAsia="zh-CN"/>
        </w:rPr>
        <w:t xml:space="preserve"> </w:t>
      </w:r>
      <w:r w:rsidR="00541F8C" w:rsidRPr="00A624C2">
        <w:rPr>
          <w:rFonts w:ascii="Book Antiqua" w:hAnsi="Book Antiqua" w:cs="Arial"/>
          <w:sz w:val="24"/>
          <w:szCs w:val="24"/>
        </w:rPr>
        <w:t>There were no hypotheses.</w:t>
      </w:r>
      <w:r w:rsidR="000B5193" w:rsidRPr="00A624C2">
        <w:rPr>
          <w:rFonts w:ascii="Book Antiqua" w:eastAsia="宋体" w:hAnsi="Book Antiqua"/>
          <w:sz w:val="24"/>
          <w:szCs w:val="24"/>
          <w:lang w:eastAsia="zh-CN"/>
        </w:rPr>
        <w:t xml:space="preserve"> </w:t>
      </w:r>
      <w:r w:rsidR="00541F8C" w:rsidRPr="00A624C2">
        <w:rPr>
          <w:rFonts w:ascii="Book Antiqua" w:hAnsi="Book Antiqua" w:cs="Arial"/>
          <w:sz w:val="24"/>
          <w:szCs w:val="24"/>
        </w:rPr>
        <w:t xml:space="preserve">After induction of remision with a TNF inhibitor perform a colonoscopy should be considered to predict long-term outocomes in patients with </w:t>
      </w:r>
      <w:r w:rsidR="000B5193" w:rsidRPr="00A624C2">
        <w:rPr>
          <w:rFonts w:ascii="Book Antiqua" w:eastAsia="宋体" w:hAnsi="Book Antiqua" w:cs="Arial"/>
          <w:sz w:val="24"/>
          <w:szCs w:val="24"/>
          <w:lang w:eastAsia="zh-CN"/>
        </w:rPr>
        <w:t>CD</w:t>
      </w:r>
      <w:r w:rsidR="00541F8C" w:rsidRPr="00A624C2">
        <w:rPr>
          <w:rFonts w:ascii="Book Antiqua" w:hAnsi="Book Antiqua" w:cs="Arial"/>
          <w:sz w:val="24"/>
          <w:szCs w:val="24"/>
        </w:rPr>
        <w:t>.</w:t>
      </w:r>
      <w:r w:rsidR="000B5193" w:rsidRPr="00A624C2">
        <w:rPr>
          <w:rFonts w:ascii="Book Antiqua" w:eastAsia="宋体" w:hAnsi="Book Antiqua"/>
          <w:sz w:val="24"/>
          <w:szCs w:val="24"/>
          <w:lang w:eastAsia="zh-CN"/>
        </w:rPr>
        <w:t xml:space="preserve"> </w:t>
      </w:r>
    </w:p>
    <w:p w14:paraId="18634D00" w14:textId="77777777" w:rsidR="00DA38FC" w:rsidRPr="00A624C2" w:rsidRDefault="00DA38FC" w:rsidP="0028587F">
      <w:pPr>
        <w:adjustRightInd w:val="0"/>
        <w:snapToGrid w:val="0"/>
        <w:spacing w:after="0" w:line="360" w:lineRule="auto"/>
        <w:jc w:val="both"/>
        <w:rPr>
          <w:rFonts w:ascii="Book Antiqua" w:hAnsi="Book Antiqua"/>
          <w:b/>
          <w:color w:val="000000"/>
          <w:sz w:val="24"/>
          <w:szCs w:val="24"/>
          <w:lang w:val="es-ES_tradnl"/>
        </w:rPr>
      </w:pPr>
    </w:p>
    <w:p w14:paraId="2F1667A1" w14:textId="77777777" w:rsidR="000B5193" w:rsidRPr="00A624C2" w:rsidRDefault="000B5193" w:rsidP="000B5193">
      <w:pPr>
        <w:adjustRightInd w:val="0"/>
        <w:snapToGrid w:val="0"/>
        <w:spacing w:after="0" w:line="360" w:lineRule="auto"/>
        <w:jc w:val="both"/>
        <w:rPr>
          <w:rFonts w:ascii="Book Antiqua" w:hAnsi="Book Antiqua"/>
          <w:b/>
          <w:i/>
          <w:color w:val="000000"/>
          <w:sz w:val="24"/>
          <w:szCs w:val="24"/>
        </w:rPr>
      </w:pPr>
      <w:r w:rsidRPr="00A624C2">
        <w:rPr>
          <w:rFonts w:ascii="Book Antiqua" w:hAnsi="Book Antiqua"/>
          <w:b/>
          <w:i/>
          <w:color w:val="000000"/>
          <w:sz w:val="24"/>
          <w:szCs w:val="24"/>
        </w:rPr>
        <w:t>Research perspectives</w:t>
      </w:r>
    </w:p>
    <w:p w14:paraId="10C6DB30" w14:textId="77777777" w:rsidR="000B5193" w:rsidRPr="00A624C2" w:rsidRDefault="000B5193" w:rsidP="000B5193">
      <w:pPr>
        <w:spacing w:after="0" w:line="360" w:lineRule="auto"/>
        <w:jc w:val="both"/>
        <w:rPr>
          <w:rFonts w:ascii="Book Antiqua" w:hAnsi="Book Antiqua"/>
          <w:sz w:val="24"/>
          <w:szCs w:val="24"/>
        </w:rPr>
      </w:pPr>
      <w:r w:rsidRPr="00A624C2">
        <w:rPr>
          <w:rFonts w:ascii="Book Antiqua" w:hAnsi="Book Antiqua"/>
          <w:sz w:val="24"/>
          <w:szCs w:val="24"/>
        </w:rPr>
        <w:t>Clinical and biomarker data are not useful predictors of response to TNF-</w:t>
      </w:r>
      <w:r w:rsidRPr="00A624C2">
        <w:rPr>
          <w:rFonts w:ascii="Book Antiqua" w:hAnsi="Book Antiqua" w:cs="Times New Roman"/>
          <w:sz w:val="24"/>
          <w:szCs w:val="24"/>
        </w:rPr>
        <w:t>α</w:t>
      </w:r>
      <w:r w:rsidRPr="00A624C2">
        <w:rPr>
          <w:rFonts w:ascii="Book Antiqua" w:hAnsi="Book Antiqua"/>
          <w:sz w:val="24"/>
          <w:szCs w:val="24"/>
        </w:rPr>
        <w:t xml:space="preserve"> inhibitors in CD, whereas</w:t>
      </w:r>
      <w:r w:rsidRPr="00A624C2" w:rsidDel="007F34AE">
        <w:rPr>
          <w:rFonts w:ascii="Book Antiqua" w:hAnsi="Book Antiqua"/>
          <w:sz w:val="24"/>
          <w:szCs w:val="24"/>
        </w:rPr>
        <w:t xml:space="preserve"> </w:t>
      </w:r>
      <w:r w:rsidRPr="00A624C2">
        <w:rPr>
          <w:rFonts w:ascii="Book Antiqua" w:hAnsi="Book Antiqua"/>
          <w:sz w:val="24"/>
          <w:szCs w:val="24"/>
        </w:rPr>
        <w:t>endoscopic response to induction therapy, defined as 80% reduction in global CDEIS, is a robust predictor of long-term MH. Achievement of this endoscopic endpoint may be considered as a therapeutic target for anti-TNF-</w:t>
      </w:r>
      <w:r w:rsidRPr="00A624C2">
        <w:rPr>
          <w:rFonts w:ascii="Book Antiqua" w:hAnsi="Book Antiqua" w:cs="Times New Roman"/>
          <w:sz w:val="24"/>
          <w:szCs w:val="24"/>
        </w:rPr>
        <w:t>α</w:t>
      </w:r>
      <w:r w:rsidRPr="00A624C2">
        <w:rPr>
          <w:rFonts w:ascii="Book Antiqua" w:hAnsi="Book Antiqua"/>
          <w:sz w:val="24"/>
          <w:szCs w:val="24"/>
        </w:rPr>
        <w:t xml:space="preserve"> therapy.</w:t>
      </w:r>
    </w:p>
    <w:p w14:paraId="22A63AC5" w14:textId="77777777" w:rsidR="006121F8" w:rsidRPr="00A624C2" w:rsidRDefault="006121F8" w:rsidP="0028587F">
      <w:pPr>
        <w:spacing w:after="0" w:line="360" w:lineRule="auto"/>
        <w:jc w:val="both"/>
        <w:rPr>
          <w:rFonts w:ascii="Book Antiqua" w:eastAsia="宋体" w:hAnsi="Book Antiqua"/>
          <w:sz w:val="24"/>
          <w:szCs w:val="24"/>
          <w:lang w:eastAsia="zh-CN"/>
        </w:rPr>
      </w:pPr>
    </w:p>
    <w:p w14:paraId="454AE90A" w14:textId="2BB6230C" w:rsidR="00102EA2" w:rsidRPr="00A624C2" w:rsidRDefault="00102EA2" w:rsidP="0028587F">
      <w:pPr>
        <w:spacing w:after="0" w:line="360" w:lineRule="auto"/>
        <w:jc w:val="both"/>
        <w:rPr>
          <w:rFonts w:ascii="Book Antiqua" w:hAnsi="Book Antiqua"/>
          <w:b/>
          <w:sz w:val="24"/>
          <w:szCs w:val="24"/>
        </w:rPr>
      </w:pPr>
      <w:r w:rsidRPr="00A624C2">
        <w:rPr>
          <w:rFonts w:ascii="Book Antiqua" w:hAnsi="Book Antiqua"/>
          <w:b/>
          <w:sz w:val="24"/>
          <w:szCs w:val="24"/>
        </w:rPr>
        <w:t>ACKNOWLEDGMENT</w:t>
      </w:r>
    </w:p>
    <w:p w14:paraId="6DDF1069" w14:textId="61C94BC3" w:rsidR="002653AB" w:rsidRPr="00A624C2" w:rsidRDefault="00102EA2" w:rsidP="0028587F">
      <w:pPr>
        <w:spacing w:after="0" w:line="360" w:lineRule="auto"/>
        <w:jc w:val="both"/>
        <w:rPr>
          <w:rFonts w:ascii="Book Antiqua" w:hAnsi="Book Antiqua"/>
          <w:sz w:val="24"/>
          <w:szCs w:val="24"/>
        </w:rPr>
      </w:pPr>
      <w:r w:rsidRPr="00A624C2">
        <w:rPr>
          <w:rFonts w:ascii="Book Antiqua" w:hAnsi="Book Antiqua"/>
          <w:sz w:val="24"/>
          <w:szCs w:val="24"/>
        </w:rPr>
        <w:t>This work has been founded in part by Helmsley Charitable Trust 2015PG-IBD005.</w:t>
      </w:r>
    </w:p>
    <w:p w14:paraId="1B888201" w14:textId="77777777" w:rsidR="00873EC7" w:rsidRPr="00A624C2" w:rsidRDefault="00873EC7" w:rsidP="0028587F">
      <w:pPr>
        <w:spacing w:after="0" w:line="360" w:lineRule="auto"/>
        <w:jc w:val="both"/>
        <w:rPr>
          <w:rFonts w:ascii="Book Antiqua" w:hAnsi="Book Antiqua"/>
          <w:b/>
          <w:sz w:val="24"/>
          <w:szCs w:val="24"/>
        </w:rPr>
      </w:pPr>
    </w:p>
    <w:p w14:paraId="2913D762" w14:textId="131E65E2" w:rsidR="000B5193" w:rsidRPr="00A624C2" w:rsidRDefault="000B5193">
      <w:pPr>
        <w:rPr>
          <w:rFonts w:ascii="Book Antiqua" w:eastAsia="宋体" w:hAnsi="Book Antiqua"/>
          <w:b/>
          <w:sz w:val="24"/>
          <w:szCs w:val="24"/>
          <w:lang w:eastAsia="zh-CN"/>
        </w:rPr>
      </w:pPr>
      <w:r w:rsidRPr="00A624C2">
        <w:rPr>
          <w:rFonts w:ascii="Book Antiqua" w:hAnsi="Book Antiqua"/>
          <w:b/>
          <w:sz w:val="24"/>
          <w:szCs w:val="24"/>
        </w:rPr>
        <w:br w:type="page"/>
      </w:r>
    </w:p>
    <w:p w14:paraId="17091971" w14:textId="77777777" w:rsidR="00897415" w:rsidRPr="00A624C2" w:rsidRDefault="00897415" w:rsidP="00897415">
      <w:pPr>
        <w:spacing w:after="0" w:line="360" w:lineRule="auto"/>
        <w:jc w:val="both"/>
        <w:rPr>
          <w:rFonts w:ascii="Book Antiqua" w:hAnsi="Book Antiqua"/>
          <w:b/>
          <w:sz w:val="24"/>
          <w:szCs w:val="24"/>
        </w:rPr>
      </w:pPr>
      <w:r w:rsidRPr="00A624C2">
        <w:rPr>
          <w:rFonts w:ascii="Book Antiqua" w:hAnsi="Book Antiqua"/>
          <w:b/>
          <w:sz w:val="24"/>
          <w:szCs w:val="24"/>
        </w:rPr>
        <w:lastRenderedPageBreak/>
        <w:t>REFERENCES</w:t>
      </w:r>
    </w:p>
    <w:p w14:paraId="6786FCDB"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1 </w:t>
      </w:r>
      <w:proofErr w:type="spellStart"/>
      <w:r w:rsidRPr="00A624C2">
        <w:rPr>
          <w:rFonts w:ascii="Book Antiqua" w:eastAsia="宋体" w:hAnsi="Book Antiqua" w:cs="Times New Roman"/>
          <w:b/>
          <w:kern w:val="2"/>
          <w:sz w:val="24"/>
          <w:szCs w:val="24"/>
          <w:lang w:val="en-US" w:eastAsia="zh-CN"/>
        </w:rPr>
        <w:t>Pariente</w:t>
      </w:r>
      <w:proofErr w:type="spellEnd"/>
      <w:r w:rsidRPr="00A624C2">
        <w:rPr>
          <w:rFonts w:ascii="Book Antiqua" w:eastAsia="宋体" w:hAnsi="Book Antiqua" w:cs="Times New Roman"/>
          <w:b/>
          <w:kern w:val="2"/>
          <w:sz w:val="24"/>
          <w:szCs w:val="24"/>
          <w:lang w:val="en-US" w:eastAsia="zh-CN"/>
        </w:rPr>
        <w:t xml:space="preserve"> B</w:t>
      </w:r>
      <w:r w:rsidRPr="00A624C2">
        <w:rPr>
          <w:rFonts w:ascii="Book Antiqua" w:eastAsia="宋体" w:hAnsi="Book Antiqua" w:cs="Times New Roman"/>
          <w:kern w:val="2"/>
          <w:sz w:val="24"/>
          <w:szCs w:val="24"/>
          <w:lang w:val="en-US" w:eastAsia="zh-CN"/>
        </w:rPr>
        <w:t xml:space="preserve">, </w:t>
      </w:r>
      <w:proofErr w:type="spellStart"/>
      <w:r w:rsidRPr="00A624C2">
        <w:rPr>
          <w:rFonts w:ascii="Book Antiqua" w:eastAsia="宋体" w:hAnsi="Book Antiqua" w:cs="Times New Roman"/>
          <w:kern w:val="2"/>
          <w:sz w:val="24"/>
          <w:szCs w:val="24"/>
          <w:lang w:val="en-US" w:eastAsia="zh-CN"/>
        </w:rPr>
        <w:t>Cosnes</w:t>
      </w:r>
      <w:proofErr w:type="spellEnd"/>
      <w:r w:rsidRPr="00A624C2">
        <w:rPr>
          <w:rFonts w:ascii="Book Antiqua" w:eastAsia="宋体" w:hAnsi="Book Antiqua" w:cs="Times New Roman"/>
          <w:kern w:val="2"/>
          <w:sz w:val="24"/>
          <w:szCs w:val="24"/>
          <w:lang w:val="en-US" w:eastAsia="zh-CN"/>
        </w:rPr>
        <w:t xml:space="preserve"> J, </w:t>
      </w:r>
      <w:proofErr w:type="spellStart"/>
      <w:r w:rsidRPr="00A624C2">
        <w:rPr>
          <w:rFonts w:ascii="Book Antiqua" w:eastAsia="宋体" w:hAnsi="Book Antiqua" w:cs="Times New Roman"/>
          <w:kern w:val="2"/>
          <w:sz w:val="24"/>
          <w:szCs w:val="24"/>
          <w:lang w:val="en-US" w:eastAsia="zh-CN"/>
        </w:rPr>
        <w:t>Danese</w:t>
      </w:r>
      <w:proofErr w:type="spellEnd"/>
      <w:r w:rsidRPr="00A624C2">
        <w:rPr>
          <w:rFonts w:ascii="Book Antiqua" w:eastAsia="宋体" w:hAnsi="Book Antiqua" w:cs="Times New Roman"/>
          <w:kern w:val="2"/>
          <w:sz w:val="24"/>
          <w:szCs w:val="24"/>
          <w:lang w:val="en-US" w:eastAsia="zh-CN"/>
        </w:rPr>
        <w:t xml:space="preserve"> S, </w:t>
      </w:r>
      <w:proofErr w:type="spellStart"/>
      <w:r w:rsidRPr="00A624C2">
        <w:rPr>
          <w:rFonts w:ascii="Book Antiqua" w:eastAsia="宋体" w:hAnsi="Book Antiqua" w:cs="Times New Roman"/>
          <w:kern w:val="2"/>
          <w:sz w:val="24"/>
          <w:szCs w:val="24"/>
          <w:lang w:val="en-US" w:eastAsia="zh-CN"/>
        </w:rPr>
        <w:t>Sandborn</w:t>
      </w:r>
      <w:proofErr w:type="spellEnd"/>
      <w:r w:rsidRPr="00A624C2">
        <w:rPr>
          <w:rFonts w:ascii="Book Antiqua" w:eastAsia="宋体" w:hAnsi="Book Antiqua" w:cs="Times New Roman"/>
          <w:kern w:val="2"/>
          <w:sz w:val="24"/>
          <w:szCs w:val="24"/>
          <w:lang w:val="en-US" w:eastAsia="zh-CN"/>
        </w:rPr>
        <w:t xml:space="preserve"> WJ, Lewin M, Fletcher JG, </w:t>
      </w:r>
      <w:proofErr w:type="spellStart"/>
      <w:r w:rsidRPr="00A624C2">
        <w:rPr>
          <w:rFonts w:ascii="Book Antiqua" w:eastAsia="宋体" w:hAnsi="Book Antiqua" w:cs="Times New Roman"/>
          <w:kern w:val="2"/>
          <w:sz w:val="24"/>
          <w:szCs w:val="24"/>
          <w:lang w:val="en-US" w:eastAsia="zh-CN"/>
        </w:rPr>
        <w:t>Chowers</w:t>
      </w:r>
      <w:proofErr w:type="spellEnd"/>
      <w:r w:rsidRPr="00A624C2">
        <w:rPr>
          <w:rFonts w:ascii="Book Antiqua" w:eastAsia="宋体" w:hAnsi="Book Antiqua" w:cs="Times New Roman"/>
          <w:kern w:val="2"/>
          <w:sz w:val="24"/>
          <w:szCs w:val="24"/>
          <w:lang w:val="en-US" w:eastAsia="zh-CN"/>
        </w:rPr>
        <w:t xml:space="preserve"> Y, </w:t>
      </w:r>
      <w:proofErr w:type="spellStart"/>
      <w:r w:rsidRPr="00A624C2">
        <w:rPr>
          <w:rFonts w:ascii="Book Antiqua" w:eastAsia="宋体" w:hAnsi="Book Antiqua" w:cs="Times New Roman"/>
          <w:kern w:val="2"/>
          <w:sz w:val="24"/>
          <w:szCs w:val="24"/>
          <w:lang w:val="en-US" w:eastAsia="zh-CN"/>
        </w:rPr>
        <w:t>D'Haens</w:t>
      </w:r>
      <w:proofErr w:type="spellEnd"/>
      <w:r w:rsidRPr="00A624C2">
        <w:rPr>
          <w:rFonts w:ascii="Book Antiqua" w:eastAsia="宋体" w:hAnsi="Book Antiqua" w:cs="Times New Roman"/>
          <w:kern w:val="2"/>
          <w:sz w:val="24"/>
          <w:szCs w:val="24"/>
          <w:lang w:val="en-US" w:eastAsia="zh-CN"/>
        </w:rPr>
        <w:t xml:space="preserve"> G, </w:t>
      </w:r>
      <w:proofErr w:type="spellStart"/>
      <w:r w:rsidRPr="00A624C2">
        <w:rPr>
          <w:rFonts w:ascii="Book Antiqua" w:eastAsia="宋体" w:hAnsi="Book Antiqua" w:cs="Times New Roman"/>
          <w:kern w:val="2"/>
          <w:sz w:val="24"/>
          <w:szCs w:val="24"/>
          <w:lang w:val="en-US" w:eastAsia="zh-CN"/>
        </w:rPr>
        <w:t>Feagan</w:t>
      </w:r>
      <w:proofErr w:type="spellEnd"/>
      <w:r w:rsidRPr="00A624C2">
        <w:rPr>
          <w:rFonts w:ascii="Book Antiqua" w:eastAsia="宋体" w:hAnsi="Book Antiqua" w:cs="Times New Roman"/>
          <w:kern w:val="2"/>
          <w:sz w:val="24"/>
          <w:szCs w:val="24"/>
          <w:lang w:val="en-US" w:eastAsia="zh-CN"/>
        </w:rPr>
        <w:t xml:space="preserve"> BG, </w:t>
      </w:r>
      <w:proofErr w:type="spellStart"/>
      <w:r w:rsidRPr="00A624C2">
        <w:rPr>
          <w:rFonts w:ascii="Book Antiqua" w:eastAsia="宋体" w:hAnsi="Book Antiqua" w:cs="Times New Roman"/>
          <w:kern w:val="2"/>
          <w:sz w:val="24"/>
          <w:szCs w:val="24"/>
          <w:lang w:val="en-US" w:eastAsia="zh-CN"/>
        </w:rPr>
        <w:t>Hibi</w:t>
      </w:r>
      <w:proofErr w:type="spellEnd"/>
      <w:r w:rsidRPr="00A624C2">
        <w:rPr>
          <w:rFonts w:ascii="Book Antiqua" w:eastAsia="宋体" w:hAnsi="Book Antiqua" w:cs="Times New Roman"/>
          <w:kern w:val="2"/>
          <w:sz w:val="24"/>
          <w:szCs w:val="24"/>
          <w:lang w:val="en-US" w:eastAsia="zh-CN"/>
        </w:rPr>
        <w:t xml:space="preserve"> T, Hommes DW, Irvine EJ, </w:t>
      </w:r>
      <w:proofErr w:type="spellStart"/>
      <w:r w:rsidRPr="00A624C2">
        <w:rPr>
          <w:rFonts w:ascii="Book Antiqua" w:eastAsia="宋体" w:hAnsi="Book Antiqua" w:cs="Times New Roman"/>
          <w:kern w:val="2"/>
          <w:sz w:val="24"/>
          <w:szCs w:val="24"/>
          <w:lang w:val="en-US" w:eastAsia="zh-CN"/>
        </w:rPr>
        <w:t>Kamm</w:t>
      </w:r>
      <w:proofErr w:type="spellEnd"/>
      <w:r w:rsidRPr="00A624C2">
        <w:rPr>
          <w:rFonts w:ascii="Book Antiqua" w:eastAsia="宋体" w:hAnsi="Book Antiqua" w:cs="Times New Roman"/>
          <w:kern w:val="2"/>
          <w:sz w:val="24"/>
          <w:szCs w:val="24"/>
          <w:lang w:val="en-US" w:eastAsia="zh-CN"/>
        </w:rPr>
        <w:t xml:space="preserve"> MA, Loftus EV Jr, Louis E, </w:t>
      </w:r>
      <w:proofErr w:type="spellStart"/>
      <w:r w:rsidRPr="00A624C2">
        <w:rPr>
          <w:rFonts w:ascii="Book Antiqua" w:eastAsia="宋体" w:hAnsi="Book Antiqua" w:cs="Times New Roman"/>
          <w:kern w:val="2"/>
          <w:sz w:val="24"/>
          <w:szCs w:val="24"/>
          <w:lang w:val="en-US" w:eastAsia="zh-CN"/>
        </w:rPr>
        <w:t>Michetti</w:t>
      </w:r>
      <w:proofErr w:type="spellEnd"/>
      <w:r w:rsidRPr="00A624C2">
        <w:rPr>
          <w:rFonts w:ascii="Book Antiqua" w:eastAsia="宋体" w:hAnsi="Book Antiqua" w:cs="Times New Roman"/>
          <w:kern w:val="2"/>
          <w:sz w:val="24"/>
          <w:szCs w:val="24"/>
          <w:lang w:val="en-US" w:eastAsia="zh-CN"/>
        </w:rPr>
        <w:t xml:space="preserve"> P, </w:t>
      </w:r>
      <w:proofErr w:type="spellStart"/>
      <w:r w:rsidRPr="00A624C2">
        <w:rPr>
          <w:rFonts w:ascii="Book Antiqua" w:eastAsia="宋体" w:hAnsi="Book Antiqua" w:cs="Times New Roman"/>
          <w:kern w:val="2"/>
          <w:sz w:val="24"/>
          <w:szCs w:val="24"/>
          <w:lang w:val="en-US" w:eastAsia="zh-CN"/>
        </w:rPr>
        <w:t>Munkholm</w:t>
      </w:r>
      <w:proofErr w:type="spellEnd"/>
      <w:r w:rsidRPr="00A624C2">
        <w:rPr>
          <w:rFonts w:ascii="Book Antiqua" w:eastAsia="宋体" w:hAnsi="Book Antiqua" w:cs="Times New Roman"/>
          <w:kern w:val="2"/>
          <w:sz w:val="24"/>
          <w:szCs w:val="24"/>
          <w:lang w:val="en-US" w:eastAsia="zh-CN"/>
        </w:rPr>
        <w:t xml:space="preserve"> P, </w:t>
      </w:r>
      <w:proofErr w:type="spellStart"/>
      <w:r w:rsidRPr="00A624C2">
        <w:rPr>
          <w:rFonts w:ascii="Book Antiqua" w:eastAsia="宋体" w:hAnsi="Book Antiqua" w:cs="Times New Roman"/>
          <w:kern w:val="2"/>
          <w:sz w:val="24"/>
          <w:szCs w:val="24"/>
          <w:lang w:val="en-US" w:eastAsia="zh-CN"/>
        </w:rPr>
        <w:t>Oresland</w:t>
      </w:r>
      <w:proofErr w:type="spellEnd"/>
      <w:r w:rsidRPr="00A624C2">
        <w:rPr>
          <w:rFonts w:ascii="Book Antiqua" w:eastAsia="宋体" w:hAnsi="Book Antiqua" w:cs="Times New Roman"/>
          <w:kern w:val="2"/>
          <w:sz w:val="24"/>
          <w:szCs w:val="24"/>
          <w:lang w:val="en-US" w:eastAsia="zh-CN"/>
        </w:rPr>
        <w:t xml:space="preserve"> T, </w:t>
      </w:r>
      <w:proofErr w:type="spellStart"/>
      <w:r w:rsidRPr="00A624C2">
        <w:rPr>
          <w:rFonts w:ascii="Book Antiqua" w:eastAsia="宋体" w:hAnsi="Book Antiqua" w:cs="Times New Roman"/>
          <w:kern w:val="2"/>
          <w:sz w:val="24"/>
          <w:szCs w:val="24"/>
          <w:lang w:val="en-US" w:eastAsia="zh-CN"/>
        </w:rPr>
        <w:t>Panés</w:t>
      </w:r>
      <w:proofErr w:type="spellEnd"/>
      <w:r w:rsidRPr="00A624C2">
        <w:rPr>
          <w:rFonts w:ascii="Book Antiqua" w:eastAsia="宋体" w:hAnsi="Book Antiqua" w:cs="Times New Roman"/>
          <w:kern w:val="2"/>
          <w:sz w:val="24"/>
          <w:szCs w:val="24"/>
          <w:lang w:val="en-US" w:eastAsia="zh-CN"/>
        </w:rPr>
        <w:t xml:space="preserve"> J, </w:t>
      </w:r>
      <w:proofErr w:type="spellStart"/>
      <w:r w:rsidRPr="00A624C2">
        <w:rPr>
          <w:rFonts w:ascii="Book Antiqua" w:eastAsia="宋体" w:hAnsi="Book Antiqua" w:cs="Times New Roman"/>
          <w:kern w:val="2"/>
          <w:sz w:val="24"/>
          <w:szCs w:val="24"/>
          <w:lang w:val="en-US" w:eastAsia="zh-CN"/>
        </w:rPr>
        <w:t>Peyrin-Biroulet</w:t>
      </w:r>
      <w:proofErr w:type="spellEnd"/>
      <w:r w:rsidRPr="00A624C2">
        <w:rPr>
          <w:rFonts w:ascii="Book Antiqua" w:eastAsia="宋体" w:hAnsi="Book Antiqua" w:cs="Times New Roman"/>
          <w:kern w:val="2"/>
          <w:sz w:val="24"/>
          <w:szCs w:val="24"/>
          <w:lang w:val="en-US" w:eastAsia="zh-CN"/>
        </w:rPr>
        <w:t xml:space="preserve"> L, </w:t>
      </w:r>
      <w:proofErr w:type="spellStart"/>
      <w:r w:rsidRPr="00A624C2">
        <w:rPr>
          <w:rFonts w:ascii="Book Antiqua" w:eastAsia="宋体" w:hAnsi="Book Antiqua" w:cs="Times New Roman"/>
          <w:kern w:val="2"/>
          <w:sz w:val="24"/>
          <w:szCs w:val="24"/>
          <w:lang w:val="en-US" w:eastAsia="zh-CN"/>
        </w:rPr>
        <w:t>Reinisch</w:t>
      </w:r>
      <w:proofErr w:type="spellEnd"/>
      <w:r w:rsidRPr="00A624C2">
        <w:rPr>
          <w:rFonts w:ascii="Book Antiqua" w:eastAsia="宋体" w:hAnsi="Book Antiqua" w:cs="Times New Roman"/>
          <w:kern w:val="2"/>
          <w:sz w:val="24"/>
          <w:szCs w:val="24"/>
          <w:lang w:val="en-US" w:eastAsia="zh-CN"/>
        </w:rPr>
        <w:t xml:space="preserve"> W, Sands BE, </w:t>
      </w:r>
      <w:proofErr w:type="spellStart"/>
      <w:r w:rsidRPr="00A624C2">
        <w:rPr>
          <w:rFonts w:ascii="Book Antiqua" w:eastAsia="宋体" w:hAnsi="Book Antiqua" w:cs="Times New Roman"/>
          <w:kern w:val="2"/>
          <w:sz w:val="24"/>
          <w:szCs w:val="24"/>
          <w:lang w:val="en-US" w:eastAsia="zh-CN"/>
        </w:rPr>
        <w:t>Schoelmerich</w:t>
      </w:r>
      <w:proofErr w:type="spellEnd"/>
      <w:r w:rsidRPr="00A624C2">
        <w:rPr>
          <w:rFonts w:ascii="Book Antiqua" w:eastAsia="宋体" w:hAnsi="Book Antiqua" w:cs="Times New Roman"/>
          <w:kern w:val="2"/>
          <w:sz w:val="24"/>
          <w:szCs w:val="24"/>
          <w:lang w:val="en-US" w:eastAsia="zh-CN"/>
        </w:rPr>
        <w:t xml:space="preserve"> J, Schreiber S, </w:t>
      </w:r>
      <w:proofErr w:type="spellStart"/>
      <w:r w:rsidRPr="00A624C2">
        <w:rPr>
          <w:rFonts w:ascii="Book Antiqua" w:eastAsia="宋体" w:hAnsi="Book Antiqua" w:cs="Times New Roman"/>
          <w:kern w:val="2"/>
          <w:sz w:val="24"/>
          <w:szCs w:val="24"/>
          <w:lang w:val="en-US" w:eastAsia="zh-CN"/>
        </w:rPr>
        <w:t>Tilg</w:t>
      </w:r>
      <w:proofErr w:type="spellEnd"/>
      <w:r w:rsidRPr="00A624C2">
        <w:rPr>
          <w:rFonts w:ascii="Book Antiqua" w:eastAsia="宋体" w:hAnsi="Book Antiqua" w:cs="Times New Roman"/>
          <w:kern w:val="2"/>
          <w:sz w:val="24"/>
          <w:szCs w:val="24"/>
          <w:lang w:val="en-US" w:eastAsia="zh-CN"/>
        </w:rPr>
        <w:t xml:space="preserve"> H, Travis S, van </w:t>
      </w:r>
      <w:proofErr w:type="spellStart"/>
      <w:r w:rsidRPr="00A624C2">
        <w:rPr>
          <w:rFonts w:ascii="Book Antiqua" w:eastAsia="宋体" w:hAnsi="Book Antiqua" w:cs="Times New Roman"/>
          <w:kern w:val="2"/>
          <w:sz w:val="24"/>
          <w:szCs w:val="24"/>
          <w:lang w:val="en-US" w:eastAsia="zh-CN"/>
        </w:rPr>
        <w:t>Assche</w:t>
      </w:r>
      <w:proofErr w:type="spellEnd"/>
      <w:r w:rsidRPr="00A624C2">
        <w:rPr>
          <w:rFonts w:ascii="Book Antiqua" w:eastAsia="宋体" w:hAnsi="Book Antiqua" w:cs="Times New Roman"/>
          <w:kern w:val="2"/>
          <w:sz w:val="24"/>
          <w:szCs w:val="24"/>
          <w:lang w:val="en-US" w:eastAsia="zh-CN"/>
        </w:rPr>
        <w:t xml:space="preserve"> G, </w:t>
      </w:r>
      <w:proofErr w:type="spellStart"/>
      <w:r w:rsidRPr="00A624C2">
        <w:rPr>
          <w:rFonts w:ascii="Book Antiqua" w:eastAsia="宋体" w:hAnsi="Book Antiqua" w:cs="Times New Roman"/>
          <w:kern w:val="2"/>
          <w:sz w:val="24"/>
          <w:szCs w:val="24"/>
          <w:lang w:val="en-US" w:eastAsia="zh-CN"/>
        </w:rPr>
        <w:t>Vecchi</w:t>
      </w:r>
      <w:proofErr w:type="spellEnd"/>
      <w:r w:rsidRPr="00A624C2">
        <w:rPr>
          <w:rFonts w:ascii="Book Antiqua" w:eastAsia="宋体" w:hAnsi="Book Antiqua" w:cs="Times New Roman"/>
          <w:kern w:val="2"/>
          <w:sz w:val="24"/>
          <w:szCs w:val="24"/>
          <w:lang w:val="en-US" w:eastAsia="zh-CN"/>
        </w:rPr>
        <w:t xml:space="preserve"> M, Mary JY, </w:t>
      </w:r>
      <w:proofErr w:type="spellStart"/>
      <w:r w:rsidRPr="00A624C2">
        <w:rPr>
          <w:rFonts w:ascii="Book Antiqua" w:eastAsia="宋体" w:hAnsi="Book Antiqua" w:cs="Times New Roman"/>
          <w:kern w:val="2"/>
          <w:sz w:val="24"/>
          <w:szCs w:val="24"/>
          <w:lang w:val="en-US" w:eastAsia="zh-CN"/>
        </w:rPr>
        <w:t>Colombel</w:t>
      </w:r>
      <w:proofErr w:type="spellEnd"/>
      <w:r w:rsidRPr="00A624C2">
        <w:rPr>
          <w:rFonts w:ascii="Book Antiqua" w:eastAsia="宋体" w:hAnsi="Book Antiqua" w:cs="Times New Roman"/>
          <w:kern w:val="2"/>
          <w:sz w:val="24"/>
          <w:szCs w:val="24"/>
          <w:lang w:val="en-US" w:eastAsia="zh-CN"/>
        </w:rPr>
        <w:t xml:space="preserve"> JF, </w:t>
      </w:r>
      <w:proofErr w:type="spellStart"/>
      <w:r w:rsidRPr="00A624C2">
        <w:rPr>
          <w:rFonts w:ascii="Book Antiqua" w:eastAsia="宋体" w:hAnsi="Book Antiqua" w:cs="Times New Roman"/>
          <w:kern w:val="2"/>
          <w:sz w:val="24"/>
          <w:szCs w:val="24"/>
          <w:lang w:val="en-US" w:eastAsia="zh-CN"/>
        </w:rPr>
        <w:t>Lémann</w:t>
      </w:r>
      <w:proofErr w:type="spellEnd"/>
      <w:r w:rsidRPr="00A624C2">
        <w:rPr>
          <w:rFonts w:ascii="Book Antiqua" w:eastAsia="宋体" w:hAnsi="Book Antiqua" w:cs="Times New Roman"/>
          <w:kern w:val="2"/>
          <w:sz w:val="24"/>
          <w:szCs w:val="24"/>
          <w:lang w:val="en-US" w:eastAsia="zh-CN"/>
        </w:rPr>
        <w:t xml:space="preserve"> M. Development of the Crohn's disease digestive damage score, the </w:t>
      </w:r>
      <w:proofErr w:type="spellStart"/>
      <w:r w:rsidRPr="00A624C2">
        <w:rPr>
          <w:rFonts w:ascii="Book Antiqua" w:eastAsia="宋体" w:hAnsi="Book Antiqua" w:cs="Times New Roman"/>
          <w:kern w:val="2"/>
          <w:sz w:val="24"/>
          <w:szCs w:val="24"/>
          <w:lang w:val="en-US" w:eastAsia="zh-CN"/>
        </w:rPr>
        <w:t>Lémann</w:t>
      </w:r>
      <w:proofErr w:type="spellEnd"/>
      <w:r w:rsidRPr="00A624C2">
        <w:rPr>
          <w:rFonts w:ascii="Book Antiqua" w:eastAsia="宋体" w:hAnsi="Book Antiqua" w:cs="Times New Roman"/>
          <w:kern w:val="2"/>
          <w:sz w:val="24"/>
          <w:szCs w:val="24"/>
          <w:lang w:val="en-US" w:eastAsia="zh-CN"/>
        </w:rPr>
        <w:t xml:space="preserve"> score. </w:t>
      </w:r>
      <w:proofErr w:type="spellStart"/>
      <w:r w:rsidRPr="00A624C2">
        <w:rPr>
          <w:rFonts w:ascii="Book Antiqua" w:eastAsia="宋体" w:hAnsi="Book Antiqua" w:cs="Times New Roman"/>
          <w:i/>
          <w:kern w:val="2"/>
          <w:sz w:val="24"/>
          <w:szCs w:val="24"/>
          <w:lang w:val="en-US" w:eastAsia="zh-CN"/>
        </w:rPr>
        <w:t>Inflamm</w:t>
      </w:r>
      <w:proofErr w:type="spellEnd"/>
      <w:r w:rsidRPr="00A624C2">
        <w:rPr>
          <w:rFonts w:ascii="Book Antiqua" w:eastAsia="宋体" w:hAnsi="Book Antiqua" w:cs="Times New Roman"/>
          <w:i/>
          <w:kern w:val="2"/>
          <w:sz w:val="24"/>
          <w:szCs w:val="24"/>
          <w:lang w:val="en-US" w:eastAsia="zh-CN"/>
        </w:rPr>
        <w:t xml:space="preserve"> Bowel Dis</w:t>
      </w:r>
      <w:r w:rsidRPr="00A624C2">
        <w:rPr>
          <w:rFonts w:ascii="Book Antiqua" w:eastAsia="宋体" w:hAnsi="Book Antiqua" w:cs="Times New Roman"/>
          <w:kern w:val="2"/>
          <w:sz w:val="24"/>
          <w:szCs w:val="24"/>
          <w:lang w:val="en-US" w:eastAsia="zh-CN"/>
        </w:rPr>
        <w:t xml:space="preserve"> 2011; </w:t>
      </w:r>
      <w:r w:rsidRPr="00A624C2">
        <w:rPr>
          <w:rFonts w:ascii="Book Antiqua" w:eastAsia="宋体" w:hAnsi="Book Antiqua" w:cs="Times New Roman"/>
          <w:b/>
          <w:kern w:val="2"/>
          <w:sz w:val="24"/>
          <w:szCs w:val="24"/>
          <w:lang w:val="en-US" w:eastAsia="zh-CN"/>
        </w:rPr>
        <w:t>17</w:t>
      </w:r>
      <w:r w:rsidRPr="00A624C2">
        <w:rPr>
          <w:rFonts w:ascii="Book Antiqua" w:eastAsia="宋体" w:hAnsi="Book Antiqua" w:cs="Times New Roman"/>
          <w:kern w:val="2"/>
          <w:sz w:val="24"/>
          <w:szCs w:val="24"/>
          <w:lang w:val="en-US" w:eastAsia="zh-CN"/>
        </w:rPr>
        <w:t>: 1415-1422 [PMID: 21560202 DOI: 10.1002/ibd.21506]</w:t>
      </w:r>
    </w:p>
    <w:p w14:paraId="409F42C9"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2 </w:t>
      </w:r>
      <w:proofErr w:type="spellStart"/>
      <w:r w:rsidRPr="00A624C2">
        <w:rPr>
          <w:rFonts w:ascii="Book Antiqua" w:eastAsia="宋体" w:hAnsi="Book Antiqua" w:cs="Times New Roman"/>
          <w:b/>
          <w:kern w:val="2"/>
          <w:sz w:val="24"/>
          <w:szCs w:val="24"/>
          <w:lang w:val="en-US" w:eastAsia="zh-CN"/>
        </w:rPr>
        <w:t>Hazlewood</w:t>
      </w:r>
      <w:proofErr w:type="spellEnd"/>
      <w:r w:rsidRPr="00A624C2">
        <w:rPr>
          <w:rFonts w:ascii="Book Antiqua" w:eastAsia="宋体" w:hAnsi="Book Antiqua" w:cs="Times New Roman"/>
          <w:b/>
          <w:kern w:val="2"/>
          <w:sz w:val="24"/>
          <w:szCs w:val="24"/>
          <w:lang w:val="en-US" w:eastAsia="zh-CN"/>
        </w:rPr>
        <w:t xml:space="preserve"> GS</w:t>
      </w:r>
      <w:r w:rsidRPr="00A624C2">
        <w:rPr>
          <w:rFonts w:ascii="Book Antiqua" w:eastAsia="宋体" w:hAnsi="Book Antiqua" w:cs="Times New Roman"/>
          <w:kern w:val="2"/>
          <w:sz w:val="24"/>
          <w:szCs w:val="24"/>
          <w:lang w:val="en-US" w:eastAsia="zh-CN"/>
        </w:rPr>
        <w:t xml:space="preserve">, </w:t>
      </w:r>
      <w:proofErr w:type="spellStart"/>
      <w:r w:rsidRPr="00A624C2">
        <w:rPr>
          <w:rFonts w:ascii="Book Antiqua" w:eastAsia="宋体" w:hAnsi="Book Antiqua" w:cs="Times New Roman"/>
          <w:kern w:val="2"/>
          <w:sz w:val="24"/>
          <w:szCs w:val="24"/>
          <w:lang w:val="en-US" w:eastAsia="zh-CN"/>
        </w:rPr>
        <w:t>Rezaie</w:t>
      </w:r>
      <w:proofErr w:type="spellEnd"/>
      <w:r w:rsidRPr="00A624C2">
        <w:rPr>
          <w:rFonts w:ascii="Book Antiqua" w:eastAsia="宋体" w:hAnsi="Book Antiqua" w:cs="Times New Roman"/>
          <w:kern w:val="2"/>
          <w:sz w:val="24"/>
          <w:szCs w:val="24"/>
          <w:lang w:val="en-US" w:eastAsia="zh-CN"/>
        </w:rPr>
        <w:t xml:space="preserve"> A, Borman M, </w:t>
      </w:r>
      <w:proofErr w:type="spellStart"/>
      <w:r w:rsidRPr="00A624C2">
        <w:rPr>
          <w:rFonts w:ascii="Book Antiqua" w:eastAsia="宋体" w:hAnsi="Book Antiqua" w:cs="Times New Roman"/>
          <w:kern w:val="2"/>
          <w:sz w:val="24"/>
          <w:szCs w:val="24"/>
          <w:lang w:val="en-US" w:eastAsia="zh-CN"/>
        </w:rPr>
        <w:t>Panaccione</w:t>
      </w:r>
      <w:proofErr w:type="spellEnd"/>
      <w:r w:rsidRPr="00A624C2">
        <w:rPr>
          <w:rFonts w:ascii="Book Antiqua" w:eastAsia="宋体" w:hAnsi="Book Antiqua" w:cs="Times New Roman"/>
          <w:kern w:val="2"/>
          <w:sz w:val="24"/>
          <w:szCs w:val="24"/>
          <w:lang w:val="en-US" w:eastAsia="zh-CN"/>
        </w:rPr>
        <w:t xml:space="preserve"> R, Ghosh S, </w:t>
      </w:r>
      <w:proofErr w:type="spellStart"/>
      <w:r w:rsidRPr="00A624C2">
        <w:rPr>
          <w:rFonts w:ascii="Book Antiqua" w:eastAsia="宋体" w:hAnsi="Book Antiqua" w:cs="Times New Roman"/>
          <w:kern w:val="2"/>
          <w:sz w:val="24"/>
          <w:szCs w:val="24"/>
          <w:lang w:val="en-US" w:eastAsia="zh-CN"/>
        </w:rPr>
        <w:t>Seow</w:t>
      </w:r>
      <w:proofErr w:type="spellEnd"/>
      <w:r w:rsidRPr="00A624C2">
        <w:rPr>
          <w:rFonts w:ascii="Book Antiqua" w:eastAsia="宋体" w:hAnsi="Book Antiqua" w:cs="Times New Roman"/>
          <w:kern w:val="2"/>
          <w:sz w:val="24"/>
          <w:szCs w:val="24"/>
          <w:lang w:val="en-US" w:eastAsia="zh-CN"/>
        </w:rPr>
        <w:t xml:space="preserve"> CH, </w:t>
      </w:r>
      <w:proofErr w:type="spellStart"/>
      <w:r w:rsidRPr="00A624C2">
        <w:rPr>
          <w:rFonts w:ascii="Book Antiqua" w:eastAsia="宋体" w:hAnsi="Book Antiqua" w:cs="Times New Roman"/>
          <w:kern w:val="2"/>
          <w:sz w:val="24"/>
          <w:szCs w:val="24"/>
          <w:lang w:val="en-US" w:eastAsia="zh-CN"/>
        </w:rPr>
        <w:t>Kuenzig</w:t>
      </w:r>
      <w:proofErr w:type="spellEnd"/>
      <w:r w:rsidRPr="00A624C2">
        <w:rPr>
          <w:rFonts w:ascii="Book Antiqua" w:eastAsia="宋体" w:hAnsi="Book Antiqua" w:cs="Times New Roman"/>
          <w:kern w:val="2"/>
          <w:sz w:val="24"/>
          <w:szCs w:val="24"/>
          <w:lang w:val="en-US" w:eastAsia="zh-CN"/>
        </w:rPr>
        <w:t xml:space="preserve"> E, Tomlinson G, Siegel CA, </w:t>
      </w:r>
      <w:proofErr w:type="spellStart"/>
      <w:r w:rsidRPr="00A624C2">
        <w:rPr>
          <w:rFonts w:ascii="Book Antiqua" w:eastAsia="宋体" w:hAnsi="Book Antiqua" w:cs="Times New Roman"/>
          <w:kern w:val="2"/>
          <w:sz w:val="24"/>
          <w:szCs w:val="24"/>
          <w:lang w:val="en-US" w:eastAsia="zh-CN"/>
        </w:rPr>
        <w:t>Melmed</w:t>
      </w:r>
      <w:proofErr w:type="spellEnd"/>
      <w:r w:rsidRPr="00A624C2">
        <w:rPr>
          <w:rFonts w:ascii="Book Antiqua" w:eastAsia="宋体" w:hAnsi="Book Antiqua" w:cs="Times New Roman"/>
          <w:kern w:val="2"/>
          <w:sz w:val="24"/>
          <w:szCs w:val="24"/>
          <w:lang w:val="en-US" w:eastAsia="zh-CN"/>
        </w:rPr>
        <w:t xml:space="preserve"> GY, Kaplan GG. Comparative effectiveness of immunosuppressants and biologics for inducing and maintaining remission in Crohn's disease: A network meta-analysis. </w:t>
      </w:r>
      <w:r w:rsidRPr="00A624C2">
        <w:rPr>
          <w:rFonts w:ascii="Book Antiqua" w:eastAsia="宋体" w:hAnsi="Book Antiqua" w:cs="Times New Roman"/>
          <w:i/>
          <w:kern w:val="2"/>
          <w:sz w:val="24"/>
          <w:szCs w:val="24"/>
          <w:lang w:val="en-US" w:eastAsia="zh-CN"/>
        </w:rPr>
        <w:t>Gastroenterology</w:t>
      </w:r>
      <w:r w:rsidRPr="00A624C2">
        <w:rPr>
          <w:rFonts w:ascii="Book Antiqua" w:eastAsia="宋体" w:hAnsi="Book Antiqua" w:cs="Times New Roman"/>
          <w:kern w:val="2"/>
          <w:sz w:val="24"/>
          <w:szCs w:val="24"/>
          <w:lang w:val="en-US" w:eastAsia="zh-CN"/>
        </w:rPr>
        <w:t xml:space="preserve"> 2015; </w:t>
      </w:r>
      <w:r w:rsidRPr="00A624C2">
        <w:rPr>
          <w:rFonts w:ascii="Book Antiqua" w:eastAsia="宋体" w:hAnsi="Book Antiqua" w:cs="Times New Roman"/>
          <w:b/>
          <w:kern w:val="2"/>
          <w:sz w:val="24"/>
          <w:szCs w:val="24"/>
          <w:lang w:val="en-US" w:eastAsia="zh-CN"/>
        </w:rPr>
        <w:t>148</w:t>
      </w:r>
      <w:r w:rsidRPr="00A624C2">
        <w:rPr>
          <w:rFonts w:ascii="Book Antiqua" w:eastAsia="宋体" w:hAnsi="Book Antiqua" w:cs="Times New Roman"/>
          <w:kern w:val="2"/>
          <w:sz w:val="24"/>
          <w:szCs w:val="24"/>
          <w:lang w:val="en-US" w:eastAsia="zh-CN"/>
        </w:rPr>
        <w:t>: 344-54.e5; quiz e14-5 [PMID: 25448924 DOI: 10.1053/j.gastro.2014.10.011]</w:t>
      </w:r>
    </w:p>
    <w:p w14:paraId="38D20212"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3 </w:t>
      </w:r>
      <w:r w:rsidRPr="00A624C2">
        <w:rPr>
          <w:rFonts w:ascii="Book Antiqua" w:eastAsia="宋体" w:hAnsi="Book Antiqua" w:cs="Times New Roman"/>
          <w:b/>
          <w:kern w:val="2"/>
          <w:sz w:val="24"/>
          <w:szCs w:val="24"/>
          <w:lang w:val="en-US" w:eastAsia="zh-CN"/>
        </w:rPr>
        <w:t>Grover Z</w:t>
      </w:r>
      <w:r w:rsidRPr="00A624C2">
        <w:rPr>
          <w:rFonts w:ascii="Book Antiqua" w:eastAsia="宋体" w:hAnsi="Book Antiqua" w:cs="Times New Roman"/>
          <w:kern w:val="2"/>
          <w:sz w:val="24"/>
          <w:szCs w:val="24"/>
          <w:lang w:val="en-US" w:eastAsia="zh-CN"/>
        </w:rPr>
        <w:t xml:space="preserve">, Biron R, Carman N, </w:t>
      </w:r>
      <w:proofErr w:type="spellStart"/>
      <w:r w:rsidRPr="00A624C2">
        <w:rPr>
          <w:rFonts w:ascii="Book Antiqua" w:eastAsia="宋体" w:hAnsi="Book Antiqua" w:cs="Times New Roman"/>
          <w:kern w:val="2"/>
          <w:sz w:val="24"/>
          <w:szCs w:val="24"/>
          <w:lang w:val="en-US" w:eastAsia="zh-CN"/>
        </w:rPr>
        <w:t>Lewindon</w:t>
      </w:r>
      <w:proofErr w:type="spellEnd"/>
      <w:r w:rsidRPr="00A624C2">
        <w:rPr>
          <w:rFonts w:ascii="Book Antiqua" w:eastAsia="宋体" w:hAnsi="Book Antiqua" w:cs="Times New Roman"/>
          <w:kern w:val="2"/>
          <w:sz w:val="24"/>
          <w:szCs w:val="24"/>
          <w:lang w:val="en-US" w:eastAsia="zh-CN"/>
        </w:rPr>
        <w:t xml:space="preserve"> P. Predictors of response to Infliximab in children with luminal Crohn's disease. </w:t>
      </w:r>
      <w:r w:rsidRPr="00A624C2">
        <w:rPr>
          <w:rFonts w:ascii="Book Antiqua" w:eastAsia="宋体" w:hAnsi="Book Antiqua" w:cs="Times New Roman"/>
          <w:i/>
          <w:kern w:val="2"/>
          <w:sz w:val="24"/>
          <w:szCs w:val="24"/>
          <w:lang w:val="en-US" w:eastAsia="zh-CN"/>
        </w:rPr>
        <w:t xml:space="preserve">J </w:t>
      </w:r>
      <w:proofErr w:type="spellStart"/>
      <w:r w:rsidRPr="00A624C2">
        <w:rPr>
          <w:rFonts w:ascii="Book Antiqua" w:eastAsia="宋体" w:hAnsi="Book Antiqua" w:cs="Times New Roman"/>
          <w:i/>
          <w:kern w:val="2"/>
          <w:sz w:val="24"/>
          <w:szCs w:val="24"/>
          <w:lang w:val="en-US" w:eastAsia="zh-CN"/>
        </w:rPr>
        <w:t>Crohns</w:t>
      </w:r>
      <w:proofErr w:type="spellEnd"/>
      <w:r w:rsidRPr="00A624C2">
        <w:rPr>
          <w:rFonts w:ascii="Book Antiqua" w:eastAsia="宋体" w:hAnsi="Book Antiqua" w:cs="Times New Roman"/>
          <w:i/>
          <w:kern w:val="2"/>
          <w:sz w:val="24"/>
          <w:szCs w:val="24"/>
          <w:lang w:val="en-US" w:eastAsia="zh-CN"/>
        </w:rPr>
        <w:t xml:space="preserve"> Colitis</w:t>
      </w:r>
      <w:r w:rsidRPr="00A624C2">
        <w:rPr>
          <w:rFonts w:ascii="Book Antiqua" w:eastAsia="宋体" w:hAnsi="Book Antiqua" w:cs="Times New Roman"/>
          <w:kern w:val="2"/>
          <w:sz w:val="24"/>
          <w:szCs w:val="24"/>
          <w:lang w:val="en-US" w:eastAsia="zh-CN"/>
        </w:rPr>
        <w:t xml:space="preserve"> 2014; </w:t>
      </w:r>
      <w:r w:rsidRPr="00A624C2">
        <w:rPr>
          <w:rFonts w:ascii="Book Antiqua" w:eastAsia="宋体" w:hAnsi="Book Antiqua" w:cs="Times New Roman"/>
          <w:b/>
          <w:kern w:val="2"/>
          <w:sz w:val="24"/>
          <w:szCs w:val="24"/>
          <w:lang w:val="en-US" w:eastAsia="zh-CN"/>
        </w:rPr>
        <w:t>8</w:t>
      </w:r>
      <w:r w:rsidRPr="00A624C2">
        <w:rPr>
          <w:rFonts w:ascii="Book Antiqua" w:eastAsia="宋体" w:hAnsi="Book Antiqua" w:cs="Times New Roman"/>
          <w:kern w:val="2"/>
          <w:sz w:val="24"/>
          <w:szCs w:val="24"/>
          <w:lang w:val="en-US" w:eastAsia="zh-CN"/>
        </w:rPr>
        <w:t>: 739-746 [PMID: 24445015 DOI: 10.1016/j.crohns.2013.12.017]</w:t>
      </w:r>
    </w:p>
    <w:p w14:paraId="6BA63957"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4 </w:t>
      </w:r>
      <w:proofErr w:type="spellStart"/>
      <w:r w:rsidRPr="00A624C2">
        <w:rPr>
          <w:rFonts w:ascii="Book Antiqua" w:eastAsia="宋体" w:hAnsi="Book Antiqua" w:cs="Times New Roman"/>
          <w:b/>
          <w:kern w:val="2"/>
          <w:sz w:val="24"/>
          <w:szCs w:val="24"/>
          <w:lang w:val="en-US" w:eastAsia="zh-CN"/>
        </w:rPr>
        <w:t>Sandborn</w:t>
      </w:r>
      <w:proofErr w:type="spellEnd"/>
      <w:r w:rsidRPr="00A624C2">
        <w:rPr>
          <w:rFonts w:ascii="Book Antiqua" w:eastAsia="宋体" w:hAnsi="Book Antiqua" w:cs="Times New Roman"/>
          <w:b/>
          <w:kern w:val="2"/>
          <w:sz w:val="24"/>
          <w:szCs w:val="24"/>
          <w:lang w:val="en-US" w:eastAsia="zh-CN"/>
        </w:rPr>
        <w:t xml:space="preserve"> WJ</w:t>
      </w:r>
      <w:r w:rsidRPr="00A624C2">
        <w:rPr>
          <w:rFonts w:ascii="Book Antiqua" w:eastAsia="宋体" w:hAnsi="Book Antiqua" w:cs="Times New Roman"/>
          <w:kern w:val="2"/>
          <w:sz w:val="24"/>
          <w:szCs w:val="24"/>
          <w:lang w:val="en-US" w:eastAsia="zh-CN"/>
        </w:rPr>
        <w:t xml:space="preserve">, </w:t>
      </w:r>
      <w:proofErr w:type="spellStart"/>
      <w:r w:rsidRPr="00A624C2">
        <w:rPr>
          <w:rFonts w:ascii="Book Antiqua" w:eastAsia="宋体" w:hAnsi="Book Antiqua" w:cs="Times New Roman"/>
          <w:kern w:val="2"/>
          <w:sz w:val="24"/>
          <w:szCs w:val="24"/>
          <w:lang w:val="en-US" w:eastAsia="zh-CN"/>
        </w:rPr>
        <w:t>Melmed</w:t>
      </w:r>
      <w:proofErr w:type="spellEnd"/>
      <w:r w:rsidRPr="00A624C2">
        <w:rPr>
          <w:rFonts w:ascii="Book Antiqua" w:eastAsia="宋体" w:hAnsi="Book Antiqua" w:cs="Times New Roman"/>
          <w:kern w:val="2"/>
          <w:sz w:val="24"/>
          <w:szCs w:val="24"/>
          <w:lang w:val="en-US" w:eastAsia="zh-CN"/>
        </w:rPr>
        <w:t xml:space="preserve"> GY, McGovern DP, Loftus EV Jr, Choi JM, Cho JH, Abraham B, Gutierrez A, Lichtenstein G, Lee SD, Randall CW, Schwartz DA, </w:t>
      </w:r>
      <w:proofErr w:type="spellStart"/>
      <w:r w:rsidRPr="00A624C2">
        <w:rPr>
          <w:rFonts w:ascii="Book Antiqua" w:eastAsia="宋体" w:hAnsi="Book Antiqua" w:cs="Times New Roman"/>
          <w:kern w:val="2"/>
          <w:sz w:val="24"/>
          <w:szCs w:val="24"/>
          <w:lang w:val="en-US" w:eastAsia="zh-CN"/>
        </w:rPr>
        <w:t>Regueiro</w:t>
      </w:r>
      <w:proofErr w:type="spellEnd"/>
      <w:r w:rsidRPr="00A624C2">
        <w:rPr>
          <w:rFonts w:ascii="Book Antiqua" w:eastAsia="宋体" w:hAnsi="Book Antiqua" w:cs="Times New Roman"/>
          <w:kern w:val="2"/>
          <w:sz w:val="24"/>
          <w:szCs w:val="24"/>
          <w:lang w:val="en-US" w:eastAsia="zh-CN"/>
        </w:rPr>
        <w:t xml:space="preserve"> M, Siegel CA, Spearman M, </w:t>
      </w:r>
      <w:proofErr w:type="spellStart"/>
      <w:r w:rsidRPr="00A624C2">
        <w:rPr>
          <w:rFonts w:ascii="Book Antiqua" w:eastAsia="宋体" w:hAnsi="Book Antiqua" w:cs="Times New Roman"/>
          <w:kern w:val="2"/>
          <w:sz w:val="24"/>
          <w:szCs w:val="24"/>
          <w:lang w:val="en-US" w:eastAsia="zh-CN"/>
        </w:rPr>
        <w:t>Kosutic</w:t>
      </w:r>
      <w:proofErr w:type="spellEnd"/>
      <w:r w:rsidRPr="00A624C2">
        <w:rPr>
          <w:rFonts w:ascii="Book Antiqua" w:eastAsia="宋体" w:hAnsi="Book Antiqua" w:cs="Times New Roman"/>
          <w:kern w:val="2"/>
          <w:sz w:val="24"/>
          <w:szCs w:val="24"/>
          <w:lang w:val="en-US" w:eastAsia="zh-CN"/>
        </w:rPr>
        <w:t xml:space="preserve"> G, Pierre-Louis B, Coarse J, Schreiber S. Clinical and demographic characteristics predictive of treatment outcomes for certolizumab pegol in moderate to severe Crohn's disease: Analyses from the 7-year </w:t>
      </w:r>
      <w:proofErr w:type="spellStart"/>
      <w:r w:rsidRPr="00A624C2">
        <w:rPr>
          <w:rFonts w:ascii="Book Antiqua" w:eastAsia="宋体" w:hAnsi="Book Antiqua" w:cs="Times New Roman"/>
          <w:kern w:val="2"/>
          <w:sz w:val="24"/>
          <w:szCs w:val="24"/>
          <w:lang w:val="en-US" w:eastAsia="zh-CN"/>
        </w:rPr>
        <w:t>PRECiSE</w:t>
      </w:r>
      <w:proofErr w:type="spellEnd"/>
      <w:r w:rsidRPr="00A624C2">
        <w:rPr>
          <w:rFonts w:ascii="Book Antiqua" w:eastAsia="宋体" w:hAnsi="Book Antiqua" w:cs="Times New Roman"/>
          <w:kern w:val="2"/>
          <w:sz w:val="24"/>
          <w:szCs w:val="24"/>
          <w:lang w:val="en-US" w:eastAsia="zh-CN"/>
        </w:rPr>
        <w:t xml:space="preserve"> 3 study. </w:t>
      </w:r>
      <w:r w:rsidRPr="00A624C2">
        <w:rPr>
          <w:rFonts w:ascii="Book Antiqua" w:eastAsia="宋体" w:hAnsi="Book Antiqua" w:cs="Times New Roman"/>
          <w:i/>
          <w:kern w:val="2"/>
          <w:sz w:val="24"/>
          <w:szCs w:val="24"/>
          <w:lang w:val="en-US" w:eastAsia="zh-CN"/>
        </w:rPr>
        <w:t xml:space="preserve">Aliment </w:t>
      </w:r>
      <w:proofErr w:type="spellStart"/>
      <w:r w:rsidRPr="00A624C2">
        <w:rPr>
          <w:rFonts w:ascii="Book Antiqua" w:eastAsia="宋体" w:hAnsi="Book Antiqua" w:cs="Times New Roman"/>
          <w:i/>
          <w:kern w:val="2"/>
          <w:sz w:val="24"/>
          <w:szCs w:val="24"/>
          <w:lang w:val="en-US" w:eastAsia="zh-CN"/>
        </w:rPr>
        <w:t>Pharmacol</w:t>
      </w:r>
      <w:proofErr w:type="spellEnd"/>
      <w:r w:rsidRPr="00A624C2">
        <w:rPr>
          <w:rFonts w:ascii="Book Antiqua" w:eastAsia="宋体" w:hAnsi="Book Antiqua" w:cs="Times New Roman"/>
          <w:i/>
          <w:kern w:val="2"/>
          <w:sz w:val="24"/>
          <w:szCs w:val="24"/>
          <w:lang w:val="en-US" w:eastAsia="zh-CN"/>
        </w:rPr>
        <w:t xml:space="preserve"> </w:t>
      </w:r>
      <w:proofErr w:type="spellStart"/>
      <w:r w:rsidRPr="00A624C2">
        <w:rPr>
          <w:rFonts w:ascii="Book Antiqua" w:eastAsia="宋体" w:hAnsi="Book Antiqua" w:cs="Times New Roman"/>
          <w:i/>
          <w:kern w:val="2"/>
          <w:sz w:val="24"/>
          <w:szCs w:val="24"/>
          <w:lang w:val="en-US" w:eastAsia="zh-CN"/>
        </w:rPr>
        <w:t>Ther</w:t>
      </w:r>
      <w:proofErr w:type="spellEnd"/>
      <w:r w:rsidRPr="00A624C2">
        <w:rPr>
          <w:rFonts w:ascii="Book Antiqua" w:eastAsia="宋体" w:hAnsi="Book Antiqua" w:cs="Times New Roman"/>
          <w:kern w:val="2"/>
          <w:sz w:val="24"/>
          <w:szCs w:val="24"/>
          <w:lang w:val="en-US" w:eastAsia="zh-CN"/>
        </w:rPr>
        <w:t xml:space="preserve"> 2015; </w:t>
      </w:r>
      <w:r w:rsidRPr="00A624C2">
        <w:rPr>
          <w:rFonts w:ascii="Book Antiqua" w:eastAsia="宋体" w:hAnsi="Book Antiqua" w:cs="Times New Roman"/>
          <w:b/>
          <w:kern w:val="2"/>
          <w:sz w:val="24"/>
          <w:szCs w:val="24"/>
          <w:lang w:val="en-US" w:eastAsia="zh-CN"/>
        </w:rPr>
        <w:t>42</w:t>
      </w:r>
      <w:r w:rsidRPr="00A624C2">
        <w:rPr>
          <w:rFonts w:ascii="Book Antiqua" w:eastAsia="宋体" w:hAnsi="Book Antiqua" w:cs="Times New Roman"/>
          <w:kern w:val="2"/>
          <w:sz w:val="24"/>
          <w:szCs w:val="24"/>
          <w:lang w:val="en-US" w:eastAsia="zh-CN"/>
        </w:rPr>
        <w:t>: 330-342 [PMID: 26031921 DOI: 10.1111/apt.13251]</w:t>
      </w:r>
    </w:p>
    <w:p w14:paraId="62F29F69"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5 </w:t>
      </w:r>
      <w:r w:rsidRPr="00A624C2">
        <w:rPr>
          <w:rFonts w:ascii="Book Antiqua" w:eastAsia="宋体" w:hAnsi="Book Antiqua" w:cs="Times New Roman"/>
          <w:b/>
          <w:kern w:val="2"/>
          <w:sz w:val="24"/>
          <w:szCs w:val="24"/>
          <w:lang w:val="en-US" w:eastAsia="zh-CN"/>
        </w:rPr>
        <w:t>Ding NS</w:t>
      </w:r>
      <w:r w:rsidRPr="00A624C2">
        <w:rPr>
          <w:rFonts w:ascii="Book Antiqua" w:eastAsia="宋体" w:hAnsi="Book Antiqua" w:cs="Times New Roman"/>
          <w:kern w:val="2"/>
          <w:sz w:val="24"/>
          <w:szCs w:val="24"/>
          <w:lang w:val="en-US" w:eastAsia="zh-CN"/>
        </w:rPr>
        <w:t xml:space="preserve">, Hart A, De Cruz P. Systematic review: Predicting and </w:t>
      </w:r>
      <w:proofErr w:type="spellStart"/>
      <w:r w:rsidRPr="00A624C2">
        <w:rPr>
          <w:rFonts w:ascii="Book Antiqua" w:eastAsia="宋体" w:hAnsi="Book Antiqua" w:cs="Times New Roman"/>
          <w:kern w:val="2"/>
          <w:sz w:val="24"/>
          <w:szCs w:val="24"/>
          <w:lang w:val="en-US" w:eastAsia="zh-CN"/>
        </w:rPr>
        <w:t>optimising</w:t>
      </w:r>
      <w:proofErr w:type="spellEnd"/>
      <w:r w:rsidRPr="00A624C2">
        <w:rPr>
          <w:rFonts w:ascii="Book Antiqua" w:eastAsia="宋体" w:hAnsi="Book Antiqua" w:cs="Times New Roman"/>
          <w:kern w:val="2"/>
          <w:sz w:val="24"/>
          <w:szCs w:val="24"/>
          <w:lang w:val="en-US" w:eastAsia="zh-CN"/>
        </w:rPr>
        <w:t xml:space="preserve"> response to anti-TNF therapy in Crohn's disease - algorithm for practical management. </w:t>
      </w:r>
      <w:r w:rsidRPr="00A624C2">
        <w:rPr>
          <w:rFonts w:ascii="Book Antiqua" w:eastAsia="宋体" w:hAnsi="Book Antiqua" w:cs="Times New Roman"/>
          <w:i/>
          <w:kern w:val="2"/>
          <w:sz w:val="24"/>
          <w:szCs w:val="24"/>
          <w:lang w:val="en-US" w:eastAsia="zh-CN"/>
        </w:rPr>
        <w:t xml:space="preserve">Aliment </w:t>
      </w:r>
      <w:proofErr w:type="spellStart"/>
      <w:r w:rsidRPr="00A624C2">
        <w:rPr>
          <w:rFonts w:ascii="Book Antiqua" w:eastAsia="宋体" w:hAnsi="Book Antiqua" w:cs="Times New Roman"/>
          <w:i/>
          <w:kern w:val="2"/>
          <w:sz w:val="24"/>
          <w:szCs w:val="24"/>
          <w:lang w:val="en-US" w:eastAsia="zh-CN"/>
        </w:rPr>
        <w:t>Pharmacol</w:t>
      </w:r>
      <w:proofErr w:type="spellEnd"/>
      <w:r w:rsidRPr="00A624C2">
        <w:rPr>
          <w:rFonts w:ascii="Book Antiqua" w:eastAsia="宋体" w:hAnsi="Book Antiqua" w:cs="Times New Roman"/>
          <w:i/>
          <w:kern w:val="2"/>
          <w:sz w:val="24"/>
          <w:szCs w:val="24"/>
          <w:lang w:val="en-US" w:eastAsia="zh-CN"/>
        </w:rPr>
        <w:t xml:space="preserve"> </w:t>
      </w:r>
      <w:proofErr w:type="spellStart"/>
      <w:r w:rsidRPr="00A624C2">
        <w:rPr>
          <w:rFonts w:ascii="Book Antiqua" w:eastAsia="宋体" w:hAnsi="Book Antiqua" w:cs="Times New Roman"/>
          <w:i/>
          <w:kern w:val="2"/>
          <w:sz w:val="24"/>
          <w:szCs w:val="24"/>
          <w:lang w:val="en-US" w:eastAsia="zh-CN"/>
        </w:rPr>
        <w:t>Ther</w:t>
      </w:r>
      <w:proofErr w:type="spellEnd"/>
      <w:r w:rsidRPr="00A624C2">
        <w:rPr>
          <w:rFonts w:ascii="Book Antiqua" w:eastAsia="宋体" w:hAnsi="Book Antiqua" w:cs="Times New Roman"/>
          <w:kern w:val="2"/>
          <w:sz w:val="24"/>
          <w:szCs w:val="24"/>
          <w:lang w:val="en-US" w:eastAsia="zh-CN"/>
        </w:rPr>
        <w:t xml:space="preserve"> 2016; </w:t>
      </w:r>
      <w:r w:rsidRPr="00A624C2">
        <w:rPr>
          <w:rFonts w:ascii="Book Antiqua" w:eastAsia="宋体" w:hAnsi="Book Antiqua" w:cs="Times New Roman"/>
          <w:b/>
          <w:kern w:val="2"/>
          <w:sz w:val="24"/>
          <w:szCs w:val="24"/>
          <w:lang w:val="en-US" w:eastAsia="zh-CN"/>
        </w:rPr>
        <w:t>43</w:t>
      </w:r>
      <w:r w:rsidRPr="00A624C2">
        <w:rPr>
          <w:rFonts w:ascii="Book Antiqua" w:eastAsia="宋体" w:hAnsi="Book Antiqua" w:cs="Times New Roman"/>
          <w:kern w:val="2"/>
          <w:sz w:val="24"/>
          <w:szCs w:val="24"/>
          <w:lang w:val="en-US" w:eastAsia="zh-CN"/>
        </w:rPr>
        <w:t>: 30-51 [PMID: 26515897 DOI: 10.1111/apt.13445]</w:t>
      </w:r>
    </w:p>
    <w:p w14:paraId="10DA7310"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6 </w:t>
      </w:r>
      <w:r w:rsidRPr="00A624C2">
        <w:rPr>
          <w:rFonts w:ascii="Book Antiqua" w:eastAsia="宋体" w:hAnsi="Book Antiqua" w:cs="Times New Roman"/>
          <w:b/>
          <w:kern w:val="2"/>
          <w:sz w:val="24"/>
          <w:szCs w:val="24"/>
          <w:lang w:val="en-US" w:eastAsia="zh-CN"/>
        </w:rPr>
        <w:t>Kiss LS</w:t>
      </w:r>
      <w:r w:rsidRPr="00A624C2">
        <w:rPr>
          <w:rFonts w:ascii="Book Antiqua" w:eastAsia="宋体" w:hAnsi="Book Antiqua" w:cs="Times New Roman"/>
          <w:kern w:val="2"/>
          <w:sz w:val="24"/>
          <w:szCs w:val="24"/>
          <w:lang w:val="en-US" w:eastAsia="zh-CN"/>
        </w:rPr>
        <w:t xml:space="preserve">, </w:t>
      </w:r>
      <w:proofErr w:type="spellStart"/>
      <w:r w:rsidRPr="00A624C2">
        <w:rPr>
          <w:rFonts w:ascii="Book Antiqua" w:eastAsia="宋体" w:hAnsi="Book Antiqua" w:cs="Times New Roman"/>
          <w:kern w:val="2"/>
          <w:sz w:val="24"/>
          <w:szCs w:val="24"/>
          <w:lang w:val="en-US" w:eastAsia="zh-CN"/>
        </w:rPr>
        <w:t>Szamosi</w:t>
      </w:r>
      <w:proofErr w:type="spellEnd"/>
      <w:r w:rsidRPr="00A624C2">
        <w:rPr>
          <w:rFonts w:ascii="Book Antiqua" w:eastAsia="宋体" w:hAnsi="Book Antiqua" w:cs="Times New Roman"/>
          <w:kern w:val="2"/>
          <w:sz w:val="24"/>
          <w:szCs w:val="24"/>
          <w:lang w:val="en-US" w:eastAsia="zh-CN"/>
        </w:rPr>
        <w:t xml:space="preserve"> T, Molnar T, </w:t>
      </w:r>
      <w:proofErr w:type="spellStart"/>
      <w:r w:rsidRPr="00A624C2">
        <w:rPr>
          <w:rFonts w:ascii="Book Antiqua" w:eastAsia="宋体" w:hAnsi="Book Antiqua" w:cs="Times New Roman"/>
          <w:kern w:val="2"/>
          <w:sz w:val="24"/>
          <w:szCs w:val="24"/>
          <w:lang w:val="en-US" w:eastAsia="zh-CN"/>
        </w:rPr>
        <w:t>Miheller</w:t>
      </w:r>
      <w:proofErr w:type="spellEnd"/>
      <w:r w:rsidRPr="00A624C2">
        <w:rPr>
          <w:rFonts w:ascii="Book Antiqua" w:eastAsia="宋体" w:hAnsi="Book Antiqua" w:cs="Times New Roman"/>
          <w:kern w:val="2"/>
          <w:sz w:val="24"/>
          <w:szCs w:val="24"/>
          <w:lang w:val="en-US" w:eastAsia="zh-CN"/>
        </w:rPr>
        <w:t xml:space="preserve"> P, Lakatos L, </w:t>
      </w:r>
      <w:proofErr w:type="spellStart"/>
      <w:r w:rsidRPr="00A624C2">
        <w:rPr>
          <w:rFonts w:ascii="Book Antiqua" w:eastAsia="宋体" w:hAnsi="Book Antiqua" w:cs="Times New Roman"/>
          <w:kern w:val="2"/>
          <w:sz w:val="24"/>
          <w:szCs w:val="24"/>
          <w:lang w:val="en-US" w:eastAsia="zh-CN"/>
        </w:rPr>
        <w:t>Vincze</w:t>
      </w:r>
      <w:proofErr w:type="spellEnd"/>
      <w:r w:rsidRPr="00A624C2">
        <w:rPr>
          <w:rFonts w:ascii="Book Antiqua" w:eastAsia="宋体" w:hAnsi="Book Antiqua" w:cs="Times New Roman"/>
          <w:kern w:val="2"/>
          <w:sz w:val="24"/>
          <w:szCs w:val="24"/>
          <w:lang w:val="en-US" w:eastAsia="zh-CN"/>
        </w:rPr>
        <w:t xml:space="preserve"> A, Palatka K, </w:t>
      </w:r>
      <w:proofErr w:type="spellStart"/>
      <w:r w:rsidRPr="00A624C2">
        <w:rPr>
          <w:rFonts w:ascii="Book Antiqua" w:eastAsia="宋体" w:hAnsi="Book Antiqua" w:cs="Times New Roman"/>
          <w:kern w:val="2"/>
          <w:sz w:val="24"/>
          <w:szCs w:val="24"/>
          <w:lang w:val="en-US" w:eastAsia="zh-CN"/>
        </w:rPr>
        <w:t>Barta</w:t>
      </w:r>
      <w:proofErr w:type="spellEnd"/>
      <w:r w:rsidRPr="00A624C2">
        <w:rPr>
          <w:rFonts w:ascii="Book Antiqua" w:eastAsia="宋体" w:hAnsi="Book Antiqua" w:cs="Times New Roman"/>
          <w:kern w:val="2"/>
          <w:sz w:val="24"/>
          <w:szCs w:val="24"/>
          <w:lang w:val="en-US" w:eastAsia="zh-CN"/>
        </w:rPr>
        <w:t xml:space="preserve"> Z, </w:t>
      </w:r>
      <w:proofErr w:type="spellStart"/>
      <w:r w:rsidRPr="00A624C2">
        <w:rPr>
          <w:rFonts w:ascii="Book Antiqua" w:eastAsia="宋体" w:hAnsi="Book Antiqua" w:cs="Times New Roman"/>
          <w:kern w:val="2"/>
          <w:sz w:val="24"/>
          <w:szCs w:val="24"/>
          <w:lang w:val="en-US" w:eastAsia="zh-CN"/>
        </w:rPr>
        <w:t>Gasztonyi</w:t>
      </w:r>
      <w:proofErr w:type="spellEnd"/>
      <w:r w:rsidRPr="00A624C2">
        <w:rPr>
          <w:rFonts w:ascii="Book Antiqua" w:eastAsia="宋体" w:hAnsi="Book Antiqua" w:cs="Times New Roman"/>
          <w:kern w:val="2"/>
          <w:sz w:val="24"/>
          <w:szCs w:val="24"/>
          <w:lang w:val="en-US" w:eastAsia="zh-CN"/>
        </w:rPr>
        <w:t xml:space="preserve"> B, </w:t>
      </w:r>
      <w:proofErr w:type="spellStart"/>
      <w:r w:rsidRPr="00A624C2">
        <w:rPr>
          <w:rFonts w:ascii="Book Antiqua" w:eastAsia="宋体" w:hAnsi="Book Antiqua" w:cs="Times New Roman"/>
          <w:kern w:val="2"/>
          <w:sz w:val="24"/>
          <w:szCs w:val="24"/>
          <w:lang w:val="en-US" w:eastAsia="zh-CN"/>
        </w:rPr>
        <w:t>Salamon</w:t>
      </w:r>
      <w:proofErr w:type="spellEnd"/>
      <w:r w:rsidRPr="00A624C2">
        <w:rPr>
          <w:rFonts w:ascii="Book Antiqua" w:eastAsia="宋体" w:hAnsi="Book Antiqua" w:cs="Times New Roman"/>
          <w:kern w:val="2"/>
          <w:sz w:val="24"/>
          <w:szCs w:val="24"/>
          <w:lang w:val="en-US" w:eastAsia="zh-CN"/>
        </w:rPr>
        <w:t xml:space="preserve"> A, Horvath G, </w:t>
      </w:r>
      <w:proofErr w:type="spellStart"/>
      <w:r w:rsidRPr="00A624C2">
        <w:rPr>
          <w:rFonts w:ascii="Book Antiqua" w:eastAsia="宋体" w:hAnsi="Book Antiqua" w:cs="Times New Roman"/>
          <w:kern w:val="2"/>
          <w:sz w:val="24"/>
          <w:szCs w:val="24"/>
          <w:lang w:val="en-US" w:eastAsia="zh-CN"/>
        </w:rPr>
        <w:t>Tóth</w:t>
      </w:r>
      <w:proofErr w:type="spellEnd"/>
      <w:r w:rsidRPr="00A624C2">
        <w:rPr>
          <w:rFonts w:ascii="Book Antiqua" w:eastAsia="宋体" w:hAnsi="Book Antiqua" w:cs="Times New Roman"/>
          <w:kern w:val="2"/>
          <w:sz w:val="24"/>
          <w:szCs w:val="24"/>
          <w:lang w:val="en-US" w:eastAsia="zh-CN"/>
        </w:rPr>
        <w:t xml:space="preserve"> GT, Farkas K, </w:t>
      </w:r>
      <w:proofErr w:type="spellStart"/>
      <w:r w:rsidRPr="00A624C2">
        <w:rPr>
          <w:rFonts w:ascii="Book Antiqua" w:eastAsia="宋体" w:hAnsi="Book Antiqua" w:cs="Times New Roman"/>
          <w:kern w:val="2"/>
          <w:sz w:val="24"/>
          <w:szCs w:val="24"/>
          <w:lang w:val="en-US" w:eastAsia="zh-CN"/>
        </w:rPr>
        <w:t>Banai</w:t>
      </w:r>
      <w:proofErr w:type="spellEnd"/>
      <w:r w:rsidRPr="00A624C2">
        <w:rPr>
          <w:rFonts w:ascii="Book Antiqua" w:eastAsia="宋体" w:hAnsi="Book Antiqua" w:cs="Times New Roman"/>
          <w:kern w:val="2"/>
          <w:sz w:val="24"/>
          <w:szCs w:val="24"/>
          <w:lang w:val="en-US" w:eastAsia="zh-CN"/>
        </w:rPr>
        <w:t xml:space="preserve"> J, </w:t>
      </w:r>
      <w:proofErr w:type="spellStart"/>
      <w:r w:rsidRPr="00A624C2">
        <w:rPr>
          <w:rFonts w:ascii="Book Antiqua" w:eastAsia="宋体" w:hAnsi="Book Antiqua" w:cs="Times New Roman"/>
          <w:kern w:val="2"/>
          <w:sz w:val="24"/>
          <w:szCs w:val="24"/>
          <w:lang w:val="en-US" w:eastAsia="zh-CN"/>
        </w:rPr>
        <w:t>Tulassay</w:t>
      </w:r>
      <w:proofErr w:type="spellEnd"/>
      <w:r w:rsidRPr="00A624C2">
        <w:rPr>
          <w:rFonts w:ascii="Book Antiqua" w:eastAsia="宋体" w:hAnsi="Book Antiqua" w:cs="Times New Roman"/>
          <w:kern w:val="2"/>
          <w:sz w:val="24"/>
          <w:szCs w:val="24"/>
          <w:lang w:val="en-US" w:eastAsia="zh-CN"/>
        </w:rPr>
        <w:t xml:space="preserve"> Z, Nagy F, </w:t>
      </w:r>
      <w:proofErr w:type="spellStart"/>
      <w:r w:rsidRPr="00A624C2">
        <w:rPr>
          <w:rFonts w:ascii="Book Antiqua" w:eastAsia="宋体" w:hAnsi="Book Antiqua" w:cs="Times New Roman"/>
          <w:kern w:val="2"/>
          <w:sz w:val="24"/>
          <w:szCs w:val="24"/>
          <w:lang w:val="en-US" w:eastAsia="zh-CN"/>
        </w:rPr>
        <w:t>Szenes</w:t>
      </w:r>
      <w:proofErr w:type="spellEnd"/>
      <w:r w:rsidRPr="00A624C2">
        <w:rPr>
          <w:rFonts w:ascii="Book Antiqua" w:eastAsia="宋体" w:hAnsi="Book Antiqua" w:cs="Times New Roman"/>
          <w:kern w:val="2"/>
          <w:sz w:val="24"/>
          <w:szCs w:val="24"/>
          <w:lang w:val="en-US" w:eastAsia="zh-CN"/>
        </w:rPr>
        <w:t xml:space="preserve"> M, </w:t>
      </w:r>
      <w:proofErr w:type="spellStart"/>
      <w:r w:rsidRPr="00A624C2">
        <w:rPr>
          <w:rFonts w:ascii="Book Antiqua" w:eastAsia="宋体" w:hAnsi="Book Antiqua" w:cs="Times New Roman"/>
          <w:kern w:val="2"/>
          <w:sz w:val="24"/>
          <w:szCs w:val="24"/>
          <w:lang w:val="en-US" w:eastAsia="zh-CN"/>
        </w:rPr>
        <w:t>Veres</w:t>
      </w:r>
      <w:proofErr w:type="spellEnd"/>
      <w:r w:rsidRPr="00A624C2">
        <w:rPr>
          <w:rFonts w:ascii="Book Antiqua" w:eastAsia="宋体" w:hAnsi="Book Antiqua" w:cs="Times New Roman"/>
          <w:kern w:val="2"/>
          <w:sz w:val="24"/>
          <w:szCs w:val="24"/>
          <w:lang w:val="en-US" w:eastAsia="zh-CN"/>
        </w:rPr>
        <w:t xml:space="preserve"> G, </w:t>
      </w:r>
      <w:proofErr w:type="spellStart"/>
      <w:r w:rsidRPr="00A624C2">
        <w:rPr>
          <w:rFonts w:ascii="Book Antiqua" w:eastAsia="宋体" w:hAnsi="Book Antiqua" w:cs="Times New Roman"/>
          <w:kern w:val="2"/>
          <w:sz w:val="24"/>
          <w:szCs w:val="24"/>
          <w:lang w:val="en-US" w:eastAsia="zh-CN"/>
        </w:rPr>
        <w:t>Lovasz</w:t>
      </w:r>
      <w:proofErr w:type="spellEnd"/>
      <w:r w:rsidRPr="00A624C2">
        <w:rPr>
          <w:rFonts w:ascii="Book Antiqua" w:eastAsia="宋体" w:hAnsi="Book Antiqua" w:cs="Times New Roman"/>
          <w:kern w:val="2"/>
          <w:sz w:val="24"/>
          <w:szCs w:val="24"/>
          <w:lang w:val="en-US" w:eastAsia="zh-CN"/>
        </w:rPr>
        <w:t xml:space="preserve"> BD, </w:t>
      </w:r>
      <w:proofErr w:type="spellStart"/>
      <w:r w:rsidRPr="00A624C2">
        <w:rPr>
          <w:rFonts w:ascii="Book Antiqua" w:eastAsia="宋体" w:hAnsi="Book Antiqua" w:cs="Times New Roman"/>
          <w:kern w:val="2"/>
          <w:sz w:val="24"/>
          <w:szCs w:val="24"/>
          <w:lang w:val="en-US" w:eastAsia="zh-CN"/>
        </w:rPr>
        <w:t>Vegh</w:t>
      </w:r>
      <w:proofErr w:type="spellEnd"/>
      <w:r w:rsidRPr="00A624C2">
        <w:rPr>
          <w:rFonts w:ascii="Book Antiqua" w:eastAsia="宋体" w:hAnsi="Book Antiqua" w:cs="Times New Roman"/>
          <w:kern w:val="2"/>
          <w:sz w:val="24"/>
          <w:szCs w:val="24"/>
          <w:lang w:val="en-US" w:eastAsia="zh-CN"/>
        </w:rPr>
        <w:t xml:space="preserve"> Z, </w:t>
      </w:r>
      <w:proofErr w:type="spellStart"/>
      <w:r w:rsidRPr="00A624C2">
        <w:rPr>
          <w:rFonts w:ascii="Book Antiqua" w:eastAsia="宋体" w:hAnsi="Book Antiqua" w:cs="Times New Roman"/>
          <w:kern w:val="2"/>
          <w:sz w:val="24"/>
          <w:szCs w:val="24"/>
          <w:lang w:val="en-US" w:eastAsia="zh-CN"/>
        </w:rPr>
        <w:t>Golovics</w:t>
      </w:r>
      <w:proofErr w:type="spellEnd"/>
      <w:r w:rsidRPr="00A624C2">
        <w:rPr>
          <w:rFonts w:ascii="Book Antiqua" w:eastAsia="宋体" w:hAnsi="Book Antiqua" w:cs="Times New Roman"/>
          <w:kern w:val="2"/>
          <w:sz w:val="24"/>
          <w:szCs w:val="24"/>
          <w:lang w:val="en-US" w:eastAsia="zh-CN"/>
        </w:rPr>
        <w:t xml:space="preserve"> PA, </w:t>
      </w:r>
      <w:proofErr w:type="spellStart"/>
      <w:r w:rsidRPr="00A624C2">
        <w:rPr>
          <w:rFonts w:ascii="Book Antiqua" w:eastAsia="宋体" w:hAnsi="Book Antiqua" w:cs="Times New Roman"/>
          <w:kern w:val="2"/>
          <w:sz w:val="24"/>
          <w:szCs w:val="24"/>
          <w:lang w:val="en-US" w:eastAsia="zh-CN"/>
        </w:rPr>
        <w:t>Szathmari</w:t>
      </w:r>
      <w:proofErr w:type="spellEnd"/>
      <w:r w:rsidRPr="00A624C2">
        <w:rPr>
          <w:rFonts w:ascii="Book Antiqua" w:eastAsia="宋体" w:hAnsi="Book Antiqua" w:cs="Times New Roman"/>
          <w:kern w:val="2"/>
          <w:sz w:val="24"/>
          <w:szCs w:val="24"/>
          <w:lang w:val="en-US" w:eastAsia="zh-CN"/>
        </w:rPr>
        <w:t xml:space="preserve"> M, Papp M, Lakatos PL; Hungarian IBD Study Group. Early clinical remission and </w:t>
      </w:r>
      <w:proofErr w:type="spellStart"/>
      <w:r w:rsidRPr="00A624C2">
        <w:rPr>
          <w:rFonts w:ascii="Book Antiqua" w:eastAsia="宋体" w:hAnsi="Book Antiqua" w:cs="Times New Roman"/>
          <w:kern w:val="2"/>
          <w:sz w:val="24"/>
          <w:szCs w:val="24"/>
          <w:lang w:val="en-US" w:eastAsia="zh-CN"/>
        </w:rPr>
        <w:t>normalisation</w:t>
      </w:r>
      <w:proofErr w:type="spellEnd"/>
      <w:r w:rsidRPr="00A624C2">
        <w:rPr>
          <w:rFonts w:ascii="Book Antiqua" w:eastAsia="宋体" w:hAnsi="Book Antiqua" w:cs="Times New Roman"/>
          <w:kern w:val="2"/>
          <w:sz w:val="24"/>
          <w:szCs w:val="24"/>
          <w:lang w:val="en-US" w:eastAsia="zh-CN"/>
        </w:rPr>
        <w:t xml:space="preserve"> of CRP </w:t>
      </w:r>
      <w:r w:rsidRPr="00A624C2">
        <w:rPr>
          <w:rFonts w:ascii="Book Antiqua" w:eastAsia="宋体" w:hAnsi="Book Antiqua" w:cs="Times New Roman"/>
          <w:kern w:val="2"/>
          <w:sz w:val="24"/>
          <w:szCs w:val="24"/>
          <w:lang w:val="en-US" w:eastAsia="zh-CN"/>
        </w:rPr>
        <w:lastRenderedPageBreak/>
        <w:t xml:space="preserve">are the strongest predictors of efficacy, mucosal healing and dose escalation during the first year of adalimumab therapy in Crohn's disease. </w:t>
      </w:r>
      <w:r w:rsidRPr="00A624C2">
        <w:rPr>
          <w:rFonts w:ascii="Book Antiqua" w:eastAsia="宋体" w:hAnsi="Book Antiqua" w:cs="Times New Roman"/>
          <w:i/>
          <w:kern w:val="2"/>
          <w:sz w:val="24"/>
          <w:szCs w:val="24"/>
          <w:lang w:val="en-US" w:eastAsia="zh-CN"/>
        </w:rPr>
        <w:t xml:space="preserve">Aliment </w:t>
      </w:r>
      <w:proofErr w:type="spellStart"/>
      <w:r w:rsidRPr="00A624C2">
        <w:rPr>
          <w:rFonts w:ascii="Book Antiqua" w:eastAsia="宋体" w:hAnsi="Book Antiqua" w:cs="Times New Roman"/>
          <w:i/>
          <w:kern w:val="2"/>
          <w:sz w:val="24"/>
          <w:szCs w:val="24"/>
          <w:lang w:val="en-US" w:eastAsia="zh-CN"/>
        </w:rPr>
        <w:t>Pharmacol</w:t>
      </w:r>
      <w:proofErr w:type="spellEnd"/>
      <w:r w:rsidRPr="00A624C2">
        <w:rPr>
          <w:rFonts w:ascii="Book Antiqua" w:eastAsia="宋体" w:hAnsi="Book Antiqua" w:cs="Times New Roman"/>
          <w:i/>
          <w:kern w:val="2"/>
          <w:sz w:val="24"/>
          <w:szCs w:val="24"/>
          <w:lang w:val="en-US" w:eastAsia="zh-CN"/>
        </w:rPr>
        <w:t xml:space="preserve"> </w:t>
      </w:r>
      <w:proofErr w:type="spellStart"/>
      <w:r w:rsidRPr="00A624C2">
        <w:rPr>
          <w:rFonts w:ascii="Book Antiqua" w:eastAsia="宋体" w:hAnsi="Book Antiqua" w:cs="Times New Roman"/>
          <w:i/>
          <w:kern w:val="2"/>
          <w:sz w:val="24"/>
          <w:szCs w:val="24"/>
          <w:lang w:val="en-US" w:eastAsia="zh-CN"/>
        </w:rPr>
        <w:t>Ther</w:t>
      </w:r>
      <w:proofErr w:type="spellEnd"/>
      <w:r w:rsidRPr="00A624C2">
        <w:rPr>
          <w:rFonts w:ascii="Book Antiqua" w:eastAsia="宋体" w:hAnsi="Book Antiqua" w:cs="Times New Roman"/>
          <w:kern w:val="2"/>
          <w:sz w:val="24"/>
          <w:szCs w:val="24"/>
          <w:lang w:val="en-US" w:eastAsia="zh-CN"/>
        </w:rPr>
        <w:t xml:space="preserve"> 2011; </w:t>
      </w:r>
      <w:r w:rsidRPr="00A624C2">
        <w:rPr>
          <w:rFonts w:ascii="Book Antiqua" w:eastAsia="宋体" w:hAnsi="Book Antiqua" w:cs="Times New Roman"/>
          <w:b/>
          <w:kern w:val="2"/>
          <w:sz w:val="24"/>
          <w:szCs w:val="24"/>
          <w:lang w:val="en-US" w:eastAsia="zh-CN"/>
        </w:rPr>
        <w:t>34</w:t>
      </w:r>
      <w:r w:rsidRPr="00A624C2">
        <w:rPr>
          <w:rFonts w:ascii="Book Antiqua" w:eastAsia="宋体" w:hAnsi="Book Antiqua" w:cs="Times New Roman"/>
          <w:kern w:val="2"/>
          <w:sz w:val="24"/>
          <w:szCs w:val="24"/>
          <w:lang w:val="en-US" w:eastAsia="zh-CN"/>
        </w:rPr>
        <w:t>: 911-922 [PMID: 21883326 DOI: 10.1111/j.1365-2036.2011.04827.x]</w:t>
      </w:r>
    </w:p>
    <w:p w14:paraId="277CE037"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7 </w:t>
      </w:r>
      <w:r w:rsidRPr="00A624C2">
        <w:rPr>
          <w:rFonts w:ascii="Book Antiqua" w:eastAsia="宋体" w:hAnsi="Book Antiqua" w:cs="Times New Roman"/>
          <w:b/>
          <w:kern w:val="2"/>
          <w:sz w:val="24"/>
          <w:szCs w:val="24"/>
          <w:lang w:val="en-US" w:eastAsia="zh-CN"/>
        </w:rPr>
        <w:t>Cohen RD</w:t>
      </w:r>
      <w:r w:rsidRPr="00A624C2">
        <w:rPr>
          <w:rFonts w:ascii="Book Antiqua" w:eastAsia="宋体" w:hAnsi="Book Antiqua" w:cs="Times New Roman"/>
          <w:kern w:val="2"/>
          <w:sz w:val="24"/>
          <w:szCs w:val="24"/>
          <w:lang w:val="en-US" w:eastAsia="zh-CN"/>
        </w:rPr>
        <w:t xml:space="preserve">, Lewis JR, Turner H, Harrell LE, </w:t>
      </w:r>
      <w:proofErr w:type="spellStart"/>
      <w:r w:rsidRPr="00A624C2">
        <w:rPr>
          <w:rFonts w:ascii="Book Antiqua" w:eastAsia="宋体" w:hAnsi="Book Antiqua" w:cs="Times New Roman"/>
          <w:kern w:val="2"/>
          <w:sz w:val="24"/>
          <w:szCs w:val="24"/>
          <w:lang w:val="en-US" w:eastAsia="zh-CN"/>
        </w:rPr>
        <w:t>Hanauer</w:t>
      </w:r>
      <w:proofErr w:type="spellEnd"/>
      <w:r w:rsidRPr="00A624C2">
        <w:rPr>
          <w:rFonts w:ascii="Book Antiqua" w:eastAsia="宋体" w:hAnsi="Book Antiqua" w:cs="Times New Roman"/>
          <w:kern w:val="2"/>
          <w:sz w:val="24"/>
          <w:szCs w:val="24"/>
          <w:lang w:val="en-US" w:eastAsia="zh-CN"/>
        </w:rPr>
        <w:t xml:space="preserve"> SB, Rubin DT. Predictors of adalimumab dose escalation in patients with Crohn's disease at a tertiary referral center. </w:t>
      </w:r>
      <w:proofErr w:type="spellStart"/>
      <w:r w:rsidRPr="00A624C2">
        <w:rPr>
          <w:rFonts w:ascii="Book Antiqua" w:eastAsia="宋体" w:hAnsi="Book Antiqua" w:cs="Times New Roman"/>
          <w:i/>
          <w:kern w:val="2"/>
          <w:sz w:val="24"/>
          <w:szCs w:val="24"/>
          <w:lang w:val="en-US" w:eastAsia="zh-CN"/>
        </w:rPr>
        <w:t>Inflamm</w:t>
      </w:r>
      <w:proofErr w:type="spellEnd"/>
      <w:r w:rsidRPr="00A624C2">
        <w:rPr>
          <w:rFonts w:ascii="Book Antiqua" w:eastAsia="宋体" w:hAnsi="Book Antiqua" w:cs="Times New Roman"/>
          <w:i/>
          <w:kern w:val="2"/>
          <w:sz w:val="24"/>
          <w:szCs w:val="24"/>
          <w:lang w:val="en-US" w:eastAsia="zh-CN"/>
        </w:rPr>
        <w:t xml:space="preserve"> Bowel Dis</w:t>
      </w:r>
      <w:r w:rsidRPr="00A624C2">
        <w:rPr>
          <w:rFonts w:ascii="Book Antiqua" w:eastAsia="宋体" w:hAnsi="Book Antiqua" w:cs="Times New Roman"/>
          <w:kern w:val="2"/>
          <w:sz w:val="24"/>
          <w:szCs w:val="24"/>
          <w:lang w:val="en-US" w:eastAsia="zh-CN"/>
        </w:rPr>
        <w:t xml:space="preserve"> 2012; </w:t>
      </w:r>
      <w:r w:rsidRPr="00A624C2">
        <w:rPr>
          <w:rFonts w:ascii="Book Antiqua" w:eastAsia="宋体" w:hAnsi="Book Antiqua" w:cs="Times New Roman"/>
          <w:b/>
          <w:kern w:val="2"/>
          <w:sz w:val="24"/>
          <w:szCs w:val="24"/>
          <w:lang w:val="en-US" w:eastAsia="zh-CN"/>
        </w:rPr>
        <w:t>18</w:t>
      </w:r>
      <w:r w:rsidRPr="00A624C2">
        <w:rPr>
          <w:rFonts w:ascii="Book Antiqua" w:eastAsia="宋体" w:hAnsi="Book Antiqua" w:cs="Times New Roman"/>
          <w:kern w:val="2"/>
          <w:sz w:val="24"/>
          <w:szCs w:val="24"/>
          <w:lang w:val="en-US" w:eastAsia="zh-CN"/>
        </w:rPr>
        <w:t>: 10-16 [PMID: 21456032 DOI: 10.1002/ibd.21707]</w:t>
      </w:r>
    </w:p>
    <w:p w14:paraId="7CB268AE"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8 </w:t>
      </w:r>
      <w:proofErr w:type="spellStart"/>
      <w:r w:rsidRPr="00A624C2">
        <w:rPr>
          <w:rFonts w:ascii="Book Antiqua" w:eastAsia="宋体" w:hAnsi="Book Antiqua" w:cs="Times New Roman"/>
          <w:b/>
          <w:kern w:val="2"/>
          <w:sz w:val="24"/>
          <w:szCs w:val="24"/>
          <w:lang w:val="en-US" w:eastAsia="zh-CN"/>
        </w:rPr>
        <w:t>Triantafillidis</w:t>
      </w:r>
      <w:proofErr w:type="spellEnd"/>
      <w:r w:rsidRPr="00A624C2">
        <w:rPr>
          <w:rFonts w:ascii="Book Antiqua" w:eastAsia="宋体" w:hAnsi="Book Antiqua" w:cs="Times New Roman"/>
          <w:b/>
          <w:kern w:val="2"/>
          <w:sz w:val="24"/>
          <w:szCs w:val="24"/>
          <w:lang w:val="en-US" w:eastAsia="zh-CN"/>
        </w:rPr>
        <w:t xml:space="preserve"> JK</w:t>
      </w:r>
      <w:r w:rsidRPr="00A624C2">
        <w:rPr>
          <w:rFonts w:ascii="Book Antiqua" w:eastAsia="宋体" w:hAnsi="Book Antiqua" w:cs="Times New Roman"/>
          <w:kern w:val="2"/>
          <w:sz w:val="24"/>
          <w:szCs w:val="24"/>
          <w:lang w:val="en-US" w:eastAsia="zh-CN"/>
        </w:rPr>
        <w:t xml:space="preserve">, </w:t>
      </w:r>
      <w:proofErr w:type="spellStart"/>
      <w:r w:rsidRPr="00A624C2">
        <w:rPr>
          <w:rFonts w:ascii="Book Antiqua" w:eastAsia="宋体" w:hAnsi="Book Antiqua" w:cs="Times New Roman"/>
          <w:kern w:val="2"/>
          <w:sz w:val="24"/>
          <w:szCs w:val="24"/>
          <w:lang w:val="en-US" w:eastAsia="zh-CN"/>
        </w:rPr>
        <w:t>Mantzaris</w:t>
      </w:r>
      <w:proofErr w:type="spellEnd"/>
      <w:r w:rsidRPr="00A624C2">
        <w:rPr>
          <w:rFonts w:ascii="Book Antiqua" w:eastAsia="宋体" w:hAnsi="Book Antiqua" w:cs="Times New Roman"/>
          <w:kern w:val="2"/>
          <w:sz w:val="24"/>
          <w:szCs w:val="24"/>
          <w:lang w:val="en-US" w:eastAsia="zh-CN"/>
        </w:rPr>
        <w:t xml:space="preserve"> G, </w:t>
      </w:r>
      <w:proofErr w:type="spellStart"/>
      <w:r w:rsidRPr="00A624C2">
        <w:rPr>
          <w:rFonts w:ascii="Book Antiqua" w:eastAsia="宋体" w:hAnsi="Book Antiqua" w:cs="Times New Roman"/>
          <w:kern w:val="2"/>
          <w:sz w:val="24"/>
          <w:szCs w:val="24"/>
          <w:lang w:val="en-US" w:eastAsia="zh-CN"/>
        </w:rPr>
        <w:t>Karagiannis</w:t>
      </w:r>
      <w:proofErr w:type="spellEnd"/>
      <w:r w:rsidRPr="00A624C2">
        <w:rPr>
          <w:rFonts w:ascii="Book Antiqua" w:eastAsia="宋体" w:hAnsi="Book Antiqua" w:cs="Times New Roman"/>
          <w:kern w:val="2"/>
          <w:sz w:val="24"/>
          <w:szCs w:val="24"/>
          <w:lang w:val="en-US" w:eastAsia="zh-CN"/>
        </w:rPr>
        <w:t xml:space="preserve"> J, </w:t>
      </w:r>
      <w:proofErr w:type="spellStart"/>
      <w:r w:rsidRPr="00A624C2">
        <w:rPr>
          <w:rFonts w:ascii="Book Antiqua" w:eastAsia="宋体" w:hAnsi="Book Antiqua" w:cs="Times New Roman"/>
          <w:kern w:val="2"/>
          <w:sz w:val="24"/>
          <w:szCs w:val="24"/>
          <w:lang w:val="en-US" w:eastAsia="zh-CN"/>
        </w:rPr>
        <w:t>Papavasilliou</w:t>
      </w:r>
      <w:proofErr w:type="spellEnd"/>
      <w:r w:rsidRPr="00A624C2">
        <w:rPr>
          <w:rFonts w:ascii="Book Antiqua" w:eastAsia="宋体" w:hAnsi="Book Antiqua" w:cs="Times New Roman"/>
          <w:kern w:val="2"/>
          <w:sz w:val="24"/>
          <w:szCs w:val="24"/>
          <w:lang w:val="en-US" w:eastAsia="zh-CN"/>
        </w:rPr>
        <w:t xml:space="preserve"> E, </w:t>
      </w:r>
      <w:proofErr w:type="spellStart"/>
      <w:r w:rsidRPr="00A624C2">
        <w:rPr>
          <w:rFonts w:ascii="Book Antiqua" w:eastAsia="宋体" w:hAnsi="Book Antiqua" w:cs="Times New Roman"/>
          <w:kern w:val="2"/>
          <w:sz w:val="24"/>
          <w:szCs w:val="24"/>
          <w:lang w:val="en-US" w:eastAsia="zh-CN"/>
        </w:rPr>
        <w:t>Papatheodoridis</w:t>
      </w:r>
      <w:proofErr w:type="spellEnd"/>
      <w:r w:rsidRPr="00A624C2">
        <w:rPr>
          <w:rFonts w:ascii="Book Antiqua" w:eastAsia="宋体" w:hAnsi="Book Antiqua" w:cs="Times New Roman"/>
          <w:kern w:val="2"/>
          <w:sz w:val="24"/>
          <w:szCs w:val="24"/>
          <w:lang w:val="en-US" w:eastAsia="zh-CN"/>
        </w:rPr>
        <w:t xml:space="preserve"> G, </w:t>
      </w:r>
      <w:proofErr w:type="spellStart"/>
      <w:r w:rsidRPr="00A624C2">
        <w:rPr>
          <w:rFonts w:ascii="Book Antiqua" w:eastAsia="宋体" w:hAnsi="Book Antiqua" w:cs="Times New Roman"/>
          <w:kern w:val="2"/>
          <w:sz w:val="24"/>
          <w:szCs w:val="24"/>
          <w:lang w:val="en-US" w:eastAsia="zh-CN"/>
        </w:rPr>
        <w:t>Fouskas</w:t>
      </w:r>
      <w:proofErr w:type="spellEnd"/>
      <w:r w:rsidRPr="00A624C2">
        <w:rPr>
          <w:rFonts w:ascii="Book Antiqua" w:eastAsia="宋体" w:hAnsi="Book Antiqua" w:cs="Times New Roman"/>
          <w:kern w:val="2"/>
          <w:sz w:val="24"/>
          <w:szCs w:val="24"/>
          <w:lang w:val="en-US" w:eastAsia="zh-CN"/>
        </w:rPr>
        <w:t xml:space="preserve"> J, </w:t>
      </w:r>
      <w:proofErr w:type="spellStart"/>
      <w:r w:rsidRPr="00A624C2">
        <w:rPr>
          <w:rFonts w:ascii="Book Antiqua" w:eastAsia="宋体" w:hAnsi="Book Antiqua" w:cs="Times New Roman"/>
          <w:kern w:val="2"/>
          <w:sz w:val="24"/>
          <w:szCs w:val="24"/>
          <w:lang w:val="en-US" w:eastAsia="zh-CN"/>
        </w:rPr>
        <w:t>Malgarinos</w:t>
      </w:r>
      <w:proofErr w:type="spellEnd"/>
      <w:r w:rsidRPr="00A624C2">
        <w:rPr>
          <w:rFonts w:ascii="Book Antiqua" w:eastAsia="宋体" w:hAnsi="Book Antiqua" w:cs="Times New Roman"/>
          <w:kern w:val="2"/>
          <w:sz w:val="24"/>
          <w:szCs w:val="24"/>
          <w:lang w:val="en-US" w:eastAsia="zh-CN"/>
        </w:rPr>
        <w:t xml:space="preserve"> G, </w:t>
      </w:r>
      <w:proofErr w:type="spellStart"/>
      <w:r w:rsidRPr="00A624C2">
        <w:rPr>
          <w:rFonts w:ascii="Book Antiqua" w:eastAsia="宋体" w:hAnsi="Book Antiqua" w:cs="Times New Roman"/>
          <w:kern w:val="2"/>
          <w:sz w:val="24"/>
          <w:szCs w:val="24"/>
          <w:lang w:val="en-US" w:eastAsia="zh-CN"/>
        </w:rPr>
        <w:t>Gikas</w:t>
      </w:r>
      <w:proofErr w:type="spellEnd"/>
      <w:r w:rsidRPr="00A624C2">
        <w:rPr>
          <w:rFonts w:ascii="Book Antiqua" w:eastAsia="宋体" w:hAnsi="Book Antiqua" w:cs="Times New Roman"/>
          <w:kern w:val="2"/>
          <w:sz w:val="24"/>
          <w:szCs w:val="24"/>
          <w:lang w:val="en-US" w:eastAsia="zh-CN"/>
        </w:rPr>
        <w:t xml:space="preserve"> A, </w:t>
      </w:r>
      <w:proofErr w:type="spellStart"/>
      <w:r w:rsidRPr="00A624C2">
        <w:rPr>
          <w:rFonts w:ascii="Book Antiqua" w:eastAsia="宋体" w:hAnsi="Book Antiqua" w:cs="Times New Roman"/>
          <w:kern w:val="2"/>
          <w:sz w:val="24"/>
          <w:szCs w:val="24"/>
          <w:lang w:val="en-US" w:eastAsia="zh-CN"/>
        </w:rPr>
        <w:t>Papamichael</w:t>
      </w:r>
      <w:proofErr w:type="spellEnd"/>
      <w:r w:rsidRPr="00A624C2">
        <w:rPr>
          <w:rFonts w:ascii="Book Antiqua" w:eastAsia="宋体" w:hAnsi="Book Antiqua" w:cs="Times New Roman"/>
          <w:kern w:val="2"/>
          <w:sz w:val="24"/>
          <w:szCs w:val="24"/>
          <w:lang w:val="en-US" w:eastAsia="zh-CN"/>
        </w:rPr>
        <w:t xml:space="preserve"> K, </w:t>
      </w:r>
      <w:proofErr w:type="spellStart"/>
      <w:r w:rsidRPr="00A624C2">
        <w:rPr>
          <w:rFonts w:ascii="Book Antiqua" w:eastAsia="宋体" w:hAnsi="Book Antiqua" w:cs="Times New Roman"/>
          <w:kern w:val="2"/>
          <w:sz w:val="24"/>
          <w:szCs w:val="24"/>
          <w:lang w:val="en-US" w:eastAsia="zh-CN"/>
        </w:rPr>
        <w:t>Mathou</w:t>
      </w:r>
      <w:proofErr w:type="spellEnd"/>
      <w:r w:rsidRPr="00A624C2">
        <w:rPr>
          <w:rFonts w:ascii="Book Antiqua" w:eastAsia="宋体" w:hAnsi="Book Antiqua" w:cs="Times New Roman"/>
          <w:kern w:val="2"/>
          <w:sz w:val="24"/>
          <w:szCs w:val="24"/>
          <w:lang w:val="en-US" w:eastAsia="zh-CN"/>
        </w:rPr>
        <w:t xml:space="preserve"> N, </w:t>
      </w:r>
      <w:proofErr w:type="spellStart"/>
      <w:r w:rsidRPr="00A624C2">
        <w:rPr>
          <w:rFonts w:ascii="Book Antiqua" w:eastAsia="宋体" w:hAnsi="Book Antiqua" w:cs="Times New Roman"/>
          <w:kern w:val="2"/>
          <w:sz w:val="24"/>
          <w:szCs w:val="24"/>
          <w:lang w:val="en-US" w:eastAsia="zh-CN"/>
        </w:rPr>
        <w:t>Symboulakis</w:t>
      </w:r>
      <w:proofErr w:type="spellEnd"/>
      <w:r w:rsidRPr="00A624C2">
        <w:rPr>
          <w:rFonts w:ascii="Book Antiqua" w:eastAsia="宋体" w:hAnsi="Book Antiqua" w:cs="Times New Roman"/>
          <w:kern w:val="2"/>
          <w:sz w:val="24"/>
          <w:szCs w:val="24"/>
          <w:lang w:val="en-US" w:eastAsia="zh-CN"/>
        </w:rPr>
        <w:t xml:space="preserve"> E, </w:t>
      </w:r>
      <w:proofErr w:type="spellStart"/>
      <w:r w:rsidRPr="00A624C2">
        <w:rPr>
          <w:rFonts w:ascii="Book Antiqua" w:eastAsia="宋体" w:hAnsi="Book Antiqua" w:cs="Times New Roman"/>
          <w:kern w:val="2"/>
          <w:sz w:val="24"/>
          <w:szCs w:val="24"/>
          <w:lang w:val="en-US" w:eastAsia="zh-CN"/>
        </w:rPr>
        <w:t>Karamanolis</w:t>
      </w:r>
      <w:proofErr w:type="spellEnd"/>
      <w:r w:rsidRPr="00A624C2">
        <w:rPr>
          <w:rFonts w:ascii="Book Antiqua" w:eastAsia="宋体" w:hAnsi="Book Antiqua" w:cs="Times New Roman"/>
          <w:kern w:val="2"/>
          <w:sz w:val="24"/>
          <w:szCs w:val="24"/>
          <w:lang w:val="en-US" w:eastAsia="zh-CN"/>
        </w:rPr>
        <w:t xml:space="preserve"> D. Similar response to adalimumab in patients with active Crohn's disease either naive to biologic agents or with prior loss of response or intolerance to infliximab. </w:t>
      </w:r>
      <w:r w:rsidRPr="00A624C2">
        <w:rPr>
          <w:rFonts w:ascii="Book Antiqua" w:eastAsia="宋体" w:hAnsi="Book Antiqua" w:cs="Times New Roman"/>
          <w:i/>
          <w:kern w:val="2"/>
          <w:sz w:val="24"/>
          <w:szCs w:val="24"/>
          <w:lang w:val="en-US" w:eastAsia="zh-CN"/>
        </w:rPr>
        <w:t xml:space="preserve">Rev Med </w:t>
      </w:r>
      <w:proofErr w:type="spellStart"/>
      <w:r w:rsidRPr="00A624C2">
        <w:rPr>
          <w:rFonts w:ascii="Book Antiqua" w:eastAsia="宋体" w:hAnsi="Book Antiqua" w:cs="Times New Roman"/>
          <w:i/>
          <w:kern w:val="2"/>
          <w:sz w:val="24"/>
          <w:szCs w:val="24"/>
          <w:lang w:val="en-US" w:eastAsia="zh-CN"/>
        </w:rPr>
        <w:t>Chir</w:t>
      </w:r>
      <w:proofErr w:type="spellEnd"/>
      <w:r w:rsidRPr="00A624C2">
        <w:rPr>
          <w:rFonts w:ascii="Book Antiqua" w:eastAsia="宋体" w:hAnsi="Book Antiqua" w:cs="Times New Roman"/>
          <w:i/>
          <w:kern w:val="2"/>
          <w:sz w:val="24"/>
          <w:szCs w:val="24"/>
          <w:lang w:val="en-US" w:eastAsia="zh-CN"/>
        </w:rPr>
        <w:t xml:space="preserve"> Soc Med Nat Iasi</w:t>
      </w:r>
      <w:r w:rsidRPr="00A624C2">
        <w:rPr>
          <w:rFonts w:ascii="Book Antiqua" w:eastAsia="宋体" w:hAnsi="Book Antiqua" w:cs="Times New Roman"/>
          <w:kern w:val="2"/>
          <w:sz w:val="24"/>
          <w:szCs w:val="24"/>
          <w:lang w:val="en-US" w:eastAsia="zh-CN"/>
        </w:rPr>
        <w:t xml:space="preserve"> 2010; </w:t>
      </w:r>
      <w:r w:rsidRPr="00A624C2">
        <w:rPr>
          <w:rFonts w:ascii="Book Antiqua" w:eastAsia="宋体" w:hAnsi="Book Antiqua" w:cs="Times New Roman"/>
          <w:b/>
          <w:kern w:val="2"/>
          <w:sz w:val="24"/>
          <w:szCs w:val="24"/>
          <w:lang w:val="en-US" w:eastAsia="zh-CN"/>
        </w:rPr>
        <w:t>114</w:t>
      </w:r>
      <w:r w:rsidRPr="00A624C2">
        <w:rPr>
          <w:rFonts w:ascii="Book Antiqua" w:eastAsia="宋体" w:hAnsi="Book Antiqua" w:cs="Times New Roman"/>
          <w:kern w:val="2"/>
          <w:sz w:val="24"/>
          <w:szCs w:val="24"/>
          <w:lang w:val="en-US" w:eastAsia="zh-CN"/>
        </w:rPr>
        <w:t>: 85-90 [PMID: 20509281]</w:t>
      </w:r>
    </w:p>
    <w:p w14:paraId="6366DF15"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9 </w:t>
      </w:r>
      <w:r w:rsidRPr="00A624C2">
        <w:rPr>
          <w:rFonts w:ascii="Book Antiqua" w:eastAsia="宋体" w:hAnsi="Book Antiqua" w:cs="Times New Roman"/>
          <w:b/>
          <w:kern w:val="2"/>
          <w:sz w:val="24"/>
          <w:szCs w:val="24"/>
          <w:lang w:val="en-US" w:eastAsia="zh-CN"/>
        </w:rPr>
        <w:t>Chaparro M</w:t>
      </w:r>
      <w:r w:rsidRPr="00A624C2">
        <w:rPr>
          <w:rFonts w:ascii="Book Antiqua" w:eastAsia="宋体" w:hAnsi="Book Antiqua" w:cs="Times New Roman"/>
          <w:kern w:val="2"/>
          <w:sz w:val="24"/>
          <w:szCs w:val="24"/>
          <w:lang w:val="en-US" w:eastAsia="zh-CN"/>
        </w:rPr>
        <w:t xml:space="preserve">, Panes J, García V, </w:t>
      </w:r>
      <w:proofErr w:type="spellStart"/>
      <w:r w:rsidRPr="00A624C2">
        <w:rPr>
          <w:rFonts w:ascii="Book Antiqua" w:eastAsia="宋体" w:hAnsi="Book Antiqua" w:cs="Times New Roman"/>
          <w:kern w:val="2"/>
          <w:sz w:val="24"/>
          <w:szCs w:val="24"/>
          <w:lang w:val="en-US" w:eastAsia="zh-CN"/>
        </w:rPr>
        <w:t>Mañosa</w:t>
      </w:r>
      <w:proofErr w:type="spellEnd"/>
      <w:r w:rsidRPr="00A624C2">
        <w:rPr>
          <w:rFonts w:ascii="Book Antiqua" w:eastAsia="宋体" w:hAnsi="Book Antiqua" w:cs="Times New Roman"/>
          <w:kern w:val="2"/>
          <w:sz w:val="24"/>
          <w:szCs w:val="24"/>
          <w:lang w:val="en-US" w:eastAsia="zh-CN"/>
        </w:rPr>
        <w:t xml:space="preserve"> M, </w:t>
      </w:r>
      <w:proofErr w:type="spellStart"/>
      <w:r w:rsidRPr="00A624C2">
        <w:rPr>
          <w:rFonts w:ascii="Book Antiqua" w:eastAsia="宋体" w:hAnsi="Book Antiqua" w:cs="Times New Roman"/>
          <w:kern w:val="2"/>
          <w:sz w:val="24"/>
          <w:szCs w:val="24"/>
          <w:lang w:val="en-US" w:eastAsia="zh-CN"/>
        </w:rPr>
        <w:t>Esteve</w:t>
      </w:r>
      <w:proofErr w:type="spellEnd"/>
      <w:r w:rsidRPr="00A624C2">
        <w:rPr>
          <w:rFonts w:ascii="Book Antiqua" w:eastAsia="宋体" w:hAnsi="Book Antiqua" w:cs="Times New Roman"/>
          <w:kern w:val="2"/>
          <w:sz w:val="24"/>
          <w:szCs w:val="24"/>
          <w:lang w:val="en-US" w:eastAsia="zh-CN"/>
        </w:rPr>
        <w:t xml:space="preserve"> M, Merino O, Andreu M, Gutierrez A, </w:t>
      </w:r>
      <w:proofErr w:type="spellStart"/>
      <w:r w:rsidRPr="00A624C2">
        <w:rPr>
          <w:rFonts w:ascii="Book Antiqua" w:eastAsia="宋体" w:hAnsi="Book Antiqua" w:cs="Times New Roman"/>
          <w:kern w:val="2"/>
          <w:sz w:val="24"/>
          <w:szCs w:val="24"/>
          <w:lang w:val="en-US" w:eastAsia="zh-CN"/>
        </w:rPr>
        <w:t>Gomollón</w:t>
      </w:r>
      <w:proofErr w:type="spellEnd"/>
      <w:r w:rsidRPr="00A624C2">
        <w:rPr>
          <w:rFonts w:ascii="Book Antiqua" w:eastAsia="宋体" w:hAnsi="Book Antiqua" w:cs="Times New Roman"/>
          <w:kern w:val="2"/>
          <w:sz w:val="24"/>
          <w:szCs w:val="24"/>
          <w:lang w:val="en-US" w:eastAsia="zh-CN"/>
        </w:rPr>
        <w:t xml:space="preserve"> F, </w:t>
      </w:r>
      <w:proofErr w:type="spellStart"/>
      <w:r w:rsidRPr="00A624C2">
        <w:rPr>
          <w:rFonts w:ascii="Book Antiqua" w:eastAsia="宋体" w:hAnsi="Book Antiqua" w:cs="Times New Roman"/>
          <w:kern w:val="2"/>
          <w:sz w:val="24"/>
          <w:szCs w:val="24"/>
          <w:lang w:val="en-US" w:eastAsia="zh-CN"/>
        </w:rPr>
        <w:t>Cabriada</w:t>
      </w:r>
      <w:proofErr w:type="spellEnd"/>
      <w:r w:rsidRPr="00A624C2">
        <w:rPr>
          <w:rFonts w:ascii="Book Antiqua" w:eastAsia="宋体" w:hAnsi="Book Antiqua" w:cs="Times New Roman"/>
          <w:kern w:val="2"/>
          <w:sz w:val="24"/>
          <w:szCs w:val="24"/>
          <w:lang w:val="en-US" w:eastAsia="zh-CN"/>
        </w:rPr>
        <w:t xml:space="preserve"> JL, Montoro MA, Mendoza JL, Nos P, </w:t>
      </w:r>
      <w:proofErr w:type="spellStart"/>
      <w:r w:rsidRPr="00A624C2">
        <w:rPr>
          <w:rFonts w:ascii="Book Antiqua" w:eastAsia="宋体" w:hAnsi="Book Antiqua" w:cs="Times New Roman"/>
          <w:kern w:val="2"/>
          <w:sz w:val="24"/>
          <w:szCs w:val="24"/>
          <w:lang w:val="en-US" w:eastAsia="zh-CN"/>
        </w:rPr>
        <w:t>Gisbert</w:t>
      </w:r>
      <w:proofErr w:type="spellEnd"/>
      <w:r w:rsidRPr="00A624C2">
        <w:rPr>
          <w:rFonts w:ascii="Book Antiqua" w:eastAsia="宋体" w:hAnsi="Book Antiqua" w:cs="Times New Roman"/>
          <w:kern w:val="2"/>
          <w:sz w:val="24"/>
          <w:szCs w:val="24"/>
          <w:lang w:val="en-US" w:eastAsia="zh-CN"/>
        </w:rPr>
        <w:t xml:space="preserve"> JP. Long-term durability of infliximab treatment in Crohn's disease and efficacy of dose "escalation" in patients losing response. </w:t>
      </w:r>
      <w:r w:rsidRPr="00A624C2">
        <w:rPr>
          <w:rFonts w:ascii="Book Antiqua" w:eastAsia="宋体" w:hAnsi="Book Antiqua" w:cs="Times New Roman"/>
          <w:i/>
          <w:kern w:val="2"/>
          <w:sz w:val="24"/>
          <w:szCs w:val="24"/>
          <w:lang w:val="en-US" w:eastAsia="zh-CN"/>
        </w:rPr>
        <w:t>J Clin Gastroenterol</w:t>
      </w:r>
      <w:r w:rsidRPr="00A624C2">
        <w:rPr>
          <w:rFonts w:ascii="Book Antiqua" w:eastAsia="宋体" w:hAnsi="Book Antiqua" w:cs="Times New Roman"/>
          <w:kern w:val="2"/>
          <w:sz w:val="24"/>
          <w:szCs w:val="24"/>
          <w:lang w:val="en-US" w:eastAsia="zh-CN"/>
        </w:rPr>
        <w:t xml:space="preserve"> 2011; </w:t>
      </w:r>
      <w:r w:rsidRPr="00A624C2">
        <w:rPr>
          <w:rFonts w:ascii="Book Antiqua" w:eastAsia="宋体" w:hAnsi="Book Antiqua" w:cs="Times New Roman"/>
          <w:b/>
          <w:kern w:val="2"/>
          <w:sz w:val="24"/>
          <w:szCs w:val="24"/>
          <w:lang w:val="en-US" w:eastAsia="zh-CN"/>
        </w:rPr>
        <w:t>45</w:t>
      </w:r>
      <w:r w:rsidRPr="00A624C2">
        <w:rPr>
          <w:rFonts w:ascii="Book Antiqua" w:eastAsia="宋体" w:hAnsi="Book Antiqua" w:cs="Times New Roman"/>
          <w:kern w:val="2"/>
          <w:sz w:val="24"/>
          <w:szCs w:val="24"/>
          <w:lang w:val="en-US" w:eastAsia="zh-CN"/>
        </w:rPr>
        <w:t>: 113-118 [PMID: 21242747 DOI: 10.1097/MCG.0b013e3181ebaef9]</w:t>
      </w:r>
    </w:p>
    <w:p w14:paraId="7C891CD7"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10 </w:t>
      </w:r>
      <w:r w:rsidRPr="00A624C2">
        <w:rPr>
          <w:rFonts w:ascii="Book Antiqua" w:eastAsia="宋体" w:hAnsi="Book Antiqua" w:cs="Times New Roman"/>
          <w:b/>
          <w:kern w:val="2"/>
          <w:sz w:val="24"/>
          <w:szCs w:val="24"/>
          <w:lang w:val="en-US" w:eastAsia="zh-CN"/>
        </w:rPr>
        <w:t>Arnott ID</w:t>
      </w:r>
      <w:r w:rsidRPr="00A624C2">
        <w:rPr>
          <w:rFonts w:ascii="Book Antiqua" w:eastAsia="宋体" w:hAnsi="Book Antiqua" w:cs="Times New Roman"/>
          <w:kern w:val="2"/>
          <w:sz w:val="24"/>
          <w:szCs w:val="24"/>
          <w:lang w:val="en-US" w:eastAsia="zh-CN"/>
        </w:rPr>
        <w:t xml:space="preserve">, McNeill G, </w:t>
      </w:r>
      <w:proofErr w:type="spellStart"/>
      <w:r w:rsidRPr="00A624C2">
        <w:rPr>
          <w:rFonts w:ascii="Book Antiqua" w:eastAsia="宋体" w:hAnsi="Book Antiqua" w:cs="Times New Roman"/>
          <w:kern w:val="2"/>
          <w:sz w:val="24"/>
          <w:szCs w:val="24"/>
          <w:lang w:val="en-US" w:eastAsia="zh-CN"/>
        </w:rPr>
        <w:t>Satsangi</w:t>
      </w:r>
      <w:proofErr w:type="spellEnd"/>
      <w:r w:rsidRPr="00A624C2">
        <w:rPr>
          <w:rFonts w:ascii="Book Antiqua" w:eastAsia="宋体" w:hAnsi="Book Antiqua" w:cs="Times New Roman"/>
          <w:kern w:val="2"/>
          <w:sz w:val="24"/>
          <w:szCs w:val="24"/>
          <w:lang w:val="en-US" w:eastAsia="zh-CN"/>
        </w:rPr>
        <w:t xml:space="preserve"> J. An analysis of factors influencing short-term and sustained response to infliximab treatment for Crohn's disease. </w:t>
      </w:r>
      <w:r w:rsidRPr="00A624C2">
        <w:rPr>
          <w:rFonts w:ascii="Book Antiqua" w:eastAsia="宋体" w:hAnsi="Book Antiqua" w:cs="Times New Roman"/>
          <w:i/>
          <w:kern w:val="2"/>
          <w:sz w:val="24"/>
          <w:szCs w:val="24"/>
          <w:lang w:val="en-US" w:eastAsia="zh-CN"/>
        </w:rPr>
        <w:t xml:space="preserve">Aliment </w:t>
      </w:r>
      <w:proofErr w:type="spellStart"/>
      <w:r w:rsidRPr="00A624C2">
        <w:rPr>
          <w:rFonts w:ascii="Book Antiqua" w:eastAsia="宋体" w:hAnsi="Book Antiqua" w:cs="Times New Roman"/>
          <w:i/>
          <w:kern w:val="2"/>
          <w:sz w:val="24"/>
          <w:szCs w:val="24"/>
          <w:lang w:val="en-US" w:eastAsia="zh-CN"/>
        </w:rPr>
        <w:t>Pharmacol</w:t>
      </w:r>
      <w:proofErr w:type="spellEnd"/>
      <w:r w:rsidRPr="00A624C2">
        <w:rPr>
          <w:rFonts w:ascii="Book Antiqua" w:eastAsia="宋体" w:hAnsi="Book Antiqua" w:cs="Times New Roman"/>
          <w:i/>
          <w:kern w:val="2"/>
          <w:sz w:val="24"/>
          <w:szCs w:val="24"/>
          <w:lang w:val="en-US" w:eastAsia="zh-CN"/>
        </w:rPr>
        <w:t xml:space="preserve"> </w:t>
      </w:r>
      <w:proofErr w:type="spellStart"/>
      <w:r w:rsidRPr="00A624C2">
        <w:rPr>
          <w:rFonts w:ascii="Book Antiqua" w:eastAsia="宋体" w:hAnsi="Book Antiqua" w:cs="Times New Roman"/>
          <w:i/>
          <w:kern w:val="2"/>
          <w:sz w:val="24"/>
          <w:szCs w:val="24"/>
          <w:lang w:val="en-US" w:eastAsia="zh-CN"/>
        </w:rPr>
        <w:t>Ther</w:t>
      </w:r>
      <w:proofErr w:type="spellEnd"/>
      <w:r w:rsidRPr="00A624C2">
        <w:rPr>
          <w:rFonts w:ascii="Book Antiqua" w:eastAsia="宋体" w:hAnsi="Book Antiqua" w:cs="Times New Roman"/>
          <w:kern w:val="2"/>
          <w:sz w:val="24"/>
          <w:szCs w:val="24"/>
          <w:lang w:val="en-US" w:eastAsia="zh-CN"/>
        </w:rPr>
        <w:t xml:space="preserve"> 2003; </w:t>
      </w:r>
      <w:r w:rsidRPr="00A624C2">
        <w:rPr>
          <w:rFonts w:ascii="Book Antiqua" w:eastAsia="宋体" w:hAnsi="Book Antiqua" w:cs="Times New Roman"/>
          <w:b/>
          <w:kern w:val="2"/>
          <w:sz w:val="24"/>
          <w:szCs w:val="24"/>
          <w:lang w:val="en-US" w:eastAsia="zh-CN"/>
        </w:rPr>
        <w:t>17</w:t>
      </w:r>
      <w:r w:rsidRPr="00A624C2">
        <w:rPr>
          <w:rFonts w:ascii="Book Antiqua" w:eastAsia="宋体" w:hAnsi="Book Antiqua" w:cs="Times New Roman"/>
          <w:kern w:val="2"/>
          <w:sz w:val="24"/>
          <w:szCs w:val="24"/>
          <w:lang w:val="en-US" w:eastAsia="zh-CN"/>
        </w:rPr>
        <w:t>: 1451-1457 [PMID: 12823146 DOI: 10.1046/j.1365-2036.2003.01574.x]</w:t>
      </w:r>
    </w:p>
    <w:p w14:paraId="332459BE"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11 </w:t>
      </w:r>
      <w:proofErr w:type="spellStart"/>
      <w:r w:rsidRPr="00A624C2">
        <w:rPr>
          <w:rFonts w:ascii="Book Antiqua" w:eastAsia="宋体" w:hAnsi="Book Antiqua" w:cs="Times New Roman"/>
          <w:b/>
          <w:kern w:val="2"/>
          <w:sz w:val="24"/>
          <w:szCs w:val="24"/>
          <w:lang w:val="en-US" w:eastAsia="zh-CN"/>
        </w:rPr>
        <w:t>Røseth</w:t>
      </w:r>
      <w:proofErr w:type="spellEnd"/>
      <w:r w:rsidRPr="00A624C2">
        <w:rPr>
          <w:rFonts w:ascii="Book Antiqua" w:eastAsia="宋体" w:hAnsi="Book Antiqua" w:cs="Times New Roman"/>
          <w:b/>
          <w:kern w:val="2"/>
          <w:sz w:val="24"/>
          <w:szCs w:val="24"/>
          <w:lang w:val="en-US" w:eastAsia="zh-CN"/>
        </w:rPr>
        <w:t xml:space="preserve"> AG</w:t>
      </w:r>
      <w:r w:rsidRPr="00A624C2">
        <w:rPr>
          <w:rFonts w:ascii="Book Antiqua" w:eastAsia="宋体" w:hAnsi="Book Antiqua" w:cs="Times New Roman"/>
          <w:kern w:val="2"/>
          <w:sz w:val="24"/>
          <w:szCs w:val="24"/>
          <w:lang w:val="en-US" w:eastAsia="zh-CN"/>
        </w:rPr>
        <w:t xml:space="preserve">, </w:t>
      </w:r>
      <w:proofErr w:type="spellStart"/>
      <w:r w:rsidRPr="00A624C2">
        <w:rPr>
          <w:rFonts w:ascii="Book Antiqua" w:eastAsia="宋体" w:hAnsi="Book Antiqua" w:cs="Times New Roman"/>
          <w:kern w:val="2"/>
          <w:sz w:val="24"/>
          <w:szCs w:val="24"/>
          <w:lang w:val="en-US" w:eastAsia="zh-CN"/>
        </w:rPr>
        <w:t>Aadland</w:t>
      </w:r>
      <w:proofErr w:type="spellEnd"/>
      <w:r w:rsidRPr="00A624C2">
        <w:rPr>
          <w:rFonts w:ascii="Book Antiqua" w:eastAsia="宋体" w:hAnsi="Book Antiqua" w:cs="Times New Roman"/>
          <w:kern w:val="2"/>
          <w:sz w:val="24"/>
          <w:szCs w:val="24"/>
          <w:lang w:val="en-US" w:eastAsia="zh-CN"/>
        </w:rPr>
        <w:t xml:space="preserve"> E, </w:t>
      </w:r>
      <w:proofErr w:type="spellStart"/>
      <w:r w:rsidRPr="00A624C2">
        <w:rPr>
          <w:rFonts w:ascii="Book Antiqua" w:eastAsia="宋体" w:hAnsi="Book Antiqua" w:cs="Times New Roman"/>
          <w:kern w:val="2"/>
          <w:sz w:val="24"/>
          <w:szCs w:val="24"/>
          <w:lang w:val="en-US" w:eastAsia="zh-CN"/>
        </w:rPr>
        <w:t>Grzyb</w:t>
      </w:r>
      <w:proofErr w:type="spellEnd"/>
      <w:r w:rsidRPr="00A624C2">
        <w:rPr>
          <w:rFonts w:ascii="Book Antiqua" w:eastAsia="宋体" w:hAnsi="Book Antiqua" w:cs="Times New Roman"/>
          <w:kern w:val="2"/>
          <w:sz w:val="24"/>
          <w:szCs w:val="24"/>
          <w:lang w:val="en-US" w:eastAsia="zh-CN"/>
        </w:rPr>
        <w:t xml:space="preserve"> K. Normalization of </w:t>
      </w:r>
      <w:proofErr w:type="spellStart"/>
      <w:r w:rsidRPr="00A624C2">
        <w:rPr>
          <w:rFonts w:ascii="Book Antiqua" w:eastAsia="宋体" w:hAnsi="Book Antiqua" w:cs="Times New Roman"/>
          <w:kern w:val="2"/>
          <w:sz w:val="24"/>
          <w:szCs w:val="24"/>
          <w:lang w:val="en-US" w:eastAsia="zh-CN"/>
        </w:rPr>
        <w:t>faecal</w:t>
      </w:r>
      <w:proofErr w:type="spellEnd"/>
      <w:r w:rsidRPr="00A624C2">
        <w:rPr>
          <w:rFonts w:ascii="Book Antiqua" w:eastAsia="宋体" w:hAnsi="Book Antiqua" w:cs="Times New Roman"/>
          <w:kern w:val="2"/>
          <w:sz w:val="24"/>
          <w:szCs w:val="24"/>
          <w:lang w:val="en-US" w:eastAsia="zh-CN"/>
        </w:rPr>
        <w:t xml:space="preserve"> calprotectin: A predictor of mucosal healing in patients with inflammatory bowel disease. </w:t>
      </w:r>
      <w:proofErr w:type="spellStart"/>
      <w:r w:rsidRPr="00A624C2">
        <w:rPr>
          <w:rFonts w:ascii="Book Antiqua" w:eastAsia="宋体" w:hAnsi="Book Antiqua" w:cs="Times New Roman"/>
          <w:i/>
          <w:kern w:val="2"/>
          <w:sz w:val="24"/>
          <w:szCs w:val="24"/>
          <w:lang w:val="en-US" w:eastAsia="zh-CN"/>
        </w:rPr>
        <w:t>Scand</w:t>
      </w:r>
      <w:proofErr w:type="spellEnd"/>
      <w:r w:rsidRPr="00A624C2">
        <w:rPr>
          <w:rFonts w:ascii="Book Antiqua" w:eastAsia="宋体" w:hAnsi="Book Antiqua" w:cs="Times New Roman"/>
          <w:i/>
          <w:kern w:val="2"/>
          <w:sz w:val="24"/>
          <w:szCs w:val="24"/>
          <w:lang w:val="en-US" w:eastAsia="zh-CN"/>
        </w:rPr>
        <w:t xml:space="preserve"> J Gastroenterol</w:t>
      </w:r>
      <w:r w:rsidRPr="00A624C2">
        <w:rPr>
          <w:rFonts w:ascii="Book Antiqua" w:eastAsia="宋体" w:hAnsi="Book Antiqua" w:cs="Times New Roman"/>
          <w:kern w:val="2"/>
          <w:sz w:val="24"/>
          <w:szCs w:val="24"/>
          <w:lang w:val="en-US" w:eastAsia="zh-CN"/>
        </w:rPr>
        <w:t xml:space="preserve"> 2004; </w:t>
      </w:r>
      <w:r w:rsidRPr="00A624C2">
        <w:rPr>
          <w:rFonts w:ascii="Book Antiqua" w:eastAsia="宋体" w:hAnsi="Book Antiqua" w:cs="Times New Roman"/>
          <w:b/>
          <w:kern w:val="2"/>
          <w:sz w:val="24"/>
          <w:szCs w:val="24"/>
          <w:lang w:val="en-US" w:eastAsia="zh-CN"/>
        </w:rPr>
        <w:t>39</w:t>
      </w:r>
      <w:r w:rsidRPr="00A624C2">
        <w:rPr>
          <w:rFonts w:ascii="Book Antiqua" w:eastAsia="宋体" w:hAnsi="Book Antiqua" w:cs="Times New Roman"/>
          <w:kern w:val="2"/>
          <w:sz w:val="24"/>
          <w:szCs w:val="24"/>
          <w:lang w:val="en-US" w:eastAsia="zh-CN"/>
        </w:rPr>
        <w:t>: 1017-1020 [PMID: 15513345 DOI: 10.1080/00365520410007971]</w:t>
      </w:r>
    </w:p>
    <w:p w14:paraId="1493AE9C"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12 </w:t>
      </w:r>
      <w:proofErr w:type="spellStart"/>
      <w:r w:rsidRPr="00A624C2">
        <w:rPr>
          <w:rFonts w:ascii="Book Antiqua" w:eastAsia="宋体" w:hAnsi="Book Antiqua" w:cs="Times New Roman"/>
          <w:b/>
          <w:kern w:val="2"/>
          <w:sz w:val="24"/>
          <w:szCs w:val="24"/>
          <w:lang w:val="en-US" w:eastAsia="zh-CN"/>
        </w:rPr>
        <w:t>af</w:t>
      </w:r>
      <w:proofErr w:type="spellEnd"/>
      <w:r w:rsidRPr="00A624C2">
        <w:rPr>
          <w:rFonts w:ascii="Book Antiqua" w:eastAsia="宋体" w:hAnsi="Book Antiqua" w:cs="Times New Roman"/>
          <w:b/>
          <w:kern w:val="2"/>
          <w:sz w:val="24"/>
          <w:szCs w:val="24"/>
          <w:lang w:val="en-US" w:eastAsia="zh-CN"/>
        </w:rPr>
        <w:t xml:space="preserve"> </w:t>
      </w:r>
      <w:proofErr w:type="spellStart"/>
      <w:r w:rsidRPr="00A624C2">
        <w:rPr>
          <w:rFonts w:ascii="Book Antiqua" w:eastAsia="宋体" w:hAnsi="Book Antiqua" w:cs="Times New Roman"/>
          <w:b/>
          <w:kern w:val="2"/>
          <w:sz w:val="24"/>
          <w:szCs w:val="24"/>
          <w:lang w:val="en-US" w:eastAsia="zh-CN"/>
        </w:rPr>
        <w:t>Björkesten</w:t>
      </w:r>
      <w:proofErr w:type="spellEnd"/>
      <w:r w:rsidRPr="00A624C2">
        <w:rPr>
          <w:rFonts w:ascii="Book Antiqua" w:eastAsia="宋体" w:hAnsi="Book Antiqua" w:cs="Times New Roman"/>
          <w:b/>
          <w:kern w:val="2"/>
          <w:sz w:val="24"/>
          <w:szCs w:val="24"/>
          <w:lang w:val="en-US" w:eastAsia="zh-CN"/>
        </w:rPr>
        <w:t xml:space="preserve"> CG</w:t>
      </w:r>
      <w:r w:rsidRPr="00A624C2">
        <w:rPr>
          <w:rFonts w:ascii="Book Antiqua" w:eastAsia="宋体" w:hAnsi="Book Antiqua" w:cs="Times New Roman"/>
          <w:kern w:val="2"/>
          <w:sz w:val="24"/>
          <w:szCs w:val="24"/>
          <w:lang w:val="en-US" w:eastAsia="zh-CN"/>
        </w:rPr>
        <w:t xml:space="preserve">, Nieminen U, </w:t>
      </w:r>
      <w:proofErr w:type="spellStart"/>
      <w:r w:rsidRPr="00A624C2">
        <w:rPr>
          <w:rFonts w:ascii="Book Antiqua" w:eastAsia="宋体" w:hAnsi="Book Antiqua" w:cs="Times New Roman"/>
          <w:kern w:val="2"/>
          <w:sz w:val="24"/>
          <w:szCs w:val="24"/>
          <w:lang w:val="en-US" w:eastAsia="zh-CN"/>
        </w:rPr>
        <w:t>Sipponen</w:t>
      </w:r>
      <w:proofErr w:type="spellEnd"/>
      <w:r w:rsidRPr="00A624C2">
        <w:rPr>
          <w:rFonts w:ascii="Book Antiqua" w:eastAsia="宋体" w:hAnsi="Book Antiqua" w:cs="Times New Roman"/>
          <w:kern w:val="2"/>
          <w:sz w:val="24"/>
          <w:szCs w:val="24"/>
          <w:lang w:val="en-US" w:eastAsia="zh-CN"/>
        </w:rPr>
        <w:t xml:space="preserve"> T, </w:t>
      </w:r>
      <w:proofErr w:type="spellStart"/>
      <w:r w:rsidRPr="00A624C2">
        <w:rPr>
          <w:rFonts w:ascii="Book Antiqua" w:eastAsia="宋体" w:hAnsi="Book Antiqua" w:cs="Times New Roman"/>
          <w:kern w:val="2"/>
          <w:sz w:val="24"/>
          <w:szCs w:val="24"/>
          <w:lang w:val="en-US" w:eastAsia="zh-CN"/>
        </w:rPr>
        <w:t>Turunen</w:t>
      </w:r>
      <w:proofErr w:type="spellEnd"/>
      <w:r w:rsidRPr="00A624C2">
        <w:rPr>
          <w:rFonts w:ascii="Book Antiqua" w:eastAsia="宋体" w:hAnsi="Book Antiqua" w:cs="Times New Roman"/>
          <w:kern w:val="2"/>
          <w:sz w:val="24"/>
          <w:szCs w:val="24"/>
          <w:lang w:val="en-US" w:eastAsia="zh-CN"/>
        </w:rPr>
        <w:t xml:space="preserve"> U, </w:t>
      </w:r>
      <w:proofErr w:type="spellStart"/>
      <w:r w:rsidRPr="00A624C2">
        <w:rPr>
          <w:rFonts w:ascii="Book Antiqua" w:eastAsia="宋体" w:hAnsi="Book Antiqua" w:cs="Times New Roman"/>
          <w:kern w:val="2"/>
          <w:sz w:val="24"/>
          <w:szCs w:val="24"/>
          <w:lang w:val="en-US" w:eastAsia="zh-CN"/>
        </w:rPr>
        <w:t>Arkkila</w:t>
      </w:r>
      <w:proofErr w:type="spellEnd"/>
      <w:r w:rsidRPr="00A624C2">
        <w:rPr>
          <w:rFonts w:ascii="Book Antiqua" w:eastAsia="宋体" w:hAnsi="Book Antiqua" w:cs="Times New Roman"/>
          <w:kern w:val="2"/>
          <w:sz w:val="24"/>
          <w:szCs w:val="24"/>
          <w:lang w:val="en-US" w:eastAsia="zh-CN"/>
        </w:rPr>
        <w:t xml:space="preserve"> P, </w:t>
      </w:r>
      <w:proofErr w:type="spellStart"/>
      <w:r w:rsidRPr="00A624C2">
        <w:rPr>
          <w:rFonts w:ascii="Book Antiqua" w:eastAsia="宋体" w:hAnsi="Book Antiqua" w:cs="Times New Roman"/>
          <w:kern w:val="2"/>
          <w:sz w:val="24"/>
          <w:szCs w:val="24"/>
          <w:lang w:val="en-US" w:eastAsia="zh-CN"/>
        </w:rPr>
        <w:t>Färkkilä</w:t>
      </w:r>
      <w:proofErr w:type="spellEnd"/>
      <w:r w:rsidRPr="00A624C2">
        <w:rPr>
          <w:rFonts w:ascii="Book Antiqua" w:eastAsia="宋体" w:hAnsi="Book Antiqua" w:cs="Times New Roman"/>
          <w:kern w:val="2"/>
          <w:sz w:val="24"/>
          <w:szCs w:val="24"/>
          <w:lang w:val="en-US" w:eastAsia="zh-CN"/>
        </w:rPr>
        <w:t xml:space="preserve"> M. Mucosal healing at 3 months predicts long-term endoscopic remission in anti-TNF-treated luminal Crohn's disease. </w:t>
      </w:r>
      <w:proofErr w:type="spellStart"/>
      <w:r w:rsidRPr="00A624C2">
        <w:rPr>
          <w:rFonts w:ascii="Book Antiqua" w:eastAsia="宋体" w:hAnsi="Book Antiqua" w:cs="Times New Roman"/>
          <w:i/>
          <w:kern w:val="2"/>
          <w:sz w:val="24"/>
          <w:szCs w:val="24"/>
          <w:lang w:val="en-US" w:eastAsia="zh-CN"/>
        </w:rPr>
        <w:t>Scand</w:t>
      </w:r>
      <w:proofErr w:type="spellEnd"/>
      <w:r w:rsidRPr="00A624C2">
        <w:rPr>
          <w:rFonts w:ascii="Book Antiqua" w:eastAsia="宋体" w:hAnsi="Book Antiqua" w:cs="Times New Roman"/>
          <w:i/>
          <w:kern w:val="2"/>
          <w:sz w:val="24"/>
          <w:szCs w:val="24"/>
          <w:lang w:val="en-US" w:eastAsia="zh-CN"/>
        </w:rPr>
        <w:t xml:space="preserve"> J Gastroenterol</w:t>
      </w:r>
      <w:r w:rsidRPr="00A624C2">
        <w:rPr>
          <w:rFonts w:ascii="Book Antiqua" w:eastAsia="宋体" w:hAnsi="Book Antiqua" w:cs="Times New Roman"/>
          <w:kern w:val="2"/>
          <w:sz w:val="24"/>
          <w:szCs w:val="24"/>
          <w:lang w:val="en-US" w:eastAsia="zh-CN"/>
        </w:rPr>
        <w:t xml:space="preserve"> 2013; </w:t>
      </w:r>
      <w:r w:rsidRPr="00A624C2">
        <w:rPr>
          <w:rFonts w:ascii="Book Antiqua" w:eastAsia="宋体" w:hAnsi="Book Antiqua" w:cs="Times New Roman"/>
          <w:b/>
          <w:kern w:val="2"/>
          <w:sz w:val="24"/>
          <w:szCs w:val="24"/>
          <w:lang w:val="en-US" w:eastAsia="zh-CN"/>
        </w:rPr>
        <w:t>48</w:t>
      </w:r>
      <w:r w:rsidRPr="00A624C2">
        <w:rPr>
          <w:rFonts w:ascii="Book Antiqua" w:eastAsia="宋体" w:hAnsi="Book Antiqua" w:cs="Times New Roman"/>
          <w:kern w:val="2"/>
          <w:sz w:val="24"/>
          <w:szCs w:val="24"/>
          <w:lang w:val="en-US" w:eastAsia="zh-CN"/>
        </w:rPr>
        <w:t>: 543-551 [PMID: 23477356 DOI: 10.3109/00365521.2013.772230]</w:t>
      </w:r>
    </w:p>
    <w:p w14:paraId="009E4F52"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13 </w:t>
      </w:r>
      <w:proofErr w:type="spellStart"/>
      <w:r w:rsidRPr="00A624C2">
        <w:rPr>
          <w:rFonts w:ascii="Book Antiqua" w:eastAsia="宋体" w:hAnsi="Book Antiqua" w:cs="Times New Roman"/>
          <w:b/>
          <w:kern w:val="2"/>
          <w:sz w:val="24"/>
          <w:szCs w:val="24"/>
          <w:lang w:val="en-US" w:eastAsia="zh-CN"/>
        </w:rPr>
        <w:t>af</w:t>
      </w:r>
      <w:proofErr w:type="spellEnd"/>
      <w:r w:rsidRPr="00A624C2">
        <w:rPr>
          <w:rFonts w:ascii="Book Antiqua" w:eastAsia="宋体" w:hAnsi="Book Antiqua" w:cs="Times New Roman"/>
          <w:b/>
          <w:kern w:val="2"/>
          <w:sz w:val="24"/>
          <w:szCs w:val="24"/>
          <w:lang w:val="en-US" w:eastAsia="zh-CN"/>
        </w:rPr>
        <w:t xml:space="preserve"> </w:t>
      </w:r>
      <w:proofErr w:type="spellStart"/>
      <w:r w:rsidRPr="00A624C2">
        <w:rPr>
          <w:rFonts w:ascii="Book Antiqua" w:eastAsia="宋体" w:hAnsi="Book Antiqua" w:cs="Times New Roman"/>
          <w:b/>
          <w:kern w:val="2"/>
          <w:sz w:val="24"/>
          <w:szCs w:val="24"/>
          <w:lang w:val="en-US" w:eastAsia="zh-CN"/>
        </w:rPr>
        <w:t>Björkesten</w:t>
      </w:r>
      <w:proofErr w:type="spellEnd"/>
      <w:r w:rsidRPr="00A624C2">
        <w:rPr>
          <w:rFonts w:ascii="Book Antiqua" w:eastAsia="宋体" w:hAnsi="Book Antiqua" w:cs="Times New Roman"/>
          <w:b/>
          <w:kern w:val="2"/>
          <w:sz w:val="24"/>
          <w:szCs w:val="24"/>
          <w:lang w:val="en-US" w:eastAsia="zh-CN"/>
        </w:rPr>
        <w:t xml:space="preserve"> CG</w:t>
      </w:r>
      <w:r w:rsidRPr="00A624C2">
        <w:rPr>
          <w:rFonts w:ascii="Book Antiqua" w:eastAsia="宋体" w:hAnsi="Book Antiqua" w:cs="Times New Roman"/>
          <w:kern w:val="2"/>
          <w:sz w:val="24"/>
          <w:szCs w:val="24"/>
          <w:lang w:val="en-US" w:eastAsia="zh-CN"/>
        </w:rPr>
        <w:t xml:space="preserve">, Nieminen U, </w:t>
      </w:r>
      <w:proofErr w:type="spellStart"/>
      <w:r w:rsidRPr="00A624C2">
        <w:rPr>
          <w:rFonts w:ascii="Book Antiqua" w:eastAsia="宋体" w:hAnsi="Book Antiqua" w:cs="Times New Roman"/>
          <w:kern w:val="2"/>
          <w:sz w:val="24"/>
          <w:szCs w:val="24"/>
          <w:lang w:val="en-US" w:eastAsia="zh-CN"/>
        </w:rPr>
        <w:t>Turunen</w:t>
      </w:r>
      <w:proofErr w:type="spellEnd"/>
      <w:r w:rsidRPr="00A624C2">
        <w:rPr>
          <w:rFonts w:ascii="Book Antiqua" w:eastAsia="宋体" w:hAnsi="Book Antiqua" w:cs="Times New Roman"/>
          <w:kern w:val="2"/>
          <w:sz w:val="24"/>
          <w:szCs w:val="24"/>
          <w:lang w:val="en-US" w:eastAsia="zh-CN"/>
        </w:rPr>
        <w:t xml:space="preserve"> U, </w:t>
      </w:r>
      <w:proofErr w:type="spellStart"/>
      <w:r w:rsidRPr="00A624C2">
        <w:rPr>
          <w:rFonts w:ascii="Book Antiqua" w:eastAsia="宋体" w:hAnsi="Book Antiqua" w:cs="Times New Roman"/>
          <w:kern w:val="2"/>
          <w:sz w:val="24"/>
          <w:szCs w:val="24"/>
          <w:lang w:val="en-US" w:eastAsia="zh-CN"/>
        </w:rPr>
        <w:t>Arkkila</w:t>
      </w:r>
      <w:proofErr w:type="spellEnd"/>
      <w:r w:rsidRPr="00A624C2">
        <w:rPr>
          <w:rFonts w:ascii="Book Antiqua" w:eastAsia="宋体" w:hAnsi="Book Antiqua" w:cs="Times New Roman"/>
          <w:kern w:val="2"/>
          <w:sz w:val="24"/>
          <w:szCs w:val="24"/>
          <w:lang w:val="en-US" w:eastAsia="zh-CN"/>
        </w:rPr>
        <w:t xml:space="preserve"> PE, </w:t>
      </w:r>
      <w:proofErr w:type="spellStart"/>
      <w:r w:rsidRPr="00A624C2">
        <w:rPr>
          <w:rFonts w:ascii="Book Antiqua" w:eastAsia="宋体" w:hAnsi="Book Antiqua" w:cs="Times New Roman"/>
          <w:kern w:val="2"/>
          <w:sz w:val="24"/>
          <w:szCs w:val="24"/>
          <w:lang w:val="en-US" w:eastAsia="zh-CN"/>
        </w:rPr>
        <w:t>Sipponen</w:t>
      </w:r>
      <w:proofErr w:type="spellEnd"/>
      <w:r w:rsidRPr="00A624C2">
        <w:rPr>
          <w:rFonts w:ascii="Book Antiqua" w:eastAsia="宋体" w:hAnsi="Book Antiqua" w:cs="Times New Roman"/>
          <w:kern w:val="2"/>
          <w:sz w:val="24"/>
          <w:szCs w:val="24"/>
          <w:lang w:val="en-US" w:eastAsia="zh-CN"/>
        </w:rPr>
        <w:t xml:space="preserve"> T, </w:t>
      </w:r>
      <w:proofErr w:type="spellStart"/>
      <w:r w:rsidRPr="00A624C2">
        <w:rPr>
          <w:rFonts w:ascii="Book Antiqua" w:eastAsia="宋体" w:hAnsi="Book Antiqua" w:cs="Times New Roman"/>
          <w:kern w:val="2"/>
          <w:sz w:val="24"/>
          <w:szCs w:val="24"/>
          <w:lang w:val="en-US" w:eastAsia="zh-CN"/>
        </w:rPr>
        <w:t>Färkkilä</w:t>
      </w:r>
      <w:proofErr w:type="spellEnd"/>
      <w:r w:rsidRPr="00A624C2">
        <w:rPr>
          <w:rFonts w:ascii="Book Antiqua" w:eastAsia="宋体" w:hAnsi="Book Antiqua" w:cs="Times New Roman"/>
          <w:kern w:val="2"/>
          <w:sz w:val="24"/>
          <w:szCs w:val="24"/>
          <w:lang w:val="en-US" w:eastAsia="zh-CN"/>
        </w:rPr>
        <w:t xml:space="preserve"> MA. Endoscopic monitoring of infliximab therapy in Crohn's disease. </w:t>
      </w:r>
      <w:proofErr w:type="spellStart"/>
      <w:r w:rsidRPr="00A624C2">
        <w:rPr>
          <w:rFonts w:ascii="Book Antiqua" w:eastAsia="宋体" w:hAnsi="Book Antiqua" w:cs="Times New Roman"/>
          <w:i/>
          <w:kern w:val="2"/>
          <w:sz w:val="24"/>
          <w:szCs w:val="24"/>
          <w:lang w:val="en-US" w:eastAsia="zh-CN"/>
        </w:rPr>
        <w:t>Inflamm</w:t>
      </w:r>
      <w:proofErr w:type="spellEnd"/>
      <w:r w:rsidRPr="00A624C2">
        <w:rPr>
          <w:rFonts w:ascii="Book Antiqua" w:eastAsia="宋体" w:hAnsi="Book Antiqua" w:cs="Times New Roman"/>
          <w:i/>
          <w:kern w:val="2"/>
          <w:sz w:val="24"/>
          <w:szCs w:val="24"/>
          <w:lang w:val="en-US" w:eastAsia="zh-CN"/>
        </w:rPr>
        <w:t xml:space="preserve"> Bowel Dis</w:t>
      </w:r>
      <w:r w:rsidRPr="00A624C2">
        <w:rPr>
          <w:rFonts w:ascii="Book Antiqua" w:eastAsia="宋体" w:hAnsi="Book Antiqua" w:cs="Times New Roman"/>
          <w:kern w:val="2"/>
          <w:sz w:val="24"/>
          <w:szCs w:val="24"/>
          <w:lang w:val="en-US" w:eastAsia="zh-CN"/>
        </w:rPr>
        <w:t xml:space="preserve"> 2011; </w:t>
      </w:r>
      <w:r w:rsidRPr="00A624C2">
        <w:rPr>
          <w:rFonts w:ascii="Book Antiqua" w:eastAsia="宋体" w:hAnsi="Book Antiqua" w:cs="Times New Roman"/>
          <w:b/>
          <w:kern w:val="2"/>
          <w:sz w:val="24"/>
          <w:szCs w:val="24"/>
          <w:lang w:val="en-US" w:eastAsia="zh-CN"/>
        </w:rPr>
        <w:t>17</w:t>
      </w:r>
      <w:r w:rsidRPr="00A624C2">
        <w:rPr>
          <w:rFonts w:ascii="Book Antiqua" w:eastAsia="宋体" w:hAnsi="Book Antiqua" w:cs="Times New Roman"/>
          <w:kern w:val="2"/>
          <w:sz w:val="24"/>
          <w:szCs w:val="24"/>
          <w:lang w:val="en-US" w:eastAsia="zh-CN"/>
        </w:rPr>
        <w:t>: 947-953 [PMID: 20860048 DOI: 10.1002/ibd.21439]</w:t>
      </w:r>
    </w:p>
    <w:p w14:paraId="5455BC8D"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14 </w:t>
      </w:r>
      <w:proofErr w:type="spellStart"/>
      <w:r w:rsidRPr="00A624C2">
        <w:rPr>
          <w:rFonts w:ascii="Book Antiqua" w:eastAsia="宋体" w:hAnsi="Book Antiqua" w:cs="Times New Roman"/>
          <w:b/>
          <w:kern w:val="2"/>
          <w:sz w:val="24"/>
          <w:szCs w:val="24"/>
          <w:lang w:val="en-US" w:eastAsia="zh-CN"/>
        </w:rPr>
        <w:t>Peyrin-Biroulet</w:t>
      </w:r>
      <w:proofErr w:type="spellEnd"/>
      <w:r w:rsidRPr="00A624C2">
        <w:rPr>
          <w:rFonts w:ascii="Book Antiqua" w:eastAsia="宋体" w:hAnsi="Book Antiqua" w:cs="Times New Roman"/>
          <w:b/>
          <w:kern w:val="2"/>
          <w:sz w:val="24"/>
          <w:szCs w:val="24"/>
          <w:lang w:val="en-US" w:eastAsia="zh-CN"/>
        </w:rPr>
        <w:t xml:space="preserve"> L</w:t>
      </w:r>
      <w:r w:rsidRPr="00A624C2">
        <w:rPr>
          <w:rFonts w:ascii="Book Antiqua" w:eastAsia="宋体" w:hAnsi="Book Antiqua" w:cs="Times New Roman"/>
          <w:kern w:val="2"/>
          <w:sz w:val="24"/>
          <w:szCs w:val="24"/>
          <w:lang w:val="en-US" w:eastAsia="zh-CN"/>
        </w:rPr>
        <w:t xml:space="preserve">, </w:t>
      </w:r>
      <w:proofErr w:type="spellStart"/>
      <w:r w:rsidRPr="00A624C2">
        <w:rPr>
          <w:rFonts w:ascii="Book Antiqua" w:eastAsia="宋体" w:hAnsi="Book Antiqua" w:cs="Times New Roman"/>
          <w:kern w:val="2"/>
          <w:sz w:val="24"/>
          <w:szCs w:val="24"/>
          <w:lang w:val="en-US" w:eastAsia="zh-CN"/>
        </w:rPr>
        <w:t>Sandborn</w:t>
      </w:r>
      <w:proofErr w:type="spellEnd"/>
      <w:r w:rsidRPr="00A624C2">
        <w:rPr>
          <w:rFonts w:ascii="Book Antiqua" w:eastAsia="宋体" w:hAnsi="Book Antiqua" w:cs="Times New Roman"/>
          <w:kern w:val="2"/>
          <w:sz w:val="24"/>
          <w:szCs w:val="24"/>
          <w:lang w:val="en-US" w:eastAsia="zh-CN"/>
        </w:rPr>
        <w:t xml:space="preserve"> W, Sands BE, </w:t>
      </w:r>
      <w:proofErr w:type="spellStart"/>
      <w:r w:rsidRPr="00A624C2">
        <w:rPr>
          <w:rFonts w:ascii="Book Antiqua" w:eastAsia="宋体" w:hAnsi="Book Antiqua" w:cs="Times New Roman"/>
          <w:kern w:val="2"/>
          <w:sz w:val="24"/>
          <w:szCs w:val="24"/>
          <w:lang w:val="en-US" w:eastAsia="zh-CN"/>
        </w:rPr>
        <w:t>Reinisch</w:t>
      </w:r>
      <w:proofErr w:type="spellEnd"/>
      <w:r w:rsidRPr="00A624C2">
        <w:rPr>
          <w:rFonts w:ascii="Book Antiqua" w:eastAsia="宋体" w:hAnsi="Book Antiqua" w:cs="Times New Roman"/>
          <w:kern w:val="2"/>
          <w:sz w:val="24"/>
          <w:szCs w:val="24"/>
          <w:lang w:val="en-US" w:eastAsia="zh-CN"/>
        </w:rPr>
        <w:t xml:space="preserve"> W, </w:t>
      </w:r>
      <w:proofErr w:type="spellStart"/>
      <w:r w:rsidRPr="00A624C2">
        <w:rPr>
          <w:rFonts w:ascii="Book Antiqua" w:eastAsia="宋体" w:hAnsi="Book Antiqua" w:cs="Times New Roman"/>
          <w:kern w:val="2"/>
          <w:sz w:val="24"/>
          <w:szCs w:val="24"/>
          <w:lang w:val="en-US" w:eastAsia="zh-CN"/>
        </w:rPr>
        <w:t>Bemelman</w:t>
      </w:r>
      <w:proofErr w:type="spellEnd"/>
      <w:r w:rsidRPr="00A624C2">
        <w:rPr>
          <w:rFonts w:ascii="Book Antiqua" w:eastAsia="宋体" w:hAnsi="Book Antiqua" w:cs="Times New Roman"/>
          <w:kern w:val="2"/>
          <w:sz w:val="24"/>
          <w:szCs w:val="24"/>
          <w:lang w:val="en-US" w:eastAsia="zh-CN"/>
        </w:rPr>
        <w:t xml:space="preserve"> W, Bryant RV, </w:t>
      </w:r>
      <w:proofErr w:type="spellStart"/>
      <w:r w:rsidRPr="00A624C2">
        <w:rPr>
          <w:rFonts w:ascii="Book Antiqua" w:eastAsia="宋体" w:hAnsi="Book Antiqua" w:cs="Times New Roman"/>
          <w:kern w:val="2"/>
          <w:sz w:val="24"/>
          <w:szCs w:val="24"/>
          <w:lang w:val="en-US" w:eastAsia="zh-CN"/>
        </w:rPr>
        <w:t>D'Haens</w:t>
      </w:r>
      <w:proofErr w:type="spellEnd"/>
      <w:r w:rsidRPr="00A624C2">
        <w:rPr>
          <w:rFonts w:ascii="Book Antiqua" w:eastAsia="宋体" w:hAnsi="Book Antiqua" w:cs="Times New Roman"/>
          <w:kern w:val="2"/>
          <w:sz w:val="24"/>
          <w:szCs w:val="24"/>
          <w:lang w:val="en-US" w:eastAsia="zh-CN"/>
        </w:rPr>
        <w:t xml:space="preserve"> G, </w:t>
      </w:r>
      <w:proofErr w:type="spellStart"/>
      <w:r w:rsidRPr="00A624C2">
        <w:rPr>
          <w:rFonts w:ascii="Book Antiqua" w:eastAsia="宋体" w:hAnsi="Book Antiqua" w:cs="Times New Roman"/>
          <w:kern w:val="2"/>
          <w:sz w:val="24"/>
          <w:szCs w:val="24"/>
          <w:lang w:val="en-US" w:eastAsia="zh-CN"/>
        </w:rPr>
        <w:t>Dotan</w:t>
      </w:r>
      <w:proofErr w:type="spellEnd"/>
      <w:r w:rsidRPr="00A624C2">
        <w:rPr>
          <w:rFonts w:ascii="Book Antiqua" w:eastAsia="宋体" w:hAnsi="Book Antiqua" w:cs="Times New Roman"/>
          <w:kern w:val="2"/>
          <w:sz w:val="24"/>
          <w:szCs w:val="24"/>
          <w:lang w:val="en-US" w:eastAsia="zh-CN"/>
        </w:rPr>
        <w:t xml:space="preserve"> I, Dubinsky M, </w:t>
      </w:r>
      <w:proofErr w:type="spellStart"/>
      <w:r w:rsidRPr="00A624C2">
        <w:rPr>
          <w:rFonts w:ascii="Book Antiqua" w:eastAsia="宋体" w:hAnsi="Book Antiqua" w:cs="Times New Roman"/>
          <w:kern w:val="2"/>
          <w:sz w:val="24"/>
          <w:szCs w:val="24"/>
          <w:lang w:val="en-US" w:eastAsia="zh-CN"/>
        </w:rPr>
        <w:t>Feagan</w:t>
      </w:r>
      <w:proofErr w:type="spellEnd"/>
      <w:r w:rsidRPr="00A624C2">
        <w:rPr>
          <w:rFonts w:ascii="Book Antiqua" w:eastAsia="宋体" w:hAnsi="Book Antiqua" w:cs="Times New Roman"/>
          <w:kern w:val="2"/>
          <w:sz w:val="24"/>
          <w:szCs w:val="24"/>
          <w:lang w:val="en-US" w:eastAsia="zh-CN"/>
        </w:rPr>
        <w:t xml:space="preserve"> B, Fiorino G, </w:t>
      </w:r>
      <w:proofErr w:type="spellStart"/>
      <w:r w:rsidRPr="00A624C2">
        <w:rPr>
          <w:rFonts w:ascii="Book Antiqua" w:eastAsia="宋体" w:hAnsi="Book Antiqua" w:cs="Times New Roman"/>
          <w:kern w:val="2"/>
          <w:sz w:val="24"/>
          <w:szCs w:val="24"/>
          <w:lang w:val="en-US" w:eastAsia="zh-CN"/>
        </w:rPr>
        <w:t>Gearry</w:t>
      </w:r>
      <w:proofErr w:type="spellEnd"/>
      <w:r w:rsidRPr="00A624C2">
        <w:rPr>
          <w:rFonts w:ascii="Book Antiqua" w:eastAsia="宋体" w:hAnsi="Book Antiqua" w:cs="Times New Roman"/>
          <w:kern w:val="2"/>
          <w:sz w:val="24"/>
          <w:szCs w:val="24"/>
          <w:lang w:val="en-US" w:eastAsia="zh-CN"/>
        </w:rPr>
        <w:t xml:space="preserve"> R, </w:t>
      </w:r>
      <w:proofErr w:type="spellStart"/>
      <w:r w:rsidRPr="00A624C2">
        <w:rPr>
          <w:rFonts w:ascii="Book Antiqua" w:eastAsia="宋体" w:hAnsi="Book Antiqua" w:cs="Times New Roman"/>
          <w:kern w:val="2"/>
          <w:sz w:val="24"/>
          <w:szCs w:val="24"/>
          <w:lang w:val="en-US" w:eastAsia="zh-CN"/>
        </w:rPr>
        <w:t>Krishnareddy</w:t>
      </w:r>
      <w:proofErr w:type="spellEnd"/>
      <w:r w:rsidRPr="00A624C2">
        <w:rPr>
          <w:rFonts w:ascii="Book Antiqua" w:eastAsia="宋体" w:hAnsi="Book Antiqua" w:cs="Times New Roman"/>
          <w:kern w:val="2"/>
          <w:sz w:val="24"/>
          <w:szCs w:val="24"/>
          <w:lang w:val="en-US" w:eastAsia="zh-CN"/>
        </w:rPr>
        <w:t xml:space="preserve"> S, </w:t>
      </w:r>
      <w:r w:rsidRPr="00A624C2">
        <w:rPr>
          <w:rFonts w:ascii="Book Antiqua" w:eastAsia="宋体" w:hAnsi="Book Antiqua" w:cs="Times New Roman"/>
          <w:kern w:val="2"/>
          <w:sz w:val="24"/>
          <w:szCs w:val="24"/>
          <w:lang w:val="en-US" w:eastAsia="zh-CN"/>
        </w:rPr>
        <w:lastRenderedPageBreak/>
        <w:t xml:space="preserve">Lakatos PL, Loftus EV Jr, Marteau P, </w:t>
      </w:r>
      <w:proofErr w:type="spellStart"/>
      <w:r w:rsidRPr="00A624C2">
        <w:rPr>
          <w:rFonts w:ascii="Book Antiqua" w:eastAsia="宋体" w:hAnsi="Book Antiqua" w:cs="Times New Roman"/>
          <w:kern w:val="2"/>
          <w:sz w:val="24"/>
          <w:szCs w:val="24"/>
          <w:lang w:val="en-US" w:eastAsia="zh-CN"/>
        </w:rPr>
        <w:t>Munkholm</w:t>
      </w:r>
      <w:proofErr w:type="spellEnd"/>
      <w:r w:rsidRPr="00A624C2">
        <w:rPr>
          <w:rFonts w:ascii="Book Antiqua" w:eastAsia="宋体" w:hAnsi="Book Antiqua" w:cs="Times New Roman"/>
          <w:kern w:val="2"/>
          <w:sz w:val="24"/>
          <w:szCs w:val="24"/>
          <w:lang w:val="en-US" w:eastAsia="zh-CN"/>
        </w:rPr>
        <w:t xml:space="preserve"> P, Murdoch TB, </w:t>
      </w:r>
      <w:proofErr w:type="spellStart"/>
      <w:r w:rsidRPr="00A624C2">
        <w:rPr>
          <w:rFonts w:ascii="Book Antiqua" w:eastAsia="宋体" w:hAnsi="Book Antiqua" w:cs="Times New Roman"/>
          <w:kern w:val="2"/>
          <w:sz w:val="24"/>
          <w:szCs w:val="24"/>
          <w:lang w:val="en-US" w:eastAsia="zh-CN"/>
        </w:rPr>
        <w:t>Ordás</w:t>
      </w:r>
      <w:proofErr w:type="spellEnd"/>
      <w:r w:rsidRPr="00A624C2">
        <w:rPr>
          <w:rFonts w:ascii="Book Antiqua" w:eastAsia="宋体" w:hAnsi="Book Antiqua" w:cs="Times New Roman"/>
          <w:kern w:val="2"/>
          <w:sz w:val="24"/>
          <w:szCs w:val="24"/>
          <w:lang w:val="en-US" w:eastAsia="zh-CN"/>
        </w:rPr>
        <w:t xml:space="preserve"> I, </w:t>
      </w:r>
      <w:proofErr w:type="spellStart"/>
      <w:r w:rsidRPr="00A624C2">
        <w:rPr>
          <w:rFonts w:ascii="Book Antiqua" w:eastAsia="宋体" w:hAnsi="Book Antiqua" w:cs="Times New Roman"/>
          <w:kern w:val="2"/>
          <w:sz w:val="24"/>
          <w:szCs w:val="24"/>
          <w:lang w:val="en-US" w:eastAsia="zh-CN"/>
        </w:rPr>
        <w:t>Panaccione</w:t>
      </w:r>
      <w:proofErr w:type="spellEnd"/>
      <w:r w:rsidRPr="00A624C2">
        <w:rPr>
          <w:rFonts w:ascii="Book Antiqua" w:eastAsia="宋体" w:hAnsi="Book Antiqua" w:cs="Times New Roman"/>
          <w:kern w:val="2"/>
          <w:sz w:val="24"/>
          <w:szCs w:val="24"/>
          <w:lang w:val="en-US" w:eastAsia="zh-CN"/>
        </w:rPr>
        <w:t xml:space="preserve"> R, Riddell RH, Ruel J, Rubin DT, Samaan M, Siegel CA, Silverberg MS, Stoker J, Schreiber S, Travis S, Van </w:t>
      </w:r>
      <w:proofErr w:type="spellStart"/>
      <w:r w:rsidRPr="00A624C2">
        <w:rPr>
          <w:rFonts w:ascii="Book Antiqua" w:eastAsia="宋体" w:hAnsi="Book Antiqua" w:cs="Times New Roman"/>
          <w:kern w:val="2"/>
          <w:sz w:val="24"/>
          <w:szCs w:val="24"/>
          <w:lang w:val="en-US" w:eastAsia="zh-CN"/>
        </w:rPr>
        <w:t>Assche</w:t>
      </w:r>
      <w:proofErr w:type="spellEnd"/>
      <w:r w:rsidRPr="00A624C2">
        <w:rPr>
          <w:rFonts w:ascii="Book Antiqua" w:eastAsia="宋体" w:hAnsi="Book Antiqua" w:cs="Times New Roman"/>
          <w:kern w:val="2"/>
          <w:sz w:val="24"/>
          <w:szCs w:val="24"/>
          <w:lang w:val="en-US" w:eastAsia="zh-CN"/>
        </w:rPr>
        <w:t xml:space="preserve"> G, </w:t>
      </w:r>
      <w:proofErr w:type="spellStart"/>
      <w:r w:rsidRPr="00A624C2">
        <w:rPr>
          <w:rFonts w:ascii="Book Antiqua" w:eastAsia="宋体" w:hAnsi="Book Antiqua" w:cs="Times New Roman"/>
          <w:kern w:val="2"/>
          <w:sz w:val="24"/>
          <w:szCs w:val="24"/>
          <w:lang w:val="en-US" w:eastAsia="zh-CN"/>
        </w:rPr>
        <w:t>Danese</w:t>
      </w:r>
      <w:proofErr w:type="spellEnd"/>
      <w:r w:rsidRPr="00A624C2">
        <w:rPr>
          <w:rFonts w:ascii="Book Antiqua" w:eastAsia="宋体" w:hAnsi="Book Antiqua" w:cs="Times New Roman"/>
          <w:kern w:val="2"/>
          <w:sz w:val="24"/>
          <w:szCs w:val="24"/>
          <w:lang w:val="en-US" w:eastAsia="zh-CN"/>
        </w:rPr>
        <w:t xml:space="preserve"> S, Panes J, </w:t>
      </w:r>
      <w:proofErr w:type="spellStart"/>
      <w:r w:rsidRPr="00A624C2">
        <w:rPr>
          <w:rFonts w:ascii="Book Antiqua" w:eastAsia="宋体" w:hAnsi="Book Antiqua" w:cs="Times New Roman"/>
          <w:kern w:val="2"/>
          <w:sz w:val="24"/>
          <w:szCs w:val="24"/>
          <w:lang w:val="en-US" w:eastAsia="zh-CN"/>
        </w:rPr>
        <w:t>Bouguen</w:t>
      </w:r>
      <w:proofErr w:type="spellEnd"/>
      <w:r w:rsidRPr="00A624C2">
        <w:rPr>
          <w:rFonts w:ascii="Book Antiqua" w:eastAsia="宋体" w:hAnsi="Book Antiqua" w:cs="Times New Roman"/>
          <w:kern w:val="2"/>
          <w:sz w:val="24"/>
          <w:szCs w:val="24"/>
          <w:lang w:val="en-US" w:eastAsia="zh-CN"/>
        </w:rPr>
        <w:t xml:space="preserve"> G, O'Donnell S, </w:t>
      </w:r>
      <w:proofErr w:type="spellStart"/>
      <w:r w:rsidRPr="00A624C2">
        <w:rPr>
          <w:rFonts w:ascii="Book Antiqua" w:eastAsia="宋体" w:hAnsi="Book Antiqua" w:cs="Times New Roman"/>
          <w:kern w:val="2"/>
          <w:sz w:val="24"/>
          <w:szCs w:val="24"/>
          <w:lang w:val="en-US" w:eastAsia="zh-CN"/>
        </w:rPr>
        <w:t>Pariente</w:t>
      </w:r>
      <w:proofErr w:type="spellEnd"/>
      <w:r w:rsidRPr="00A624C2">
        <w:rPr>
          <w:rFonts w:ascii="Book Antiqua" w:eastAsia="宋体" w:hAnsi="Book Antiqua" w:cs="Times New Roman"/>
          <w:kern w:val="2"/>
          <w:sz w:val="24"/>
          <w:szCs w:val="24"/>
          <w:lang w:val="en-US" w:eastAsia="zh-CN"/>
        </w:rPr>
        <w:t xml:space="preserve"> B, Winer S, </w:t>
      </w:r>
      <w:proofErr w:type="spellStart"/>
      <w:r w:rsidRPr="00A624C2">
        <w:rPr>
          <w:rFonts w:ascii="Book Antiqua" w:eastAsia="宋体" w:hAnsi="Book Antiqua" w:cs="Times New Roman"/>
          <w:kern w:val="2"/>
          <w:sz w:val="24"/>
          <w:szCs w:val="24"/>
          <w:lang w:val="en-US" w:eastAsia="zh-CN"/>
        </w:rPr>
        <w:t>Hanauer</w:t>
      </w:r>
      <w:proofErr w:type="spellEnd"/>
      <w:r w:rsidRPr="00A624C2">
        <w:rPr>
          <w:rFonts w:ascii="Book Antiqua" w:eastAsia="宋体" w:hAnsi="Book Antiqua" w:cs="Times New Roman"/>
          <w:kern w:val="2"/>
          <w:sz w:val="24"/>
          <w:szCs w:val="24"/>
          <w:lang w:val="en-US" w:eastAsia="zh-CN"/>
        </w:rPr>
        <w:t xml:space="preserve"> S, </w:t>
      </w:r>
      <w:proofErr w:type="spellStart"/>
      <w:r w:rsidRPr="00A624C2">
        <w:rPr>
          <w:rFonts w:ascii="Book Antiqua" w:eastAsia="宋体" w:hAnsi="Book Antiqua" w:cs="Times New Roman"/>
          <w:kern w:val="2"/>
          <w:sz w:val="24"/>
          <w:szCs w:val="24"/>
          <w:lang w:val="en-US" w:eastAsia="zh-CN"/>
        </w:rPr>
        <w:t>Colombel</w:t>
      </w:r>
      <w:proofErr w:type="spellEnd"/>
      <w:r w:rsidRPr="00A624C2">
        <w:rPr>
          <w:rFonts w:ascii="Book Antiqua" w:eastAsia="宋体" w:hAnsi="Book Antiqua" w:cs="Times New Roman"/>
          <w:kern w:val="2"/>
          <w:sz w:val="24"/>
          <w:szCs w:val="24"/>
          <w:lang w:val="en-US" w:eastAsia="zh-CN"/>
        </w:rPr>
        <w:t xml:space="preserve"> JF. Selecting Therapeutic Targets in Inflammatory Bowel Disease (STRIDE): Determining Therapeutic Goals for Treat-to-Target. </w:t>
      </w:r>
      <w:r w:rsidRPr="00A624C2">
        <w:rPr>
          <w:rFonts w:ascii="Book Antiqua" w:eastAsia="宋体" w:hAnsi="Book Antiqua" w:cs="Times New Roman"/>
          <w:i/>
          <w:kern w:val="2"/>
          <w:sz w:val="24"/>
          <w:szCs w:val="24"/>
          <w:lang w:val="en-US" w:eastAsia="zh-CN"/>
        </w:rPr>
        <w:t>Am J Gastroenterol</w:t>
      </w:r>
      <w:r w:rsidRPr="00A624C2">
        <w:rPr>
          <w:rFonts w:ascii="Book Antiqua" w:eastAsia="宋体" w:hAnsi="Book Antiqua" w:cs="Times New Roman"/>
          <w:kern w:val="2"/>
          <w:sz w:val="24"/>
          <w:szCs w:val="24"/>
          <w:lang w:val="en-US" w:eastAsia="zh-CN"/>
        </w:rPr>
        <w:t xml:space="preserve"> 2015; </w:t>
      </w:r>
      <w:r w:rsidRPr="00A624C2">
        <w:rPr>
          <w:rFonts w:ascii="Book Antiqua" w:eastAsia="宋体" w:hAnsi="Book Antiqua" w:cs="Times New Roman"/>
          <w:b/>
          <w:kern w:val="2"/>
          <w:sz w:val="24"/>
          <w:szCs w:val="24"/>
          <w:lang w:val="en-US" w:eastAsia="zh-CN"/>
        </w:rPr>
        <w:t>110</w:t>
      </w:r>
      <w:r w:rsidRPr="00A624C2">
        <w:rPr>
          <w:rFonts w:ascii="Book Antiqua" w:eastAsia="宋体" w:hAnsi="Book Antiqua" w:cs="Times New Roman"/>
          <w:kern w:val="2"/>
          <w:sz w:val="24"/>
          <w:szCs w:val="24"/>
          <w:lang w:val="en-US" w:eastAsia="zh-CN"/>
        </w:rPr>
        <w:t>: 1324-1338 [PMID: 26303131 DOI: 10.1038/ajg.2015.233]</w:t>
      </w:r>
    </w:p>
    <w:p w14:paraId="782F5D2A"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15 </w:t>
      </w:r>
      <w:r w:rsidRPr="00A624C2">
        <w:rPr>
          <w:rFonts w:ascii="Book Antiqua" w:eastAsia="宋体" w:hAnsi="Book Antiqua" w:cs="Times New Roman"/>
          <w:b/>
          <w:kern w:val="2"/>
          <w:sz w:val="24"/>
          <w:szCs w:val="24"/>
          <w:lang w:val="en-US" w:eastAsia="zh-CN"/>
        </w:rPr>
        <w:t>Ferrante M</w:t>
      </w:r>
      <w:r w:rsidRPr="00A624C2">
        <w:rPr>
          <w:rFonts w:ascii="Book Antiqua" w:eastAsia="宋体" w:hAnsi="Book Antiqua" w:cs="Times New Roman"/>
          <w:kern w:val="2"/>
          <w:sz w:val="24"/>
          <w:szCs w:val="24"/>
          <w:lang w:val="en-US" w:eastAsia="zh-CN"/>
        </w:rPr>
        <w:t xml:space="preserve">, </w:t>
      </w:r>
      <w:proofErr w:type="spellStart"/>
      <w:r w:rsidRPr="00A624C2">
        <w:rPr>
          <w:rFonts w:ascii="Book Antiqua" w:eastAsia="宋体" w:hAnsi="Book Antiqua" w:cs="Times New Roman"/>
          <w:kern w:val="2"/>
          <w:sz w:val="24"/>
          <w:szCs w:val="24"/>
          <w:lang w:val="en-US" w:eastAsia="zh-CN"/>
        </w:rPr>
        <w:t>Colombel</w:t>
      </w:r>
      <w:proofErr w:type="spellEnd"/>
      <w:r w:rsidRPr="00A624C2">
        <w:rPr>
          <w:rFonts w:ascii="Book Antiqua" w:eastAsia="宋体" w:hAnsi="Book Antiqua" w:cs="Times New Roman"/>
          <w:kern w:val="2"/>
          <w:sz w:val="24"/>
          <w:szCs w:val="24"/>
          <w:lang w:val="en-US" w:eastAsia="zh-CN"/>
        </w:rPr>
        <w:t xml:space="preserve"> JF, </w:t>
      </w:r>
      <w:proofErr w:type="spellStart"/>
      <w:r w:rsidRPr="00A624C2">
        <w:rPr>
          <w:rFonts w:ascii="Book Antiqua" w:eastAsia="宋体" w:hAnsi="Book Antiqua" w:cs="Times New Roman"/>
          <w:kern w:val="2"/>
          <w:sz w:val="24"/>
          <w:szCs w:val="24"/>
          <w:lang w:val="en-US" w:eastAsia="zh-CN"/>
        </w:rPr>
        <w:t>Sandborn</w:t>
      </w:r>
      <w:proofErr w:type="spellEnd"/>
      <w:r w:rsidRPr="00A624C2">
        <w:rPr>
          <w:rFonts w:ascii="Book Antiqua" w:eastAsia="宋体" w:hAnsi="Book Antiqua" w:cs="Times New Roman"/>
          <w:kern w:val="2"/>
          <w:sz w:val="24"/>
          <w:szCs w:val="24"/>
          <w:lang w:val="en-US" w:eastAsia="zh-CN"/>
        </w:rPr>
        <w:t xml:space="preserve"> WJ, </w:t>
      </w:r>
      <w:proofErr w:type="spellStart"/>
      <w:r w:rsidRPr="00A624C2">
        <w:rPr>
          <w:rFonts w:ascii="Book Antiqua" w:eastAsia="宋体" w:hAnsi="Book Antiqua" w:cs="Times New Roman"/>
          <w:kern w:val="2"/>
          <w:sz w:val="24"/>
          <w:szCs w:val="24"/>
          <w:lang w:val="en-US" w:eastAsia="zh-CN"/>
        </w:rPr>
        <w:t>Reinisch</w:t>
      </w:r>
      <w:proofErr w:type="spellEnd"/>
      <w:r w:rsidRPr="00A624C2">
        <w:rPr>
          <w:rFonts w:ascii="Book Antiqua" w:eastAsia="宋体" w:hAnsi="Book Antiqua" w:cs="Times New Roman"/>
          <w:kern w:val="2"/>
          <w:sz w:val="24"/>
          <w:szCs w:val="24"/>
          <w:lang w:val="en-US" w:eastAsia="zh-CN"/>
        </w:rPr>
        <w:t xml:space="preserve"> W, </w:t>
      </w:r>
      <w:proofErr w:type="spellStart"/>
      <w:r w:rsidRPr="00A624C2">
        <w:rPr>
          <w:rFonts w:ascii="Book Antiqua" w:eastAsia="宋体" w:hAnsi="Book Antiqua" w:cs="Times New Roman"/>
          <w:kern w:val="2"/>
          <w:sz w:val="24"/>
          <w:szCs w:val="24"/>
          <w:lang w:val="en-US" w:eastAsia="zh-CN"/>
        </w:rPr>
        <w:t>Mantzaris</w:t>
      </w:r>
      <w:proofErr w:type="spellEnd"/>
      <w:r w:rsidRPr="00A624C2">
        <w:rPr>
          <w:rFonts w:ascii="Book Antiqua" w:eastAsia="宋体" w:hAnsi="Book Antiqua" w:cs="Times New Roman"/>
          <w:kern w:val="2"/>
          <w:sz w:val="24"/>
          <w:szCs w:val="24"/>
          <w:lang w:val="en-US" w:eastAsia="zh-CN"/>
        </w:rPr>
        <w:t xml:space="preserve"> GJ, Kornbluth A, </w:t>
      </w:r>
      <w:proofErr w:type="spellStart"/>
      <w:r w:rsidRPr="00A624C2">
        <w:rPr>
          <w:rFonts w:ascii="Book Antiqua" w:eastAsia="宋体" w:hAnsi="Book Antiqua" w:cs="Times New Roman"/>
          <w:kern w:val="2"/>
          <w:sz w:val="24"/>
          <w:szCs w:val="24"/>
          <w:lang w:val="en-US" w:eastAsia="zh-CN"/>
        </w:rPr>
        <w:t>Rachmilewitz</w:t>
      </w:r>
      <w:proofErr w:type="spellEnd"/>
      <w:r w:rsidRPr="00A624C2">
        <w:rPr>
          <w:rFonts w:ascii="Book Antiqua" w:eastAsia="宋体" w:hAnsi="Book Antiqua" w:cs="Times New Roman"/>
          <w:kern w:val="2"/>
          <w:sz w:val="24"/>
          <w:szCs w:val="24"/>
          <w:lang w:val="en-US" w:eastAsia="zh-CN"/>
        </w:rPr>
        <w:t xml:space="preserve"> D, </w:t>
      </w:r>
      <w:proofErr w:type="spellStart"/>
      <w:r w:rsidRPr="00A624C2">
        <w:rPr>
          <w:rFonts w:ascii="Book Antiqua" w:eastAsia="宋体" w:hAnsi="Book Antiqua" w:cs="Times New Roman"/>
          <w:kern w:val="2"/>
          <w:sz w:val="24"/>
          <w:szCs w:val="24"/>
          <w:lang w:val="en-US" w:eastAsia="zh-CN"/>
        </w:rPr>
        <w:t>Lichtiger</w:t>
      </w:r>
      <w:proofErr w:type="spellEnd"/>
      <w:r w:rsidRPr="00A624C2">
        <w:rPr>
          <w:rFonts w:ascii="Book Antiqua" w:eastAsia="宋体" w:hAnsi="Book Antiqua" w:cs="Times New Roman"/>
          <w:kern w:val="2"/>
          <w:sz w:val="24"/>
          <w:szCs w:val="24"/>
          <w:lang w:val="en-US" w:eastAsia="zh-CN"/>
        </w:rPr>
        <w:t xml:space="preserve"> S, </w:t>
      </w:r>
      <w:proofErr w:type="spellStart"/>
      <w:r w:rsidRPr="00A624C2">
        <w:rPr>
          <w:rFonts w:ascii="Book Antiqua" w:eastAsia="宋体" w:hAnsi="Book Antiqua" w:cs="Times New Roman"/>
          <w:kern w:val="2"/>
          <w:sz w:val="24"/>
          <w:szCs w:val="24"/>
          <w:lang w:val="en-US" w:eastAsia="zh-CN"/>
        </w:rPr>
        <w:t>D'Haens</w:t>
      </w:r>
      <w:proofErr w:type="spellEnd"/>
      <w:r w:rsidRPr="00A624C2">
        <w:rPr>
          <w:rFonts w:ascii="Book Antiqua" w:eastAsia="宋体" w:hAnsi="Book Antiqua" w:cs="Times New Roman"/>
          <w:kern w:val="2"/>
          <w:sz w:val="24"/>
          <w:szCs w:val="24"/>
          <w:lang w:val="en-US" w:eastAsia="zh-CN"/>
        </w:rPr>
        <w:t xml:space="preserve"> GR, van der </w:t>
      </w:r>
      <w:proofErr w:type="spellStart"/>
      <w:r w:rsidRPr="00A624C2">
        <w:rPr>
          <w:rFonts w:ascii="Book Antiqua" w:eastAsia="宋体" w:hAnsi="Book Antiqua" w:cs="Times New Roman"/>
          <w:kern w:val="2"/>
          <w:sz w:val="24"/>
          <w:szCs w:val="24"/>
          <w:lang w:val="en-US" w:eastAsia="zh-CN"/>
        </w:rPr>
        <w:t>Woude</w:t>
      </w:r>
      <w:proofErr w:type="spellEnd"/>
      <w:r w:rsidRPr="00A624C2">
        <w:rPr>
          <w:rFonts w:ascii="Book Antiqua" w:eastAsia="宋体" w:hAnsi="Book Antiqua" w:cs="Times New Roman"/>
          <w:kern w:val="2"/>
          <w:sz w:val="24"/>
          <w:szCs w:val="24"/>
          <w:lang w:val="en-US" w:eastAsia="zh-CN"/>
        </w:rPr>
        <w:t xml:space="preserve"> CJ, </w:t>
      </w:r>
      <w:proofErr w:type="spellStart"/>
      <w:r w:rsidRPr="00A624C2">
        <w:rPr>
          <w:rFonts w:ascii="Book Antiqua" w:eastAsia="宋体" w:hAnsi="Book Antiqua" w:cs="Times New Roman"/>
          <w:kern w:val="2"/>
          <w:sz w:val="24"/>
          <w:szCs w:val="24"/>
          <w:lang w:val="en-US" w:eastAsia="zh-CN"/>
        </w:rPr>
        <w:t>Danese</w:t>
      </w:r>
      <w:proofErr w:type="spellEnd"/>
      <w:r w:rsidRPr="00A624C2">
        <w:rPr>
          <w:rFonts w:ascii="Book Antiqua" w:eastAsia="宋体" w:hAnsi="Book Antiqua" w:cs="Times New Roman"/>
          <w:kern w:val="2"/>
          <w:sz w:val="24"/>
          <w:szCs w:val="24"/>
          <w:lang w:val="en-US" w:eastAsia="zh-CN"/>
        </w:rPr>
        <w:t xml:space="preserve"> S, Diamond RH, </w:t>
      </w:r>
      <w:proofErr w:type="spellStart"/>
      <w:r w:rsidRPr="00A624C2">
        <w:rPr>
          <w:rFonts w:ascii="Book Antiqua" w:eastAsia="宋体" w:hAnsi="Book Antiqua" w:cs="Times New Roman"/>
          <w:kern w:val="2"/>
          <w:sz w:val="24"/>
          <w:szCs w:val="24"/>
          <w:lang w:val="en-US" w:eastAsia="zh-CN"/>
        </w:rPr>
        <w:t>Oortwijn</w:t>
      </w:r>
      <w:proofErr w:type="spellEnd"/>
      <w:r w:rsidRPr="00A624C2">
        <w:rPr>
          <w:rFonts w:ascii="Book Antiqua" w:eastAsia="宋体" w:hAnsi="Book Antiqua" w:cs="Times New Roman"/>
          <w:kern w:val="2"/>
          <w:sz w:val="24"/>
          <w:szCs w:val="24"/>
          <w:lang w:val="en-US" w:eastAsia="zh-CN"/>
        </w:rPr>
        <w:t xml:space="preserve"> AF, Tang KL, Miller M, </w:t>
      </w:r>
      <w:proofErr w:type="spellStart"/>
      <w:r w:rsidRPr="00A624C2">
        <w:rPr>
          <w:rFonts w:ascii="Book Antiqua" w:eastAsia="宋体" w:hAnsi="Book Antiqua" w:cs="Times New Roman"/>
          <w:kern w:val="2"/>
          <w:sz w:val="24"/>
          <w:szCs w:val="24"/>
          <w:lang w:val="en-US" w:eastAsia="zh-CN"/>
        </w:rPr>
        <w:t>Cornillie</w:t>
      </w:r>
      <w:proofErr w:type="spellEnd"/>
      <w:r w:rsidRPr="00A624C2">
        <w:rPr>
          <w:rFonts w:ascii="Book Antiqua" w:eastAsia="宋体" w:hAnsi="Book Antiqua" w:cs="Times New Roman"/>
          <w:kern w:val="2"/>
          <w:sz w:val="24"/>
          <w:szCs w:val="24"/>
          <w:lang w:val="en-US" w:eastAsia="zh-CN"/>
        </w:rPr>
        <w:t xml:space="preserve"> F, </w:t>
      </w:r>
      <w:proofErr w:type="spellStart"/>
      <w:r w:rsidRPr="00A624C2">
        <w:rPr>
          <w:rFonts w:ascii="Book Antiqua" w:eastAsia="宋体" w:hAnsi="Book Antiqua" w:cs="Times New Roman"/>
          <w:kern w:val="2"/>
          <w:sz w:val="24"/>
          <w:szCs w:val="24"/>
          <w:lang w:val="en-US" w:eastAsia="zh-CN"/>
        </w:rPr>
        <w:t>Rutgeerts</w:t>
      </w:r>
      <w:proofErr w:type="spellEnd"/>
      <w:r w:rsidRPr="00A624C2">
        <w:rPr>
          <w:rFonts w:ascii="Book Antiqua" w:eastAsia="宋体" w:hAnsi="Book Antiqua" w:cs="Times New Roman"/>
          <w:kern w:val="2"/>
          <w:sz w:val="24"/>
          <w:szCs w:val="24"/>
          <w:lang w:val="en-US" w:eastAsia="zh-CN"/>
        </w:rPr>
        <w:t xml:space="preserve"> PJ; International Organization for the Study of Inflammatory Bowel Diseases. Validation of endoscopic activity scores in patients with Crohn's disease based on a post hoc analysis of data from SONIC. </w:t>
      </w:r>
      <w:r w:rsidRPr="00A624C2">
        <w:rPr>
          <w:rFonts w:ascii="Book Antiqua" w:eastAsia="宋体" w:hAnsi="Book Antiqua" w:cs="Times New Roman"/>
          <w:i/>
          <w:kern w:val="2"/>
          <w:sz w:val="24"/>
          <w:szCs w:val="24"/>
          <w:lang w:val="en-US" w:eastAsia="zh-CN"/>
        </w:rPr>
        <w:t>Gastroenterology</w:t>
      </w:r>
      <w:r w:rsidRPr="00A624C2">
        <w:rPr>
          <w:rFonts w:ascii="Book Antiqua" w:eastAsia="宋体" w:hAnsi="Book Antiqua" w:cs="Times New Roman"/>
          <w:kern w:val="2"/>
          <w:sz w:val="24"/>
          <w:szCs w:val="24"/>
          <w:lang w:val="en-US" w:eastAsia="zh-CN"/>
        </w:rPr>
        <w:t xml:space="preserve"> 2013; </w:t>
      </w:r>
      <w:r w:rsidRPr="00A624C2">
        <w:rPr>
          <w:rFonts w:ascii="Book Antiqua" w:eastAsia="宋体" w:hAnsi="Book Antiqua" w:cs="Times New Roman"/>
          <w:b/>
          <w:kern w:val="2"/>
          <w:sz w:val="24"/>
          <w:szCs w:val="24"/>
          <w:lang w:val="en-US" w:eastAsia="zh-CN"/>
        </w:rPr>
        <w:t>145</w:t>
      </w:r>
      <w:r w:rsidRPr="00A624C2">
        <w:rPr>
          <w:rFonts w:ascii="Book Antiqua" w:eastAsia="宋体" w:hAnsi="Book Antiqua" w:cs="Times New Roman"/>
          <w:kern w:val="2"/>
          <w:sz w:val="24"/>
          <w:szCs w:val="24"/>
          <w:lang w:val="en-US" w:eastAsia="zh-CN"/>
        </w:rPr>
        <w:t>: 978-986.e5 [PMID: 23954314 DOI: 10.1053/j.gastro.2013.08.010]</w:t>
      </w:r>
    </w:p>
    <w:p w14:paraId="4C1607CC"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16 </w:t>
      </w:r>
      <w:r w:rsidRPr="00A624C2">
        <w:rPr>
          <w:rFonts w:ascii="Book Antiqua" w:eastAsia="宋体" w:hAnsi="Book Antiqua" w:cs="Times New Roman"/>
          <w:b/>
          <w:kern w:val="2"/>
          <w:sz w:val="24"/>
          <w:szCs w:val="24"/>
          <w:lang w:val="en-US" w:eastAsia="zh-CN"/>
        </w:rPr>
        <w:t>Roblin X</w:t>
      </w:r>
      <w:r w:rsidRPr="00A624C2">
        <w:rPr>
          <w:rFonts w:ascii="Book Antiqua" w:eastAsia="宋体" w:hAnsi="Book Antiqua" w:cs="Times New Roman"/>
          <w:kern w:val="2"/>
          <w:sz w:val="24"/>
          <w:szCs w:val="24"/>
          <w:lang w:val="en-US" w:eastAsia="zh-CN"/>
        </w:rPr>
        <w:t xml:space="preserve">, Marotte H, </w:t>
      </w:r>
      <w:proofErr w:type="spellStart"/>
      <w:r w:rsidRPr="00A624C2">
        <w:rPr>
          <w:rFonts w:ascii="Book Antiqua" w:eastAsia="宋体" w:hAnsi="Book Antiqua" w:cs="Times New Roman"/>
          <w:kern w:val="2"/>
          <w:sz w:val="24"/>
          <w:szCs w:val="24"/>
          <w:lang w:val="en-US" w:eastAsia="zh-CN"/>
        </w:rPr>
        <w:t>Rinaudo</w:t>
      </w:r>
      <w:proofErr w:type="spellEnd"/>
      <w:r w:rsidRPr="00A624C2">
        <w:rPr>
          <w:rFonts w:ascii="Book Antiqua" w:eastAsia="宋体" w:hAnsi="Book Antiqua" w:cs="Times New Roman"/>
          <w:kern w:val="2"/>
          <w:sz w:val="24"/>
          <w:szCs w:val="24"/>
          <w:lang w:val="en-US" w:eastAsia="zh-CN"/>
        </w:rPr>
        <w:t xml:space="preserve"> M, Del Tedesco E, Moreau A, </w:t>
      </w:r>
      <w:proofErr w:type="spellStart"/>
      <w:r w:rsidRPr="00A624C2">
        <w:rPr>
          <w:rFonts w:ascii="Book Antiqua" w:eastAsia="宋体" w:hAnsi="Book Antiqua" w:cs="Times New Roman"/>
          <w:kern w:val="2"/>
          <w:sz w:val="24"/>
          <w:szCs w:val="24"/>
          <w:lang w:val="en-US" w:eastAsia="zh-CN"/>
        </w:rPr>
        <w:t>Phelip</w:t>
      </w:r>
      <w:proofErr w:type="spellEnd"/>
      <w:r w:rsidRPr="00A624C2">
        <w:rPr>
          <w:rFonts w:ascii="Book Antiqua" w:eastAsia="宋体" w:hAnsi="Book Antiqua" w:cs="Times New Roman"/>
          <w:kern w:val="2"/>
          <w:sz w:val="24"/>
          <w:szCs w:val="24"/>
          <w:lang w:val="en-US" w:eastAsia="zh-CN"/>
        </w:rPr>
        <w:t xml:space="preserve"> JM, </w:t>
      </w:r>
      <w:proofErr w:type="spellStart"/>
      <w:r w:rsidRPr="00A624C2">
        <w:rPr>
          <w:rFonts w:ascii="Book Antiqua" w:eastAsia="宋体" w:hAnsi="Book Antiqua" w:cs="Times New Roman"/>
          <w:kern w:val="2"/>
          <w:sz w:val="24"/>
          <w:szCs w:val="24"/>
          <w:lang w:val="en-US" w:eastAsia="zh-CN"/>
        </w:rPr>
        <w:t>Genin</w:t>
      </w:r>
      <w:proofErr w:type="spellEnd"/>
      <w:r w:rsidRPr="00A624C2">
        <w:rPr>
          <w:rFonts w:ascii="Book Antiqua" w:eastAsia="宋体" w:hAnsi="Book Antiqua" w:cs="Times New Roman"/>
          <w:kern w:val="2"/>
          <w:sz w:val="24"/>
          <w:szCs w:val="24"/>
          <w:lang w:val="en-US" w:eastAsia="zh-CN"/>
        </w:rPr>
        <w:t xml:space="preserve"> C, </w:t>
      </w:r>
      <w:proofErr w:type="spellStart"/>
      <w:r w:rsidRPr="00A624C2">
        <w:rPr>
          <w:rFonts w:ascii="Book Antiqua" w:eastAsia="宋体" w:hAnsi="Book Antiqua" w:cs="Times New Roman"/>
          <w:kern w:val="2"/>
          <w:sz w:val="24"/>
          <w:szCs w:val="24"/>
          <w:lang w:val="en-US" w:eastAsia="zh-CN"/>
        </w:rPr>
        <w:t>Peyrin-Biroulet</w:t>
      </w:r>
      <w:proofErr w:type="spellEnd"/>
      <w:r w:rsidRPr="00A624C2">
        <w:rPr>
          <w:rFonts w:ascii="Book Antiqua" w:eastAsia="宋体" w:hAnsi="Book Antiqua" w:cs="Times New Roman"/>
          <w:kern w:val="2"/>
          <w:sz w:val="24"/>
          <w:szCs w:val="24"/>
          <w:lang w:val="en-US" w:eastAsia="zh-CN"/>
        </w:rPr>
        <w:t xml:space="preserve"> L, Paul S. Association between pharmacokinetics of adalimumab and mucosal healing in patients with inflammatory bowel diseases. </w:t>
      </w:r>
      <w:r w:rsidRPr="00A624C2">
        <w:rPr>
          <w:rFonts w:ascii="Book Antiqua" w:eastAsia="宋体" w:hAnsi="Book Antiqua" w:cs="Times New Roman"/>
          <w:i/>
          <w:kern w:val="2"/>
          <w:sz w:val="24"/>
          <w:szCs w:val="24"/>
          <w:lang w:val="en-US" w:eastAsia="zh-CN"/>
        </w:rPr>
        <w:t xml:space="preserve">Clin Gastroenterol </w:t>
      </w:r>
      <w:proofErr w:type="spellStart"/>
      <w:r w:rsidRPr="00A624C2">
        <w:rPr>
          <w:rFonts w:ascii="Book Antiqua" w:eastAsia="宋体" w:hAnsi="Book Antiqua" w:cs="Times New Roman"/>
          <w:i/>
          <w:kern w:val="2"/>
          <w:sz w:val="24"/>
          <w:szCs w:val="24"/>
          <w:lang w:val="en-US" w:eastAsia="zh-CN"/>
        </w:rPr>
        <w:t>Hepatol</w:t>
      </w:r>
      <w:proofErr w:type="spellEnd"/>
      <w:r w:rsidRPr="00A624C2">
        <w:rPr>
          <w:rFonts w:ascii="Book Antiqua" w:eastAsia="宋体" w:hAnsi="Book Antiqua" w:cs="Times New Roman"/>
          <w:kern w:val="2"/>
          <w:sz w:val="24"/>
          <w:szCs w:val="24"/>
          <w:lang w:val="en-US" w:eastAsia="zh-CN"/>
        </w:rPr>
        <w:t xml:space="preserve"> 2014; </w:t>
      </w:r>
      <w:r w:rsidRPr="00A624C2">
        <w:rPr>
          <w:rFonts w:ascii="Book Antiqua" w:eastAsia="宋体" w:hAnsi="Book Antiqua" w:cs="Times New Roman"/>
          <w:b/>
          <w:kern w:val="2"/>
          <w:sz w:val="24"/>
          <w:szCs w:val="24"/>
          <w:lang w:val="en-US" w:eastAsia="zh-CN"/>
        </w:rPr>
        <w:t>12</w:t>
      </w:r>
      <w:r w:rsidRPr="00A624C2">
        <w:rPr>
          <w:rFonts w:ascii="Book Antiqua" w:eastAsia="宋体" w:hAnsi="Book Antiqua" w:cs="Times New Roman"/>
          <w:kern w:val="2"/>
          <w:sz w:val="24"/>
          <w:szCs w:val="24"/>
          <w:lang w:val="en-US" w:eastAsia="zh-CN"/>
        </w:rPr>
        <w:t>: 80-84.e2 [PMID: 23891927 DOI: 10.1016/j.cgh.2013.07.010]</w:t>
      </w:r>
    </w:p>
    <w:p w14:paraId="0435FA66"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17 </w:t>
      </w:r>
      <w:proofErr w:type="spellStart"/>
      <w:r w:rsidRPr="00A624C2">
        <w:rPr>
          <w:rFonts w:ascii="Book Antiqua" w:eastAsia="宋体" w:hAnsi="Book Antiqua" w:cs="Times New Roman"/>
          <w:b/>
          <w:kern w:val="2"/>
          <w:sz w:val="24"/>
          <w:szCs w:val="24"/>
          <w:lang w:val="en-US" w:eastAsia="zh-CN"/>
        </w:rPr>
        <w:t>Yarur</w:t>
      </w:r>
      <w:proofErr w:type="spellEnd"/>
      <w:r w:rsidRPr="00A624C2">
        <w:rPr>
          <w:rFonts w:ascii="Book Antiqua" w:eastAsia="宋体" w:hAnsi="Book Antiqua" w:cs="Times New Roman"/>
          <w:b/>
          <w:kern w:val="2"/>
          <w:sz w:val="24"/>
          <w:szCs w:val="24"/>
          <w:lang w:val="en-US" w:eastAsia="zh-CN"/>
        </w:rPr>
        <w:t xml:space="preserve"> AJ</w:t>
      </w:r>
      <w:r w:rsidRPr="00A624C2">
        <w:rPr>
          <w:rFonts w:ascii="Book Antiqua" w:eastAsia="宋体" w:hAnsi="Book Antiqua" w:cs="Times New Roman"/>
          <w:kern w:val="2"/>
          <w:sz w:val="24"/>
          <w:szCs w:val="24"/>
          <w:lang w:val="en-US" w:eastAsia="zh-CN"/>
        </w:rPr>
        <w:t xml:space="preserve">, Jain A, </w:t>
      </w:r>
      <w:proofErr w:type="spellStart"/>
      <w:r w:rsidRPr="00A624C2">
        <w:rPr>
          <w:rFonts w:ascii="Book Antiqua" w:eastAsia="宋体" w:hAnsi="Book Antiqua" w:cs="Times New Roman"/>
          <w:kern w:val="2"/>
          <w:sz w:val="24"/>
          <w:szCs w:val="24"/>
          <w:lang w:val="en-US" w:eastAsia="zh-CN"/>
        </w:rPr>
        <w:t>Hauenstein</w:t>
      </w:r>
      <w:proofErr w:type="spellEnd"/>
      <w:r w:rsidRPr="00A624C2">
        <w:rPr>
          <w:rFonts w:ascii="Book Antiqua" w:eastAsia="宋体" w:hAnsi="Book Antiqua" w:cs="Times New Roman"/>
          <w:kern w:val="2"/>
          <w:sz w:val="24"/>
          <w:szCs w:val="24"/>
          <w:lang w:val="en-US" w:eastAsia="zh-CN"/>
        </w:rPr>
        <w:t xml:space="preserve"> SI, Quintero MA, </w:t>
      </w:r>
      <w:proofErr w:type="spellStart"/>
      <w:r w:rsidRPr="00A624C2">
        <w:rPr>
          <w:rFonts w:ascii="Book Antiqua" w:eastAsia="宋体" w:hAnsi="Book Antiqua" w:cs="Times New Roman"/>
          <w:kern w:val="2"/>
          <w:sz w:val="24"/>
          <w:szCs w:val="24"/>
          <w:lang w:val="en-US" w:eastAsia="zh-CN"/>
        </w:rPr>
        <w:t>Barkin</w:t>
      </w:r>
      <w:proofErr w:type="spellEnd"/>
      <w:r w:rsidRPr="00A624C2">
        <w:rPr>
          <w:rFonts w:ascii="Book Antiqua" w:eastAsia="宋体" w:hAnsi="Book Antiqua" w:cs="Times New Roman"/>
          <w:kern w:val="2"/>
          <w:sz w:val="24"/>
          <w:szCs w:val="24"/>
          <w:lang w:val="en-US" w:eastAsia="zh-CN"/>
        </w:rPr>
        <w:t xml:space="preserve"> JS, Deshpande AR, Sussman DA, Singh S, Abreu MT. Higher Adalimumab Levels Are Associated with Histologic and Endoscopic Remission in Patients with Crohn's Disease and Ulcerative Colitis. </w:t>
      </w:r>
      <w:proofErr w:type="spellStart"/>
      <w:r w:rsidRPr="00A624C2">
        <w:rPr>
          <w:rFonts w:ascii="Book Antiqua" w:eastAsia="宋体" w:hAnsi="Book Antiqua" w:cs="Times New Roman"/>
          <w:i/>
          <w:kern w:val="2"/>
          <w:sz w:val="24"/>
          <w:szCs w:val="24"/>
          <w:lang w:val="en-US" w:eastAsia="zh-CN"/>
        </w:rPr>
        <w:t>Inflamm</w:t>
      </w:r>
      <w:proofErr w:type="spellEnd"/>
      <w:r w:rsidRPr="00A624C2">
        <w:rPr>
          <w:rFonts w:ascii="Book Antiqua" w:eastAsia="宋体" w:hAnsi="Book Antiqua" w:cs="Times New Roman"/>
          <w:i/>
          <w:kern w:val="2"/>
          <w:sz w:val="24"/>
          <w:szCs w:val="24"/>
          <w:lang w:val="en-US" w:eastAsia="zh-CN"/>
        </w:rPr>
        <w:t xml:space="preserve"> Bowel Dis</w:t>
      </w:r>
      <w:r w:rsidRPr="00A624C2">
        <w:rPr>
          <w:rFonts w:ascii="Book Antiqua" w:eastAsia="宋体" w:hAnsi="Book Antiqua" w:cs="Times New Roman"/>
          <w:kern w:val="2"/>
          <w:sz w:val="24"/>
          <w:szCs w:val="24"/>
          <w:lang w:val="en-US" w:eastAsia="zh-CN"/>
        </w:rPr>
        <w:t xml:space="preserve"> 2016; </w:t>
      </w:r>
      <w:r w:rsidRPr="00A624C2">
        <w:rPr>
          <w:rFonts w:ascii="Book Antiqua" w:eastAsia="宋体" w:hAnsi="Book Antiqua" w:cs="Times New Roman"/>
          <w:b/>
          <w:kern w:val="2"/>
          <w:sz w:val="24"/>
          <w:szCs w:val="24"/>
          <w:lang w:val="en-US" w:eastAsia="zh-CN"/>
        </w:rPr>
        <w:t>22</w:t>
      </w:r>
      <w:r w:rsidRPr="00A624C2">
        <w:rPr>
          <w:rFonts w:ascii="Book Antiqua" w:eastAsia="宋体" w:hAnsi="Book Antiqua" w:cs="Times New Roman"/>
          <w:kern w:val="2"/>
          <w:sz w:val="24"/>
          <w:szCs w:val="24"/>
          <w:lang w:val="en-US" w:eastAsia="zh-CN"/>
        </w:rPr>
        <w:t>: 409-415 [PMID: 26752470 DOI: 10.1097/MIB.0000000000000689]</w:t>
      </w:r>
    </w:p>
    <w:p w14:paraId="25D3D401"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18 </w:t>
      </w:r>
      <w:proofErr w:type="spellStart"/>
      <w:r w:rsidRPr="00A624C2">
        <w:rPr>
          <w:rFonts w:ascii="Book Antiqua" w:eastAsia="宋体" w:hAnsi="Book Antiqua" w:cs="Times New Roman"/>
          <w:b/>
          <w:kern w:val="2"/>
          <w:sz w:val="24"/>
          <w:szCs w:val="24"/>
          <w:lang w:val="en-US" w:eastAsia="zh-CN"/>
        </w:rPr>
        <w:t>Zittan</w:t>
      </w:r>
      <w:proofErr w:type="spellEnd"/>
      <w:r w:rsidRPr="00A624C2">
        <w:rPr>
          <w:rFonts w:ascii="Book Antiqua" w:eastAsia="宋体" w:hAnsi="Book Antiqua" w:cs="Times New Roman"/>
          <w:b/>
          <w:kern w:val="2"/>
          <w:sz w:val="24"/>
          <w:szCs w:val="24"/>
          <w:lang w:val="en-US" w:eastAsia="zh-CN"/>
        </w:rPr>
        <w:t xml:space="preserve"> E</w:t>
      </w:r>
      <w:r w:rsidRPr="00A624C2">
        <w:rPr>
          <w:rFonts w:ascii="Book Antiqua" w:eastAsia="宋体" w:hAnsi="Book Antiqua" w:cs="Times New Roman"/>
          <w:kern w:val="2"/>
          <w:sz w:val="24"/>
          <w:szCs w:val="24"/>
          <w:lang w:val="en-US" w:eastAsia="zh-CN"/>
        </w:rPr>
        <w:t xml:space="preserve">, </w:t>
      </w:r>
      <w:proofErr w:type="spellStart"/>
      <w:r w:rsidRPr="00A624C2">
        <w:rPr>
          <w:rFonts w:ascii="Book Antiqua" w:eastAsia="宋体" w:hAnsi="Book Antiqua" w:cs="Times New Roman"/>
          <w:kern w:val="2"/>
          <w:sz w:val="24"/>
          <w:szCs w:val="24"/>
          <w:lang w:val="en-US" w:eastAsia="zh-CN"/>
        </w:rPr>
        <w:t>Kabakchiev</w:t>
      </w:r>
      <w:proofErr w:type="spellEnd"/>
      <w:r w:rsidRPr="00A624C2">
        <w:rPr>
          <w:rFonts w:ascii="Book Antiqua" w:eastAsia="宋体" w:hAnsi="Book Antiqua" w:cs="Times New Roman"/>
          <w:kern w:val="2"/>
          <w:sz w:val="24"/>
          <w:szCs w:val="24"/>
          <w:lang w:val="en-US" w:eastAsia="zh-CN"/>
        </w:rPr>
        <w:t xml:space="preserve"> B, Milgrom R, Nguyen GC, </w:t>
      </w:r>
      <w:proofErr w:type="spellStart"/>
      <w:r w:rsidRPr="00A624C2">
        <w:rPr>
          <w:rFonts w:ascii="Book Antiqua" w:eastAsia="宋体" w:hAnsi="Book Antiqua" w:cs="Times New Roman"/>
          <w:kern w:val="2"/>
          <w:sz w:val="24"/>
          <w:szCs w:val="24"/>
          <w:lang w:val="en-US" w:eastAsia="zh-CN"/>
        </w:rPr>
        <w:t>Croitoru</w:t>
      </w:r>
      <w:proofErr w:type="spellEnd"/>
      <w:r w:rsidRPr="00A624C2">
        <w:rPr>
          <w:rFonts w:ascii="Book Antiqua" w:eastAsia="宋体" w:hAnsi="Book Antiqua" w:cs="Times New Roman"/>
          <w:kern w:val="2"/>
          <w:sz w:val="24"/>
          <w:szCs w:val="24"/>
          <w:lang w:val="en-US" w:eastAsia="zh-CN"/>
        </w:rPr>
        <w:t xml:space="preserve"> K, Steinhart AH, Silverberg MS. Higher Adalimumab Drug Levels are Associated with Mucosal Healing in Patients with Crohn's Disease. </w:t>
      </w:r>
      <w:r w:rsidRPr="00A624C2">
        <w:rPr>
          <w:rFonts w:ascii="Book Antiqua" w:eastAsia="宋体" w:hAnsi="Book Antiqua" w:cs="Times New Roman"/>
          <w:i/>
          <w:kern w:val="2"/>
          <w:sz w:val="24"/>
          <w:szCs w:val="24"/>
          <w:lang w:val="en-US" w:eastAsia="zh-CN"/>
        </w:rPr>
        <w:t xml:space="preserve">J </w:t>
      </w:r>
      <w:proofErr w:type="spellStart"/>
      <w:r w:rsidRPr="00A624C2">
        <w:rPr>
          <w:rFonts w:ascii="Book Antiqua" w:eastAsia="宋体" w:hAnsi="Book Antiqua" w:cs="Times New Roman"/>
          <w:i/>
          <w:kern w:val="2"/>
          <w:sz w:val="24"/>
          <w:szCs w:val="24"/>
          <w:lang w:val="en-US" w:eastAsia="zh-CN"/>
        </w:rPr>
        <w:t>Crohns</w:t>
      </w:r>
      <w:proofErr w:type="spellEnd"/>
      <w:r w:rsidRPr="00A624C2">
        <w:rPr>
          <w:rFonts w:ascii="Book Antiqua" w:eastAsia="宋体" w:hAnsi="Book Antiqua" w:cs="Times New Roman"/>
          <w:i/>
          <w:kern w:val="2"/>
          <w:sz w:val="24"/>
          <w:szCs w:val="24"/>
          <w:lang w:val="en-US" w:eastAsia="zh-CN"/>
        </w:rPr>
        <w:t xml:space="preserve"> Colitis</w:t>
      </w:r>
      <w:r w:rsidRPr="00A624C2">
        <w:rPr>
          <w:rFonts w:ascii="Book Antiqua" w:eastAsia="宋体" w:hAnsi="Book Antiqua" w:cs="Times New Roman"/>
          <w:kern w:val="2"/>
          <w:sz w:val="24"/>
          <w:szCs w:val="24"/>
          <w:lang w:val="en-US" w:eastAsia="zh-CN"/>
        </w:rPr>
        <w:t xml:space="preserve"> 2016; </w:t>
      </w:r>
      <w:r w:rsidRPr="00A624C2">
        <w:rPr>
          <w:rFonts w:ascii="Book Antiqua" w:eastAsia="宋体" w:hAnsi="Book Antiqua" w:cs="Times New Roman"/>
          <w:b/>
          <w:kern w:val="2"/>
          <w:sz w:val="24"/>
          <w:szCs w:val="24"/>
          <w:lang w:val="en-US" w:eastAsia="zh-CN"/>
        </w:rPr>
        <w:t>10</w:t>
      </w:r>
      <w:r w:rsidRPr="00A624C2">
        <w:rPr>
          <w:rFonts w:ascii="Book Antiqua" w:eastAsia="宋体" w:hAnsi="Book Antiqua" w:cs="Times New Roman"/>
          <w:kern w:val="2"/>
          <w:sz w:val="24"/>
          <w:szCs w:val="24"/>
          <w:lang w:val="en-US" w:eastAsia="zh-CN"/>
        </w:rPr>
        <w:t>: 510-515 [PMID: 26783345 DOI: 10.1093/</w:t>
      </w:r>
      <w:proofErr w:type="spellStart"/>
      <w:r w:rsidRPr="00A624C2">
        <w:rPr>
          <w:rFonts w:ascii="Book Antiqua" w:eastAsia="宋体" w:hAnsi="Book Antiqua" w:cs="Times New Roman"/>
          <w:kern w:val="2"/>
          <w:sz w:val="24"/>
          <w:szCs w:val="24"/>
          <w:lang w:val="en-US" w:eastAsia="zh-CN"/>
        </w:rPr>
        <w:t>ecco-jcc</w:t>
      </w:r>
      <w:proofErr w:type="spellEnd"/>
      <w:r w:rsidRPr="00A624C2">
        <w:rPr>
          <w:rFonts w:ascii="Book Antiqua" w:eastAsia="宋体" w:hAnsi="Book Antiqua" w:cs="Times New Roman"/>
          <w:kern w:val="2"/>
          <w:sz w:val="24"/>
          <w:szCs w:val="24"/>
          <w:lang w:val="en-US" w:eastAsia="zh-CN"/>
        </w:rPr>
        <w:t>/jjw014]</w:t>
      </w:r>
    </w:p>
    <w:p w14:paraId="4A78DFA3"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19 </w:t>
      </w:r>
      <w:r w:rsidRPr="00A624C2">
        <w:rPr>
          <w:rFonts w:ascii="Book Antiqua" w:eastAsia="宋体" w:hAnsi="Book Antiqua" w:cs="Times New Roman"/>
          <w:b/>
          <w:kern w:val="2"/>
          <w:sz w:val="24"/>
          <w:szCs w:val="24"/>
          <w:lang w:val="en-US" w:eastAsia="zh-CN"/>
        </w:rPr>
        <w:t>Ungar B</w:t>
      </w:r>
      <w:r w:rsidRPr="00A624C2">
        <w:rPr>
          <w:rFonts w:ascii="Book Antiqua" w:eastAsia="宋体" w:hAnsi="Book Antiqua" w:cs="Times New Roman"/>
          <w:kern w:val="2"/>
          <w:sz w:val="24"/>
          <w:szCs w:val="24"/>
          <w:lang w:val="en-US" w:eastAsia="zh-CN"/>
        </w:rPr>
        <w:t xml:space="preserve">, Levy I, Yavne Y, </w:t>
      </w:r>
      <w:proofErr w:type="spellStart"/>
      <w:r w:rsidRPr="00A624C2">
        <w:rPr>
          <w:rFonts w:ascii="Book Antiqua" w:eastAsia="宋体" w:hAnsi="Book Antiqua" w:cs="Times New Roman"/>
          <w:kern w:val="2"/>
          <w:sz w:val="24"/>
          <w:szCs w:val="24"/>
          <w:lang w:val="en-US" w:eastAsia="zh-CN"/>
        </w:rPr>
        <w:t>Yavzori</w:t>
      </w:r>
      <w:proofErr w:type="spellEnd"/>
      <w:r w:rsidRPr="00A624C2">
        <w:rPr>
          <w:rFonts w:ascii="Book Antiqua" w:eastAsia="宋体" w:hAnsi="Book Antiqua" w:cs="Times New Roman"/>
          <w:kern w:val="2"/>
          <w:sz w:val="24"/>
          <w:szCs w:val="24"/>
          <w:lang w:val="en-US" w:eastAsia="zh-CN"/>
        </w:rPr>
        <w:t xml:space="preserve"> M, Picard O, </w:t>
      </w:r>
      <w:proofErr w:type="spellStart"/>
      <w:r w:rsidRPr="00A624C2">
        <w:rPr>
          <w:rFonts w:ascii="Book Antiqua" w:eastAsia="宋体" w:hAnsi="Book Antiqua" w:cs="Times New Roman"/>
          <w:kern w:val="2"/>
          <w:sz w:val="24"/>
          <w:szCs w:val="24"/>
          <w:lang w:val="en-US" w:eastAsia="zh-CN"/>
        </w:rPr>
        <w:t>Fudim</w:t>
      </w:r>
      <w:proofErr w:type="spellEnd"/>
      <w:r w:rsidRPr="00A624C2">
        <w:rPr>
          <w:rFonts w:ascii="Book Antiqua" w:eastAsia="宋体" w:hAnsi="Book Antiqua" w:cs="Times New Roman"/>
          <w:kern w:val="2"/>
          <w:sz w:val="24"/>
          <w:szCs w:val="24"/>
          <w:lang w:val="en-US" w:eastAsia="zh-CN"/>
        </w:rPr>
        <w:t xml:space="preserve"> E, </w:t>
      </w:r>
      <w:proofErr w:type="spellStart"/>
      <w:r w:rsidRPr="00A624C2">
        <w:rPr>
          <w:rFonts w:ascii="Book Antiqua" w:eastAsia="宋体" w:hAnsi="Book Antiqua" w:cs="Times New Roman"/>
          <w:kern w:val="2"/>
          <w:sz w:val="24"/>
          <w:szCs w:val="24"/>
          <w:lang w:val="en-US" w:eastAsia="zh-CN"/>
        </w:rPr>
        <w:t>Loebstein</w:t>
      </w:r>
      <w:proofErr w:type="spellEnd"/>
      <w:r w:rsidRPr="00A624C2">
        <w:rPr>
          <w:rFonts w:ascii="Book Antiqua" w:eastAsia="宋体" w:hAnsi="Book Antiqua" w:cs="Times New Roman"/>
          <w:kern w:val="2"/>
          <w:sz w:val="24"/>
          <w:szCs w:val="24"/>
          <w:lang w:val="en-US" w:eastAsia="zh-CN"/>
        </w:rPr>
        <w:t xml:space="preserve"> R, </w:t>
      </w:r>
      <w:proofErr w:type="spellStart"/>
      <w:r w:rsidRPr="00A624C2">
        <w:rPr>
          <w:rFonts w:ascii="Book Antiqua" w:eastAsia="宋体" w:hAnsi="Book Antiqua" w:cs="Times New Roman"/>
          <w:kern w:val="2"/>
          <w:sz w:val="24"/>
          <w:szCs w:val="24"/>
          <w:lang w:val="en-US" w:eastAsia="zh-CN"/>
        </w:rPr>
        <w:t>Chowers</w:t>
      </w:r>
      <w:proofErr w:type="spellEnd"/>
      <w:r w:rsidRPr="00A624C2">
        <w:rPr>
          <w:rFonts w:ascii="Book Antiqua" w:eastAsia="宋体" w:hAnsi="Book Antiqua" w:cs="Times New Roman"/>
          <w:kern w:val="2"/>
          <w:sz w:val="24"/>
          <w:szCs w:val="24"/>
          <w:lang w:val="en-US" w:eastAsia="zh-CN"/>
        </w:rPr>
        <w:t xml:space="preserve"> Y, Eliakim R, </w:t>
      </w:r>
      <w:proofErr w:type="spellStart"/>
      <w:r w:rsidRPr="00A624C2">
        <w:rPr>
          <w:rFonts w:ascii="Book Antiqua" w:eastAsia="宋体" w:hAnsi="Book Antiqua" w:cs="Times New Roman"/>
          <w:kern w:val="2"/>
          <w:sz w:val="24"/>
          <w:szCs w:val="24"/>
          <w:lang w:val="en-US" w:eastAsia="zh-CN"/>
        </w:rPr>
        <w:t>Kopylov</w:t>
      </w:r>
      <w:proofErr w:type="spellEnd"/>
      <w:r w:rsidRPr="00A624C2">
        <w:rPr>
          <w:rFonts w:ascii="Book Antiqua" w:eastAsia="宋体" w:hAnsi="Book Antiqua" w:cs="Times New Roman"/>
          <w:kern w:val="2"/>
          <w:sz w:val="24"/>
          <w:szCs w:val="24"/>
          <w:lang w:val="en-US" w:eastAsia="zh-CN"/>
        </w:rPr>
        <w:t xml:space="preserve"> U, Ben-</w:t>
      </w:r>
      <w:proofErr w:type="spellStart"/>
      <w:r w:rsidRPr="00A624C2">
        <w:rPr>
          <w:rFonts w:ascii="Book Antiqua" w:eastAsia="宋体" w:hAnsi="Book Antiqua" w:cs="Times New Roman"/>
          <w:kern w:val="2"/>
          <w:sz w:val="24"/>
          <w:szCs w:val="24"/>
          <w:lang w:val="en-US" w:eastAsia="zh-CN"/>
        </w:rPr>
        <w:t>Horin</w:t>
      </w:r>
      <w:proofErr w:type="spellEnd"/>
      <w:r w:rsidRPr="00A624C2">
        <w:rPr>
          <w:rFonts w:ascii="Book Antiqua" w:eastAsia="宋体" w:hAnsi="Book Antiqua" w:cs="Times New Roman"/>
          <w:kern w:val="2"/>
          <w:sz w:val="24"/>
          <w:szCs w:val="24"/>
          <w:lang w:val="en-US" w:eastAsia="zh-CN"/>
        </w:rPr>
        <w:t xml:space="preserve"> S. Optimizing Anti-TNF-α Therapy: Serum Levels of Infliximab and Adalimumab Are Associated With Mucosal Healing in Patients With Inflammatory Bowel Diseases. </w:t>
      </w:r>
      <w:r w:rsidRPr="00A624C2">
        <w:rPr>
          <w:rFonts w:ascii="Book Antiqua" w:eastAsia="宋体" w:hAnsi="Book Antiqua" w:cs="Times New Roman"/>
          <w:i/>
          <w:kern w:val="2"/>
          <w:sz w:val="24"/>
          <w:szCs w:val="24"/>
          <w:lang w:val="en-US" w:eastAsia="zh-CN"/>
        </w:rPr>
        <w:t xml:space="preserve">Clin Gastroenterol </w:t>
      </w:r>
      <w:proofErr w:type="spellStart"/>
      <w:r w:rsidRPr="00A624C2">
        <w:rPr>
          <w:rFonts w:ascii="Book Antiqua" w:eastAsia="宋体" w:hAnsi="Book Antiqua" w:cs="Times New Roman"/>
          <w:i/>
          <w:kern w:val="2"/>
          <w:sz w:val="24"/>
          <w:szCs w:val="24"/>
          <w:lang w:val="en-US" w:eastAsia="zh-CN"/>
        </w:rPr>
        <w:t>Hepatol</w:t>
      </w:r>
      <w:proofErr w:type="spellEnd"/>
      <w:r w:rsidRPr="00A624C2">
        <w:rPr>
          <w:rFonts w:ascii="Book Antiqua" w:eastAsia="宋体" w:hAnsi="Book Antiqua" w:cs="Times New Roman"/>
          <w:kern w:val="2"/>
          <w:sz w:val="24"/>
          <w:szCs w:val="24"/>
          <w:lang w:val="en-US" w:eastAsia="zh-CN"/>
        </w:rPr>
        <w:t xml:space="preserve"> 2016; </w:t>
      </w:r>
      <w:r w:rsidRPr="00A624C2">
        <w:rPr>
          <w:rFonts w:ascii="Book Antiqua" w:eastAsia="宋体" w:hAnsi="Book Antiqua" w:cs="Times New Roman"/>
          <w:b/>
          <w:kern w:val="2"/>
          <w:sz w:val="24"/>
          <w:szCs w:val="24"/>
          <w:lang w:val="en-US" w:eastAsia="zh-CN"/>
        </w:rPr>
        <w:t>14</w:t>
      </w:r>
      <w:r w:rsidRPr="00A624C2">
        <w:rPr>
          <w:rFonts w:ascii="Book Antiqua" w:eastAsia="宋体" w:hAnsi="Book Antiqua" w:cs="Times New Roman"/>
          <w:kern w:val="2"/>
          <w:sz w:val="24"/>
          <w:szCs w:val="24"/>
          <w:lang w:val="en-US" w:eastAsia="zh-CN"/>
        </w:rPr>
        <w:t>: 550-</w:t>
      </w:r>
      <w:r w:rsidRPr="00A624C2">
        <w:rPr>
          <w:rFonts w:ascii="Book Antiqua" w:eastAsia="宋体" w:hAnsi="Book Antiqua" w:cs="Times New Roman"/>
          <w:kern w:val="2"/>
          <w:sz w:val="24"/>
          <w:szCs w:val="24"/>
          <w:lang w:val="en-US" w:eastAsia="zh-CN"/>
        </w:rPr>
        <w:lastRenderedPageBreak/>
        <w:t>557.e2 [PMID: 26538204 DOI: 10.1016/j.cgh.2015.10.025]</w:t>
      </w:r>
    </w:p>
    <w:p w14:paraId="1A284FAD" w14:textId="77777777"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20 </w:t>
      </w:r>
      <w:proofErr w:type="spellStart"/>
      <w:r w:rsidRPr="00A624C2">
        <w:rPr>
          <w:rFonts w:ascii="Book Antiqua" w:eastAsia="宋体" w:hAnsi="Book Antiqua" w:cs="Times New Roman"/>
          <w:b/>
          <w:kern w:val="2"/>
          <w:sz w:val="24"/>
          <w:szCs w:val="24"/>
          <w:lang w:val="en-US" w:eastAsia="zh-CN"/>
        </w:rPr>
        <w:t>Vande</w:t>
      </w:r>
      <w:proofErr w:type="spellEnd"/>
      <w:r w:rsidRPr="00A624C2">
        <w:rPr>
          <w:rFonts w:ascii="Book Antiqua" w:eastAsia="宋体" w:hAnsi="Book Antiqua" w:cs="Times New Roman"/>
          <w:b/>
          <w:kern w:val="2"/>
          <w:sz w:val="24"/>
          <w:szCs w:val="24"/>
          <w:lang w:val="en-US" w:eastAsia="zh-CN"/>
        </w:rPr>
        <w:t xml:space="preserve"> </w:t>
      </w:r>
      <w:proofErr w:type="spellStart"/>
      <w:r w:rsidRPr="00A624C2">
        <w:rPr>
          <w:rFonts w:ascii="Book Antiqua" w:eastAsia="宋体" w:hAnsi="Book Antiqua" w:cs="Times New Roman"/>
          <w:b/>
          <w:kern w:val="2"/>
          <w:sz w:val="24"/>
          <w:szCs w:val="24"/>
          <w:lang w:val="en-US" w:eastAsia="zh-CN"/>
        </w:rPr>
        <w:t>Casteele</w:t>
      </w:r>
      <w:proofErr w:type="spellEnd"/>
      <w:r w:rsidRPr="00A624C2">
        <w:rPr>
          <w:rFonts w:ascii="Book Antiqua" w:eastAsia="宋体" w:hAnsi="Book Antiqua" w:cs="Times New Roman"/>
          <w:b/>
          <w:kern w:val="2"/>
          <w:sz w:val="24"/>
          <w:szCs w:val="24"/>
          <w:lang w:val="en-US" w:eastAsia="zh-CN"/>
        </w:rPr>
        <w:t xml:space="preserve"> N</w:t>
      </w:r>
      <w:r w:rsidRPr="00A624C2">
        <w:rPr>
          <w:rFonts w:ascii="Book Antiqua" w:eastAsia="宋体" w:hAnsi="Book Antiqua" w:cs="Times New Roman"/>
          <w:kern w:val="2"/>
          <w:sz w:val="24"/>
          <w:szCs w:val="24"/>
          <w:lang w:val="en-US" w:eastAsia="zh-CN"/>
        </w:rPr>
        <w:t xml:space="preserve">, Ferrante M, Van </w:t>
      </w:r>
      <w:proofErr w:type="spellStart"/>
      <w:r w:rsidRPr="00A624C2">
        <w:rPr>
          <w:rFonts w:ascii="Book Antiqua" w:eastAsia="宋体" w:hAnsi="Book Antiqua" w:cs="Times New Roman"/>
          <w:kern w:val="2"/>
          <w:sz w:val="24"/>
          <w:szCs w:val="24"/>
          <w:lang w:val="en-US" w:eastAsia="zh-CN"/>
        </w:rPr>
        <w:t>Assche</w:t>
      </w:r>
      <w:proofErr w:type="spellEnd"/>
      <w:r w:rsidRPr="00A624C2">
        <w:rPr>
          <w:rFonts w:ascii="Book Antiqua" w:eastAsia="宋体" w:hAnsi="Book Antiqua" w:cs="Times New Roman"/>
          <w:kern w:val="2"/>
          <w:sz w:val="24"/>
          <w:szCs w:val="24"/>
          <w:lang w:val="en-US" w:eastAsia="zh-CN"/>
        </w:rPr>
        <w:t xml:space="preserve"> G, Ballet V, </w:t>
      </w:r>
      <w:proofErr w:type="spellStart"/>
      <w:r w:rsidRPr="00A624C2">
        <w:rPr>
          <w:rFonts w:ascii="Book Antiqua" w:eastAsia="宋体" w:hAnsi="Book Antiqua" w:cs="Times New Roman"/>
          <w:kern w:val="2"/>
          <w:sz w:val="24"/>
          <w:szCs w:val="24"/>
          <w:lang w:val="en-US" w:eastAsia="zh-CN"/>
        </w:rPr>
        <w:t>Compernolle</w:t>
      </w:r>
      <w:proofErr w:type="spellEnd"/>
      <w:r w:rsidRPr="00A624C2">
        <w:rPr>
          <w:rFonts w:ascii="Book Antiqua" w:eastAsia="宋体" w:hAnsi="Book Antiqua" w:cs="Times New Roman"/>
          <w:kern w:val="2"/>
          <w:sz w:val="24"/>
          <w:szCs w:val="24"/>
          <w:lang w:val="en-US" w:eastAsia="zh-CN"/>
        </w:rPr>
        <w:t xml:space="preserve"> G, Van Steen K, </w:t>
      </w:r>
      <w:proofErr w:type="spellStart"/>
      <w:r w:rsidRPr="00A624C2">
        <w:rPr>
          <w:rFonts w:ascii="Book Antiqua" w:eastAsia="宋体" w:hAnsi="Book Antiqua" w:cs="Times New Roman"/>
          <w:kern w:val="2"/>
          <w:sz w:val="24"/>
          <w:szCs w:val="24"/>
          <w:lang w:val="en-US" w:eastAsia="zh-CN"/>
        </w:rPr>
        <w:t>Simoens</w:t>
      </w:r>
      <w:proofErr w:type="spellEnd"/>
      <w:r w:rsidRPr="00A624C2">
        <w:rPr>
          <w:rFonts w:ascii="Book Antiqua" w:eastAsia="宋体" w:hAnsi="Book Antiqua" w:cs="Times New Roman"/>
          <w:kern w:val="2"/>
          <w:sz w:val="24"/>
          <w:szCs w:val="24"/>
          <w:lang w:val="en-US" w:eastAsia="zh-CN"/>
        </w:rPr>
        <w:t xml:space="preserve"> S, </w:t>
      </w:r>
      <w:proofErr w:type="spellStart"/>
      <w:r w:rsidRPr="00A624C2">
        <w:rPr>
          <w:rFonts w:ascii="Book Antiqua" w:eastAsia="宋体" w:hAnsi="Book Antiqua" w:cs="Times New Roman"/>
          <w:kern w:val="2"/>
          <w:sz w:val="24"/>
          <w:szCs w:val="24"/>
          <w:lang w:val="en-US" w:eastAsia="zh-CN"/>
        </w:rPr>
        <w:t>Rutgeerts</w:t>
      </w:r>
      <w:proofErr w:type="spellEnd"/>
      <w:r w:rsidRPr="00A624C2">
        <w:rPr>
          <w:rFonts w:ascii="Book Antiqua" w:eastAsia="宋体" w:hAnsi="Book Antiqua" w:cs="Times New Roman"/>
          <w:kern w:val="2"/>
          <w:sz w:val="24"/>
          <w:szCs w:val="24"/>
          <w:lang w:val="en-US" w:eastAsia="zh-CN"/>
        </w:rPr>
        <w:t xml:space="preserve"> P, Gils A, </w:t>
      </w:r>
      <w:proofErr w:type="spellStart"/>
      <w:r w:rsidRPr="00A624C2">
        <w:rPr>
          <w:rFonts w:ascii="Book Antiqua" w:eastAsia="宋体" w:hAnsi="Book Antiqua" w:cs="Times New Roman"/>
          <w:kern w:val="2"/>
          <w:sz w:val="24"/>
          <w:szCs w:val="24"/>
          <w:lang w:val="en-US" w:eastAsia="zh-CN"/>
        </w:rPr>
        <w:t>Vermeire</w:t>
      </w:r>
      <w:proofErr w:type="spellEnd"/>
      <w:r w:rsidRPr="00A624C2">
        <w:rPr>
          <w:rFonts w:ascii="Book Antiqua" w:eastAsia="宋体" w:hAnsi="Book Antiqua" w:cs="Times New Roman"/>
          <w:kern w:val="2"/>
          <w:sz w:val="24"/>
          <w:szCs w:val="24"/>
          <w:lang w:val="en-US" w:eastAsia="zh-CN"/>
        </w:rPr>
        <w:t xml:space="preserve"> S. Trough concentrations of infliximab guide dosing for patients with inflammatory bowel disease. </w:t>
      </w:r>
      <w:r w:rsidRPr="00A624C2">
        <w:rPr>
          <w:rFonts w:ascii="Book Antiqua" w:eastAsia="宋体" w:hAnsi="Book Antiqua" w:cs="Times New Roman"/>
          <w:i/>
          <w:kern w:val="2"/>
          <w:sz w:val="24"/>
          <w:szCs w:val="24"/>
          <w:lang w:val="en-US" w:eastAsia="zh-CN"/>
        </w:rPr>
        <w:t>Gastroenterology</w:t>
      </w:r>
      <w:r w:rsidRPr="00A624C2">
        <w:rPr>
          <w:rFonts w:ascii="Book Antiqua" w:eastAsia="宋体" w:hAnsi="Book Antiqua" w:cs="Times New Roman"/>
          <w:kern w:val="2"/>
          <w:sz w:val="24"/>
          <w:szCs w:val="24"/>
          <w:lang w:val="en-US" w:eastAsia="zh-CN"/>
        </w:rPr>
        <w:t xml:space="preserve"> 2015; </w:t>
      </w:r>
      <w:r w:rsidRPr="00A624C2">
        <w:rPr>
          <w:rFonts w:ascii="Book Antiqua" w:eastAsia="宋体" w:hAnsi="Book Antiqua" w:cs="Times New Roman"/>
          <w:b/>
          <w:kern w:val="2"/>
          <w:sz w:val="24"/>
          <w:szCs w:val="24"/>
          <w:lang w:val="en-US" w:eastAsia="zh-CN"/>
        </w:rPr>
        <w:t>148</w:t>
      </w:r>
      <w:r w:rsidRPr="00A624C2">
        <w:rPr>
          <w:rFonts w:ascii="Book Antiqua" w:eastAsia="宋体" w:hAnsi="Book Antiqua" w:cs="Times New Roman"/>
          <w:kern w:val="2"/>
          <w:sz w:val="24"/>
          <w:szCs w:val="24"/>
          <w:lang w:val="en-US" w:eastAsia="zh-CN"/>
        </w:rPr>
        <w:t>: 1320-9.e3 [PMID: 25724455 DOI: 10.1053/j.gastro.2015.02.031]</w:t>
      </w:r>
    </w:p>
    <w:p w14:paraId="17856310" w14:textId="16F7CFFA" w:rsidR="00630B6B" w:rsidRPr="00A624C2" w:rsidRDefault="00630B6B" w:rsidP="00630B6B">
      <w:pPr>
        <w:widowControl w:val="0"/>
        <w:spacing w:after="0" w:line="360" w:lineRule="auto"/>
        <w:jc w:val="both"/>
        <w:rPr>
          <w:rFonts w:ascii="Book Antiqua" w:eastAsia="宋体" w:hAnsi="Book Antiqua" w:cs="Times New Roman"/>
          <w:kern w:val="2"/>
          <w:sz w:val="24"/>
          <w:szCs w:val="24"/>
          <w:lang w:val="en-US" w:eastAsia="zh-CN"/>
        </w:rPr>
      </w:pPr>
      <w:r w:rsidRPr="00A624C2">
        <w:rPr>
          <w:rFonts w:ascii="Book Antiqua" w:eastAsia="宋体" w:hAnsi="Book Antiqua" w:cs="Times New Roman"/>
          <w:kern w:val="2"/>
          <w:sz w:val="24"/>
          <w:szCs w:val="24"/>
          <w:lang w:val="en-US" w:eastAsia="zh-CN"/>
        </w:rPr>
        <w:t xml:space="preserve">21 </w:t>
      </w:r>
      <w:proofErr w:type="spellStart"/>
      <w:r w:rsidRPr="00A624C2">
        <w:rPr>
          <w:rFonts w:ascii="Book Antiqua" w:eastAsia="宋体" w:hAnsi="Book Antiqua" w:cs="Times New Roman"/>
          <w:b/>
          <w:kern w:val="2"/>
          <w:sz w:val="24"/>
          <w:szCs w:val="24"/>
          <w:lang w:val="en-US" w:eastAsia="zh-CN"/>
        </w:rPr>
        <w:t>D’Haens</w:t>
      </w:r>
      <w:proofErr w:type="spellEnd"/>
      <w:r w:rsidRPr="00A624C2">
        <w:rPr>
          <w:rFonts w:ascii="Book Antiqua" w:eastAsia="宋体" w:hAnsi="Book Antiqua" w:cs="Times New Roman"/>
          <w:b/>
          <w:kern w:val="2"/>
          <w:sz w:val="24"/>
          <w:szCs w:val="24"/>
          <w:lang w:val="en-US" w:eastAsia="zh-CN"/>
        </w:rPr>
        <w:t xml:space="preserve"> G</w:t>
      </w:r>
      <w:r w:rsidRPr="00A624C2">
        <w:rPr>
          <w:rFonts w:ascii="Book Antiqua" w:eastAsia="宋体" w:hAnsi="Book Antiqua" w:cs="Times New Roman"/>
          <w:kern w:val="2"/>
          <w:sz w:val="24"/>
          <w:szCs w:val="24"/>
          <w:lang w:val="en-US" w:eastAsia="zh-CN"/>
        </w:rPr>
        <w:t xml:space="preserve">, </w:t>
      </w:r>
      <w:proofErr w:type="spellStart"/>
      <w:r w:rsidRPr="00A624C2">
        <w:rPr>
          <w:rFonts w:ascii="Book Antiqua" w:eastAsia="宋体" w:hAnsi="Book Antiqua" w:cs="Times New Roman"/>
          <w:kern w:val="2"/>
          <w:sz w:val="24"/>
          <w:szCs w:val="24"/>
          <w:lang w:val="en-US" w:eastAsia="zh-CN"/>
        </w:rPr>
        <w:t>Vermeire</w:t>
      </w:r>
      <w:proofErr w:type="spellEnd"/>
      <w:r w:rsidRPr="00A624C2">
        <w:rPr>
          <w:rFonts w:ascii="Book Antiqua" w:eastAsia="宋体" w:hAnsi="Book Antiqua" w:cs="Times New Roman"/>
          <w:kern w:val="2"/>
          <w:sz w:val="24"/>
          <w:szCs w:val="24"/>
          <w:lang w:val="en-US" w:eastAsia="zh-CN"/>
        </w:rPr>
        <w:t xml:space="preserve"> S, Lambrecht G, </w:t>
      </w:r>
      <w:proofErr w:type="spellStart"/>
      <w:r w:rsidRPr="00A624C2">
        <w:rPr>
          <w:rFonts w:ascii="Book Antiqua" w:eastAsia="宋体" w:hAnsi="Book Antiqua" w:cs="Times New Roman"/>
          <w:kern w:val="2"/>
          <w:sz w:val="24"/>
          <w:szCs w:val="24"/>
          <w:lang w:val="en-US" w:eastAsia="zh-CN"/>
        </w:rPr>
        <w:t>Baert</w:t>
      </w:r>
      <w:proofErr w:type="spellEnd"/>
      <w:r w:rsidRPr="00A624C2">
        <w:rPr>
          <w:rFonts w:ascii="Book Antiqua" w:eastAsia="宋体" w:hAnsi="Book Antiqua" w:cs="Times New Roman"/>
          <w:kern w:val="2"/>
          <w:sz w:val="24"/>
          <w:szCs w:val="24"/>
          <w:lang w:val="en-US" w:eastAsia="zh-CN"/>
        </w:rPr>
        <w:t xml:space="preserve"> F, </w:t>
      </w:r>
      <w:proofErr w:type="spellStart"/>
      <w:r w:rsidRPr="00A624C2">
        <w:rPr>
          <w:rFonts w:ascii="Book Antiqua" w:eastAsia="宋体" w:hAnsi="Book Antiqua" w:cs="Times New Roman"/>
          <w:kern w:val="2"/>
          <w:sz w:val="24"/>
          <w:szCs w:val="24"/>
          <w:lang w:val="en-US" w:eastAsia="zh-CN"/>
        </w:rPr>
        <w:t>Bossuyt</w:t>
      </w:r>
      <w:proofErr w:type="spellEnd"/>
      <w:r w:rsidRPr="00A624C2">
        <w:rPr>
          <w:rFonts w:ascii="Book Antiqua" w:eastAsia="宋体" w:hAnsi="Book Antiqua" w:cs="Times New Roman"/>
          <w:kern w:val="2"/>
          <w:sz w:val="24"/>
          <w:szCs w:val="24"/>
          <w:lang w:val="en-US" w:eastAsia="zh-CN"/>
        </w:rPr>
        <w:t xml:space="preserve"> P, </w:t>
      </w:r>
      <w:proofErr w:type="spellStart"/>
      <w:r w:rsidRPr="00A624C2">
        <w:rPr>
          <w:rFonts w:ascii="Book Antiqua" w:eastAsia="宋体" w:hAnsi="Book Antiqua" w:cs="Times New Roman"/>
          <w:kern w:val="2"/>
          <w:sz w:val="24"/>
          <w:szCs w:val="24"/>
          <w:lang w:val="en-US" w:eastAsia="zh-CN"/>
        </w:rPr>
        <w:t>Pariente</w:t>
      </w:r>
      <w:proofErr w:type="spellEnd"/>
      <w:r w:rsidRPr="00A624C2">
        <w:rPr>
          <w:rFonts w:ascii="Book Antiqua" w:eastAsia="宋体" w:hAnsi="Book Antiqua" w:cs="Times New Roman"/>
          <w:kern w:val="2"/>
          <w:sz w:val="24"/>
          <w:szCs w:val="24"/>
          <w:lang w:val="en-US" w:eastAsia="zh-CN"/>
        </w:rPr>
        <w:t xml:space="preserve"> B, Buisson A, </w:t>
      </w:r>
      <w:proofErr w:type="spellStart"/>
      <w:r w:rsidRPr="00A624C2">
        <w:rPr>
          <w:rFonts w:ascii="Book Antiqua" w:eastAsia="宋体" w:hAnsi="Book Antiqua" w:cs="Times New Roman"/>
          <w:kern w:val="2"/>
          <w:sz w:val="24"/>
          <w:szCs w:val="24"/>
          <w:lang w:val="en-US" w:eastAsia="zh-CN"/>
        </w:rPr>
        <w:t>Bouhnik</w:t>
      </w:r>
      <w:proofErr w:type="spellEnd"/>
      <w:r w:rsidRPr="00A624C2">
        <w:rPr>
          <w:rFonts w:ascii="Book Antiqua" w:eastAsia="宋体" w:hAnsi="Book Antiqua" w:cs="Times New Roman"/>
          <w:kern w:val="2"/>
          <w:sz w:val="24"/>
          <w:szCs w:val="24"/>
          <w:lang w:val="en-US" w:eastAsia="zh-CN"/>
        </w:rPr>
        <w:t xml:space="preserve"> Y, </w:t>
      </w:r>
      <w:proofErr w:type="spellStart"/>
      <w:r w:rsidRPr="00A624C2">
        <w:rPr>
          <w:rFonts w:ascii="Book Antiqua" w:eastAsia="宋体" w:hAnsi="Book Antiqua" w:cs="Times New Roman"/>
          <w:kern w:val="2"/>
          <w:sz w:val="24"/>
          <w:szCs w:val="24"/>
          <w:lang w:val="en-US" w:eastAsia="zh-CN"/>
        </w:rPr>
        <w:t>Filippi</w:t>
      </w:r>
      <w:proofErr w:type="spellEnd"/>
      <w:r w:rsidRPr="00A624C2">
        <w:rPr>
          <w:rFonts w:ascii="Book Antiqua" w:eastAsia="宋体" w:hAnsi="Book Antiqua" w:cs="Times New Roman"/>
          <w:kern w:val="2"/>
          <w:sz w:val="24"/>
          <w:szCs w:val="24"/>
          <w:lang w:val="en-US" w:eastAsia="zh-CN"/>
        </w:rPr>
        <w:t xml:space="preserve"> J, Vander </w:t>
      </w:r>
      <w:proofErr w:type="spellStart"/>
      <w:r w:rsidRPr="00A624C2">
        <w:rPr>
          <w:rFonts w:ascii="Book Antiqua" w:eastAsia="宋体" w:hAnsi="Book Antiqua" w:cs="Times New Roman"/>
          <w:kern w:val="2"/>
          <w:sz w:val="24"/>
          <w:szCs w:val="24"/>
          <w:lang w:val="en-US" w:eastAsia="zh-CN"/>
        </w:rPr>
        <w:t>Woude</w:t>
      </w:r>
      <w:proofErr w:type="spellEnd"/>
      <w:r w:rsidRPr="00A624C2">
        <w:rPr>
          <w:rFonts w:ascii="Book Antiqua" w:eastAsia="宋体" w:hAnsi="Book Antiqua" w:cs="Times New Roman"/>
          <w:kern w:val="2"/>
          <w:sz w:val="24"/>
          <w:szCs w:val="24"/>
          <w:lang w:val="en-US" w:eastAsia="zh-CN"/>
        </w:rPr>
        <w:t xml:space="preserve"> J, Van </w:t>
      </w:r>
      <w:proofErr w:type="spellStart"/>
      <w:r w:rsidRPr="00A624C2">
        <w:rPr>
          <w:rFonts w:ascii="Book Antiqua" w:eastAsia="宋体" w:hAnsi="Book Antiqua" w:cs="Times New Roman"/>
          <w:kern w:val="2"/>
          <w:sz w:val="24"/>
          <w:szCs w:val="24"/>
          <w:lang w:val="en-US" w:eastAsia="zh-CN"/>
        </w:rPr>
        <w:t>Hootegem</w:t>
      </w:r>
      <w:proofErr w:type="spellEnd"/>
      <w:r w:rsidRPr="00A624C2">
        <w:rPr>
          <w:rFonts w:ascii="Book Antiqua" w:eastAsia="宋体" w:hAnsi="Book Antiqua" w:cs="Times New Roman"/>
          <w:kern w:val="2"/>
          <w:sz w:val="24"/>
          <w:szCs w:val="24"/>
          <w:lang w:val="en-US" w:eastAsia="zh-CN"/>
        </w:rPr>
        <w:t xml:space="preserve"> P, Moreau J, Louis E, </w:t>
      </w:r>
      <w:proofErr w:type="spellStart"/>
      <w:r w:rsidRPr="00A624C2">
        <w:rPr>
          <w:rFonts w:ascii="Book Antiqua" w:eastAsia="宋体" w:hAnsi="Book Antiqua" w:cs="Times New Roman"/>
          <w:kern w:val="2"/>
          <w:sz w:val="24"/>
          <w:szCs w:val="24"/>
          <w:lang w:val="en-US" w:eastAsia="zh-CN"/>
        </w:rPr>
        <w:t>Franchimont</w:t>
      </w:r>
      <w:proofErr w:type="spellEnd"/>
      <w:r w:rsidRPr="00A624C2">
        <w:rPr>
          <w:rFonts w:ascii="Book Antiqua" w:eastAsia="宋体" w:hAnsi="Book Antiqua" w:cs="Times New Roman"/>
          <w:kern w:val="2"/>
          <w:sz w:val="24"/>
          <w:szCs w:val="24"/>
          <w:lang w:val="en-US" w:eastAsia="zh-CN"/>
        </w:rPr>
        <w:t xml:space="preserve"> D, De Vos M, Mana F, </w:t>
      </w:r>
      <w:proofErr w:type="spellStart"/>
      <w:r w:rsidRPr="00A624C2">
        <w:rPr>
          <w:rFonts w:ascii="Book Antiqua" w:eastAsia="宋体" w:hAnsi="Book Antiqua" w:cs="Times New Roman"/>
          <w:kern w:val="2"/>
          <w:sz w:val="24"/>
          <w:szCs w:val="24"/>
          <w:lang w:val="en-US" w:eastAsia="zh-CN"/>
        </w:rPr>
        <w:t>Peyrin-Biroulet</w:t>
      </w:r>
      <w:proofErr w:type="spellEnd"/>
      <w:r w:rsidRPr="00A624C2">
        <w:rPr>
          <w:rFonts w:ascii="Book Antiqua" w:eastAsia="宋体" w:hAnsi="Book Antiqua" w:cs="Times New Roman"/>
          <w:kern w:val="2"/>
          <w:sz w:val="24"/>
          <w:szCs w:val="24"/>
          <w:lang w:val="en-US" w:eastAsia="zh-CN"/>
        </w:rPr>
        <w:t xml:space="preserve"> L, </w:t>
      </w:r>
      <w:proofErr w:type="spellStart"/>
      <w:r w:rsidRPr="00A624C2">
        <w:rPr>
          <w:rFonts w:ascii="Book Antiqua" w:eastAsia="宋体" w:hAnsi="Book Antiqua" w:cs="Times New Roman"/>
          <w:kern w:val="2"/>
          <w:sz w:val="24"/>
          <w:szCs w:val="24"/>
          <w:lang w:val="en-US" w:eastAsia="zh-CN"/>
        </w:rPr>
        <w:t>Brixi</w:t>
      </w:r>
      <w:proofErr w:type="spellEnd"/>
      <w:r w:rsidRPr="00A624C2">
        <w:rPr>
          <w:rFonts w:ascii="Book Antiqua" w:eastAsia="宋体" w:hAnsi="Book Antiqua" w:cs="Times New Roman"/>
          <w:kern w:val="2"/>
          <w:sz w:val="24"/>
          <w:szCs w:val="24"/>
          <w:lang w:val="en-US" w:eastAsia="zh-CN"/>
        </w:rPr>
        <w:t xml:space="preserve"> H, </w:t>
      </w:r>
      <w:proofErr w:type="spellStart"/>
      <w:r w:rsidRPr="00A624C2">
        <w:rPr>
          <w:rFonts w:ascii="Book Antiqua" w:eastAsia="宋体" w:hAnsi="Book Antiqua" w:cs="Times New Roman"/>
          <w:kern w:val="2"/>
          <w:sz w:val="24"/>
          <w:szCs w:val="24"/>
          <w:lang w:val="en-US" w:eastAsia="zh-CN"/>
        </w:rPr>
        <w:t>Allez</w:t>
      </w:r>
      <w:proofErr w:type="spellEnd"/>
      <w:r w:rsidRPr="00A624C2">
        <w:rPr>
          <w:rFonts w:ascii="Book Antiqua" w:eastAsia="宋体" w:hAnsi="Book Antiqua" w:cs="Times New Roman"/>
          <w:kern w:val="2"/>
          <w:sz w:val="24"/>
          <w:szCs w:val="24"/>
          <w:lang w:val="en-US" w:eastAsia="zh-CN"/>
        </w:rPr>
        <w:t xml:space="preserve"> M, </w:t>
      </w:r>
      <w:proofErr w:type="spellStart"/>
      <w:r w:rsidRPr="00A624C2">
        <w:rPr>
          <w:rFonts w:ascii="Book Antiqua" w:eastAsia="宋体" w:hAnsi="Book Antiqua" w:cs="Times New Roman"/>
          <w:kern w:val="2"/>
          <w:sz w:val="24"/>
          <w:szCs w:val="24"/>
          <w:lang w:val="en-US" w:eastAsia="zh-CN"/>
        </w:rPr>
        <w:t>Caenepeel</w:t>
      </w:r>
      <w:proofErr w:type="spellEnd"/>
      <w:r w:rsidRPr="00A624C2">
        <w:rPr>
          <w:rFonts w:ascii="Book Antiqua" w:eastAsia="宋体" w:hAnsi="Book Antiqua" w:cs="Times New Roman"/>
          <w:kern w:val="2"/>
          <w:sz w:val="24"/>
          <w:szCs w:val="24"/>
          <w:lang w:val="en-US" w:eastAsia="zh-CN"/>
        </w:rPr>
        <w:t xml:space="preserve"> P, </w:t>
      </w:r>
      <w:proofErr w:type="spellStart"/>
      <w:r w:rsidRPr="00A624C2">
        <w:rPr>
          <w:rFonts w:ascii="Book Antiqua" w:eastAsia="宋体" w:hAnsi="Book Antiqua" w:cs="Times New Roman"/>
          <w:kern w:val="2"/>
          <w:sz w:val="24"/>
          <w:szCs w:val="24"/>
          <w:lang w:val="en-US" w:eastAsia="zh-CN"/>
        </w:rPr>
        <w:t>Aubourg</w:t>
      </w:r>
      <w:proofErr w:type="spellEnd"/>
      <w:r w:rsidRPr="00A624C2">
        <w:rPr>
          <w:rFonts w:ascii="Book Antiqua" w:eastAsia="宋体" w:hAnsi="Book Antiqua" w:cs="Times New Roman"/>
          <w:kern w:val="2"/>
          <w:sz w:val="24"/>
          <w:szCs w:val="24"/>
          <w:lang w:val="en-US" w:eastAsia="zh-CN"/>
        </w:rPr>
        <w:t xml:space="preserve"> A, Oldenburg B, </w:t>
      </w:r>
      <w:proofErr w:type="spellStart"/>
      <w:r w:rsidRPr="00A624C2">
        <w:rPr>
          <w:rFonts w:ascii="Book Antiqua" w:eastAsia="宋体" w:hAnsi="Book Antiqua" w:cs="Times New Roman"/>
          <w:kern w:val="2"/>
          <w:sz w:val="24"/>
          <w:szCs w:val="24"/>
          <w:lang w:val="en-US" w:eastAsia="zh-CN"/>
        </w:rPr>
        <w:t>Pierik</w:t>
      </w:r>
      <w:proofErr w:type="spellEnd"/>
      <w:r w:rsidRPr="00A624C2">
        <w:rPr>
          <w:rFonts w:ascii="Book Antiqua" w:eastAsia="宋体" w:hAnsi="Book Antiqua" w:cs="Times New Roman"/>
          <w:kern w:val="2"/>
          <w:sz w:val="24"/>
          <w:szCs w:val="24"/>
          <w:lang w:val="en-US" w:eastAsia="zh-CN"/>
        </w:rPr>
        <w:t xml:space="preserve"> M, Gils A, </w:t>
      </w:r>
      <w:proofErr w:type="spellStart"/>
      <w:r w:rsidRPr="00A624C2">
        <w:rPr>
          <w:rFonts w:ascii="Book Antiqua" w:eastAsia="宋体" w:hAnsi="Book Antiqua" w:cs="Times New Roman"/>
          <w:kern w:val="2"/>
          <w:sz w:val="24"/>
          <w:szCs w:val="24"/>
          <w:lang w:val="en-US" w:eastAsia="zh-CN"/>
        </w:rPr>
        <w:t>Chevret</w:t>
      </w:r>
      <w:proofErr w:type="spellEnd"/>
      <w:r w:rsidRPr="00A624C2">
        <w:rPr>
          <w:rFonts w:ascii="Book Antiqua" w:eastAsia="宋体" w:hAnsi="Book Antiqua" w:cs="Times New Roman"/>
          <w:kern w:val="2"/>
          <w:sz w:val="24"/>
          <w:szCs w:val="24"/>
          <w:lang w:val="en-US" w:eastAsia="zh-CN"/>
        </w:rPr>
        <w:t xml:space="preserve"> S, </w:t>
      </w:r>
      <w:proofErr w:type="spellStart"/>
      <w:r w:rsidRPr="00A624C2">
        <w:rPr>
          <w:rFonts w:ascii="Book Antiqua" w:eastAsia="宋体" w:hAnsi="Book Antiqua" w:cs="Times New Roman"/>
          <w:kern w:val="2"/>
          <w:sz w:val="24"/>
          <w:szCs w:val="24"/>
          <w:lang w:val="en-US" w:eastAsia="zh-CN"/>
        </w:rPr>
        <w:t>Laharie</w:t>
      </w:r>
      <w:proofErr w:type="spellEnd"/>
      <w:r w:rsidRPr="00A624C2">
        <w:rPr>
          <w:rFonts w:ascii="Book Antiqua" w:eastAsia="宋体" w:hAnsi="Book Antiqua" w:cs="Times New Roman"/>
          <w:kern w:val="2"/>
          <w:sz w:val="24"/>
          <w:szCs w:val="24"/>
          <w:lang w:val="en-US" w:eastAsia="zh-CN"/>
        </w:rPr>
        <w:t xml:space="preserve"> D; GETAID. Increasing Infliximab Dose Based on Symptoms, Biomarkers, and Serum Drug Concentrations Does Not Increase Clinical, Endoscopic, and Corticosteroid-Free Remission in Patients With Active Luminal Crohn's Disease. </w:t>
      </w:r>
      <w:r w:rsidRPr="00A624C2">
        <w:rPr>
          <w:rFonts w:ascii="Book Antiqua" w:eastAsia="宋体" w:hAnsi="Book Antiqua" w:cs="Times New Roman"/>
          <w:i/>
          <w:kern w:val="2"/>
          <w:sz w:val="24"/>
          <w:szCs w:val="24"/>
          <w:lang w:val="en-US" w:eastAsia="zh-CN"/>
        </w:rPr>
        <w:t>Gastroenterology</w:t>
      </w:r>
      <w:r w:rsidRPr="00A624C2">
        <w:rPr>
          <w:rFonts w:ascii="Book Antiqua" w:eastAsia="宋体" w:hAnsi="Book Antiqua" w:cs="Times New Roman"/>
          <w:kern w:val="2"/>
          <w:sz w:val="24"/>
          <w:szCs w:val="24"/>
          <w:lang w:val="en-US" w:eastAsia="zh-CN"/>
        </w:rPr>
        <w:t xml:space="preserve"> 2018; </w:t>
      </w:r>
      <w:r w:rsidRPr="00A624C2">
        <w:rPr>
          <w:rFonts w:ascii="Book Antiqua" w:eastAsia="宋体" w:hAnsi="Book Antiqua" w:cs="Times New Roman"/>
          <w:b/>
          <w:kern w:val="2"/>
          <w:sz w:val="24"/>
          <w:szCs w:val="24"/>
          <w:lang w:val="en-US" w:eastAsia="zh-CN"/>
        </w:rPr>
        <w:t>154</w:t>
      </w:r>
      <w:r w:rsidRPr="00A624C2">
        <w:rPr>
          <w:rFonts w:ascii="Book Antiqua" w:eastAsia="宋体" w:hAnsi="Book Antiqua" w:cs="Times New Roman"/>
          <w:kern w:val="2"/>
          <w:sz w:val="24"/>
          <w:szCs w:val="24"/>
          <w:lang w:val="en-US" w:eastAsia="zh-CN"/>
        </w:rPr>
        <w:t>: 1343-1351.e1 [PMID: 29317275 DOI: 10.1053/j.gastro.2018.01.004]</w:t>
      </w:r>
    </w:p>
    <w:p w14:paraId="149138F6" w14:textId="1F9D4E5F" w:rsidR="00630B6B" w:rsidRPr="00A624C2" w:rsidRDefault="00630B6B" w:rsidP="00630B6B">
      <w:pPr>
        <w:wordWrap w:val="0"/>
        <w:adjustRightInd w:val="0"/>
        <w:snapToGrid w:val="0"/>
        <w:spacing w:line="360" w:lineRule="auto"/>
        <w:jc w:val="right"/>
        <w:rPr>
          <w:rFonts w:ascii="Book Antiqua" w:hAnsi="Book Antiqua"/>
          <w:color w:val="000000"/>
          <w:sz w:val="24"/>
          <w:szCs w:val="24"/>
        </w:rPr>
      </w:pPr>
      <w:bookmarkStart w:id="10" w:name="OLE_LINK139"/>
      <w:bookmarkStart w:id="11" w:name="OLE_LINK140"/>
      <w:bookmarkStart w:id="12" w:name="OLE_LINK287"/>
      <w:bookmarkStart w:id="13" w:name="OLE_LINK288"/>
      <w:bookmarkStart w:id="14" w:name="OLE_LINK70"/>
      <w:bookmarkStart w:id="15" w:name="OLE_LINK110"/>
      <w:bookmarkStart w:id="16" w:name="OLE_LINK109"/>
      <w:bookmarkStart w:id="17" w:name="OLE_LINK138"/>
      <w:bookmarkStart w:id="18" w:name="OLE_LINK72"/>
      <w:bookmarkStart w:id="19" w:name="OLE_LINK116"/>
      <w:bookmarkStart w:id="20" w:name="OLE_LINK95"/>
      <w:bookmarkStart w:id="21" w:name="OLE_LINK118"/>
      <w:bookmarkStart w:id="22" w:name="OLE_LINK198"/>
      <w:bookmarkStart w:id="23" w:name="OLE_LINK154"/>
      <w:bookmarkStart w:id="24" w:name="OLE_LINK251"/>
      <w:bookmarkStart w:id="25" w:name="OLE_LINK167"/>
      <w:bookmarkStart w:id="26" w:name="OLE_LINK126"/>
      <w:bookmarkStart w:id="27" w:name="OLE_LINK234"/>
      <w:bookmarkStart w:id="28" w:name="OLE_LINK157"/>
      <w:bookmarkStart w:id="29" w:name="OLE_LINK187"/>
      <w:bookmarkStart w:id="30" w:name="OLE_LINK204"/>
      <w:bookmarkStart w:id="31" w:name="OLE_LINK255"/>
      <w:bookmarkStart w:id="32" w:name="OLE_LINK229"/>
      <w:bookmarkStart w:id="33" w:name="OLE_LINK268"/>
      <w:bookmarkStart w:id="34" w:name="OLE_LINK310"/>
      <w:bookmarkStart w:id="35" w:name="OLE_LINK338"/>
      <w:bookmarkStart w:id="36" w:name="OLE_LINK340"/>
      <w:bookmarkStart w:id="37" w:name="OLE_LINK264"/>
      <w:bookmarkStart w:id="38" w:name="OLE_LINK345"/>
      <w:bookmarkStart w:id="39" w:name="OLE_LINK256"/>
      <w:bookmarkStart w:id="40" w:name="OLE_LINK299"/>
      <w:bookmarkStart w:id="41" w:name="OLE_LINK265"/>
      <w:bookmarkStart w:id="42" w:name="OLE_LINK254"/>
      <w:bookmarkStart w:id="43" w:name="OLE_LINK357"/>
      <w:bookmarkStart w:id="44" w:name="OLE_LINK382"/>
      <w:bookmarkStart w:id="45" w:name="OLE_LINK333"/>
      <w:bookmarkStart w:id="46" w:name="OLE_LINK334"/>
      <w:bookmarkStart w:id="47" w:name="OLE_LINK400"/>
      <w:bookmarkStart w:id="48" w:name="OLE_LINK365"/>
      <w:bookmarkStart w:id="49" w:name="OLE_LINK467"/>
      <w:bookmarkStart w:id="50" w:name="OLE_LINK399"/>
      <w:bookmarkStart w:id="51" w:name="OLE_LINK443"/>
      <w:bookmarkStart w:id="52" w:name="OLE_LINK372"/>
      <w:bookmarkStart w:id="53" w:name="OLE_LINK450"/>
      <w:bookmarkStart w:id="54" w:name="OLE_LINK402"/>
      <w:bookmarkStart w:id="55" w:name="OLE_LINK385"/>
      <w:bookmarkStart w:id="56" w:name="OLE_LINK396"/>
      <w:bookmarkStart w:id="57" w:name="OLE_LINK436"/>
      <w:bookmarkStart w:id="58" w:name="OLE_LINK421"/>
      <w:r w:rsidRPr="00A624C2">
        <w:rPr>
          <w:rFonts w:ascii="Book Antiqua" w:hAnsi="Book Antiqua"/>
          <w:b/>
          <w:bCs/>
          <w:color w:val="000000"/>
          <w:sz w:val="24"/>
          <w:szCs w:val="24"/>
        </w:rPr>
        <w:t>P-Reviewer:</w:t>
      </w:r>
      <w:r w:rsidRPr="00A624C2">
        <w:rPr>
          <w:rFonts w:ascii="Book Antiqua" w:hAnsi="Book Antiqua"/>
          <w:bCs/>
          <w:color w:val="000000"/>
          <w:sz w:val="24"/>
          <w:szCs w:val="24"/>
        </w:rPr>
        <w:t xml:space="preserve"> Sipahi</w:t>
      </w:r>
      <w:r w:rsidRPr="00A624C2">
        <w:rPr>
          <w:rFonts w:ascii="Book Antiqua" w:eastAsia="宋体" w:hAnsi="Book Antiqua"/>
          <w:bCs/>
          <w:color w:val="000000"/>
          <w:sz w:val="24"/>
          <w:szCs w:val="24"/>
          <w:lang w:eastAsia="zh-CN"/>
        </w:rPr>
        <w:t xml:space="preserve"> AM, Tahan V </w:t>
      </w:r>
      <w:r w:rsidRPr="00A624C2">
        <w:rPr>
          <w:rFonts w:ascii="Book Antiqua" w:hAnsi="Book Antiqua"/>
          <w:b/>
          <w:bCs/>
          <w:color w:val="000000"/>
          <w:sz w:val="24"/>
          <w:szCs w:val="24"/>
        </w:rPr>
        <w:t>S-Editor:</w:t>
      </w:r>
      <w:r w:rsidRPr="00A624C2">
        <w:rPr>
          <w:rFonts w:ascii="Book Antiqua" w:hAnsi="Book Antiqua"/>
          <w:color w:val="000000"/>
          <w:sz w:val="24"/>
          <w:szCs w:val="24"/>
        </w:rPr>
        <w:t xml:space="preserve"> Yan JP</w:t>
      </w:r>
    </w:p>
    <w:p w14:paraId="2242F5E2" w14:textId="43582A6C" w:rsidR="00630B6B" w:rsidRPr="00A624C2" w:rsidRDefault="00630B6B" w:rsidP="00A624C2">
      <w:pPr>
        <w:wordWrap w:val="0"/>
        <w:adjustRightInd w:val="0"/>
        <w:snapToGrid w:val="0"/>
        <w:spacing w:line="360" w:lineRule="auto"/>
        <w:jc w:val="right"/>
        <w:rPr>
          <w:rFonts w:ascii="Book Antiqua" w:hAnsi="Book Antiqua"/>
          <w:b/>
          <w:bCs/>
          <w:color w:val="000000"/>
          <w:sz w:val="24"/>
          <w:szCs w:val="24"/>
        </w:rPr>
      </w:pPr>
      <w:r w:rsidRPr="00A624C2">
        <w:rPr>
          <w:rFonts w:ascii="Book Antiqua" w:hAnsi="Book Antiqua"/>
          <w:b/>
          <w:bCs/>
          <w:color w:val="000000"/>
          <w:sz w:val="24"/>
          <w:szCs w:val="24"/>
        </w:rPr>
        <w:t>L-Editor:</w:t>
      </w:r>
      <w:r w:rsidRPr="00A624C2">
        <w:rPr>
          <w:rFonts w:ascii="Book Antiqua" w:hAnsi="Book Antiqua"/>
          <w:color w:val="000000"/>
          <w:sz w:val="24"/>
          <w:szCs w:val="24"/>
        </w:rPr>
        <w:t xml:space="preserve"> </w:t>
      </w:r>
      <w:r w:rsidR="00A624C2">
        <w:rPr>
          <w:rFonts w:ascii="Book Antiqua" w:hAnsi="Book Antiqua"/>
          <w:color w:val="000000"/>
          <w:sz w:val="24"/>
          <w:szCs w:val="24"/>
        </w:rPr>
        <w:t xml:space="preserve">A </w:t>
      </w:r>
      <w:r w:rsidRPr="00A624C2">
        <w:rPr>
          <w:rFonts w:ascii="Book Antiqua" w:hAnsi="Book Antiqua"/>
          <w:b/>
          <w:bCs/>
          <w:color w:val="000000"/>
          <w:sz w:val="24"/>
          <w:szCs w:val="24"/>
        </w:rPr>
        <w:t>E-Editor:</w:t>
      </w:r>
      <w:r w:rsidR="00A624C2" w:rsidRPr="00A624C2">
        <w:rPr>
          <w:rFonts w:ascii="Book Antiqua" w:hAnsi="Book Antiqua"/>
          <w:bCs/>
          <w:color w:val="000000"/>
          <w:sz w:val="24"/>
          <w:szCs w:val="24"/>
        </w:rPr>
        <w:t xml:space="preserve"> Son</w:t>
      </w:r>
      <w:bookmarkStart w:id="59" w:name="_GoBack"/>
      <w:bookmarkEnd w:id="59"/>
      <w:r w:rsidR="00A624C2" w:rsidRPr="00A624C2">
        <w:rPr>
          <w:rFonts w:ascii="Book Antiqua" w:hAnsi="Book Antiqua"/>
          <w:bCs/>
          <w:color w:val="000000"/>
          <w:sz w:val="24"/>
          <w:szCs w:val="24"/>
        </w:rPr>
        <w:t>g H</w:t>
      </w:r>
    </w:p>
    <w:bookmarkEnd w:id="10"/>
    <w:bookmarkEnd w:id="11"/>
    <w:p w14:paraId="1403F0F4" w14:textId="75F93167" w:rsidR="00897415" w:rsidRPr="00A624C2" w:rsidRDefault="00630B6B" w:rsidP="00630B6B">
      <w:pPr>
        <w:spacing w:line="360" w:lineRule="auto"/>
        <w:rPr>
          <w:rFonts w:ascii="Book Antiqua" w:eastAsia="宋体" w:hAnsi="Book Antiqua" w:cs="宋体"/>
          <w:sz w:val="24"/>
          <w:szCs w:val="24"/>
          <w:lang w:eastAsia="zh-CN"/>
        </w:rPr>
      </w:pPr>
      <w:r w:rsidRPr="00A624C2">
        <w:rPr>
          <w:rFonts w:ascii="Book Antiqua" w:hAnsi="Book Antiqua" w:cs="宋体"/>
          <w:b/>
          <w:sz w:val="24"/>
          <w:szCs w:val="24"/>
        </w:rPr>
        <w:t xml:space="preserve">Specialty type: </w:t>
      </w:r>
      <w:r w:rsidRPr="00A624C2">
        <w:rPr>
          <w:rFonts w:ascii="Book Antiqua" w:eastAsia="微软雅黑" w:hAnsi="Book Antiqua" w:cs="宋体"/>
          <w:sz w:val="24"/>
          <w:szCs w:val="24"/>
        </w:rPr>
        <w:t>Gastroenterology and hepatology</w:t>
      </w:r>
      <w:r w:rsidRPr="00A624C2">
        <w:rPr>
          <w:rFonts w:ascii="Book Antiqua" w:hAnsi="Book Antiqua" w:cs="宋体"/>
          <w:sz w:val="24"/>
          <w:szCs w:val="24"/>
        </w:rPr>
        <w:t xml:space="preserve"> </w:t>
      </w:r>
      <w:r w:rsidRPr="00A624C2">
        <w:rPr>
          <w:rFonts w:ascii="Book Antiqua" w:hAnsi="Book Antiqua" w:cs="宋体"/>
          <w:sz w:val="24"/>
          <w:szCs w:val="24"/>
        </w:rPr>
        <w:br/>
      </w:r>
      <w:r w:rsidRPr="00A624C2">
        <w:rPr>
          <w:rFonts w:ascii="Book Antiqua" w:hAnsi="Book Antiqua" w:cs="宋体"/>
          <w:b/>
          <w:sz w:val="24"/>
          <w:szCs w:val="24"/>
        </w:rPr>
        <w:t>Country of origin:</w:t>
      </w:r>
      <w:r w:rsidR="00D17C6C" w:rsidRPr="00A624C2">
        <w:rPr>
          <w:rFonts w:ascii="Book Antiqua" w:hAnsi="Book Antiqua"/>
        </w:rPr>
        <w:t xml:space="preserve"> </w:t>
      </w:r>
      <w:r w:rsidR="00D17C6C" w:rsidRPr="00A624C2">
        <w:rPr>
          <w:rFonts w:ascii="Book Antiqua" w:hAnsi="Book Antiqua" w:cs="宋体"/>
          <w:sz w:val="24"/>
          <w:szCs w:val="24"/>
        </w:rPr>
        <w:t>Spain</w:t>
      </w:r>
      <w:r w:rsidRPr="00A624C2">
        <w:rPr>
          <w:rFonts w:ascii="Book Antiqua" w:hAnsi="Book Antiqua" w:cs="宋体"/>
          <w:sz w:val="24"/>
          <w:szCs w:val="24"/>
        </w:rPr>
        <w:br/>
      </w:r>
      <w:r w:rsidRPr="00A624C2">
        <w:rPr>
          <w:rFonts w:ascii="Book Antiqua" w:hAnsi="Book Antiqua" w:cs="宋体"/>
          <w:b/>
          <w:sz w:val="24"/>
          <w:szCs w:val="24"/>
        </w:rPr>
        <w:t>Peer-review report classification</w:t>
      </w:r>
      <w:r w:rsidRPr="00A624C2">
        <w:rPr>
          <w:rFonts w:ascii="Book Antiqua" w:hAnsi="Book Antiqua" w:cs="宋体"/>
          <w:sz w:val="24"/>
          <w:szCs w:val="24"/>
        </w:rPr>
        <w:br/>
      </w:r>
      <w:r w:rsidRPr="00A624C2">
        <w:rPr>
          <w:rFonts w:ascii="Book Antiqua" w:hAnsi="Book Antiqua" w:cs="宋体"/>
          <w:b/>
          <w:sz w:val="24"/>
          <w:szCs w:val="24"/>
        </w:rPr>
        <w:t xml:space="preserve">Grade A (Excellent): </w:t>
      </w:r>
      <w:r w:rsidRPr="00A624C2">
        <w:rPr>
          <w:rFonts w:ascii="Book Antiqua" w:eastAsia="宋体" w:hAnsi="Book Antiqua" w:cs="宋体"/>
          <w:sz w:val="24"/>
          <w:szCs w:val="24"/>
          <w:lang w:eastAsia="zh-CN"/>
        </w:rPr>
        <w:t>0</w:t>
      </w:r>
      <w:r w:rsidRPr="00A624C2">
        <w:rPr>
          <w:rFonts w:ascii="Book Antiqua" w:hAnsi="Book Antiqua" w:cs="宋体"/>
          <w:sz w:val="24"/>
          <w:szCs w:val="24"/>
        </w:rPr>
        <w:br/>
      </w:r>
      <w:r w:rsidRPr="00A624C2">
        <w:rPr>
          <w:rFonts w:ascii="Book Antiqua" w:hAnsi="Book Antiqua" w:cs="宋体"/>
          <w:b/>
          <w:sz w:val="24"/>
          <w:szCs w:val="24"/>
        </w:rPr>
        <w:t xml:space="preserve">Grade B (Very good): </w:t>
      </w:r>
      <w:r w:rsidRPr="00A624C2">
        <w:rPr>
          <w:rFonts w:ascii="Book Antiqua" w:hAnsi="Book Antiqua" w:cs="宋体"/>
          <w:sz w:val="24"/>
          <w:szCs w:val="24"/>
        </w:rPr>
        <w:t>B</w:t>
      </w:r>
      <w:r w:rsidRPr="00A624C2">
        <w:rPr>
          <w:rFonts w:ascii="Book Antiqua" w:eastAsia="宋体" w:hAnsi="Book Antiqua" w:cs="宋体"/>
          <w:sz w:val="24"/>
          <w:szCs w:val="24"/>
          <w:lang w:eastAsia="zh-CN"/>
        </w:rPr>
        <w:t>, B</w:t>
      </w:r>
      <w:r w:rsidRPr="00A624C2">
        <w:rPr>
          <w:rFonts w:ascii="Book Antiqua" w:hAnsi="Book Antiqua" w:cs="宋体"/>
          <w:sz w:val="24"/>
          <w:szCs w:val="24"/>
        </w:rPr>
        <w:br/>
      </w:r>
      <w:r w:rsidRPr="00A624C2">
        <w:rPr>
          <w:rFonts w:ascii="Book Antiqua" w:hAnsi="Book Antiqua" w:cs="宋体"/>
          <w:b/>
          <w:sz w:val="24"/>
          <w:szCs w:val="24"/>
        </w:rPr>
        <w:t xml:space="preserve">Grade C (Good): </w:t>
      </w:r>
      <w:r w:rsidRPr="00A624C2">
        <w:rPr>
          <w:rFonts w:ascii="Book Antiqua" w:hAnsi="Book Antiqua" w:cs="宋体"/>
          <w:sz w:val="24"/>
          <w:szCs w:val="24"/>
        </w:rPr>
        <w:t>0</w:t>
      </w:r>
      <w:r w:rsidRPr="00A624C2">
        <w:rPr>
          <w:rFonts w:ascii="Book Antiqua" w:hAnsi="Book Antiqua" w:cs="宋体"/>
          <w:sz w:val="24"/>
          <w:szCs w:val="24"/>
        </w:rPr>
        <w:br/>
      </w:r>
      <w:r w:rsidRPr="00A624C2">
        <w:rPr>
          <w:rFonts w:ascii="Book Antiqua" w:hAnsi="Book Antiqua" w:cs="宋体"/>
          <w:b/>
          <w:sz w:val="24"/>
          <w:szCs w:val="24"/>
        </w:rPr>
        <w:t xml:space="preserve">Grade D (Fair): </w:t>
      </w:r>
      <w:r w:rsidRPr="00A624C2">
        <w:rPr>
          <w:rFonts w:ascii="Book Antiqua" w:hAnsi="Book Antiqua" w:cs="宋体"/>
          <w:sz w:val="24"/>
          <w:szCs w:val="24"/>
        </w:rPr>
        <w:t>0</w:t>
      </w:r>
      <w:r w:rsidRPr="00A624C2">
        <w:rPr>
          <w:rFonts w:ascii="Book Antiqua" w:hAnsi="Book Antiqua" w:cs="宋体"/>
          <w:b/>
          <w:sz w:val="24"/>
          <w:szCs w:val="24"/>
        </w:rPr>
        <w:br/>
        <w:t xml:space="preserve">Grade E (Poor): </w:t>
      </w:r>
      <w:r w:rsidRPr="00A624C2">
        <w:rPr>
          <w:rFonts w:ascii="Book Antiqua" w:hAnsi="Book Antiqua" w:cs="宋体"/>
          <w:sz w:val="24"/>
          <w:szCs w:val="24"/>
        </w:rPr>
        <w:t>0</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897415" w:rsidRPr="00A624C2">
        <w:rPr>
          <w:rFonts w:ascii="Book Antiqua" w:eastAsia="宋体" w:hAnsi="Book Antiqua"/>
          <w:b/>
          <w:sz w:val="24"/>
          <w:szCs w:val="24"/>
          <w:lang w:eastAsia="zh-CN"/>
        </w:rPr>
        <w:br w:type="page"/>
      </w:r>
    </w:p>
    <w:p w14:paraId="6EB2B46D" w14:textId="4F285B4D" w:rsidR="00544E0D" w:rsidRPr="00A624C2" w:rsidRDefault="00544E0D" w:rsidP="0028587F">
      <w:pPr>
        <w:spacing w:after="0" w:line="360" w:lineRule="auto"/>
        <w:jc w:val="both"/>
        <w:rPr>
          <w:rFonts w:ascii="Book Antiqua" w:eastAsia="宋体" w:hAnsi="Book Antiqua"/>
          <w:b/>
          <w:sz w:val="24"/>
          <w:szCs w:val="24"/>
          <w:lang w:eastAsia="zh-CN"/>
        </w:rPr>
      </w:pPr>
      <w:r w:rsidRPr="00A624C2">
        <w:rPr>
          <w:rFonts w:ascii="Book Antiqua" w:hAnsi="Book Antiqua"/>
          <w:b/>
          <w:sz w:val="24"/>
          <w:szCs w:val="24"/>
        </w:rPr>
        <w:lastRenderedPageBreak/>
        <w:t>Table 1</w:t>
      </w:r>
      <w:r w:rsidR="0055424C" w:rsidRPr="00A624C2">
        <w:rPr>
          <w:rFonts w:ascii="Book Antiqua" w:hAnsi="Book Antiqua"/>
          <w:b/>
          <w:sz w:val="24"/>
          <w:szCs w:val="24"/>
        </w:rPr>
        <w:t xml:space="preserve"> </w:t>
      </w:r>
      <w:r w:rsidRPr="00A624C2">
        <w:rPr>
          <w:rFonts w:ascii="Book Antiqua" w:hAnsi="Book Antiqua"/>
          <w:b/>
          <w:sz w:val="24"/>
          <w:szCs w:val="24"/>
        </w:rPr>
        <w:t>Patient’s demographic characteri</w:t>
      </w:r>
      <w:r w:rsidR="0055424C" w:rsidRPr="00A624C2">
        <w:rPr>
          <w:rFonts w:ascii="Book Antiqua" w:hAnsi="Book Antiqua"/>
          <w:b/>
          <w:sz w:val="24"/>
          <w:szCs w:val="24"/>
        </w:rPr>
        <w:t>stics (</w:t>
      </w:r>
      <w:r w:rsidR="0055424C" w:rsidRPr="00A624C2">
        <w:rPr>
          <w:rFonts w:ascii="Book Antiqua" w:hAnsi="Book Antiqua"/>
          <w:b/>
          <w:i/>
          <w:sz w:val="24"/>
          <w:szCs w:val="24"/>
        </w:rPr>
        <w:t>n</w:t>
      </w:r>
      <w:r w:rsidR="0055424C" w:rsidRPr="00A624C2">
        <w:rPr>
          <w:rFonts w:ascii="Book Antiqua" w:eastAsia="宋体" w:hAnsi="Book Antiqua"/>
          <w:b/>
          <w:sz w:val="24"/>
          <w:szCs w:val="24"/>
          <w:lang w:eastAsia="zh-CN"/>
        </w:rPr>
        <w:t xml:space="preserve"> </w:t>
      </w:r>
      <w:r w:rsidR="0055424C" w:rsidRPr="00A624C2">
        <w:rPr>
          <w:rFonts w:ascii="Book Antiqua" w:hAnsi="Book Antiqua"/>
          <w:b/>
          <w:sz w:val="24"/>
          <w:szCs w:val="24"/>
        </w:rPr>
        <w:t>=</w:t>
      </w:r>
      <w:r w:rsidR="0055424C" w:rsidRPr="00A624C2">
        <w:rPr>
          <w:rFonts w:ascii="Book Antiqua" w:eastAsia="宋体" w:hAnsi="Book Antiqua"/>
          <w:b/>
          <w:sz w:val="24"/>
          <w:szCs w:val="24"/>
          <w:lang w:eastAsia="zh-CN"/>
        </w:rPr>
        <w:t xml:space="preserve"> </w:t>
      </w:r>
      <w:r w:rsidR="0055424C" w:rsidRPr="00A624C2">
        <w:rPr>
          <w:rFonts w:ascii="Book Antiqua" w:hAnsi="Book Antiqua"/>
          <w:b/>
          <w:sz w:val="24"/>
          <w:szCs w:val="24"/>
        </w:rPr>
        <w:t>62)</w:t>
      </w:r>
      <w:r w:rsidR="009E67BD" w:rsidRPr="00A624C2">
        <w:rPr>
          <w:rFonts w:ascii="Book Antiqua" w:eastAsia="宋体" w:hAnsi="Book Antiqua"/>
          <w:b/>
          <w:sz w:val="24"/>
          <w:szCs w:val="24"/>
          <w:lang w:eastAsia="zh-CN"/>
        </w:rPr>
        <w:t xml:space="preserve"> </w:t>
      </w:r>
      <w:r w:rsidR="009E67BD" w:rsidRPr="00A624C2">
        <w:rPr>
          <w:rFonts w:ascii="Book Antiqua" w:eastAsia="宋体" w:hAnsi="Book Antiqua"/>
          <w:b/>
          <w:bCs/>
          <w:i/>
          <w:sz w:val="24"/>
          <w:szCs w:val="24"/>
          <w:lang w:eastAsia="zh-CN"/>
        </w:rPr>
        <w:t>n</w:t>
      </w:r>
      <w:r w:rsidR="009E67BD" w:rsidRPr="00A624C2">
        <w:rPr>
          <w:rFonts w:ascii="Book Antiqua" w:eastAsia="宋体" w:hAnsi="Book Antiqua"/>
          <w:b/>
          <w:bCs/>
          <w:sz w:val="24"/>
          <w:szCs w:val="24"/>
          <w:lang w:eastAsia="zh-CN"/>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5211"/>
        <w:gridCol w:w="2552"/>
      </w:tblGrid>
      <w:tr w:rsidR="0055424C" w:rsidRPr="00A624C2" w14:paraId="1066A0F7" w14:textId="77777777" w:rsidTr="0055424C">
        <w:tc>
          <w:tcPr>
            <w:tcW w:w="7763" w:type="dxa"/>
            <w:gridSpan w:val="2"/>
            <w:tcBorders>
              <w:top w:val="single" w:sz="4" w:space="0" w:color="auto"/>
              <w:bottom w:val="single" w:sz="4" w:space="0" w:color="auto"/>
            </w:tcBorders>
          </w:tcPr>
          <w:p w14:paraId="2DCC4458" w14:textId="60DEB7EB" w:rsidR="0055424C" w:rsidRPr="00A624C2" w:rsidRDefault="0055424C" w:rsidP="00B9145B">
            <w:pPr>
              <w:spacing w:after="0" w:line="360" w:lineRule="auto"/>
              <w:jc w:val="both"/>
              <w:rPr>
                <w:rFonts w:ascii="Book Antiqua" w:eastAsia="Times New Roman" w:hAnsi="Book Antiqua"/>
                <w:bCs/>
                <w:sz w:val="24"/>
                <w:szCs w:val="24"/>
              </w:rPr>
            </w:pPr>
            <w:r w:rsidRPr="00A624C2">
              <w:rPr>
                <w:rFonts w:ascii="Book Antiqua" w:hAnsi="Book Antiqua"/>
                <w:b/>
                <w:sz w:val="24"/>
                <w:szCs w:val="24"/>
              </w:rPr>
              <w:t>Patient’s demographic characteristics (</w:t>
            </w:r>
            <w:r w:rsidRPr="00A624C2">
              <w:rPr>
                <w:rFonts w:ascii="Book Antiqua" w:hAnsi="Book Antiqua"/>
                <w:b/>
                <w:i/>
                <w:sz w:val="24"/>
                <w:szCs w:val="24"/>
              </w:rPr>
              <w:t>n</w:t>
            </w:r>
            <w:r w:rsidRPr="00A624C2">
              <w:rPr>
                <w:rFonts w:ascii="Book Antiqua" w:eastAsia="宋体" w:hAnsi="Book Antiqua"/>
                <w:b/>
                <w:sz w:val="24"/>
                <w:szCs w:val="24"/>
                <w:lang w:eastAsia="zh-CN"/>
              </w:rPr>
              <w:t xml:space="preserve"> </w:t>
            </w:r>
            <w:r w:rsidRPr="00A624C2">
              <w:rPr>
                <w:rFonts w:ascii="Book Antiqua" w:hAnsi="Book Antiqua"/>
                <w:b/>
                <w:sz w:val="24"/>
                <w:szCs w:val="24"/>
              </w:rPr>
              <w:t>=</w:t>
            </w:r>
            <w:r w:rsidRPr="00A624C2">
              <w:rPr>
                <w:rFonts w:ascii="Book Antiqua" w:eastAsia="宋体" w:hAnsi="Book Antiqua"/>
                <w:b/>
                <w:sz w:val="24"/>
                <w:szCs w:val="24"/>
                <w:lang w:eastAsia="zh-CN"/>
              </w:rPr>
              <w:t xml:space="preserve"> </w:t>
            </w:r>
            <w:r w:rsidRPr="00A624C2">
              <w:rPr>
                <w:rFonts w:ascii="Book Antiqua" w:hAnsi="Book Antiqua"/>
                <w:b/>
                <w:sz w:val="24"/>
                <w:szCs w:val="24"/>
              </w:rPr>
              <w:t>62)</w:t>
            </w:r>
          </w:p>
        </w:tc>
      </w:tr>
      <w:tr w:rsidR="00544E0D" w:rsidRPr="00A624C2" w14:paraId="56129E71" w14:textId="77777777" w:rsidTr="0055424C">
        <w:tc>
          <w:tcPr>
            <w:tcW w:w="5211" w:type="dxa"/>
            <w:tcBorders>
              <w:top w:val="single" w:sz="4" w:space="0" w:color="auto"/>
              <w:bottom w:val="single" w:sz="4" w:space="0" w:color="auto"/>
            </w:tcBorders>
          </w:tcPr>
          <w:p w14:paraId="58C0AA37" w14:textId="77777777" w:rsidR="00544E0D" w:rsidRPr="00A624C2" w:rsidRDefault="00544E0D" w:rsidP="0028587F">
            <w:pPr>
              <w:spacing w:after="0" w:line="360" w:lineRule="auto"/>
              <w:jc w:val="both"/>
              <w:rPr>
                <w:rFonts w:ascii="Book Antiqua" w:eastAsia="Times New Roman" w:hAnsi="Book Antiqua"/>
                <w:bCs/>
                <w:sz w:val="24"/>
                <w:szCs w:val="24"/>
              </w:rPr>
            </w:pPr>
            <w:r w:rsidRPr="00A624C2">
              <w:rPr>
                <w:rFonts w:ascii="Book Antiqua" w:eastAsia="Times New Roman" w:hAnsi="Book Antiqua"/>
                <w:bCs/>
                <w:sz w:val="24"/>
                <w:szCs w:val="24"/>
              </w:rPr>
              <w:t xml:space="preserve">Female, </w:t>
            </w:r>
            <w:r w:rsidRPr="00A624C2">
              <w:rPr>
                <w:rFonts w:ascii="Book Antiqua" w:eastAsia="Times New Roman" w:hAnsi="Book Antiqua"/>
                <w:bCs/>
                <w:i/>
                <w:sz w:val="24"/>
                <w:szCs w:val="24"/>
              </w:rPr>
              <w:t>n</w:t>
            </w:r>
            <w:r w:rsidRPr="00A624C2">
              <w:rPr>
                <w:rFonts w:ascii="Book Antiqua" w:eastAsia="Times New Roman" w:hAnsi="Book Antiqua"/>
                <w:bCs/>
                <w:sz w:val="24"/>
                <w:szCs w:val="24"/>
              </w:rPr>
              <w:t xml:space="preserve"> (%)</w:t>
            </w:r>
          </w:p>
        </w:tc>
        <w:tc>
          <w:tcPr>
            <w:tcW w:w="2552" w:type="dxa"/>
            <w:tcBorders>
              <w:top w:val="single" w:sz="4" w:space="0" w:color="auto"/>
              <w:bottom w:val="single" w:sz="4" w:space="0" w:color="auto"/>
            </w:tcBorders>
          </w:tcPr>
          <w:p w14:paraId="724EDA1E" w14:textId="77777777" w:rsidR="00544E0D" w:rsidRPr="00A624C2" w:rsidRDefault="00544E0D" w:rsidP="0028587F">
            <w:pPr>
              <w:spacing w:after="0" w:line="360" w:lineRule="auto"/>
              <w:jc w:val="both"/>
              <w:rPr>
                <w:rFonts w:ascii="Book Antiqua" w:eastAsia="Times New Roman" w:hAnsi="Book Antiqua"/>
                <w:b/>
                <w:bCs/>
                <w:sz w:val="24"/>
                <w:szCs w:val="24"/>
              </w:rPr>
            </w:pPr>
            <w:r w:rsidRPr="00A624C2">
              <w:rPr>
                <w:rFonts w:ascii="Book Antiqua" w:eastAsia="Times New Roman" w:hAnsi="Book Antiqua"/>
                <w:bCs/>
                <w:sz w:val="24"/>
                <w:szCs w:val="24"/>
              </w:rPr>
              <w:t>31 (50)</w:t>
            </w:r>
          </w:p>
        </w:tc>
      </w:tr>
      <w:tr w:rsidR="00544E0D" w:rsidRPr="00A624C2" w14:paraId="76A7D266" w14:textId="77777777" w:rsidTr="0055424C">
        <w:tc>
          <w:tcPr>
            <w:tcW w:w="5211" w:type="dxa"/>
            <w:tcBorders>
              <w:top w:val="single" w:sz="4" w:space="0" w:color="auto"/>
            </w:tcBorders>
          </w:tcPr>
          <w:p w14:paraId="23554479" w14:textId="77777777" w:rsidR="00544E0D" w:rsidRPr="00A624C2" w:rsidRDefault="00544E0D" w:rsidP="0028587F">
            <w:pPr>
              <w:spacing w:after="0" w:line="360" w:lineRule="auto"/>
              <w:jc w:val="both"/>
              <w:rPr>
                <w:rFonts w:ascii="Book Antiqua" w:eastAsia="Times New Roman" w:hAnsi="Book Antiqua"/>
                <w:bCs/>
                <w:sz w:val="24"/>
                <w:szCs w:val="24"/>
              </w:rPr>
            </w:pPr>
            <w:r w:rsidRPr="00A624C2">
              <w:rPr>
                <w:rFonts w:ascii="Book Antiqua" w:eastAsia="Times New Roman" w:hAnsi="Book Antiqua"/>
                <w:bCs/>
                <w:sz w:val="24"/>
                <w:szCs w:val="24"/>
              </w:rPr>
              <w:t>Age at inclusion, mean (min-max)</w:t>
            </w:r>
          </w:p>
        </w:tc>
        <w:tc>
          <w:tcPr>
            <w:tcW w:w="2552" w:type="dxa"/>
            <w:tcBorders>
              <w:top w:val="single" w:sz="4" w:space="0" w:color="auto"/>
            </w:tcBorders>
          </w:tcPr>
          <w:p w14:paraId="19308D42" w14:textId="28D75D21" w:rsidR="00544E0D" w:rsidRPr="00A624C2" w:rsidRDefault="0055424C" w:rsidP="0055424C">
            <w:pPr>
              <w:spacing w:after="0" w:line="360" w:lineRule="auto"/>
              <w:jc w:val="both"/>
              <w:rPr>
                <w:rFonts w:ascii="Book Antiqua" w:hAnsi="Book Antiqua"/>
                <w:sz w:val="24"/>
                <w:szCs w:val="24"/>
              </w:rPr>
            </w:pPr>
            <w:r w:rsidRPr="00A624C2">
              <w:rPr>
                <w:rFonts w:ascii="Book Antiqua" w:hAnsi="Book Antiqua"/>
                <w:sz w:val="24"/>
                <w:szCs w:val="24"/>
              </w:rPr>
              <w:t>39 (18</w:t>
            </w:r>
            <w:r w:rsidRPr="00A624C2">
              <w:rPr>
                <w:rFonts w:ascii="Book Antiqua" w:eastAsia="宋体" w:hAnsi="Book Antiqua"/>
                <w:sz w:val="24"/>
                <w:szCs w:val="24"/>
                <w:lang w:eastAsia="zh-CN"/>
              </w:rPr>
              <w:t>-</w:t>
            </w:r>
            <w:r w:rsidR="00544E0D" w:rsidRPr="00A624C2">
              <w:rPr>
                <w:rFonts w:ascii="Book Antiqua" w:hAnsi="Book Antiqua"/>
                <w:sz w:val="24"/>
                <w:szCs w:val="24"/>
              </w:rPr>
              <w:t>72)</w:t>
            </w:r>
          </w:p>
        </w:tc>
      </w:tr>
      <w:tr w:rsidR="00544E0D" w:rsidRPr="00A624C2" w14:paraId="57AB1323" w14:textId="77777777" w:rsidTr="0055424C">
        <w:tc>
          <w:tcPr>
            <w:tcW w:w="5211" w:type="dxa"/>
          </w:tcPr>
          <w:p w14:paraId="1F3F8074" w14:textId="78CD8141" w:rsidR="00544E0D" w:rsidRPr="00A624C2" w:rsidRDefault="0055424C" w:rsidP="0028587F">
            <w:pPr>
              <w:spacing w:after="0" w:line="360" w:lineRule="auto"/>
              <w:jc w:val="both"/>
              <w:rPr>
                <w:rFonts w:ascii="Book Antiqua" w:eastAsia="Times New Roman" w:hAnsi="Book Antiqua"/>
                <w:bCs/>
                <w:sz w:val="24"/>
                <w:szCs w:val="24"/>
              </w:rPr>
            </w:pPr>
            <w:r w:rsidRPr="00A624C2">
              <w:rPr>
                <w:rFonts w:ascii="Book Antiqua" w:eastAsia="Times New Roman" w:hAnsi="Book Antiqua"/>
                <w:bCs/>
                <w:sz w:val="24"/>
                <w:szCs w:val="24"/>
              </w:rPr>
              <w:t xml:space="preserve">Disease duration (yr), </w:t>
            </w:r>
            <w:r w:rsidR="00544E0D" w:rsidRPr="00A624C2">
              <w:rPr>
                <w:rFonts w:ascii="Book Antiqua" w:eastAsia="Times New Roman" w:hAnsi="Book Antiqua"/>
                <w:bCs/>
                <w:sz w:val="24"/>
                <w:szCs w:val="24"/>
              </w:rPr>
              <w:t>mean (min-max)</w:t>
            </w:r>
          </w:p>
        </w:tc>
        <w:tc>
          <w:tcPr>
            <w:tcW w:w="2552" w:type="dxa"/>
          </w:tcPr>
          <w:p w14:paraId="622F9D1C" w14:textId="08443DAA" w:rsidR="00544E0D" w:rsidRPr="00A624C2" w:rsidRDefault="00544E0D" w:rsidP="0055424C">
            <w:pPr>
              <w:spacing w:after="0" w:line="360" w:lineRule="auto"/>
              <w:jc w:val="both"/>
              <w:rPr>
                <w:rFonts w:ascii="Book Antiqua" w:hAnsi="Book Antiqua"/>
                <w:sz w:val="24"/>
                <w:szCs w:val="24"/>
              </w:rPr>
            </w:pPr>
            <w:r w:rsidRPr="00A624C2">
              <w:rPr>
                <w:rFonts w:ascii="Book Antiqua" w:hAnsi="Book Antiqua"/>
                <w:sz w:val="24"/>
                <w:szCs w:val="24"/>
              </w:rPr>
              <w:t>9 (0</w:t>
            </w:r>
            <w:r w:rsidR="0055424C" w:rsidRPr="00A624C2">
              <w:rPr>
                <w:rFonts w:ascii="Book Antiqua" w:eastAsia="宋体" w:hAnsi="Book Antiqua"/>
                <w:sz w:val="24"/>
                <w:szCs w:val="24"/>
                <w:lang w:eastAsia="zh-CN"/>
              </w:rPr>
              <w:t>-</w:t>
            </w:r>
            <w:r w:rsidRPr="00A624C2">
              <w:rPr>
                <w:rFonts w:ascii="Book Antiqua" w:hAnsi="Book Antiqua"/>
                <w:sz w:val="24"/>
                <w:szCs w:val="24"/>
              </w:rPr>
              <w:t>33)</w:t>
            </w:r>
          </w:p>
        </w:tc>
      </w:tr>
      <w:tr w:rsidR="00544E0D" w:rsidRPr="00A624C2" w14:paraId="7C99E811" w14:textId="77777777" w:rsidTr="0055424C">
        <w:trPr>
          <w:trHeight w:val="1698"/>
        </w:trPr>
        <w:tc>
          <w:tcPr>
            <w:tcW w:w="5211" w:type="dxa"/>
          </w:tcPr>
          <w:p w14:paraId="590A08FE" w14:textId="5DEE740A" w:rsidR="00544E0D" w:rsidRPr="00A624C2" w:rsidRDefault="00544E0D" w:rsidP="0028587F">
            <w:pPr>
              <w:spacing w:after="0" w:line="360" w:lineRule="auto"/>
              <w:jc w:val="both"/>
              <w:rPr>
                <w:rFonts w:ascii="Book Antiqua" w:eastAsia="Times New Roman" w:hAnsi="Book Antiqua"/>
                <w:bCs/>
                <w:sz w:val="24"/>
                <w:szCs w:val="24"/>
              </w:rPr>
            </w:pPr>
            <w:r w:rsidRPr="00A624C2">
              <w:rPr>
                <w:rFonts w:ascii="Book Antiqua" w:eastAsia="Times New Roman" w:hAnsi="Book Antiqua"/>
                <w:bCs/>
                <w:sz w:val="24"/>
                <w:szCs w:val="24"/>
              </w:rPr>
              <w:t>Location</w:t>
            </w:r>
          </w:p>
          <w:p w14:paraId="7107EBF6" w14:textId="77777777" w:rsidR="00544E0D" w:rsidRPr="00A624C2" w:rsidRDefault="00544E0D" w:rsidP="009E67BD">
            <w:pPr>
              <w:spacing w:after="0" w:line="360" w:lineRule="auto"/>
              <w:ind w:firstLineChars="100" w:firstLine="240"/>
              <w:jc w:val="both"/>
              <w:rPr>
                <w:rFonts w:ascii="Book Antiqua" w:eastAsia="Times New Roman" w:hAnsi="Book Antiqua"/>
                <w:bCs/>
                <w:sz w:val="24"/>
                <w:szCs w:val="24"/>
              </w:rPr>
            </w:pPr>
            <w:r w:rsidRPr="00A624C2">
              <w:rPr>
                <w:rFonts w:ascii="Book Antiqua" w:hAnsi="Book Antiqua"/>
                <w:sz w:val="24"/>
                <w:szCs w:val="24"/>
              </w:rPr>
              <w:t>Terminal ileum</w:t>
            </w:r>
          </w:p>
          <w:p w14:paraId="7F7002C2" w14:textId="77777777" w:rsidR="0055424C" w:rsidRPr="00A624C2" w:rsidRDefault="00544E0D" w:rsidP="009E67BD">
            <w:pPr>
              <w:spacing w:after="0" w:line="360" w:lineRule="auto"/>
              <w:ind w:firstLineChars="100" w:firstLine="240"/>
              <w:jc w:val="both"/>
              <w:rPr>
                <w:rFonts w:ascii="Book Antiqua" w:eastAsia="宋体" w:hAnsi="Book Antiqua"/>
                <w:sz w:val="24"/>
                <w:szCs w:val="24"/>
                <w:lang w:eastAsia="zh-CN"/>
              </w:rPr>
            </w:pPr>
            <w:r w:rsidRPr="00A624C2">
              <w:rPr>
                <w:rFonts w:ascii="Book Antiqua" w:hAnsi="Book Antiqua"/>
                <w:sz w:val="24"/>
                <w:szCs w:val="24"/>
              </w:rPr>
              <w:t xml:space="preserve">Colonic </w:t>
            </w:r>
          </w:p>
          <w:p w14:paraId="57F42797" w14:textId="0726C4D1" w:rsidR="00544E0D" w:rsidRPr="00A624C2" w:rsidRDefault="00544E0D" w:rsidP="009E67BD">
            <w:pPr>
              <w:spacing w:after="0" w:line="360" w:lineRule="auto"/>
              <w:ind w:firstLineChars="100" w:firstLine="240"/>
              <w:jc w:val="both"/>
              <w:rPr>
                <w:rFonts w:ascii="Book Antiqua" w:hAnsi="Book Antiqua"/>
                <w:sz w:val="24"/>
                <w:szCs w:val="24"/>
              </w:rPr>
            </w:pPr>
            <w:r w:rsidRPr="00A624C2">
              <w:rPr>
                <w:rFonts w:ascii="Book Antiqua" w:hAnsi="Book Antiqua"/>
                <w:sz w:val="24"/>
                <w:szCs w:val="24"/>
              </w:rPr>
              <w:t xml:space="preserve">Ileocolonic </w:t>
            </w:r>
          </w:p>
          <w:p w14:paraId="4C9FA2FF" w14:textId="77777777" w:rsidR="00544E0D" w:rsidRPr="00A624C2" w:rsidRDefault="00544E0D" w:rsidP="009E67BD">
            <w:pPr>
              <w:spacing w:after="0" w:line="360" w:lineRule="auto"/>
              <w:ind w:firstLineChars="100" w:firstLine="240"/>
              <w:jc w:val="both"/>
              <w:rPr>
                <w:rFonts w:ascii="Book Antiqua" w:eastAsia="Times New Roman" w:hAnsi="Book Antiqua"/>
                <w:bCs/>
                <w:sz w:val="24"/>
                <w:szCs w:val="24"/>
              </w:rPr>
            </w:pPr>
            <w:r w:rsidRPr="00A624C2">
              <w:rPr>
                <w:rFonts w:ascii="Book Antiqua" w:hAnsi="Book Antiqua"/>
                <w:sz w:val="24"/>
                <w:szCs w:val="24"/>
              </w:rPr>
              <w:t>Associated upper involvement</w:t>
            </w:r>
          </w:p>
        </w:tc>
        <w:tc>
          <w:tcPr>
            <w:tcW w:w="2552" w:type="dxa"/>
          </w:tcPr>
          <w:p w14:paraId="233CF3FE" w14:textId="77777777" w:rsidR="00544E0D" w:rsidRPr="00A624C2" w:rsidRDefault="00544E0D" w:rsidP="0028587F">
            <w:pPr>
              <w:spacing w:after="0" w:line="360" w:lineRule="auto"/>
              <w:jc w:val="both"/>
              <w:rPr>
                <w:rFonts w:ascii="Book Antiqua" w:hAnsi="Book Antiqua"/>
                <w:sz w:val="24"/>
                <w:szCs w:val="24"/>
              </w:rPr>
            </w:pPr>
          </w:p>
          <w:p w14:paraId="74692B91" w14:textId="77777777" w:rsidR="00544E0D" w:rsidRPr="00A624C2" w:rsidRDefault="00544E0D" w:rsidP="0028587F">
            <w:pPr>
              <w:spacing w:after="0" w:line="360" w:lineRule="auto"/>
              <w:jc w:val="both"/>
              <w:rPr>
                <w:rFonts w:ascii="Book Antiqua" w:hAnsi="Book Antiqua"/>
                <w:sz w:val="24"/>
                <w:szCs w:val="24"/>
              </w:rPr>
            </w:pPr>
            <w:r w:rsidRPr="00A624C2">
              <w:rPr>
                <w:rFonts w:ascii="Book Antiqua" w:hAnsi="Book Antiqua"/>
                <w:sz w:val="24"/>
                <w:szCs w:val="24"/>
              </w:rPr>
              <w:t>32 (52)</w:t>
            </w:r>
          </w:p>
          <w:p w14:paraId="01B940C8" w14:textId="77777777" w:rsidR="00544E0D" w:rsidRPr="00A624C2" w:rsidRDefault="00544E0D" w:rsidP="0028587F">
            <w:pPr>
              <w:spacing w:after="0" w:line="360" w:lineRule="auto"/>
              <w:jc w:val="both"/>
              <w:rPr>
                <w:rFonts w:ascii="Book Antiqua" w:hAnsi="Book Antiqua"/>
                <w:sz w:val="24"/>
                <w:szCs w:val="24"/>
              </w:rPr>
            </w:pPr>
            <w:r w:rsidRPr="00A624C2">
              <w:rPr>
                <w:rFonts w:ascii="Book Antiqua" w:hAnsi="Book Antiqua"/>
                <w:sz w:val="24"/>
                <w:szCs w:val="24"/>
              </w:rPr>
              <w:t>15 (24)</w:t>
            </w:r>
          </w:p>
          <w:p w14:paraId="3AF6E9BC" w14:textId="77777777" w:rsidR="00544E0D" w:rsidRPr="00A624C2" w:rsidRDefault="00544E0D" w:rsidP="0028587F">
            <w:pPr>
              <w:spacing w:after="0" w:line="360" w:lineRule="auto"/>
              <w:jc w:val="both"/>
              <w:rPr>
                <w:rFonts w:ascii="Book Antiqua" w:hAnsi="Book Antiqua"/>
                <w:sz w:val="24"/>
                <w:szCs w:val="24"/>
              </w:rPr>
            </w:pPr>
            <w:r w:rsidRPr="00A624C2">
              <w:rPr>
                <w:rFonts w:ascii="Book Antiqua" w:hAnsi="Book Antiqua"/>
                <w:sz w:val="24"/>
                <w:szCs w:val="24"/>
              </w:rPr>
              <w:t>15 (24)</w:t>
            </w:r>
          </w:p>
          <w:p w14:paraId="2D71AA2A" w14:textId="77777777" w:rsidR="00544E0D" w:rsidRPr="00A624C2" w:rsidRDefault="00544E0D" w:rsidP="0028587F">
            <w:pPr>
              <w:spacing w:after="0" w:line="360" w:lineRule="auto"/>
              <w:jc w:val="both"/>
              <w:rPr>
                <w:rFonts w:ascii="Book Antiqua" w:hAnsi="Book Antiqua"/>
                <w:sz w:val="24"/>
                <w:szCs w:val="24"/>
              </w:rPr>
            </w:pPr>
            <w:r w:rsidRPr="00A624C2">
              <w:rPr>
                <w:rFonts w:ascii="Book Antiqua" w:hAnsi="Book Antiqua"/>
                <w:sz w:val="24"/>
                <w:szCs w:val="24"/>
              </w:rPr>
              <w:t>3 (5)</w:t>
            </w:r>
          </w:p>
        </w:tc>
      </w:tr>
      <w:tr w:rsidR="00544E0D" w:rsidRPr="00A624C2" w14:paraId="4FECB290" w14:textId="77777777" w:rsidTr="0055424C">
        <w:trPr>
          <w:trHeight w:val="1274"/>
        </w:trPr>
        <w:tc>
          <w:tcPr>
            <w:tcW w:w="5211" w:type="dxa"/>
          </w:tcPr>
          <w:p w14:paraId="3768DA13" w14:textId="1FE68EA2" w:rsidR="00544E0D" w:rsidRPr="00A624C2" w:rsidRDefault="00544E0D" w:rsidP="0028587F">
            <w:pPr>
              <w:spacing w:after="0" w:line="360" w:lineRule="auto"/>
              <w:jc w:val="both"/>
              <w:rPr>
                <w:rFonts w:ascii="Book Antiqua" w:eastAsia="Times New Roman" w:hAnsi="Book Antiqua"/>
                <w:bCs/>
                <w:sz w:val="24"/>
                <w:szCs w:val="24"/>
              </w:rPr>
            </w:pPr>
            <w:r w:rsidRPr="00A624C2">
              <w:rPr>
                <w:rFonts w:ascii="Book Antiqua" w:eastAsia="Times New Roman" w:hAnsi="Book Antiqua"/>
                <w:bCs/>
                <w:sz w:val="24"/>
                <w:szCs w:val="24"/>
              </w:rPr>
              <w:t>Phenotype</w:t>
            </w:r>
          </w:p>
          <w:p w14:paraId="4C82D528" w14:textId="77777777" w:rsidR="00544E0D" w:rsidRPr="00A624C2" w:rsidRDefault="00544E0D" w:rsidP="009E67BD">
            <w:pPr>
              <w:spacing w:after="0" w:line="360" w:lineRule="auto"/>
              <w:ind w:firstLineChars="100" w:firstLine="240"/>
              <w:jc w:val="both"/>
              <w:rPr>
                <w:rFonts w:ascii="Book Antiqua" w:eastAsia="Times New Roman" w:hAnsi="Book Antiqua"/>
                <w:bCs/>
                <w:sz w:val="24"/>
                <w:szCs w:val="24"/>
              </w:rPr>
            </w:pPr>
            <w:r w:rsidRPr="00A624C2">
              <w:rPr>
                <w:rFonts w:ascii="Book Antiqua" w:eastAsia="Times New Roman" w:hAnsi="Book Antiqua"/>
                <w:bCs/>
                <w:sz w:val="24"/>
                <w:szCs w:val="24"/>
              </w:rPr>
              <w:t>Inflammatory</w:t>
            </w:r>
          </w:p>
          <w:p w14:paraId="52383998" w14:textId="77777777" w:rsidR="00544E0D" w:rsidRPr="00A624C2" w:rsidRDefault="00544E0D" w:rsidP="009E67BD">
            <w:pPr>
              <w:spacing w:after="0" w:line="360" w:lineRule="auto"/>
              <w:ind w:firstLineChars="100" w:firstLine="240"/>
              <w:jc w:val="both"/>
              <w:rPr>
                <w:rFonts w:ascii="Book Antiqua" w:eastAsia="Times New Roman" w:hAnsi="Book Antiqua"/>
                <w:bCs/>
                <w:sz w:val="24"/>
                <w:szCs w:val="24"/>
              </w:rPr>
            </w:pPr>
            <w:r w:rsidRPr="00A624C2">
              <w:rPr>
                <w:rFonts w:ascii="Book Antiqua" w:eastAsia="Times New Roman" w:hAnsi="Book Antiqua"/>
                <w:bCs/>
                <w:sz w:val="24"/>
                <w:szCs w:val="24"/>
              </w:rPr>
              <w:t>Stricturing</w:t>
            </w:r>
          </w:p>
          <w:p w14:paraId="520662CB" w14:textId="77777777" w:rsidR="00544E0D" w:rsidRPr="00A624C2" w:rsidRDefault="00544E0D" w:rsidP="009E67BD">
            <w:pPr>
              <w:spacing w:after="0" w:line="360" w:lineRule="auto"/>
              <w:ind w:firstLineChars="100" w:firstLine="240"/>
              <w:jc w:val="both"/>
              <w:rPr>
                <w:rFonts w:ascii="Book Antiqua" w:eastAsia="Times New Roman" w:hAnsi="Book Antiqua"/>
                <w:bCs/>
                <w:sz w:val="24"/>
                <w:szCs w:val="24"/>
              </w:rPr>
            </w:pPr>
            <w:r w:rsidRPr="00A624C2">
              <w:rPr>
                <w:rFonts w:ascii="Book Antiqua" w:eastAsia="Times New Roman" w:hAnsi="Book Antiqua"/>
                <w:bCs/>
                <w:sz w:val="24"/>
                <w:szCs w:val="24"/>
              </w:rPr>
              <w:t>Penetrating</w:t>
            </w:r>
          </w:p>
          <w:p w14:paraId="5A08F922" w14:textId="77777777" w:rsidR="00544E0D" w:rsidRPr="00A624C2" w:rsidRDefault="00544E0D" w:rsidP="009E67BD">
            <w:pPr>
              <w:spacing w:after="0" w:line="360" w:lineRule="auto"/>
              <w:ind w:firstLineChars="100" w:firstLine="240"/>
              <w:jc w:val="both"/>
              <w:rPr>
                <w:rFonts w:ascii="Book Antiqua" w:eastAsia="Times New Roman" w:hAnsi="Book Antiqua"/>
                <w:bCs/>
                <w:sz w:val="24"/>
                <w:szCs w:val="24"/>
              </w:rPr>
            </w:pPr>
            <w:r w:rsidRPr="00A624C2">
              <w:rPr>
                <w:rFonts w:ascii="Book Antiqua" w:eastAsia="Times New Roman" w:hAnsi="Book Antiqua"/>
                <w:bCs/>
                <w:sz w:val="24"/>
                <w:szCs w:val="24"/>
              </w:rPr>
              <w:t xml:space="preserve">Associated structuring + penetrating </w:t>
            </w:r>
          </w:p>
        </w:tc>
        <w:tc>
          <w:tcPr>
            <w:tcW w:w="2552" w:type="dxa"/>
          </w:tcPr>
          <w:p w14:paraId="254A8311" w14:textId="77777777" w:rsidR="00544E0D" w:rsidRPr="00A624C2" w:rsidRDefault="00544E0D" w:rsidP="0028587F">
            <w:pPr>
              <w:spacing w:after="0" w:line="360" w:lineRule="auto"/>
              <w:jc w:val="both"/>
              <w:rPr>
                <w:rFonts w:ascii="Book Antiqua" w:hAnsi="Book Antiqua"/>
                <w:sz w:val="24"/>
                <w:szCs w:val="24"/>
              </w:rPr>
            </w:pPr>
          </w:p>
          <w:p w14:paraId="3692E45D" w14:textId="77777777" w:rsidR="00544E0D" w:rsidRPr="00A624C2" w:rsidRDefault="00544E0D" w:rsidP="0028587F">
            <w:pPr>
              <w:spacing w:after="0" w:line="360" w:lineRule="auto"/>
              <w:jc w:val="both"/>
              <w:rPr>
                <w:rFonts w:ascii="Book Antiqua" w:hAnsi="Book Antiqua"/>
                <w:sz w:val="24"/>
                <w:szCs w:val="24"/>
              </w:rPr>
            </w:pPr>
            <w:r w:rsidRPr="00A624C2">
              <w:rPr>
                <w:rFonts w:ascii="Book Antiqua" w:hAnsi="Book Antiqua"/>
                <w:sz w:val="24"/>
                <w:szCs w:val="24"/>
              </w:rPr>
              <w:t>39 (63)</w:t>
            </w:r>
          </w:p>
          <w:p w14:paraId="3C4F9EAC" w14:textId="77777777" w:rsidR="00544E0D" w:rsidRPr="00A624C2" w:rsidRDefault="00544E0D" w:rsidP="0028587F">
            <w:pPr>
              <w:spacing w:after="0" w:line="360" w:lineRule="auto"/>
              <w:jc w:val="both"/>
              <w:rPr>
                <w:rFonts w:ascii="Book Antiqua" w:hAnsi="Book Antiqua"/>
                <w:sz w:val="24"/>
                <w:szCs w:val="24"/>
              </w:rPr>
            </w:pPr>
            <w:r w:rsidRPr="00A624C2">
              <w:rPr>
                <w:rFonts w:ascii="Book Antiqua" w:hAnsi="Book Antiqua"/>
                <w:sz w:val="24"/>
                <w:szCs w:val="24"/>
              </w:rPr>
              <w:t>14 (22)</w:t>
            </w:r>
          </w:p>
          <w:p w14:paraId="558712FC" w14:textId="77777777" w:rsidR="00544E0D" w:rsidRPr="00A624C2" w:rsidRDefault="00544E0D" w:rsidP="0028587F">
            <w:pPr>
              <w:spacing w:after="0" w:line="360" w:lineRule="auto"/>
              <w:jc w:val="both"/>
              <w:rPr>
                <w:rFonts w:ascii="Book Antiqua" w:hAnsi="Book Antiqua"/>
                <w:sz w:val="24"/>
                <w:szCs w:val="24"/>
              </w:rPr>
            </w:pPr>
            <w:r w:rsidRPr="00A624C2">
              <w:rPr>
                <w:rFonts w:ascii="Book Antiqua" w:hAnsi="Book Antiqua"/>
                <w:sz w:val="24"/>
                <w:szCs w:val="24"/>
              </w:rPr>
              <w:t>9  (15)</w:t>
            </w:r>
          </w:p>
          <w:p w14:paraId="39F039F8" w14:textId="77777777" w:rsidR="00544E0D" w:rsidRPr="00A624C2" w:rsidRDefault="00544E0D" w:rsidP="0028587F">
            <w:pPr>
              <w:spacing w:after="0" w:line="360" w:lineRule="auto"/>
              <w:jc w:val="both"/>
              <w:rPr>
                <w:rFonts w:ascii="Book Antiqua" w:hAnsi="Book Antiqua"/>
                <w:sz w:val="24"/>
                <w:szCs w:val="24"/>
              </w:rPr>
            </w:pPr>
            <w:r w:rsidRPr="00A624C2">
              <w:rPr>
                <w:rFonts w:ascii="Book Antiqua" w:hAnsi="Book Antiqua"/>
                <w:sz w:val="24"/>
                <w:szCs w:val="24"/>
              </w:rPr>
              <w:t>4 (7)</w:t>
            </w:r>
          </w:p>
        </w:tc>
      </w:tr>
      <w:tr w:rsidR="00544E0D" w:rsidRPr="00A624C2" w14:paraId="5EEDEF08" w14:textId="77777777" w:rsidTr="0055424C">
        <w:tc>
          <w:tcPr>
            <w:tcW w:w="5211" w:type="dxa"/>
          </w:tcPr>
          <w:p w14:paraId="468B257D" w14:textId="6AFA9F03" w:rsidR="00544E0D" w:rsidRPr="00A624C2" w:rsidRDefault="00544E0D" w:rsidP="009E67BD">
            <w:pPr>
              <w:spacing w:after="0" w:line="360" w:lineRule="auto"/>
              <w:jc w:val="both"/>
              <w:rPr>
                <w:rFonts w:ascii="Book Antiqua" w:eastAsia="宋体" w:hAnsi="Book Antiqua"/>
                <w:bCs/>
                <w:sz w:val="24"/>
                <w:szCs w:val="24"/>
                <w:lang w:eastAsia="zh-CN"/>
              </w:rPr>
            </w:pPr>
            <w:r w:rsidRPr="00A624C2">
              <w:rPr>
                <w:rFonts w:ascii="Book Antiqua" w:eastAsia="Times New Roman" w:hAnsi="Book Antiqua"/>
                <w:bCs/>
                <w:sz w:val="24"/>
                <w:szCs w:val="24"/>
              </w:rPr>
              <w:t>Perianal disease</w:t>
            </w:r>
          </w:p>
        </w:tc>
        <w:tc>
          <w:tcPr>
            <w:tcW w:w="2552" w:type="dxa"/>
          </w:tcPr>
          <w:p w14:paraId="632A0AD1" w14:textId="77777777" w:rsidR="00544E0D" w:rsidRPr="00A624C2" w:rsidRDefault="00544E0D" w:rsidP="0028587F">
            <w:pPr>
              <w:spacing w:after="0" w:line="360" w:lineRule="auto"/>
              <w:jc w:val="both"/>
              <w:rPr>
                <w:rFonts w:ascii="Book Antiqua" w:hAnsi="Book Antiqua"/>
                <w:sz w:val="24"/>
                <w:szCs w:val="24"/>
              </w:rPr>
            </w:pPr>
            <w:r w:rsidRPr="00A624C2">
              <w:rPr>
                <w:rFonts w:ascii="Book Antiqua" w:hAnsi="Book Antiqua"/>
                <w:sz w:val="24"/>
                <w:szCs w:val="24"/>
              </w:rPr>
              <w:t>16 (26)</w:t>
            </w:r>
          </w:p>
        </w:tc>
      </w:tr>
      <w:tr w:rsidR="00544E0D" w:rsidRPr="00A624C2" w14:paraId="7A7A7A74" w14:textId="77777777" w:rsidTr="0055424C">
        <w:tc>
          <w:tcPr>
            <w:tcW w:w="5211" w:type="dxa"/>
          </w:tcPr>
          <w:p w14:paraId="68F7F074" w14:textId="2BB31ED7" w:rsidR="00544E0D" w:rsidRPr="00A624C2" w:rsidRDefault="00544E0D" w:rsidP="009E67BD">
            <w:pPr>
              <w:spacing w:after="0" w:line="360" w:lineRule="auto"/>
              <w:jc w:val="both"/>
              <w:rPr>
                <w:rFonts w:ascii="Book Antiqua" w:eastAsia="Times New Roman" w:hAnsi="Book Antiqua"/>
                <w:bCs/>
                <w:sz w:val="24"/>
                <w:szCs w:val="24"/>
              </w:rPr>
            </w:pPr>
            <w:r w:rsidRPr="00A624C2">
              <w:rPr>
                <w:rFonts w:ascii="Book Antiqua" w:eastAsia="Times New Roman" w:hAnsi="Book Antiqua"/>
                <w:bCs/>
                <w:sz w:val="24"/>
                <w:szCs w:val="24"/>
              </w:rPr>
              <w:t>Current smokers</w:t>
            </w:r>
          </w:p>
        </w:tc>
        <w:tc>
          <w:tcPr>
            <w:tcW w:w="2552" w:type="dxa"/>
          </w:tcPr>
          <w:p w14:paraId="0AD07739" w14:textId="77777777" w:rsidR="00544E0D" w:rsidRPr="00A624C2" w:rsidRDefault="00544E0D" w:rsidP="0028587F">
            <w:pPr>
              <w:spacing w:after="0" w:line="360" w:lineRule="auto"/>
              <w:jc w:val="both"/>
              <w:rPr>
                <w:rFonts w:ascii="Book Antiqua" w:hAnsi="Book Antiqua"/>
                <w:sz w:val="24"/>
                <w:szCs w:val="24"/>
              </w:rPr>
            </w:pPr>
            <w:r w:rsidRPr="00A624C2">
              <w:rPr>
                <w:rFonts w:ascii="Book Antiqua" w:hAnsi="Book Antiqua"/>
                <w:sz w:val="24"/>
                <w:szCs w:val="24"/>
              </w:rPr>
              <w:t>19 (31)</w:t>
            </w:r>
          </w:p>
        </w:tc>
      </w:tr>
      <w:tr w:rsidR="00544E0D" w:rsidRPr="00A624C2" w14:paraId="14525DDD" w14:textId="77777777" w:rsidTr="0055424C">
        <w:trPr>
          <w:trHeight w:val="883"/>
        </w:trPr>
        <w:tc>
          <w:tcPr>
            <w:tcW w:w="5211" w:type="dxa"/>
          </w:tcPr>
          <w:p w14:paraId="47B8AF8C" w14:textId="11B2F566" w:rsidR="00544E0D" w:rsidRPr="00A624C2" w:rsidRDefault="00544E0D" w:rsidP="0028587F">
            <w:pPr>
              <w:spacing w:after="0" w:line="360" w:lineRule="auto"/>
              <w:jc w:val="both"/>
              <w:rPr>
                <w:rFonts w:ascii="Book Antiqua" w:eastAsia="Times New Roman" w:hAnsi="Book Antiqua"/>
                <w:bCs/>
                <w:sz w:val="24"/>
                <w:szCs w:val="24"/>
              </w:rPr>
            </w:pPr>
            <w:r w:rsidRPr="00A624C2">
              <w:rPr>
                <w:rFonts w:ascii="Book Antiqua" w:eastAsia="Times New Roman" w:hAnsi="Book Antiqua"/>
                <w:bCs/>
                <w:caps/>
                <w:sz w:val="24"/>
                <w:szCs w:val="24"/>
              </w:rPr>
              <w:t>a</w:t>
            </w:r>
            <w:r w:rsidRPr="00A624C2">
              <w:rPr>
                <w:rFonts w:ascii="Book Antiqua" w:eastAsia="Times New Roman" w:hAnsi="Book Antiqua"/>
                <w:bCs/>
                <w:sz w:val="24"/>
                <w:szCs w:val="24"/>
              </w:rPr>
              <w:t>nti-TNFdrug used</w:t>
            </w:r>
          </w:p>
          <w:p w14:paraId="13336DFF" w14:textId="77777777" w:rsidR="00544E0D" w:rsidRPr="00A624C2" w:rsidRDefault="00544E0D" w:rsidP="009E67BD">
            <w:pPr>
              <w:spacing w:after="0" w:line="360" w:lineRule="auto"/>
              <w:ind w:firstLineChars="100" w:firstLine="240"/>
              <w:jc w:val="both"/>
              <w:rPr>
                <w:rFonts w:ascii="Book Antiqua" w:eastAsia="Times New Roman" w:hAnsi="Book Antiqua"/>
                <w:bCs/>
                <w:sz w:val="24"/>
                <w:szCs w:val="24"/>
              </w:rPr>
            </w:pPr>
            <w:r w:rsidRPr="00A624C2">
              <w:rPr>
                <w:rFonts w:ascii="Book Antiqua" w:eastAsia="Times New Roman" w:hAnsi="Book Antiqua"/>
                <w:bCs/>
                <w:sz w:val="24"/>
                <w:szCs w:val="24"/>
              </w:rPr>
              <w:t>Infliximab</w:t>
            </w:r>
          </w:p>
          <w:p w14:paraId="370F84D6" w14:textId="77777777" w:rsidR="00544E0D" w:rsidRPr="00A624C2" w:rsidRDefault="00544E0D" w:rsidP="009E67BD">
            <w:pPr>
              <w:spacing w:after="0" w:line="360" w:lineRule="auto"/>
              <w:ind w:firstLineChars="100" w:firstLine="240"/>
              <w:jc w:val="both"/>
              <w:rPr>
                <w:rFonts w:ascii="Book Antiqua" w:eastAsia="Times New Roman" w:hAnsi="Book Antiqua"/>
                <w:bCs/>
                <w:sz w:val="24"/>
                <w:szCs w:val="24"/>
              </w:rPr>
            </w:pPr>
            <w:r w:rsidRPr="00A624C2">
              <w:rPr>
                <w:rFonts w:ascii="Book Antiqua" w:eastAsia="Times New Roman" w:hAnsi="Book Antiqua"/>
                <w:bCs/>
                <w:sz w:val="24"/>
                <w:szCs w:val="24"/>
              </w:rPr>
              <w:t>Adalimumab</w:t>
            </w:r>
          </w:p>
        </w:tc>
        <w:tc>
          <w:tcPr>
            <w:tcW w:w="2552" w:type="dxa"/>
          </w:tcPr>
          <w:p w14:paraId="6967DE3B" w14:textId="77777777" w:rsidR="00544E0D" w:rsidRPr="00A624C2" w:rsidRDefault="00544E0D" w:rsidP="0028587F">
            <w:pPr>
              <w:spacing w:after="0" w:line="360" w:lineRule="auto"/>
              <w:jc w:val="both"/>
              <w:rPr>
                <w:rFonts w:ascii="Book Antiqua" w:hAnsi="Book Antiqua"/>
                <w:sz w:val="24"/>
                <w:szCs w:val="24"/>
              </w:rPr>
            </w:pPr>
          </w:p>
          <w:p w14:paraId="50C56B21" w14:textId="77777777" w:rsidR="00544E0D" w:rsidRPr="00A624C2" w:rsidRDefault="00544E0D" w:rsidP="0028587F">
            <w:pPr>
              <w:spacing w:after="0" w:line="360" w:lineRule="auto"/>
              <w:jc w:val="both"/>
              <w:rPr>
                <w:rFonts w:ascii="Book Antiqua" w:hAnsi="Book Antiqua"/>
                <w:sz w:val="24"/>
                <w:szCs w:val="24"/>
              </w:rPr>
            </w:pPr>
            <w:r w:rsidRPr="00A624C2">
              <w:rPr>
                <w:rFonts w:ascii="Book Antiqua" w:hAnsi="Book Antiqua"/>
                <w:sz w:val="24"/>
                <w:szCs w:val="24"/>
              </w:rPr>
              <w:t>34 (55)</w:t>
            </w:r>
          </w:p>
          <w:p w14:paraId="40ABA7D5" w14:textId="77777777" w:rsidR="00544E0D" w:rsidRPr="00A624C2" w:rsidRDefault="00544E0D" w:rsidP="0028587F">
            <w:pPr>
              <w:spacing w:after="0" w:line="360" w:lineRule="auto"/>
              <w:jc w:val="both"/>
              <w:rPr>
                <w:rFonts w:ascii="Book Antiqua" w:hAnsi="Book Antiqua"/>
                <w:sz w:val="24"/>
                <w:szCs w:val="24"/>
              </w:rPr>
            </w:pPr>
            <w:r w:rsidRPr="00A624C2">
              <w:rPr>
                <w:rFonts w:ascii="Book Antiqua" w:hAnsi="Book Antiqua"/>
                <w:sz w:val="24"/>
                <w:szCs w:val="24"/>
              </w:rPr>
              <w:t>28 (45)</w:t>
            </w:r>
          </w:p>
        </w:tc>
      </w:tr>
      <w:tr w:rsidR="00544E0D" w:rsidRPr="00A624C2" w14:paraId="19946B05" w14:textId="77777777" w:rsidTr="0055424C">
        <w:trPr>
          <w:trHeight w:val="359"/>
        </w:trPr>
        <w:tc>
          <w:tcPr>
            <w:tcW w:w="5211" w:type="dxa"/>
          </w:tcPr>
          <w:p w14:paraId="36E7A5B4" w14:textId="197D14FC" w:rsidR="00544E0D" w:rsidRPr="00A624C2" w:rsidRDefault="00544E0D" w:rsidP="009E67BD">
            <w:pPr>
              <w:spacing w:after="0" w:line="360" w:lineRule="auto"/>
              <w:jc w:val="both"/>
              <w:rPr>
                <w:rFonts w:ascii="Book Antiqua" w:eastAsia="Times New Roman" w:hAnsi="Book Antiqua"/>
                <w:bCs/>
                <w:sz w:val="24"/>
                <w:szCs w:val="24"/>
              </w:rPr>
            </w:pPr>
            <w:r w:rsidRPr="00A624C2">
              <w:rPr>
                <w:rFonts w:ascii="Book Antiqua" w:eastAsia="Times New Roman" w:hAnsi="Book Antiqua"/>
                <w:bCs/>
                <w:sz w:val="24"/>
                <w:szCs w:val="24"/>
              </w:rPr>
              <w:t>Prior anti-TNF exposure</w:t>
            </w:r>
          </w:p>
        </w:tc>
        <w:tc>
          <w:tcPr>
            <w:tcW w:w="2552" w:type="dxa"/>
          </w:tcPr>
          <w:p w14:paraId="6FCCA9A1" w14:textId="77777777" w:rsidR="00544E0D" w:rsidRPr="00A624C2" w:rsidRDefault="00544E0D" w:rsidP="0028587F">
            <w:pPr>
              <w:spacing w:after="0" w:line="360" w:lineRule="auto"/>
              <w:jc w:val="both"/>
              <w:rPr>
                <w:rFonts w:ascii="Book Antiqua" w:hAnsi="Book Antiqua"/>
                <w:sz w:val="24"/>
                <w:szCs w:val="24"/>
              </w:rPr>
            </w:pPr>
            <w:r w:rsidRPr="00A624C2">
              <w:rPr>
                <w:rFonts w:ascii="Book Antiqua" w:hAnsi="Book Antiqua"/>
                <w:sz w:val="24"/>
                <w:szCs w:val="24"/>
              </w:rPr>
              <w:t>16 (26)</w:t>
            </w:r>
          </w:p>
        </w:tc>
      </w:tr>
      <w:tr w:rsidR="00544E0D" w:rsidRPr="00A624C2" w14:paraId="339001EA" w14:textId="77777777" w:rsidTr="0055424C">
        <w:trPr>
          <w:trHeight w:val="359"/>
        </w:trPr>
        <w:tc>
          <w:tcPr>
            <w:tcW w:w="5211" w:type="dxa"/>
          </w:tcPr>
          <w:p w14:paraId="6DDA5716" w14:textId="6E9AD399" w:rsidR="00544E0D" w:rsidRPr="00A624C2" w:rsidRDefault="00544E0D" w:rsidP="009E67BD">
            <w:pPr>
              <w:spacing w:after="0" w:line="360" w:lineRule="auto"/>
              <w:jc w:val="both"/>
              <w:rPr>
                <w:rFonts w:ascii="Book Antiqua" w:hAnsi="Book Antiqua" w:cs="AdvOTb63a3543.I"/>
                <w:color w:val="231F20"/>
                <w:sz w:val="24"/>
                <w:szCs w:val="24"/>
              </w:rPr>
            </w:pPr>
            <w:r w:rsidRPr="00A624C2">
              <w:rPr>
                <w:rFonts w:ascii="Book Antiqua" w:eastAsia="Times New Roman" w:hAnsi="Book Antiqua"/>
                <w:bCs/>
                <w:sz w:val="24"/>
                <w:szCs w:val="24"/>
              </w:rPr>
              <w:t>Immunomodulators at baseline</w:t>
            </w:r>
          </w:p>
        </w:tc>
        <w:tc>
          <w:tcPr>
            <w:tcW w:w="2552" w:type="dxa"/>
          </w:tcPr>
          <w:p w14:paraId="6C4BD0A4" w14:textId="77777777" w:rsidR="00544E0D" w:rsidRPr="00A624C2" w:rsidRDefault="00544E0D" w:rsidP="0028587F">
            <w:pPr>
              <w:spacing w:after="0" w:line="360" w:lineRule="auto"/>
              <w:jc w:val="both"/>
              <w:rPr>
                <w:rFonts w:ascii="Book Antiqua" w:hAnsi="Book Antiqua"/>
                <w:sz w:val="24"/>
                <w:szCs w:val="24"/>
              </w:rPr>
            </w:pPr>
            <w:r w:rsidRPr="00A624C2">
              <w:rPr>
                <w:rFonts w:ascii="Book Antiqua" w:hAnsi="Book Antiqua"/>
                <w:sz w:val="24"/>
                <w:szCs w:val="24"/>
              </w:rPr>
              <w:t>53 (86)</w:t>
            </w:r>
          </w:p>
        </w:tc>
      </w:tr>
      <w:tr w:rsidR="00544E0D" w:rsidRPr="00A624C2" w14:paraId="6D52FCBF" w14:textId="77777777" w:rsidTr="0055424C">
        <w:trPr>
          <w:trHeight w:val="359"/>
        </w:trPr>
        <w:tc>
          <w:tcPr>
            <w:tcW w:w="5211" w:type="dxa"/>
          </w:tcPr>
          <w:p w14:paraId="36A63BDC" w14:textId="44B47C6F" w:rsidR="00544E0D" w:rsidRPr="00A624C2" w:rsidRDefault="00544E0D" w:rsidP="009E67BD">
            <w:pPr>
              <w:spacing w:after="0" w:line="360" w:lineRule="auto"/>
              <w:jc w:val="both"/>
              <w:rPr>
                <w:rFonts w:ascii="Book Antiqua" w:eastAsia="Times New Roman" w:hAnsi="Book Antiqua"/>
                <w:bCs/>
                <w:sz w:val="24"/>
                <w:szCs w:val="24"/>
              </w:rPr>
            </w:pPr>
            <w:r w:rsidRPr="00A624C2">
              <w:rPr>
                <w:rFonts w:ascii="Book Antiqua" w:eastAsia="Times New Roman" w:hAnsi="Book Antiqua"/>
                <w:bCs/>
                <w:sz w:val="24"/>
                <w:szCs w:val="24"/>
              </w:rPr>
              <w:t>Steroids at baseline</w:t>
            </w:r>
          </w:p>
        </w:tc>
        <w:tc>
          <w:tcPr>
            <w:tcW w:w="2552" w:type="dxa"/>
          </w:tcPr>
          <w:p w14:paraId="22533633" w14:textId="77777777" w:rsidR="00544E0D" w:rsidRPr="00A624C2" w:rsidRDefault="00544E0D" w:rsidP="0028587F">
            <w:pPr>
              <w:spacing w:after="0" w:line="360" w:lineRule="auto"/>
              <w:jc w:val="both"/>
              <w:rPr>
                <w:rFonts w:ascii="Book Antiqua" w:hAnsi="Book Antiqua"/>
                <w:sz w:val="24"/>
                <w:szCs w:val="24"/>
              </w:rPr>
            </w:pPr>
            <w:r w:rsidRPr="00A624C2">
              <w:rPr>
                <w:rFonts w:ascii="Book Antiqua" w:hAnsi="Book Antiqua"/>
                <w:sz w:val="24"/>
                <w:szCs w:val="24"/>
              </w:rPr>
              <w:t>13 (21)</w:t>
            </w:r>
          </w:p>
        </w:tc>
      </w:tr>
      <w:tr w:rsidR="00544E0D" w:rsidRPr="00A624C2" w14:paraId="40A403DE" w14:textId="77777777" w:rsidTr="0055424C">
        <w:tc>
          <w:tcPr>
            <w:tcW w:w="5211" w:type="dxa"/>
          </w:tcPr>
          <w:p w14:paraId="23B70A66" w14:textId="5B167EB9" w:rsidR="00544E0D" w:rsidRPr="00A624C2" w:rsidRDefault="00544E0D" w:rsidP="009E67BD">
            <w:pPr>
              <w:spacing w:after="0" w:line="360" w:lineRule="auto"/>
              <w:jc w:val="both"/>
              <w:rPr>
                <w:rFonts w:ascii="Book Antiqua" w:eastAsia="Times New Roman" w:hAnsi="Book Antiqua"/>
                <w:bCs/>
                <w:sz w:val="24"/>
                <w:szCs w:val="24"/>
              </w:rPr>
            </w:pPr>
            <w:r w:rsidRPr="00A624C2">
              <w:rPr>
                <w:rFonts w:ascii="Book Antiqua" w:eastAsia="Times New Roman" w:hAnsi="Book Antiqua"/>
                <w:bCs/>
                <w:sz w:val="24"/>
                <w:szCs w:val="24"/>
              </w:rPr>
              <w:t>Previous CD surgery</w:t>
            </w:r>
          </w:p>
        </w:tc>
        <w:tc>
          <w:tcPr>
            <w:tcW w:w="2552" w:type="dxa"/>
          </w:tcPr>
          <w:p w14:paraId="4016AAD2" w14:textId="77777777" w:rsidR="00544E0D" w:rsidRPr="00A624C2" w:rsidRDefault="00544E0D" w:rsidP="0028587F">
            <w:pPr>
              <w:spacing w:after="0" w:line="360" w:lineRule="auto"/>
              <w:jc w:val="both"/>
              <w:rPr>
                <w:rFonts w:ascii="Book Antiqua" w:hAnsi="Book Antiqua"/>
                <w:sz w:val="24"/>
                <w:szCs w:val="24"/>
              </w:rPr>
            </w:pPr>
            <w:r w:rsidRPr="00A624C2">
              <w:rPr>
                <w:rFonts w:ascii="Book Antiqua" w:hAnsi="Book Antiqua"/>
                <w:sz w:val="24"/>
                <w:szCs w:val="24"/>
              </w:rPr>
              <w:t>9 (15)</w:t>
            </w:r>
          </w:p>
        </w:tc>
      </w:tr>
    </w:tbl>
    <w:p w14:paraId="495CF738" w14:textId="3330982C" w:rsidR="00544E0D" w:rsidRPr="00A624C2" w:rsidRDefault="0055424C" w:rsidP="0028587F">
      <w:pPr>
        <w:spacing w:after="0" w:line="360" w:lineRule="auto"/>
        <w:jc w:val="both"/>
        <w:rPr>
          <w:rFonts w:ascii="Book Antiqua" w:eastAsia="宋体" w:hAnsi="Book Antiqua"/>
          <w:b/>
          <w:sz w:val="24"/>
          <w:szCs w:val="24"/>
          <w:lang w:eastAsia="zh-CN"/>
        </w:rPr>
      </w:pPr>
      <w:r w:rsidRPr="00A624C2">
        <w:rPr>
          <w:rFonts w:ascii="Book Antiqua" w:hAnsi="Book Antiqua" w:cs="AdvOTb63a3543.I"/>
          <w:color w:val="231F20"/>
          <w:sz w:val="24"/>
          <w:szCs w:val="24"/>
        </w:rPr>
        <w:t>TNF</w:t>
      </w:r>
      <w:r w:rsidRPr="00A624C2">
        <w:rPr>
          <w:rFonts w:ascii="Book Antiqua" w:eastAsia="宋体" w:hAnsi="Book Antiqua" w:cs="AdvOTb63a3543.I"/>
          <w:color w:val="231F20"/>
          <w:sz w:val="24"/>
          <w:szCs w:val="24"/>
          <w:lang w:eastAsia="zh-CN"/>
        </w:rPr>
        <w:t xml:space="preserve">: </w:t>
      </w:r>
      <w:r w:rsidRPr="00A624C2">
        <w:rPr>
          <w:rFonts w:ascii="Book Antiqua" w:hAnsi="Book Antiqua" w:cs="AdvOTb63a3543.I"/>
          <w:color w:val="231F20"/>
          <w:sz w:val="24"/>
          <w:szCs w:val="24"/>
        </w:rPr>
        <w:t>Tumor necrosis factor</w:t>
      </w:r>
      <w:r w:rsidRPr="00A624C2">
        <w:rPr>
          <w:rFonts w:ascii="Book Antiqua" w:eastAsia="宋体" w:hAnsi="Book Antiqua" w:cs="AdvOTb63a3543.I"/>
          <w:color w:val="231F20"/>
          <w:sz w:val="24"/>
          <w:szCs w:val="24"/>
          <w:lang w:eastAsia="zh-CN"/>
        </w:rPr>
        <w:t xml:space="preserve">; CD: </w:t>
      </w:r>
      <w:r w:rsidRPr="00A624C2">
        <w:rPr>
          <w:rFonts w:ascii="Book Antiqua" w:hAnsi="Book Antiqua" w:cs="AdvOTb63a3543.I"/>
          <w:color w:val="231F20"/>
          <w:sz w:val="24"/>
          <w:szCs w:val="24"/>
        </w:rPr>
        <w:t>Crohn</w:t>
      </w:r>
      <w:r w:rsidRPr="00A624C2">
        <w:rPr>
          <w:rFonts w:ascii="Book Antiqua" w:eastAsia="宋体" w:hAnsi="Book Antiqua" w:cs="AdvOTb63a3543.I"/>
          <w:color w:val="231F20"/>
          <w:sz w:val="24"/>
          <w:szCs w:val="24"/>
          <w:lang w:eastAsia="zh-CN"/>
        </w:rPr>
        <w:t>’</w:t>
      </w:r>
      <w:r w:rsidRPr="00A624C2">
        <w:rPr>
          <w:rFonts w:ascii="Book Antiqua" w:hAnsi="Book Antiqua" w:cs="AdvOTb63a3543.I"/>
          <w:color w:val="231F20"/>
          <w:sz w:val="24"/>
          <w:szCs w:val="24"/>
        </w:rPr>
        <w:t>s disease</w:t>
      </w:r>
      <w:r w:rsidRPr="00A624C2">
        <w:rPr>
          <w:rFonts w:ascii="Book Antiqua" w:eastAsia="宋体" w:hAnsi="Book Antiqua" w:cs="AdvOTb63a3543.I"/>
          <w:color w:val="231F20"/>
          <w:sz w:val="24"/>
          <w:szCs w:val="24"/>
          <w:lang w:eastAsia="zh-CN"/>
        </w:rPr>
        <w:t>.</w:t>
      </w:r>
    </w:p>
    <w:p w14:paraId="36827017" w14:textId="77777777" w:rsidR="0055424C" w:rsidRPr="00A624C2" w:rsidRDefault="0055424C">
      <w:pPr>
        <w:rPr>
          <w:rFonts w:ascii="Book Antiqua" w:hAnsi="Book Antiqua" w:cs="AdvOTb63a3543.I"/>
          <w:color w:val="231F20"/>
          <w:sz w:val="24"/>
          <w:szCs w:val="24"/>
        </w:rPr>
      </w:pPr>
      <w:r w:rsidRPr="00A624C2">
        <w:rPr>
          <w:rFonts w:ascii="Book Antiqua" w:hAnsi="Book Antiqua" w:cs="AdvOTb63a3543.I"/>
          <w:color w:val="231F20"/>
          <w:sz w:val="24"/>
          <w:szCs w:val="24"/>
        </w:rPr>
        <w:br w:type="page"/>
      </w:r>
    </w:p>
    <w:p w14:paraId="67BCA4A8" w14:textId="77777777" w:rsidR="00873EC7" w:rsidRPr="00A624C2" w:rsidRDefault="00873EC7" w:rsidP="0028587F">
      <w:pPr>
        <w:spacing w:after="0" w:line="360" w:lineRule="auto"/>
        <w:jc w:val="both"/>
        <w:rPr>
          <w:rFonts w:ascii="Book Antiqua" w:hAnsi="Book Antiqua" w:cs="AdvOT4b47d116"/>
          <w:color w:val="231F20"/>
          <w:sz w:val="24"/>
          <w:szCs w:val="24"/>
        </w:rPr>
        <w:sectPr w:rsidR="00873EC7" w:rsidRPr="00A624C2" w:rsidSect="00025BAB">
          <w:headerReference w:type="default" r:id="rId8"/>
          <w:pgSz w:w="11906" w:h="16838"/>
          <w:pgMar w:top="1418" w:right="1701" w:bottom="1418" w:left="1276" w:header="709" w:footer="709" w:gutter="0"/>
          <w:cols w:space="708"/>
          <w:docGrid w:linePitch="360"/>
        </w:sectPr>
      </w:pPr>
    </w:p>
    <w:p w14:paraId="6C2330DF" w14:textId="7C9D5B7E" w:rsidR="00873EC7" w:rsidRPr="00A624C2" w:rsidRDefault="0055424C" w:rsidP="0028587F">
      <w:pPr>
        <w:spacing w:after="0" w:line="360" w:lineRule="auto"/>
        <w:jc w:val="both"/>
        <w:rPr>
          <w:rFonts w:ascii="Book Antiqua" w:eastAsia="宋体" w:hAnsi="Book Antiqua" w:cs="AdvOT4b47d116"/>
          <w:b/>
          <w:color w:val="231F20"/>
          <w:sz w:val="24"/>
          <w:szCs w:val="24"/>
          <w:lang w:eastAsia="zh-CN"/>
        </w:rPr>
      </w:pPr>
      <w:r w:rsidRPr="00A624C2">
        <w:rPr>
          <w:rFonts w:ascii="Book Antiqua" w:hAnsi="Book Antiqua" w:cs="AdvOT4b47d116"/>
          <w:b/>
          <w:color w:val="231F20"/>
          <w:sz w:val="24"/>
          <w:szCs w:val="24"/>
        </w:rPr>
        <w:lastRenderedPageBreak/>
        <w:t>Table</w:t>
      </w:r>
      <w:r w:rsidR="00E43CC3" w:rsidRPr="00A624C2">
        <w:rPr>
          <w:rFonts w:ascii="Book Antiqua" w:eastAsia="宋体" w:hAnsi="Book Antiqua" w:cs="AdvOT4b47d116"/>
          <w:b/>
          <w:color w:val="231F20"/>
          <w:sz w:val="24"/>
          <w:szCs w:val="24"/>
          <w:lang w:eastAsia="zh-CN"/>
        </w:rPr>
        <w:t xml:space="preserve"> </w:t>
      </w:r>
      <w:r w:rsidRPr="00A624C2">
        <w:rPr>
          <w:rFonts w:ascii="Book Antiqua" w:hAnsi="Book Antiqua" w:cs="AdvOT4b47d116"/>
          <w:b/>
          <w:color w:val="231F20"/>
          <w:sz w:val="24"/>
          <w:szCs w:val="24"/>
        </w:rPr>
        <w:t>2</w:t>
      </w:r>
      <w:r w:rsidR="00873EC7" w:rsidRPr="00A624C2">
        <w:rPr>
          <w:rFonts w:ascii="Book Antiqua" w:hAnsi="Book Antiqua" w:cs="AdvOT4b47d116"/>
          <w:b/>
          <w:color w:val="231F20"/>
          <w:sz w:val="24"/>
          <w:szCs w:val="24"/>
        </w:rPr>
        <w:t xml:space="preserve"> Biological, </w:t>
      </w:r>
      <w:r w:rsidR="00873EC7" w:rsidRPr="00A624C2">
        <w:rPr>
          <w:rFonts w:ascii="Book Antiqua" w:hAnsi="Book Antiqua"/>
          <w:b/>
          <w:sz w:val="24"/>
          <w:szCs w:val="24"/>
        </w:rPr>
        <w:t>pharmacokinetic, c</w:t>
      </w:r>
      <w:r w:rsidR="00873EC7" w:rsidRPr="00A624C2">
        <w:rPr>
          <w:rFonts w:ascii="Book Antiqua" w:hAnsi="Book Antiqua" w:cs="AdvOT4b47d116"/>
          <w:b/>
          <w:color w:val="231F20"/>
          <w:sz w:val="24"/>
          <w:szCs w:val="24"/>
        </w:rPr>
        <w:t>linical and endoscopic data a</w:t>
      </w:r>
      <w:r w:rsidRPr="00A624C2">
        <w:rPr>
          <w:rFonts w:ascii="Book Antiqua" w:hAnsi="Book Antiqua" w:cs="AdvOT4b47d116"/>
          <w:b/>
          <w:color w:val="231F20"/>
          <w:sz w:val="24"/>
          <w:szCs w:val="24"/>
        </w:rPr>
        <w:t>t baseline and during follow up</w:t>
      </w:r>
    </w:p>
    <w:tbl>
      <w:tblPr>
        <w:tblStyle w:val="a5"/>
        <w:tblW w:w="14884" w:type="dxa"/>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2385"/>
        <w:gridCol w:w="2410"/>
        <w:gridCol w:w="2126"/>
        <w:gridCol w:w="2126"/>
        <w:gridCol w:w="2126"/>
      </w:tblGrid>
      <w:tr w:rsidR="00873EC7" w:rsidRPr="00A624C2" w14:paraId="1A49170E" w14:textId="77777777" w:rsidTr="0055424C">
        <w:tc>
          <w:tcPr>
            <w:tcW w:w="3711" w:type="dxa"/>
            <w:tcBorders>
              <w:top w:val="single" w:sz="4" w:space="0" w:color="auto"/>
              <w:bottom w:val="single" w:sz="4" w:space="0" w:color="auto"/>
            </w:tcBorders>
          </w:tcPr>
          <w:p w14:paraId="1D16BBBF" w14:textId="77777777" w:rsidR="00873EC7" w:rsidRPr="00A624C2" w:rsidRDefault="00873EC7" w:rsidP="0055424C">
            <w:pPr>
              <w:spacing w:line="360" w:lineRule="auto"/>
              <w:rPr>
                <w:rFonts w:ascii="Book Antiqua" w:hAnsi="Book Antiqua" w:cs="AdvOTb63a3543.I"/>
                <w:b/>
                <w:color w:val="231F20"/>
                <w:sz w:val="24"/>
                <w:szCs w:val="24"/>
              </w:rPr>
            </w:pPr>
          </w:p>
        </w:tc>
        <w:tc>
          <w:tcPr>
            <w:tcW w:w="2385" w:type="dxa"/>
            <w:tcBorders>
              <w:top w:val="single" w:sz="4" w:space="0" w:color="auto"/>
              <w:bottom w:val="single" w:sz="4" w:space="0" w:color="auto"/>
            </w:tcBorders>
          </w:tcPr>
          <w:p w14:paraId="0C2D550C" w14:textId="77777777" w:rsidR="00873EC7" w:rsidRPr="00A624C2" w:rsidRDefault="00873EC7" w:rsidP="0055424C">
            <w:pPr>
              <w:spacing w:line="360" w:lineRule="auto"/>
              <w:rPr>
                <w:rFonts w:ascii="Book Antiqua" w:hAnsi="Book Antiqua" w:cs="AdvOTb63a3543.I"/>
                <w:b/>
                <w:color w:val="231F20"/>
                <w:sz w:val="24"/>
                <w:szCs w:val="24"/>
              </w:rPr>
            </w:pPr>
            <w:r w:rsidRPr="00A624C2">
              <w:rPr>
                <w:rFonts w:ascii="Book Antiqua" w:hAnsi="Book Antiqua" w:cs="AdvOTb63a3543.I"/>
                <w:b/>
                <w:color w:val="231F20"/>
                <w:sz w:val="24"/>
                <w:szCs w:val="24"/>
              </w:rPr>
              <w:t>Baseline</w:t>
            </w:r>
          </w:p>
          <w:p w14:paraId="42246BDA" w14:textId="3F90EFFD" w:rsidR="00873EC7" w:rsidRPr="00A624C2" w:rsidRDefault="0055424C" w:rsidP="0055424C">
            <w:pPr>
              <w:spacing w:line="360" w:lineRule="auto"/>
              <w:rPr>
                <w:rFonts w:ascii="Book Antiqua" w:hAnsi="Book Antiqua" w:cs="AdvOTb63a3543.I"/>
                <w:b/>
                <w:color w:val="231F20"/>
                <w:sz w:val="24"/>
                <w:szCs w:val="24"/>
              </w:rPr>
            </w:pPr>
            <w:r w:rsidRPr="00A624C2">
              <w:rPr>
                <w:rFonts w:ascii="Book Antiqua" w:hAnsi="Book Antiqua" w:cs="AdvOTb63a3543.I"/>
                <w:b/>
                <w:i/>
                <w:color w:val="231F20"/>
                <w:sz w:val="24"/>
                <w:szCs w:val="24"/>
              </w:rPr>
              <w:t>n</w:t>
            </w:r>
            <w:r w:rsidRPr="00A624C2">
              <w:rPr>
                <w:rFonts w:ascii="Book Antiqua" w:hAnsi="Book Antiqua" w:cs="AdvOTb63a3543.I"/>
                <w:b/>
                <w:color w:val="231F20"/>
                <w:sz w:val="24"/>
                <w:szCs w:val="24"/>
              </w:rPr>
              <w:t xml:space="preserve"> </w:t>
            </w:r>
            <w:r w:rsidR="00873EC7" w:rsidRPr="00A624C2">
              <w:rPr>
                <w:rFonts w:ascii="Book Antiqua" w:hAnsi="Book Antiqua" w:cs="AdvOTb63a3543.I"/>
                <w:b/>
                <w:color w:val="231F20"/>
                <w:sz w:val="24"/>
                <w:szCs w:val="24"/>
              </w:rPr>
              <w:t>=</w:t>
            </w:r>
            <w:r w:rsidRPr="00A624C2">
              <w:rPr>
                <w:rFonts w:ascii="Book Antiqua" w:eastAsia="宋体" w:hAnsi="Book Antiqua" w:cs="AdvOTb63a3543.I"/>
                <w:b/>
                <w:color w:val="231F20"/>
                <w:sz w:val="24"/>
                <w:szCs w:val="24"/>
                <w:lang w:eastAsia="zh-CN"/>
              </w:rPr>
              <w:t xml:space="preserve"> </w:t>
            </w:r>
            <w:r w:rsidR="00873EC7" w:rsidRPr="00A624C2">
              <w:rPr>
                <w:rFonts w:ascii="Book Antiqua" w:hAnsi="Book Antiqua" w:cs="AdvOTb63a3543.I"/>
                <w:b/>
                <w:color w:val="231F20"/>
                <w:sz w:val="24"/>
                <w:szCs w:val="24"/>
              </w:rPr>
              <w:t>62</w:t>
            </w:r>
          </w:p>
        </w:tc>
        <w:tc>
          <w:tcPr>
            <w:tcW w:w="2410" w:type="dxa"/>
            <w:tcBorders>
              <w:top w:val="single" w:sz="4" w:space="0" w:color="auto"/>
              <w:bottom w:val="single" w:sz="4" w:space="0" w:color="auto"/>
            </w:tcBorders>
          </w:tcPr>
          <w:p w14:paraId="0A4A5068" w14:textId="77777777" w:rsidR="00873EC7" w:rsidRPr="00A624C2" w:rsidRDefault="00873EC7" w:rsidP="0055424C">
            <w:pPr>
              <w:spacing w:line="360" w:lineRule="auto"/>
              <w:rPr>
                <w:rFonts w:ascii="Book Antiqua" w:hAnsi="Book Antiqua" w:cs="AdvOTb63a3543.I"/>
                <w:b/>
                <w:color w:val="231F20"/>
                <w:sz w:val="24"/>
                <w:szCs w:val="24"/>
              </w:rPr>
            </w:pPr>
            <w:r w:rsidRPr="00A624C2">
              <w:rPr>
                <w:rFonts w:ascii="Book Antiqua" w:hAnsi="Book Antiqua" w:cs="AdvOTb63a3543.I"/>
                <w:b/>
                <w:color w:val="231F20"/>
                <w:sz w:val="24"/>
                <w:szCs w:val="24"/>
              </w:rPr>
              <w:t>Week 14</w:t>
            </w:r>
          </w:p>
          <w:p w14:paraId="5FFB60D3" w14:textId="1F3BA4FE" w:rsidR="00873EC7" w:rsidRPr="00A624C2" w:rsidRDefault="0055424C" w:rsidP="0055424C">
            <w:pPr>
              <w:spacing w:line="360" w:lineRule="auto"/>
              <w:rPr>
                <w:rFonts w:ascii="Book Antiqua" w:hAnsi="Book Antiqua" w:cs="AdvOTb63a3543.I"/>
                <w:b/>
                <w:color w:val="231F20"/>
                <w:sz w:val="24"/>
                <w:szCs w:val="24"/>
              </w:rPr>
            </w:pPr>
            <w:r w:rsidRPr="00A624C2">
              <w:rPr>
                <w:rFonts w:ascii="Book Antiqua" w:hAnsi="Book Antiqua" w:cs="AdvOTb63a3543.I"/>
                <w:b/>
                <w:i/>
                <w:color w:val="231F20"/>
                <w:sz w:val="24"/>
                <w:szCs w:val="24"/>
              </w:rPr>
              <w:t>n</w:t>
            </w:r>
            <w:r w:rsidRPr="00A624C2">
              <w:rPr>
                <w:rFonts w:ascii="Book Antiqua" w:eastAsia="宋体" w:hAnsi="Book Antiqua" w:cs="AdvOTb63a3543.I"/>
                <w:b/>
                <w:color w:val="231F20"/>
                <w:sz w:val="24"/>
                <w:szCs w:val="24"/>
                <w:lang w:eastAsia="zh-CN"/>
              </w:rPr>
              <w:t xml:space="preserve"> </w:t>
            </w:r>
            <w:r w:rsidR="00873EC7" w:rsidRPr="00A624C2">
              <w:rPr>
                <w:rFonts w:ascii="Book Antiqua" w:hAnsi="Book Antiqua" w:cs="AdvOTb63a3543.I"/>
                <w:b/>
                <w:color w:val="231F20"/>
                <w:sz w:val="24"/>
                <w:szCs w:val="24"/>
              </w:rPr>
              <w:t>=</w:t>
            </w:r>
            <w:r w:rsidRPr="00A624C2">
              <w:rPr>
                <w:rFonts w:ascii="Book Antiqua" w:eastAsia="宋体" w:hAnsi="Book Antiqua" w:cs="AdvOTb63a3543.I"/>
                <w:b/>
                <w:color w:val="231F20"/>
                <w:sz w:val="24"/>
                <w:szCs w:val="24"/>
                <w:lang w:eastAsia="zh-CN"/>
              </w:rPr>
              <w:t xml:space="preserve"> </w:t>
            </w:r>
            <w:r w:rsidR="00873EC7" w:rsidRPr="00A624C2">
              <w:rPr>
                <w:rFonts w:ascii="Book Antiqua" w:hAnsi="Book Antiqua" w:cs="AdvOTb63a3543.I"/>
                <w:b/>
                <w:color w:val="231F20"/>
                <w:sz w:val="24"/>
                <w:szCs w:val="24"/>
              </w:rPr>
              <w:t>59</w:t>
            </w:r>
          </w:p>
        </w:tc>
        <w:tc>
          <w:tcPr>
            <w:tcW w:w="2126" w:type="dxa"/>
            <w:tcBorders>
              <w:top w:val="single" w:sz="4" w:space="0" w:color="auto"/>
              <w:bottom w:val="single" w:sz="4" w:space="0" w:color="auto"/>
            </w:tcBorders>
          </w:tcPr>
          <w:p w14:paraId="49BE5D96" w14:textId="2016B100" w:rsidR="00873EC7" w:rsidRPr="00A624C2" w:rsidRDefault="0055424C" w:rsidP="0055424C">
            <w:pPr>
              <w:spacing w:line="360" w:lineRule="auto"/>
              <w:rPr>
                <w:rFonts w:ascii="Book Antiqua" w:hAnsi="Book Antiqua" w:cs="AdvOTb63a3543.I"/>
                <w:b/>
                <w:color w:val="231F20"/>
                <w:sz w:val="24"/>
                <w:szCs w:val="24"/>
              </w:rPr>
            </w:pPr>
            <w:r w:rsidRPr="00A624C2">
              <w:rPr>
                <w:rFonts w:ascii="Book Antiqua" w:hAnsi="Book Antiqua"/>
                <w:b/>
                <w:i/>
                <w:sz w:val="24"/>
                <w:szCs w:val="24"/>
                <w:lang w:val="en-US"/>
              </w:rPr>
              <w:t>P</w:t>
            </w:r>
            <w:r w:rsidRPr="00A624C2">
              <w:rPr>
                <w:rFonts w:ascii="Book Antiqua" w:hAnsi="Book Antiqua" w:cs="AdvOTb63a3543.I"/>
                <w:b/>
                <w:color w:val="231F20"/>
                <w:sz w:val="24"/>
                <w:szCs w:val="24"/>
              </w:rPr>
              <w:t xml:space="preserve"> </w:t>
            </w:r>
            <w:r w:rsidR="00873EC7" w:rsidRPr="00A624C2">
              <w:rPr>
                <w:rFonts w:ascii="Book Antiqua" w:hAnsi="Book Antiqua" w:cs="AdvOTb63a3543.I"/>
                <w:b/>
                <w:color w:val="231F20"/>
                <w:sz w:val="24"/>
                <w:szCs w:val="24"/>
              </w:rPr>
              <w:t>value</w:t>
            </w:r>
          </w:p>
          <w:p w14:paraId="271922A7" w14:textId="77777777" w:rsidR="00873EC7" w:rsidRPr="00A624C2" w:rsidRDefault="00873EC7" w:rsidP="0055424C">
            <w:pPr>
              <w:spacing w:line="360" w:lineRule="auto"/>
              <w:rPr>
                <w:rFonts w:ascii="Book Antiqua" w:hAnsi="Book Antiqua" w:cs="AdvOTb63a3543.I"/>
                <w:b/>
                <w:color w:val="231F20"/>
                <w:sz w:val="24"/>
                <w:szCs w:val="24"/>
              </w:rPr>
            </w:pPr>
            <w:r w:rsidRPr="00A624C2">
              <w:rPr>
                <w:rFonts w:ascii="Book Antiqua" w:hAnsi="Book Antiqua" w:cs="AdvOTb63a3543.I"/>
                <w:b/>
                <w:color w:val="231F20"/>
                <w:sz w:val="24"/>
                <w:szCs w:val="24"/>
              </w:rPr>
              <w:t>(week 14- baseline)</w:t>
            </w:r>
          </w:p>
        </w:tc>
        <w:tc>
          <w:tcPr>
            <w:tcW w:w="2126" w:type="dxa"/>
            <w:tcBorders>
              <w:top w:val="single" w:sz="4" w:space="0" w:color="auto"/>
              <w:bottom w:val="single" w:sz="4" w:space="0" w:color="auto"/>
            </w:tcBorders>
          </w:tcPr>
          <w:p w14:paraId="0A532E5F" w14:textId="77777777" w:rsidR="00873EC7" w:rsidRPr="00A624C2" w:rsidRDefault="00873EC7" w:rsidP="0055424C">
            <w:pPr>
              <w:spacing w:line="360" w:lineRule="auto"/>
              <w:rPr>
                <w:rFonts w:ascii="Book Antiqua" w:hAnsi="Book Antiqua" w:cs="AdvOTb63a3543.I"/>
                <w:b/>
                <w:color w:val="231F20"/>
                <w:sz w:val="24"/>
                <w:szCs w:val="24"/>
              </w:rPr>
            </w:pPr>
            <w:r w:rsidRPr="00A624C2">
              <w:rPr>
                <w:rFonts w:ascii="Book Antiqua" w:hAnsi="Book Antiqua" w:cs="AdvOTb63a3543.I"/>
                <w:b/>
                <w:color w:val="231F20"/>
                <w:sz w:val="24"/>
                <w:szCs w:val="24"/>
              </w:rPr>
              <w:t>Week 46</w:t>
            </w:r>
          </w:p>
          <w:p w14:paraId="3426B3DA" w14:textId="68301156" w:rsidR="00873EC7" w:rsidRPr="00A624C2" w:rsidRDefault="0055424C" w:rsidP="0055424C">
            <w:pPr>
              <w:spacing w:line="360" w:lineRule="auto"/>
              <w:rPr>
                <w:rFonts w:ascii="Book Antiqua" w:hAnsi="Book Antiqua" w:cs="AdvOTb63a3543.I"/>
                <w:b/>
                <w:color w:val="231F20"/>
                <w:sz w:val="24"/>
                <w:szCs w:val="24"/>
              </w:rPr>
            </w:pPr>
            <w:r w:rsidRPr="00A624C2">
              <w:rPr>
                <w:rFonts w:ascii="Book Antiqua" w:hAnsi="Book Antiqua" w:cs="AdvOTb63a3543.I"/>
                <w:b/>
                <w:i/>
                <w:color w:val="231F20"/>
                <w:sz w:val="24"/>
                <w:szCs w:val="24"/>
              </w:rPr>
              <w:t>n</w:t>
            </w:r>
            <w:r w:rsidRPr="00A624C2">
              <w:rPr>
                <w:rFonts w:ascii="Book Antiqua" w:hAnsi="Book Antiqua" w:cs="AdvOTb63a3543.I"/>
                <w:b/>
                <w:color w:val="231F20"/>
                <w:sz w:val="24"/>
                <w:szCs w:val="24"/>
              </w:rPr>
              <w:t xml:space="preserve"> </w:t>
            </w:r>
            <w:r w:rsidR="00873EC7" w:rsidRPr="00A624C2">
              <w:rPr>
                <w:rFonts w:ascii="Book Antiqua" w:hAnsi="Book Antiqua" w:cs="AdvOTb63a3543.I"/>
                <w:b/>
                <w:color w:val="231F20"/>
                <w:sz w:val="24"/>
                <w:szCs w:val="24"/>
              </w:rPr>
              <w:t>=</w:t>
            </w:r>
            <w:r w:rsidRPr="00A624C2">
              <w:rPr>
                <w:rFonts w:ascii="Book Antiqua" w:eastAsia="宋体" w:hAnsi="Book Antiqua" w:cs="AdvOTb63a3543.I"/>
                <w:b/>
                <w:color w:val="231F20"/>
                <w:sz w:val="24"/>
                <w:szCs w:val="24"/>
                <w:lang w:eastAsia="zh-CN"/>
              </w:rPr>
              <w:t xml:space="preserve"> </w:t>
            </w:r>
            <w:r w:rsidR="00873EC7" w:rsidRPr="00A624C2">
              <w:rPr>
                <w:rFonts w:ascii="Book Antiqua" w:hAnsi="Book Antiqua" w:cs="AdvOTb63a3543.I"/>
                <w:b/>
                <w:color w:val="231F20"/>
                <w:sz w:val="24"/>
                <w:szCs w:val="24"/>
              </w:rPr>
              <w:t>56</w:t>
            </w:r>
          </w:p>
        </w:tc>
        <w:tc>
          <w:tcPr>
            <w:tcW w:w="2126" w:type="dxa"/>
            <w:tcBorders>
              <w:top w:val="single" w:sz="4" w:space="0" w:color="auto"/>
              <w:bottom w:val="single" w:sz="4" w:space="0" w:color="auto"/>
            </w:tcBorders>
          </w:tcPr>
          <w:p w14:paraId="4BCE74A8" w14:textId="2D20BA43" w:rsidR="00873EC7" w:rsidRPr="00A624C2" w:rsidRDefault="0055424C" w:rsidP="0055424C">
            <w:pPr>
              <w:pStyle w:val="a6"/>
              <w:spacing w:line="360" w:lineRule="auto"/>
              <w:rPr>
                <w:rFonts w:ascii="Book Antiqua" w:hAnsi="Book Antiqua"/>
                <w:b/>
                <w:sz w:val="24"/>
                <w:szCs w:val="24"/>
                <w:lang w:val="en-US"/>
              </w:rPr>
            </w:pPr>
            <w:r w:rsidRPr="00A624C2">
              <w:rPr>
                <w:rFonts w:ascii="Book Antiqua" w:hAnsi="Book Antiqua"/>
                <w:b/>
                <w:i/>
                <w:sz w:val="24"/>
                <w:szCs w:val="24"/>
                <w:lang w:val="en-US"/>
              </w:rPr>
              <w:t>P</w:t>
            </w:r>
            <w:r w:rsidRPr="00A624C2">
              <w:rPr>
                <w:rFonts w:ascii="Book Antiqua" w:eastAsia="宋体" w:hAnsi="Book Antiqua"/>
                <w:b/>
                <w:sz w:val="24"/>
                <w:szCs w:val="24"/>
                <w:lang w:val="en-US" w:eastAsia="zh-CN"/>
              </w:rPr>
              <w:t xml:space="preserve"> </w:t>
            </w:r>
            <w:r w:rsidR="00873EC7" w:rsidRPr="00A624C2">
              <w:rPr>
                <w:rFonts w:ascii="Book Antiqua" w:hAnsi="Book Antiqua"/>
                <w:b/>
                <w:sz w:val="24"/>
                <w:szCs w:val="24"/>
                <w:lang w:val="en-US"/>
              </w:rPr>
              <w:t>value</w:t>
            </w:r>
          </w:p>
          <w:p w14:paraId="4A5E2F4A" w14:textId="77777777" w:rsidR="00873EC7" w:rsidRPr="00A624C2" w:rsidRDefault="00873EC7" w:rsidP="0055424C">
            <w:pPr>
              <w:pStyle w:val="a6"/>
              <w:spacing w:line="360" w:lineRule="auto"/>
              <w:rPr>
                <w:rFonts w:ascii="Book Antiqua" w:hAnsi="Book Antiqua"/>
                <w:b/>
                <w:sz w:val="24"/>
                <w:szCs w:val="24"/>
                <w:lang w:val="en-US"/>
              </w:rPr>
            </w:pPr>
            <w:r w:rsidRPr="00A624C2">
              <w:rPr>
                <w:rFonts w:ascii="Book Antiqua" w:hAnsi="Book Antiqua"/>
                <w:b/>
                <w:sz w:val="24"/>
                <w:szCs w:val="24"/>
                <w:lang w:val="en-US"/>
              </w:rPr>
              <w:t>(week 46- baseline)</w:t>
            </w:r>
          </w:p>
        </w:tc>
      </w:tr>
      <w:tr w:rsidR="00873EC7" w:rsidRPr="00A624C2" w14:paraId="1A2AD839" w14:textId="77777777" w:rsidTr="0055424C">
        <w:trPr>
          <w:trHeight w:val="5837"/>
        </w:trPr>
        <w:tc>
          <w:tcPr>
            <w:tcW w:w="3711" w:type="dxa"/>
            <w:tcBorders>
              <w:top w:val="single" w:sz="4" w:space="0" w:color="auto"/>
              <w:bottom w:val="single" w:sz="4" w:space="0" w:color="auto"/>
            </w:tcBorders>
          </w:tcPr>
          <w:p w14:paraId="01064084" w14:textId="77777777" w:rsidR="00873EC7" w:rsidRPr="00A624C2" w:rsidRDefault="00873EC7" w:rsidP="00EF4DB8">
            <w:pPr>
              <w:spacing w:line="360" w:lineRule="auto"/>
              <w:rPr>
                <w:rFonts w:ascii="Book Antiqua" w:hAnsi="Book Antiqua" w:cs="AdvOTb63a3543.I"/>
                <w:color w:val="231F20"/>
                <w:sz w:val="24"/>
                <w:szCs w:val="24"/>
              </w:rPr>
            </w:pPr>
            <w:r w:rsidRPr="00A624C2">
              <w:rPr>
                <w:rFonts w:ascii="Book Antiqua" w:hAnsi="Book Antiqua" w:cs="AdvOTb63a3543.I"/>
                <w:color w:val="231F20"/>
                <w:sz w:val="24"/>
                <w:szCs w:val="24"/>
              </w:rPr>
              <w:t>CDAI, median (IQR)</w:t>
            </w:r>
          </w:p>
          <w:p w14:paraId="67E5C5EB" w14:textId="77777777" w:rsidR="00873EC7" w:rsidRPr="00A624C2" w:rsidRDefault="00873EC7" w:rsidP="00EF4DB8">
            <w:pPr>
              <w:spacing w:line="360" w:lineRule="auto"/>
              <w:rPr>
                <w:rFonts w:ascii="Book Antiqua" w:hAnsi="Book Antiqua" w:cs="AdvOTb63a3543.I"/>
                <w:color w:val="231F20"/>
                <w:sz w:val="24"/>
                <w:szCs w:val="24"/>
              </w:rPr>
            </w:pPr>
            <w:r w:rsidRPr="00A624C2">
              <w:rPr>
                <w:rFonts w:ascii="Book Antiqua" w:hAnsi="Book Antiqua" w:cs="AdvOTb63a3543.I"/>
                <w:color w:val="231F20"/>
                <w:sz w:val="24"/>
                <w:szCs w:val="24"/>
              </w:rPr>
              <w:t>CDEIS,  median (IQR)</w:t>
            </w:r>
          </w:p>
          <w:p w14:paraId="74E6AA87" w14:textId="6CC36F68" w:rsidR="00873EC7" w:rsidRPr="00A624C2" w:rsidRDefault="00873EC7" w:rsidP="00EF4DB8">
            <w:pPr>
              <w:spacing w:line="360" w:lineRule="auto"/>
              <w:rPr>
                <w:rFonts w:ascii="Book Antiqua" w:hAnsi="Book Antiqua" w:cs="AdvOTb63a3543.I"/>
                <w:color w:val="231F20"/>
                <w:sz w:val="24"/>
                <w:szCs w:val="24"/>
              </w:rPr>
            </w:pPr>
            <w:r w:rsidRPr="00A624C2">
              <w:rPr>
                <w:rFonts w:ascii="Book Antiqua" w:hAnsi="Book Antiqua" w:cs="AdvOTb63a3543.I"/>
                <w:color w:val="231F20"/>
                <w:sz w:val="24"/>
                <w:szCs w:val="24"/>
              </w:rPr>
              <w:t>CRP mg/d</w:t>
            </w:r>
            <w:r w:rsidR="0055424C" w:rsidRPr="00A624C2">
              <w:rPr>
                <w:rFonts w:ascii="Book Antiqua" w:hAnsi="Book Antiqua" w:cs="AdvOTb63a3543.I"/>
                <w:color w:val="231F20"/>
                <w:sz w:val="24"/>
                <w:szCs w:val="24"/>
              </w:rPr>
              <w:t>L</w:t>
            </w:r>
            <w:r w:rsidRPr="00A624C2">
              <w:rPr>
                <w:rFonts w:ascii="Book Antiqua" w:hAnsi="Book Antiqua" w:cs="AdvOTb63a3543.I"/>
                <w:color w:val="231F20"/>
                <w:sz w:val="24"/>
                <w:szCs w:val="24"/>
              </w:rPr>
              <w:t>,  median (IQR)</w:t>
            </w:r>
          </w:p>
          <w:p w14:paraId="5028E066" w14:textId="36C25513" w:rsidR="00873EC7" w:rsidRPr="00A624C2" w:rsidRDefault="0055424C" w:rsidP="00EF4DB8">
            <w:pPr>
              <w:spacing w:line="360" w:lineRule="auto"/>
              <w:rPr>
                <w:rFonts w:ascii="Book Antiqua" w:hAnsi="Book Antiqua" w:cs="AdvOTb63a3543.I"/>
                <w:color w:val="231F20"/>
                <w:sz w:val="24"/>
                <w:szCs w:val="24"/>
              </w:rPr>
            </w:pPr>
            <w:r w:rsidRPr="00A624C2">
              <w:rPr>
                <w:rFonts w:ascii="Book Antiqua" w:hAnsi="Book Antiqua" w:cs="AdvOTb63a3543.I"/>
                <w:color w:val="231F20"/>
                <w:sz w:val="24"/>
                <w:szCs w:val="24"/>
              </w:rPr>
              <w:t xml:space="preserve">Hemoglobin g/L, </w:t>
            </w:r>
            <w:r w:rsidR="00873EC7" w:rsidRPr="00A624C2">
              <w:rPr>
                <w:rFonts w:ascii="Book Antiqua" w:hAnsi="Book Antiqua" w:cs="AdvOTb63a3543.I"/>
                <w:color w:val="231F20"/>
                <w:sz w:val="24"/>
                <w:szCs w:val="24"/>
              </w:rPr>
              <w:t>median (IQR)</w:t>
            </w:r>
          </w:p>
          <w:p w14:paraId="4B357D80" w14:textId="77777777" w:rsidR="00873EC7" w:rsidRPr="00A624C2" w:rsidRDefault="00873EC7" w:rsidP="00EF4DB8">
            <w:pPr>
              <w:spacing w:line="360" w:lineRule="auto"/>
              <w:rPr>
                <w:rFonts w:ascii="Book Antiqua" w:hAnsi="Book Antiqua" w:cs="AdvOTb63a3543.I"/>
                <w:color w:val="231F20"/>
                <w:sz w:val="24"/>
                <w:szCs w:val="24"/>
              </w:rPr>
            </w:pPr>
            <w:r w:rsidRPr="00A624C2">
              <w:rPr>
                <w:rFonts w:ascii="Book Antiqua" w:hAnsi="Book Antiqua" w:cs="AdvOTb63a3543.I"/>
                <w:color w:val="231F20"/>
                <w:sz w:val="24"/>
                <w:szCs w:val="24"/>
              </w:rPr>
              <w:t>Albumin g/L,  median (IQR)</w:t>
            </w:r>
          </w:p>
          <w:p w14:paraId="5E1C662C" w14:textId="564EC63A" w:rsidR="00873EC7" w:rsidRPr="00A624C2" w:rsidRDefault="0055424C" w:rsidP="00EF4DB8">
            <w:pPr>
              <w:spacing w:line="360" w:lineRule="auto"/>
              <w:rPr>
                <w:rFonts w:ascii="Book Antiqua" w:hAnsi="Book Antiqua" w:cs="AdvOTb63a3543.I"/>
                <w:color w:val="231F20"/>
                <w:sz w:val="24"/>
                <w:szCs w:val="24"/>
              </w:rPr>
            </w:pPr>
            <w:r w:rsidRPr="00A624C2">
              <w:rPr>
                <w:rFonts w:ascii="Book Antiqua" w:hAnsi="Book Antiqua" w:cs="AdvOTb63a3543.I"/>
                <w:color w:val="231F20"/>
                <w:sz w:val="24"/>
                <w:szCs w:val="24"/>
              </w:rPr>
              <w:t>Serum TNF-alpha pg/mL</w:t>
            </w:r>
            <w:r w:rsidR="00873EC7" w:rsidRPr="00A624C2">
              <w:rPr>
                <w:rFonts w:ascii="Book Antiqua" w:hAnsi="Book Antiqua" w:cs="AdvOTb63a3543.I"/>
                <w:color w:val="231F20"/>
                <w:sz w:val="24"/>
                <w:szCs w:val="24"/>
              </w:rPr>
              <w:t>, median (IQR)</w:t>
            </w:r>
          </w:p>
          <w:p w14:paraId="02889B8D" w14:textId="4A10DCE7" w:rsidR="00873EC7" w:rsidRPr="00A624C2" w:rsidRDefault="00873EC7" w:rsidP="00EF4DB8">
            <w:pPr>
              <w:spacing w:line="360" w:lineRule="auto"/>
              <w:rPr>
                <w:rFonts w:ascii="Book Antiqua" w:hAnsi="Book Antiqua" w:cs="AdvOTb63a3543.I"/>
                <w:color w:val="231F20"/>
                <w:sz w:val="24"/>
                <w:szCs w:val="24"/>
              </w:rPr>
            </w:pPr>
            <w:r w:rsidRPr="00A624C2">
              <w:rPr>
                <w:rFonts w:ascii="Book Antiqua" w:hAnsi="Book Antiqua" w:cs="AdvOTb63a3543.I"/>
                <w:color w:val="231F20"/>
                <w:sz w:val="24"/>
                <w:szCs w:val="24"/>
              </w:rPr>
              <w:t xml:space="preserve">Fecal Calprotectin </w:t>
            </w:r>
            <w:r w:rsidR="0055424C" w:rsidRPr="00A624C2">
              <w:rPr>
                <w:rFonts w:ascii="Book Antiqua" w:hAnsi="Book Antiqua" w:cs="AdvOTb63a3543.I"/>
                <w:color w:val="231F20"/>
                <w:sz w:val="24"/>
                <w:szCs w:val="24"/>
              </w:rPr>
              <w:t>μg/g</w:t>
            </w:r>
            <w:r w:rsidRPr="00A624C2">
              <w:rPr>
                <w:rFonts w:ascii="Book Antiqua" w:hAnsi="Book Antiqua" w:cs="AdvOTb63a3543.I"/>
                <w:color w:val="231F20"/>
                <w:sz w:val="24"/>
                <w:szCs w:val="24"/>
              </w:rPr>
              <w:t>,  median (IQR)</w:t>
            </w:r>
          </w:p>
          <w:p w14:paraId="4DC42379" w14:textId="437EA960" w:rsidR="00873EC7" w:rsidRPr="00A624C2" w:rsidRDefault="00873EC7" w:rsidP="00EF4DB8">
            <w:pPr>
              <w:spacing w:line="360" w:lineRule="auto"/>
              <w:rPr>
                <w:rFonts w:ascii="Book Antiqua" w:hAnsi="Book Antiqua" w:cs="AdvOTb63a3543.I"/>
                <w:color w:val="231F20"/>
                <w:sz w:val="24"/>
                <w:szCs w:val="24"/>
              </w:rPr>
            </w:pPr>
            <w:r w:rsidRPr="00A624C2">
              <w:rPr>
                <w:rFonts w:ascii="Book Antiqua" w:hAnsi="Book Antiqua" w:cs="AdvOTb63a3543.I"/>
                <w:color w:val="231F20"/>
                <w:sz w:val="24"/>
                <w:szCs w:val="24"/>
              </w:rPr>
              <w:t>Infliximab μg/m</w:t>
            </w:r>
            <w:r w:rsidR="0055424C" w:rsidRPr="00A624C2">
              <w:rPr>
                <w:rFonts w:ascii="Book Antiqua" w:hAnsi="Book Antiqua" w:cs="AdvOTb63a3543.I"/>
                <w:color w:val="231F20"/>
                <w:sz w:val="24"/>
                <w:szCs w:val="24"/>
              </w:rPr>
              <w:t>L</w:t>
            </w:r>
            <w:r w:rsidRPr="00A624C2">
              <w:rPr>
                <w:rFonts w:ascii="Book Antiqua" w:hAnsi="Book Antiqua" w:cs="AdvOTb63a3543.I"/>
                <w:color w:val="231F20"/>
                <w:sz w:val="24"/>
                <w:szCs w:val="24"/>
              </w:rPr>
              <w:t>, median (IQR)</w:t>
            </w:r>
          </w:p>
          <w:p w14:paraId="7891BC16" w14:textId="160D4816" w:rsidR="00873EC7" w:rsidRPr="00A624C2" w:rsidRDefault="0055424C" w:rsidP="00EF4DB8">
            <w:pPr>
              <w:spacing w:line="360" w:lineRule="auto"/>
              <w:rPr>
                <w:rFonts w:ascii="Book Antiqua" w:hAnsi="Book Antiqua" w:cs="AdvOTb63a3543.I"/>
                <w:color w:val="231F20"/>
                <w:sz w:val="24"/>
                <w:szCs w:val="24"/>
              </w:rPr>
            </w:pPr>
            <w:r w:rsidRPr="00A624C2">
              <w:rPr>
                <w:rFonts w:ascii="Book Antiqua" w:hAnsi="Book Antiqua" w:cs="AdvOTb63a3543.I"/>
                <w:color w:val="231F20"/>
                <w:sz w:val="24"/>
                <w:szCs w:val="24"/>
              </w:rPr>
              <w:t xml:space="preserve">ATIs, </w:t>
            </w:r>
            <w:r w:rsidR="00873EC7" w:rsidRPr="00A624C2">
              <w:rPr>
                <w:rFonts w:ascii="Book Antiqua" w:hAnsi="Book Antiqua" w:cs="AdvOTb63a3543.I"/>
                <w:color w:val="231F20"/>
                <w:sz w:val="24"/>
                <w:szCs w:val="24"/>
              </w:rPr>
              <w:t>% patients (</w:t>
            </w:r>
            <w:r w:rsidR="00873EC7" w:rsidRPr="00A624C2">
              <w:rPr>
                <w:rFonts w:ascii="Book Antiqua" w:hAnsi="Book Antiqua" w:cs="AdvOTb63a3543.I"/>
                <w:i/>
                <w:color w:val="231F20"/>
                <w:sz w:val="24"/>
                <w:szCs w:val="24"/>
              </w:rPr>
              <w:t>n</w:t>
            </w:r>
            <w:r w:rsidR="00873EC7" w:rsidRPr="00A624C2">
              <w:rPr>
                <w:rFonts w:ascii="Book Antiqua" w:hAnsi="Book Antiqua" w:cs="AdvOTb63a3543.I"/>
                <w:color w:val="231F20"/>
                <w:sz w:val="24"/>
                <w:szCs w:val="24"/>
              </w:rPr>
              <w:t>)</w:t>
            </w:r>
          </w:p>
          <w:p w14:paraId="09E994C0" w14:textId="5D5373AB" w:rsidR="00873EC7" w:rsidRPr="00A624C2" w:rsidRDefault="00873EC7" w:rsidP="00EF4DB8">
            <w:pPr>
              <w:spacing w:line="360" w:lineRule="auto"/>
              <w:rPr>
                <w:rFonts w:ascii="Book Antiqua" w:hAnsi="Book Antiqua" w:cs="AdvOTb63a3543.I"/>
                <w:color w:val="231F20"/>
                <w:sz w:val="24"/>
                <w:szCs w:val="24"/>
              </w:rPr>
            </w:pPr>
            <w:r w:rsidRPr="00A624C2">
              <w:rPr>
                <w:rFonts w:ascii="Book Antiqua" w:hAnsi="Book Antiqua" w:cs="AdvOTb63a3543.I"/>
                <w:color w:val="231F20"/>
                <w:sz w:val="24"/>
                <w:szCs w:val="24"/>
              </w:rPr>
              <w:t>Adalimumab μg/m</w:t>
            </w:r>
            <w:r w:rsidR="0055424C" w:rsidRPr="00A624C2">
              <w:rPr>
                <w:rFonts w:ascii="Book Antiqua" w:hAnsi="Book Antiqua" w:cs="AdvOTb63a3543.I"/>
                <w:color w:val="231F20"/>
                <w:sz w:val="24"/>
                <w:szCs w:val="24"/>
              </w:rPr>
              <w:t xml:space="preserve">L, </w:t>
            </w:r>
            <w:r w:rsidRPr="00A624C2">
              <w:rPr>
                <w:rFonts w:ascii="Book Antiqua" w:hAnsi="Book Antiqua" w:cs="AdvOTb63a3543.I"/>
                <w:color w:val="231F20"/>
                <w:sz w:val="24"/>
                <w:szCs w:val="24"/>
              </w:rPr>
              <w:t>median (IQR)</w:t>
            </w:r>
          </w:p>
          <w:p w14:paraId="4A43CF08" w14:textId="22538F48" w:rsidR="00873EC7" w:rsidRPr="00A624C2" w:rsidRDefault="0055424C" w:rsidP="00EF4DB8">
            <w:pPr>
              <w:spacing w:line="360" w:lineRule="auto"/>
              <w:rPr>
                <w:rFonts w:ascii="Book Antiqua" w:eastAsia="宋体" w:hAnsi="Book Antiqua" w:cs="AdvOTb63a3543.I"/>
                <w:color w:val="231F20"/>
                <w:sz w:val="24"/>
                <w:szCs w:val="24"/>
                <w:lang w:eastAsia="zh-CN"/>
              </w:rPr>
            </w:pPr>
            <w:r w:rsidRPr="00A624C2">
              <w:rPr>
                <w:rFonts w:ascii="Book Antiqua" w:hAnsi="Book Antiqua" w:cs="AdvOTb63a3543.I"/>
                <w:color w:val="231F20"/>
                <w:sz w:val="24"/>
                <w:szCs w:val="24"/>
              </w:rPr>
              <w:t xml:space="preserve">ATAs, </w:t>
            </w:r>
            <w:r w:rsidR="00873EC7" w:rsidRPr="00A624C2">
              <w:rPr>
                <w:rFonts w:ascii="Book Antiqua" w:hAnsi="Book Antiqua" w:cs="AdvOTb63a3543.I"/>
                <w:color w:val="231F20"/>
                <w:sz w:val="24"/>
                <w:szCs w:val="24"/>
              </w:rPr>
              <w:t>% patients (</w:t>
            </w:r>
            <w:r w:rsidR="00873EC7" w:rsidRPr="00A624C2">
              <w:rPr>
                <w:rFonts w:ascii="Book Antiqua" w:hAnsi="Book Antiqua" w:cs="AdvOTb63a3543.I"/>
                <w:i/>
                <w:color w:val="231F20"/>
                <w:sz w:val="24"/>
                <w:szCs w:val="24"/>
              </w:rPr>
              <w:t>n</w:t>
            </w:r>
            <w:r w:rsidRPr="00A624C2">
              <w:rPr>
                <w:rFonts w:ascii="Book Antiqua" w:hAnsi="Book Antiqua" w:cs="AdvOTb63a3543.I"/>
                <w:color w:val="231F20"/>
                <w:sz w:val="24"/>
                <w:szCs w:val="24"/>
              </w:rPr>
              <w:t>/total)</w:t>
            </w:r>
          </w:p>
        </w:tc>
        <w:tc>
          <w:tcPr>
            <w:tcW w:w="2385" w:type="dxa"/>
            <w:tcBorders>
              <w:top w:val="single" w:sz="4" w:space="0" w:color="auto"/>
              <w:bottom w:val="single" w:sz="4" w:space="0" w:color="auto"/>
            </w:tcBorders>
          </w:tcPr>
          <w:p w14:paraId="266A4524"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201 (114-236)</w:t>
            </w:r>
          </w:p>
          <w:p w14:paraId="55EB4ABF"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6.7 (5-11.3)</w:t>
            </w:r>
          </w:p>
          <w:p w14:paraId="3E9F64F8"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0.66 (0,16-1.72)</w:t>
            </w:r>
          </w:p>
          <w:p w14:paraId="03F140EF"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127 (113-140)</w:t>
            </w:r>
          </w:p>
          <w:p w14:paraId="5954C533"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41 (40-43)</w:t>
            </w:r>
          </w:p>
          <w:p w14:paraId="241E0E18"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5.5 (3.3-8)</w:t>
            </w:r>
          </w:p>
          <w:p w14:paraId="300F7D05"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1044 (685-1800)</w:t>
            </w:r>
          </w:p>
          <w:p w14:paraId="5D3BFB89"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0 (0-0)</w:t>
            </w:r>
          </w:p>
          <w:p w14:paraId="612DA4FD"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8 (5/62)</w:t>
            </w:r>
          </w:p>
          <w:p w14:paraId="2F1F5F2B"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0 (0-0)</w:t>
            </w:r>
          </w:p>
          <w:p w14:paraId="6192C59E"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10 (6/62)</w:t>
            </w:r>
          </w:p>
          <w:p w14:paraId="56B425CC" w14:textId="77777777" w:rsidR="00873EC7" w:rsidRPr="00A624C2" w:rsidRDefault="00873EC7" w:rsidP="0028587F">
            <w:pPr>
              <w:spacing w:line="360" w:lineRule="auto"/>
              <w:jc w:val="both"/>
              <w:rPr>
                <w:rFonts w:ascii="Book Antiqua" w:hAnsi="Book Antiqua" w:cs="AdvOTb63a3543.I"/>
                <w:color w:val="231F20"/>
                <w:sz w:val="24"/>
                <w:szCs w:val="24"/>
              </w:rPr>
            </w:pPr>
          </w:p>
        </w:tc>
        <w:tc>
          <w:tcPr>
            <w:tcW w:w="2410" w:type="dxa"/>
            <w:tcBorders>
              <w:top w:val="single" w:sz="4" w:space="0" w:color="auto"/>
              <w:bottom w:val="single" w:sz="4" w:space="0" w:color="auto"/>
            </w:tcBorders>
          </w:tcPr>
          <w:p w14:paraId="581AF66C"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60 (28-94)</w:t>
            </w:r>
          </w:p>
          <w:p w14:paraId="1D6C7BFB"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3.2 (0.8-5)</w:t>
            </w:r>
          </w:p>
          <w:p w14:paraId="65DD117E"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0.2 (0.03-0.71)</w:t>
            </w:r>
          </w:p>
          <w:p w14:paraId="6CF4E949"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135 (121-141)</w:t>
            </w:r>
          </w:p>
          <w:p w14:paraId="0AA67F8C"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43 (40-45)</w:t>
            </w:r>
          </w:p>
          <w:p w14:paraId="3077D23C"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20 (11-36)</w:t>
            </w:r>
          </w:p>
          <w:p w14:paraId="7FC9205C"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610 (209-1646)</w:t>
            </w:r>
          </w:p>
          <w:p w14:paraId="61EB5E15"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3.1 (1.2-5.6)</w:t>
            </w:r>
          </w:p>
          <w:p w14:paraId="1D8544CA"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3 (1/34)</w:t>
            </w:r>
          </w:p>
          <w:p w14:paraId="1CACC836"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8.9 (5.6-12)</w:t>
            </w:r>
          </w:p>
          <w:p w14:paraId="2B897664"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0 (0/25)</w:t>
            </w:r>
          </w:p>
          <w:p w14:paraId="538FABB3" w14:textId="77777777" w:rsidR="00873EC7" w:rsidRPr="00A624C2" w:rsidRDefault="00873EC7" w:rsidP="0028587F">
            <w:pPr>
              <w:spacing w:line="360" w:lineRule="auto"/>
              <w:jc w:val="both"/>
              <w:rPr>
                <w:rFonts w:ascii="Book Antiqua" w:hAnsi="Book Antiqua" w:cs="AdvOTb63a3543.I"/>
                <w:color w:val="231F20"/>
                <w:sz w:val="24"/>
                <w:szCs w:val="24"/>
              </w:rPr>
            </w:pPr>
          </w:p>
        </w:tc>
        <w:tc>
          <w:tcPr>
            <w:tcW w:w="2126" w:type="dxa"/>
            <w:tcBorders>
              <w:top w:val="single" w:sz="4" w:space="0" w:color="auto"/>
              <w:bottom w:val="single" w:sz="4" w:space="0" w:color="auto"/>
            </w:tcBorders>
          </w:tcPr>
          <w:p w14:paraId="49BAD5E8" w14:textId="4A7D75FE"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&lt;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0.001</w:t>
            </w:r>
          </w:p>
          <w:p w14:paraId="1FAD03FE" w14:textId="6CAD1ACE"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&lt;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0.001</w:t>
            </w:r>
          </w:p>
          <w:p w14:paraId="4B7EF187" w14:textId="7EEF6F85" w:rsidR="00873EC7" w:rsidRPr="00A624C2" w:rsidRDefault="0055424C" w:rsidP="0028587F">
            <w:pPr>
              <w:spacing w:line="360" w:lineRule="auto"/>
              <w:jc w:val="both"/>
              <w:rPr>
                <w:rFonts w:ascii="Book Antiqua" w:hAnsi="Book Antiqua" w:cs="AdvOTb63a3543.I"/>
                <w:color w:val="231F20"/>
                <w:sz w:val="24"/>
                <w:szCs w:val="24"/>
              </w:rPr>
            </w:pPr>
            <w:r w:rsidRPr="00A624C2">
              <w:rPr>
                <w:rFonts w:ascii="Book Antiqua" w:hAnsi="Book Antiqua"/>
                <w:i/>
                <w:sz w:val="24"/>
                <w:szCs w:val="24"/>
                <w:lang w:val="en-US"/>
              </w:rPr>
              <w:t>P</w:t>
            </w:r>
            <w:r w:rsidRPr="00A624C2">
              <w:rPr>
                <w:rFonts w:ascii="Book Antiqua" w:eastAsia="宋体" w:hAnsi="Book Antiqua" w:cs="AdvOTb63a3543.I"/>
                <w:color w:val="231F20"/>
                <w:sz w:val="24"/>
                <w:szCs w:val="24"/>
                <w:lang w:eastAsia="zh-CN"/>
              </w:rPr>
              <w:t xml:space="preserve"> </w:t>
            </w:r>
            <w:r w:rsidR="00873EC7" w:rsidRPr="00A624C2">
              <w:rPr>
                <w:rFonts w:ascii="Book Antiqua" w:hAnsi="Book Antiqua" w:cs="AdvOTb63a3543.I"/>
                <w:color w:val="231F20"/>
                <w:sz w:val="24"/>
                <w:szCs w:val="24"/>
              </w:rPr>
              <w:t>=</w:t>
            </w:r>
            <w:r w:rsidRPr="00A624C2">
              <w:rPr>
                <w:rFonts w:ascii="Book Antiqua" w:eastAsia="宋体" w:hAnsi="Book Antiqua" w:cs="AdvOTb63a3543.I"/>
                <w:color w:val="231F20"/>
                <w:sz w:val="24"/>
                <w:szCs w:val="24"/>
                <w:lang w:eastAsia="zh-CN"/>
              </w:rPr>
              <w:t xml:space="preserve"> </w:t>
            </w:r>
            <w:r w:rsidR="00873EC7" w:rsidRPr="00A624C2">
              <w:rPr>
                <w:rFonts w:ascii="Book Antiqua" w:hAnsi="Book Antiqua" w:cs="AdvOTb63a3543.I"/>
                <w:color w:val="231F20"/>
                <w:sz w:val="24"/>
                <w:szCs w:val="24"/>
              </w:rPr>
              <w:t>0.125</w:t>
            </w:r>
          </w:p>
          <w:p w14:paraId="6004A21B" w14:textId="194DFDA3"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&lt;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0.05</w:t>
            </w:r>
          </w:p>
          <w:p w14:paraId="2CCBCC63" w14:textId="326DDA2F"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&lt;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0.05</w:t>
            </w:r>
          </w:p>
          <w:p w14:paraId="216CBEFE" w14:textId="2ED12D5E"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hAnsi="Book Antiqua"/>
                <w:sz w:val="24"/>
                <w:szCs w:val="24"/>
                <w:lang w:val="en-US"/>
              </w:rPr>
              <w:t xml:space="preserve"> </w:t>
            </w:r>
            <w:r w:rsidR="00873EC7" w:rsidRPr="00A624C2">
              <w:rPr>
                <w:rFonts w:ascii="Book Antiqua" w:hAnsi="Book Antiqua"/>
                <w:sz w:val="24"/>
                <w:szCs w:val="24"/>
                <w:lang w:val="en-US"/>
              </w:rPr>
              <w:t>&lt;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0.001</w:t>
            </w:r>
          </w:p>
          <w:p w14:paraId="63E7E59F" w14:textId="29C643BF"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hAnsi="Book Antiqua"/>
                <w:sz w:val="24"/>
                <w:szCs w:val="24"/>
                <w:lang w:val="en-US"/>
              </w:rPr>
              <w:t xml:space="preserve"> </w:t>
            </w:r>
            <w:r w:rsidR="00873EC7" w:rsidRPr="00A624C2">
              <w:rPr>
                <w:rFonts w:ascii="Book Antiqua" w:hAnsi="Book Antiqua"/>
                <w:sz w:val="24"/>
                <w:szCs w:val="24"/>
                <w:lang w:val="en-US"/>
              </w:rPr>
              <w:t>&lt;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0.05</w:t>
            </w:r>
          </w:p>
          <w:p w14:paraId="5260EC50" w14:textId="3621ACA3"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hAnsi="Book Antiqua"/>
                <w:sz w:val="24"/>
                <w:szCs w:val="24"/>
                <w:lang w:val="en-US"/>
              </w:rPr>
              <w:t xml:space="preserve"> </w:t>
            </w:r>
            <w:r w:rsidR="00873EC7" w:rsidRPr="00A624C2">
              <w:rPr>
                <w:rFonts w:ascii="Book Antiqua" w:hAnsi="Book Antiqua"/>
                <w:sz w:val="24"/>
                <w:szCs w:val="24"/>
                <w:lang w:val="en-US"/>
              </w:rPr>
              <w:t>&lt;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0.001</w:t>
            </w:r>
          </w:p>
          <w:p w14:paraId="6B5693F3" w14:textId="44E8B02C" w:rsidR="00873EC7" w:rsidRPr="00A624C2" w:rsidRDefault="0055424C" w:rsidP="0028587F">
            <w:pPr>
              <w:spacing w:line="360" w:lineRule="auto"/>
              <w:jc w:val="both"/>
              <w:rPr>
                <w:rFonts w:ascii="Book Antiqua" w:hAnsi="Book Antiqua" w:cs="AdvOTb63a3543.I"/>
                <w:color w:val="231F20"/>
                <w:sz w:val="24"/>
                <w:szCs w:val="24"/>
              </w:rPr>
            </w:pPr>
            <w:r w:rsidRPr="00A624C2">
              <w:rPr>
                <w:rFonts w:ascii="Book Antiqua" w:hAnsi="Book Antiqua"/>
                <w:i/>
                <w:sz w:val="24"/>
                <w:szCs w:val="24"/>
                <w:lang w:val="en-US"/>
              </w:rPr>
              <w:t>P</w:t>
            </w:r>
            <w:r w:rsidRPr="00A624C2">
              <w:rPr>
                <w:rFonts w:ascii="Book Antiqua" w:hAnsi="Book Antiqua" w:cs="AdvOTb63a3543.I"/>
                <w:color w:val="231F20"/>
                <w:sz w:val="24"/>
                <w:szCs w:val="24"/>
              </w:rPr>
              <w:t xml:space="preserve"> </w:t>
            </w:r>
            <w:r w:rsidR="00873EC7" w:rsidRPr="00A624C2">
              <w:rPr>
                <w:rFonts w:ascii="Book Antiqua" w:hAnsi="Book Antiqua" w:cs="AdvOTb63a3543.I"/>
                <w:color w:val="231F20"/>
                <w:sz w:val="24"/>
                <w:szCs w:val="24"/>
              </w:rPr>
              <w:t>=</w:t>
            </w:r>
            <w:r w:rsidRPr="00A624C2">
              <w:rPr>
                <w:rFonts w:ascii="Book Antiqua" w:eastAsia="宋体" w:hAnsi="Book Antiqua" w:cs="AdvOTb63a3543.I"/>
                <w:color w:val="231F20"/>
                <w:sz w:val="24"/>
                <w:szCs w:val="24"/>
                <w:lang w:eastAsia="zh-CN"/>
              </w:rPr>
              <w:t xml:space="preserve"> </w:t>
            </w:r>
            <w:r w:rsidR="00873EC7" w:rsidRPr="00A624C2">
              <w:rPr>
                <w:rFonts w:ascii="Book Antiqua" w:hAnsi="Book Antiqua" w:cs="AdvOTb63a3543.I"/>
                <w:color w:val="231F20"/>
                <w:sz w:val="24"/>
                <w:szCs w:val="24"/>
              </w:rPr>
              <w:t>0.327</w:t>
            </w:r>
          </w:p>
          <w:p w14:paraId="7376B7C7" w14:textId="2DBB6259"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hAnsi="Book Antiqua"/>
                <w:sz w:val="24"/>
                <w:szCs w:val="24"/>
                <w:lang w:val="en-US"/>
              </w:rPr>
              <w:t xml:space="preserve"> </w:t>
            </w:r>
            <w:r w:rsidR="00873EC7" w:rsidRPr="00A624C2">
              <w:rPr>
                <w:rFonts w:ascii="Book Antiqua" w:hAnsi="Book Antiqua"/>
                <w:sz w:val="24"/>
                <w:szCs w:val="24"/>
                <w:lang w:val="en-US"/>
              </w:rPr>
              <w:t>&lt;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0.001</w:t>
            </w:r>
          </w:p>
          <w:p w14:paraId="2C7539B7" w14:textId="08B8CC6C" w:rsidR="00873EC7" w:rsidRPr="00A624C2" w:rsidRDefault="0055424C" w:rsidP="0028587F">
            <w:pPr>
              <w:spacing w:line="360" w:lineRule="auto"/>
              <w:jc w:val="both"/>
              <w:rPr>
                <w:rFonts w:ascii="Book Antiqua" w:hAnsi="Book Antiqua" w:cs="AdvOTb63a3543.I"/>
                <w:color w:val="231F20"/>
                <w:sz w:val="24"/>
                <w:szCs w:val="24"/>
              </w:rPr>
            </w:pPr>
            <w:r w:rsidRPr="00A624C2">
              <w:rPr>
                <w:rFonts w:ascii="Book Antiqua" w:hAnsi="Book Antiqua"/>
                <w:i/>
                <w:sz w:val="24"/>
                <w:szCs w:val="24"/>
                <w:lang w:val="en-US"/>
              </w:rPr>
              <w:t>P</w:t>
            </w:r>
            <w:r w:rsidRPr="00A624C2">
              <w:rPr>
                <w:rFonts w:ascii="Book Antiqua" w:hAnsi="Book Antiqua" w:cs="AdvOTb63a3543.I"/>
                <w:color w:val="231F20"/>
                <w:sz w:val="24"/>
                <w:szCs w:val="24"/>
              </w:rPr>
              <w:t xml:space="preserve"> </w:t>
            </w:r>
            <w:r w:rsidR="00873EC7" w:rsidRPr="00A624C2">
              <w:rPr>
                <w:rFonts w:ascii="Book Antiqua" w:hAnsi="Book Antiqua" w:cs="AdvOTb63a3543.I"/>
                <w:color w:val="231F20"/>
                <w:sz w:val="24"/>
                <w:szCs w:val="24"/>
              </w:rPr>
              <w:t>=</w:t>
            </w:r>
            <w:r w:rsidRPr="00A624C2">
              <w:rPr>
                <w:rFonts w:ascii="Book Antiqua" w:eastAsia="宋体" w:hAnsi="Book Antiqua" w:cs="AdvOTb63a3543.I"/>
                <w:color w:val="231F20"/>
                <w:sz w:val="24"/>
                <w:szCs w:val="24"/>
                <w:lang w:eastAsia="zh-CN"/>
              </w:rPr>
              <w:t xml:space="preserve"> </w:t>
            </w:r>
            <w:r w:rsidR="00873EC7" w:rsidRPr="00A624C2">
              <w:rPr>
                <w:rFonts w:ascii="Book Antiqua" w:hAnsi="Book Antiqua" w:cs="AdvOTb63a3543.I"/>
                <w:color w:val="231F20"/>
                <w:sz w:val="24"/>
                <w:szCs w:val="24"/>
              </w:rPr>
              <w:t>0.117</w:t>
            </w:r>
          </w:p>
          <w:p w14:paraId="2833F507" w14:textId="77777777" w:rsidR="00873EC7" w:rsidRPr="00A624C2" w:rsidRDefault="00873EC7" w:rsidP="0028587F">
            <w:pPr>
              <w:pStyle w:val="a6"/>
              <w:spacing w:line="360" w:lineRule="auto"/>
              <w:jc w:val="both"/>
              <w:rPr>
                <w:rFonts w:ascii="Book Antiqua" w:hAnsi="Book Antiqua" w:cs="AdvOTb63a3543.I"/>
                <w:color w:val="231F20"/>
                <w:sz w:val="24"/>
                <w:szCs w:val="24"/>
                <w:lang w:val="en-US"/>
              </w:rPr>
            </w:pPr>
          </w:p>
        </w:tc>
        <w:tc>
          <w:tcPr>
            <w:tcW w:w="2126" w:type="dxa"/>
            <w:tcBorders>
              <w:top w:val="single" w:sz="4" w:space="0" w:color="auto"/>
              <w:bottom w:val="single" w:sz="4" w:space="0" w:color="auto"/>
            </w:tcBorders>
          </w:tcPr>
          <w:p w14:paraId="6C4BD552"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53 (26-94)</w:t>
            </w:r>
          </w:p>
          <w:p w14:paraId="3443AB71"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3.0 (0.2-4.4)</w:t>
            </w:r>
          </w:p>
          <w:p w14:paraId="2314E33F"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0.19 (0.03-0.76)</w:t>
            </w:r>
          </w:p>
          <w:p w14:paraId="735EAF84"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134 (123-143)</w:t>
            </w:r>
          </w:p>
          <w:p w14:paraId="12804DAC"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43 (40-45)</w:t>
            </w:r>
          </w:p>
          <w:p w14:paraId="5F30768E"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17 (8.25-30)</w:t>
            </w:r>
          </w:p>
          <w:p w14:paraId="614112D4"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940 (233-1747)</w:t>
            </w:r>
          </w:p>
          <w:p w14:paraId="187C48C7"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1.8 (1-6.6)</w:t>
            </w:r>
          </w:p>
          <w:p w14:paraId="7300B423"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13 (4/32)</w:t>
            </w:r>
          </w:p>
          <w:p w14:paraId="7D0B853E"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9.9 (7-12)</w:t>
            </w:r>
          </w:p>
          <w:p w14:paraId="3E039655" w14:textId="77777777" w:rsidR="00873EC7" w:rsidRPr="00A624C2" w:rsidRDefault="00873EC7" w:rsidP="0028587F">
            <w:pPr>
              <w:spacing w:line="360" w:lineRule="auto"/>
              <w:jc w:val="both"/>
              <w:rPr>
                <w:rFonts w:ascii="Book Antiqua" w:hAnsi="Book Antiqua" w:cs="AdvOTb63a3543.I"/>
                <w:color w:val="231F20"/>
                <w:sz w:val="24"/>
                <w:szCs w:val="24"/>
              </w:rPr>
            </w:pPr>
            <w:r w:rsidRPr="00A624C2">
              <w:rPr>
                <w:rFonts w:ascii="Book Antiqua" w:hAnsi="Book Antiqua" w:cs="AdvOTb63a3543.I"/>
                <w:color w:val="231F20"/>
                <w:sz w:val="24"/>
                <w:szCs w:val="24"/>
              </w:rPr>
              <w:t>4.1 (1/24)</w:t>
            </w:r>
          </w:p>
          <w:p w14:paraId="2AAB09A1" w14:textId="77777777" w:rsidR="00873EC7" w:rsidRPr="00A624C2" w:rsidRDefault="00873EC7" w:rsidP="0028587F">
            <w:pPr>
              <w:spacing w:line="360" w:lineRule="auto"/>
              <w:jc w:val="both"/>
              <w:rPr>
                <w:rFonts w:ascii="Book Antiqua" w:hAnsi="Book Antiqua" w:cs="AdvOTb63a3543.I"/>
                <w:color w:val="231F20"/>
                <w:sz w:val="24"/>
                <w:szCs w:val="24"/>
              </w:rPr>
            </w:pPr>
          </w:p>
        </w:tc>
        <w:tc>
          <w:tcPr>
            <w:tcW w:w="2126" w:type="dxa"/>
            <w:tcBorders>
              <w:top w:val="single" w:sz="4" w:space="0" w:color="auto"/>
              <w:bottom w:val="single" w:sz="4" w:space="0" w:color="auto"/>
            </w:tcBorders>
          </w:tcPr>
          <w:p w14:paraId="7E9D3BA7" w14:textId="710A2F9A"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hAnsi="Book Antiqua"/>
                <w:sz w:val="24"/>
                <w:szCs w:val="24"/>
                <w:lang w:val="en-US"/>
              </w:rPr>
              <w:t xml:space="preserve"> </w:t>
            </w:r>
            <w:r w:rsidR="00873EC7" w:rsidRPr="00A624C2">
              <w:rPr>
                <w:rFonts w:ascii="Book Antiqua" w:hAnsi="Book Antiqua"/>
                <w:sz w:val="24"/>
                <w:szCs w:val="24"/>
                <w:lang w:val="en-US"/>
              </w:rPr>
              <w:t>&lt;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0.001</w:t>
            </w:r>
          </w:p>
          <w:p w14:paraId="71067186" w14:textId="4B35FBD0"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hAnsi="Book Antiqua"/>
                <w:sz w:val="24"/>
                <w:szCs w:val="24"/>
                <w:lang w:val="en-US"/>
              </w:rPr>
              <w:t xml:space="preserve"> </w:t>
            </w:r>
            <w:r w:rsidR="00873EC7" w:rsidRPr="00A624C2">
              <w:rPr>
                <w:rFonts w:ascii="Book Antiqua" w:hAnsi="Book Antiqua"/>
                <w:sz w:val="24"/>
                <w:szCs w:val="24"/>
                <w:lang w:val="en-US"/>
              </w:rPr>
              <w:t>&lt;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0.001</w:t>
            </w:r>
          </w:p>
          <w:p w14:paraId="1F3E0543" w14:textId="5EE9D24F"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hAnsi="Book Antiqua"/>
                <w:sz w:val="24"/>
                <w:szCs w:val="24"/>
                <w:lang w:val="en-US"/>
              </w:rPr>
              <w:t xml:space="preserve"> </w:t>
            </w:r>
            <w:r w:rsidR="00873EC7" w:rsidRPr="00A624C2">
              <w:rPr>
                <w:rFonts w:ascii="Book Antiqua" w:hAnsi="Book Antiqua"/>
                <w:sz w:val="24"/>
                <w:szCs w:val="24"/>
                <w:lang w:val="en-US"/>
              </w:rPr>
              <w:t>&lt;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0.05</w:t>
            </w:r>
          </w:p>
          <w:p w14:paraId="295C9E41" w14:textId="4D15F877"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hAnsi="Book Antiqua"/>
                <w:sz w:val="24"/>
                <w:szCs w:val="24"/>
                <w:lang w:val="en-US"/>
              </w:rPr>
              <w:t xml:space="preserve"> </w:t>
            </w:r>
            <w:r w:rsidR="00873EC7" w:rsidRPr="00A624C2">
              <w:rPr>
                <w:rFonts w:ascii="Book Antiqua" w:hAnsi="Book Antiqua"/>
                <w:sz w:val="24"/>
                <w:szCs w:val="24"/>
                <w:lang w:val="en-US"/>
              </w:rPr>
              <w:t>&lt;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0.05</w:t>
            </w:r>
          </w:p>
          <w:p w14:paraId="612FDEF4" w14:textId="203930E8"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hAnsi="Book Antiqua"/>
                <w:sz w:val="24"/>
                <w:szCs w:val="24"/>
                <w:lang w:val="en-US"/>
              </w:rPr>
              <w:t xml:space="preserve"> </w:t>
            </w:r>
            <w:r w:rsidR="00873EC7" w:rsidRPr="00A624C2">
              <w:rPr>
                <w:rFonts w:ascii="Book Antiqua" w:hAnsi="Book Antiqua"/>
                <w:sz w:val="24"/>
                <w:szCs w:val="24"/>
                <w:lang w:val="en-US"/>
              </w:rPr>
              <w:t>&lt;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0.05</w:t>
            </w:r>
          </w:p>
          <w:p w14:paraId="04893174" w14:textId="0A0C983E"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hAnsi="Book Antiqua"/>
                <w:sz w:val="24"/>
                <w:szCs w:val="24"/>
                <w:lang w:val="en-US"/>
              </w:rPr>
              <w:t xml:space="preserve"> </w:t>
            </w:r>
            <w:r w:rsidR="00873EC7" w:rsidRPr="00A624C2">
              <w:rPr>
                <w:rFonts w:ascii="Book Antiqua" w:hAnsi="Book Antiqua"/>
                <w:sz w:val="24"/>
                <w:szCs w:val="24"/>
                <w:lang w:val="en-US"/>
              </w:rPr>
              <w:t>&lt;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0.001</w:t>
            </w:r>
          </w:p>
          <w:p w14:paraId="1E3AD774" w14:textId="0D7CDBE5"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hAnsi="Book Antiqua"/>
                <w:sz w:val="24"/>
                <w:szCs w:val="24"/>
                <w:lang w:val="en-US"/>
              </w:rPr>
              <w:t xml:space="preserve"> </w:t>
            </w:r>
            <w:r w:rsidR="00873EC7" w:rsidRPr="00A624C2">
              <w:rPr>
                <w:rFonts w:ascii="Book Antiqua" w:hAnsi="Book Antiqua"/>
                <w:sz w:val="24"/>
                <w:szCs w:val="24"/>
                <w:lang w:val="en-US"/>
              </w:rPr>
              <w:t>&lt;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0.05</w:t>
            </w:r>
          </w:p>
          <w:p w14:paraId="52684C57" w14:textId="153E2E24"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hAnsi="Book Antiqua"/>
                <w:sz w:val="24"/>
                <w:szCs w:val="24"/>
                <w:lang w:val="en-US"/>
              </w:rPr>
              <w:t xml:space="preserve"> </w:t>
            </w:r>
            <w:r w:rsidR="00873EC7" w:rsidRPr="00A624C2">
              <w:rPr>
                <w:rFonts w:ascii="Book Antiqua" w:hAnsi="Book Antiqua"/>
                <w:sz w:val="24"/>
                <w:szCs w:val="24"/>
                <w:lang w:val="en-US"/>
              </w:rPr>
              <w:t>&lt;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0.001</w:t>
            </w:r>
          </w:p>
          <w:p w14:paraId="06457F39" w14:textId="2DCC64A7" w:rsidR="00873EC7" w:rsidRPr="00A624C2" w:rsidRDefault="0055424C" w:rsidP="0028587F">
            <w:pPr>
              <w:spacing w:line="360" w:lineRule="auto"/>
              <w:jc w:val="both"/>
              <w:rPr>
                <w:rFonts w:ascii="Book Antiqua" w:hAnsi="Book Antiqua" w:cs="AdvOTb63a3543.I"/>
                <w:color w:val="231F20"/>
                <w:sz w:val="24"/>
                <w:szCs w:val="24"/>
              </w:rPr>
            </w:pPr>
            <w:r w:rsidRPr="00A624C2">
              <w:rPr>
                <w:rFonts w:ascii="Book Antiqua" w:hAnsi="Book Antiqua"/>
                <w:i/>
                <w:sz w:val="24"/>
                <w:szCs w:val="24"/>
                <w:lang w:val="en-US"/>
              </w:rPr>
              <w:t>P</w:t>
            </w:r>
            <w:r w:rsidRPr="00A624C2">
              <w:rPr>
                <w:rFonts w:ascii="Book Antiqua" w:hAnsi="Book Antiqua" w:cs="AdvOTb63a3543.I"/>
                <w:color w:val="231F20"/>
                <w:sz w:val="24"/>
                <w:szCs w:val="24"/>
              </w:rPr>
              <w:t xml:space="preserve"> </w:t>
            </w:r>
            <w:r w:rsidR="00873EC7" w:rsidRPr="00A624C2">
              <w:rPr>
                <w:rFonts w:ascii="Book Antiqua" w:hAnsi="Book Antiqua" w:cs="AdvOTb63a3543.I"/>
                <w:color w:val="231F20"/>
                <w:sz w:val="24"/>
                <w:szCs w:val="24"/>
              </w:rPr>
              <w:t>=</w:t>
            </w:r>
            <w:r w:rsidRPr="00A624C2">
              <w:rPr>
                <w:rFonts w:ascii="Book Antiqua" w:eastAsia="宋体" w:hAnsi="Book Antiqua" w:cs="AdvOTb63a3543.I"/>
                <w:color w:val="231F20"/>
                <w:sz w:val="24"/>
                <w:szCs w:val="24"/>
                <w:lang w:eastAsia="zh-CN"/>
              </w:rPr>
              <w:t xml:space="preserve"> </w:t>
            </w:r>
            <w:r w:rsidR="00873EC7" w:rsidRPr="00A624C2">
              <w:rPr>
                <w:rFonts w:ascii="Book Antiqua" w:hAnsi="Book Antiqua" w:cs="AdvOTb63a3543.I"/>
                <w:color w:val="231F20"/>
                <w:sz w:val="24"/>
                <w:szCs w:val="24"/>
              </w:rPr>
              <w:t>0.230</w:t>
            </w:r>
          </w:p>
          <w:p w14:paraId="332E6A7A" w14:textId="08E3FF78"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hAnsi="Book Antiqua"/>
                <w:sz w:val="24"/>
                <w:szCs w:val="24"/>
                <w:lang w:val="en-US"/>
              </w:rPr>
              <w:t xml:space="preserve"> </w:t>
            </w:r>
            <w:r w:rsidR="00873EC7" w:rsidRPr="00A624C2">
              <w:rPr>
                <w:rFonts w:ascii="Book Antiqua" w:hAnsi="Book Antiqua"/>
                <w:sz w:val="24"/>
                <w:szCs w:val="24"/>
                <w:lang w:val="en-US"/>
              </w:rPr>
              <w:t>&lt;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0.001</w:t>
            </w:r>
          </w:p>
          <w:p w14:paraId="16B789B6" w14:textId="557F1F63" w:rsidR="00873EC7" w:rsidRPr="00A624C2" w:rsidRDefault="0055424C" w:rsidP="0028587F">
            <w:pPr>
              <w:pStyle w:val="a6"/>
              <w:spacing w:line="360" w:lineRule="auto"/>
              <w:jc w:val="both"/>
              <w:rPr>
                <w:rFonts w:ascii="Book Antiqua" w:hAnsi="Book Antiqua"/>
                <w:sz w:val="24"/>
                <w:szCs w:val="24"/>
                <w:lang w:val="en-US"/>
              </w:rPr>
            </w:pPr>
            <w:r w:rsidRPr="00A624C2">
              <w:rPr>
                <w:rFonts w:ascii="Book Antiqua" w:hAnsi="Book Antiqua"/>
                <w:i/>
                <w:sz w:val="24"/>
                <w:szCs w:val="24"/>
                <w:lang w:val="en-US"/>
              </w:rPr>
              <w:t>P</w:t>
            </w:r>
            <w:r w:rsidRPr="00A624C2">
              <w:rPr>
                <w:rFonts w:ascii="Book Antiqua" w:hAnsi="Book Antiqua"/>
                <w:sz w:val="24"/>
                <w:szCs w:val="24"/>
                <w:lang w:val="en-US"/>
              </w:rPr>
              <w:t xml:space="preserve"> </w:t>
            </w:r>
            <w:r w:rsidR="00873EC7" w:rsidRPr="00A624C2">
              <w:rPr>
                <w:rFonts w:ascii="Book Antiqua" w:hAnsi="Book Antiqua"/>
                <w:sz w:val="24"/>
                <w:szCs w:val="24"/>
                <w:lang w:val="en-US"/>
              </w:rPr>
              <w:t>=</w:t>
            </w:r>
            <w:r w:rsidRPr="00A624C2">
              <w:rPr>
                <w:rFonts w:ascii="Book Antiqua" w:eastAsia="宋体" w:hAnsi="Book Antiqua"/>
                <w:sz w:val="24"/>
                <w:szCs w:val="24"/>
                <w:lang w:val="en-US" w:eastAsia="zh-CN"/>
              </w:rPr>
              <w:t xml:space="preserve"> </w:t>
            </w:r>
            <w:r w:rsidR="00873EC7" w:rsidRPr="00A624C2">
              <w:rPr>
                <w:rFonts w:ascii="Book Antiqua" w:hAnsi="Book Antiqua"/>
                <w:sz w:val="24"/>
                <w:szCs w:val="24"/>
                <w:lang w:val="en-US"/>
              </w:rPr>
              <w:t>0.408</w:t>
            </w:r>
          </w:p>
        </w:tc>
      </w:tr>
    </w:tbl>
    <w:p w14:paraId="78B5B2A8" w14:textId="3FAB481A" w:rsidR="00873EC7" w:rsidRPr="00A624C2" w:rsidRDefault="00873EC7" w:rsidP="0028587F">
      <w:pPr>
        <w:spacing w:after="0" w:line="360" w:lineRule="auto"/>
        <w:jc w:val="both"/>
        <w:rPr>
          <w:rFonts w:ascii="Book Antiqua" w:eastAsia="宋体" w:hAnsi="Book Antiqua" w:cs="AdvOTb63a3543.I"/>
          <w:color w:val="231F20"/>
          <w:sz w:val="24"/>
          <w:szCs w:val="24"/>
          <w:lang w:eastAsia="zh-CN"/>
        </w:rPr>
      </w:pPr>
      <w:r w:rsidRPr="00A624C2">
        <w:rPr>
          <w:rFonts w:ascii="Book Antiqua" w:hAnsi="Book Antiqua" w:cs="AdvOTb63a3543.I"/>
          <w:color w:val="231F20"/>
          <w:sz w:val="24"/>
          <w:szCs w:val="24"/>
        </w:rPr>
        <w:lastRenderedPageBreak/>
        <w:t>IQR: Interquartile range; CRP=</w:t>
      </w:r>
      <w:r w:rsidR="0055424C" w:rsidRPr="00A624C2">
        <w:rPr>
          <w:rFonts w:ascii="Book Antiqua" w:eastAsia="宋体" w:hAnsi="Book Antiqua" w:cs="AdvOTb63a3543.I"/>
          <w:color w:val="231F20"/>
          <w:sz w:val="24"/>
          <w:szCs w:val="24"/>
          <w:lang w:eastAsia="zh-CN"/>
        </w:rPr>
        <w:t xml:space="preserve"> </w:t>
      </w:r>
      <w:r w:rsidR="0055424C" w:rsidRPr="00A624C2">
        <w:rPr>
          <w:rFonts w:ascii="Book Antiqua" w:hAnsi="Book Antiqua" w:cs="AdvOTb63a3543.I"/>
          <w:color w:val="231F20"/>
          <w:sz w:val="24"/>
          <w:szCs w:val="24"/>
        </w:rPr>
        <w:t>C</w:t>
      </w:r>
      <w:r w:rsidR="0055424C" w:rsidRPr="00A624C2">
        <w:rPr>
          <w:rFonts w:ascii="Book Antiqua" w:eastAsia="宋体" w:hAnsi="Book Antiqua" w:cs="AdvOTb63a3543.I"/>
          <w:color w:val="231F20"/>
          <w:sz w:val="24"/>
          <w:szCs w:val="24"/>
          <w:lang w:eastAsia="zh-CN"/>
        </w:rPr>
        <w:t xml:space="preserve"> </w:t>
      </w:r>
      <w:r w:rsidRPr="00A624C2">
        <w:rPr>
          <w:rFonts w:ascii="Book Antiqua" w:hAnsi="Book Antiqua" w:cs="AdvOTb63a3543.I"/>
          <w:color w:val="231F20"/>
          <w:sz w:val="24"/>
          <w:szCs w:val="24"/>
        </w:rPr>
        <w:t xml:space="preserve">reactive protein; </w:t>
      </w:r>
      <w:r w:rsidRPr="00A624C2">
        <w:rPr>
          <w:rFonts w:ascii="Book Antiqua" w:hAnsi="Book Antiqua" w:cs="AdvOT4b47d116"/>
          <w:color w:val="231F20"/>
          <w:sz w:val="24"/>
          <w:szCs w:val="24"/>
        </w:rPr>
        <w:t>TNF-alpha</w:t>
      </w:r>
      <w:r w:rsidR="0055424C" w:rsidRPr="00A624C2">
        <w:rPr>
          <w:rFonts w:ascii="Book Antiqua" w:eastAsia="宋体" w:hAnsi="Book Antiqua" w:cs="AdvP697C"/>
          <w:color w:val="231F20"/>
          <w:sz w:val="24"/>
          <w:szCs w:val="24"/>
          <w:lang w:eastAsia="zh-CN"/>
        </w:rPr>
        <w:t xml:space="preserve">: </w:t>
      </w:r>
      <w:r w:rsidR="0055424C" w:rsidRPr="00A624C2">
        <w:rPr>
          <w:rFonts w:ascii="Book Antiqua" w:hAnsi="Book Antiqua" w:cs="AdvOT4b47d116"/>
          <w:color w:val="231F20"/>
          <w:sz w:val="24"/>
          <w:szCs w:val="24"/>
        </w:rPr>
        <w:t>T</w:t>
      </w:r>
      <w:r w:rsidRPr="00A624C2">
        <w:rPr>
          <w:rFonts w:ascii="Book Antiqua" w:hAnsi="Book Antiqua" w:cs="AdvOT4b47d116"/>
          <w:color w:val="231F20"/>
          <w:sz w:val="24"/>
          <w:szCs w:val="24"/>
        </w:rPr>
        <w:t>umor necrosis factor alpha;</w:t>
      </w:r>
      <w:r w:rsidRPr="00A624C2">
        <w:rPr>
          <w:rFonts w:ascii="Book Antiqua" w:hAnsi="Book Antiqua" w:cs="AdvOTb63a3543.I"/>
          <w:color w:val="231F20"/>
          <w:sz w:val="24"/>
          <w:szCs w:val="24"/>
        </w:rPr>
        <w:t xml:space="preserve"> ATIs</w:t>
      </w:r>
      <w:r w:rsidR="00DC4321" w:rsidRPr="00A624C2">
        <w:rPr>
          <w:rFonts w:ascii="Book Antiqua" w:eastAsia="宋体" w:hAnsi="Book Antiqua" w:cs="AdvOTb63a3543.I"/>
          <w:color w:val="231F20"/>
          <w:sz w:val="24"/>
          <w:szCs w:val="24"/>
          <w:lang w:eastAsia="zh-CN"/>
        </w:rPr>
        <w:t xml:space="preserve">: </w:t>
      </w:r>
      <w:r w:rsidR="00DC4321" w:rsidRPr="00A624C2">
        <w:rPr>
          <w:rFonts w:ascii="Book Antiqua" w:hAnsi="Book Antiqua" w:cs="AdvOTb63a3543.I"/>
          <w:color w:val="231F20"/>
          <w:sz w:val="24"/>
          <w:szCs w:val="24"/>
        </w:rPr>
        <w:t>A</w:t>
      </w:r>
      <w:r w:rsidRPr="00A624C2">
        <w:rPr>
          <w:rFonts w:ascii="Book Antiqua" w:hAnsi="Book Antiqua" w:cs="AdvOTb63a3543.I"/>
          <w:color w:val="231F20"/>
          <w:sz w:val="24"/>
          <w:szCs w:val="24"/>
        </w:rPr>
        <w:t>nti-infliximab antibodies; ATAs</w:t>
      </w:r>
      <w:r w:rsidR="00DC4321" w:rsidRPr="00A624C2">
        <w:rPr>
          <w:rFonts w:ascii="Book Antiqua" w:eastAsia="宋体" w:hAnsi="Book Antiqua" w:cs="AdvOTb63a3543.I"/>
          <w:color w:val="231F20"/>
          <w:sz w:val="24"/>
          <w:szCs w:val="24"/>
          <w:lang w:eastAsia="zh-CN"/>
        </w:rPr>
        <w:t>:</w:t>
      </w:r>
      <w:r w:rsidRPr="00A624C2">
        <w:rPr>
          <w:rFonts w:ascii="Book Antiqua" w:hAnsi="Book Antiqua" w:cs="AdvOTb63a3543.I"/>
          <w:color w:val="231F20"/>
          <w:sz w:val="24"/>
          <w:szCs w:val="24"/>
        </w:rPr>
        <w:t xml:space="preserve"> </w:t>
      </w:r>
      <w:r w:rsidR="00DC4321" w:rsidRPr="00A624C2">
        <w:rPr>
          <w:rFonts w:ascii="Book Antiqua" w:hAnsi="Book Antiqua" w:cs="AdvOTb63a3543.I"/>
          <w:color w:val="231F20"/>
          <w:sz w:val="24"/>
          <w:szCs w:val="24"/>
        </w:rPr>
        <w:t>A</w:t>
      </w:r>
      <w:r w:rsidRPr="00A624C2">
        <w:rPr>
          <w:rFonts w:ascii="Book Antiqua" w:hAnsi="Book Antiqua" w:cs="AdvOTb63a3543.I"/>
          <w:color w:val="231F20"/>
          <w:sz w:val="24"/>
          <w:szCs w:val="24"/>
        </w:rPr>
        <w:t>nti-adalimumab antibodies; CDAI</w:t>
      </w:r>
      <w:r w:rsidR="00DC4321" w:rsidRPr="00A624C2">
        <w:rPr>
          <w:rFonts w:ascii="Book Antiqua" w:eastAsia="宋体" w:hAnsi="Book Antiqua" w:cs="AdvOTb63a3543.I"/>
          <w:color w:val="231F20"/>
          <w:sz w:val="24"/>
          <w:szCs w:val="24"/>
          <w:lang w:eastAsia="zh-CN"/>
        </w:rPr>
        <w:t>:</w:t>
      </w:r>
      <w:r w:rsidRPr="00A624C2">
        <w:rPr>
          <w:rFonts w:ascii="Book Antiqua" w:hAnsi="Book Antiqua" w:cs="AdvOTb63a3543.I"/>
          <w:color w:val="231F20"/>
          <w:sz w:val="24"/>
          <w:szCs w:val="24"/>
        </w:rPr>
        <w:t xml:space="preserve"> Crohn</w:t>
      </w:r>
      <w:r w:rsidR="00DC4321" w:rsidRPr="00A624C2">
        <w:rPr>
          <w:rFonts w:ascii="Book Antiqua" w:eastAsia="宋体" w:hAnsi="Book Antiqua" w:cs="AdvOTb63a3543.I"/>
          <w:color w:val="231F20"/>
          <w:sz w:val="24"/>
          <w:szCs w:val="24"/>
          <w:lang w:eastAsia="zh-CN"/>
        </w:rPr>
        <w:t>’s</w:t>
      </w:r>
      <w:r w:rsidRPr="00A624C2">
        <w:rPr>
          <w:rFonts w:ascii="Book Antiqua" w:hAnsi="Book Antiqua" w:cs="AdvOTb63a3543.I"/>
          <w:color w:val="231F20"/>
          <w:sz w:val="24"/>
          <w:szCs w:val="24"/>
        </w:rPr>
        <w:t xml:space="preserve"> Disease Activity Index; CDEIS</w:t>
      </w:r>
      <w:r w:rsidR="00DC4321" w:rsidRPr="00A624C2">
        <w:rPr>
          <w:rFonts w:ascii="Book Antiqua" w:eastAsia="宋体" w:hAnsi="Book Antiqua" w:cs="AdvOTb63a3543.I"/>
          <w:color w:val="231F20"/>
          <w:sz w:val="24"/>
          <w:szCs w:val="24"/>
          <w:lang w:eastAsia="zh-CN"/>
        </w:rPr>
        <w:t>:</w:t>
      </w:r>
      <w:r w:rsidRPr="00A624C2">
        <w:rPr>
          <w:rFonts w:ascii="Book Antiqua" w:hAnsi="Book Antiqua" w:cs="AdvOTb63a3543.I"/>
          <w:color w:val="231F20"/>
          <w:sz w:val="24"/>
          <w:szCs w:val="24"/>
        </w:rPr>
        <w:t xml:space="preserve"> Crohn</w:t>
      </w:r>
      <w:r w:rsidR="00DC4321" w:rsidRPr="00A624C2">
        <w:rPr>
          <w:rFonts w:ascii="Book Antiqua" w:eastAsia="宋体" w:hAnsi="Book Antiqua" w:cs="AdvOTb63a3543.I"/>
          <w:color w:val="231F20"/>
          <w:sz w:val="24"/>
          <w:szCs w:val="24"/>
          <w:lang w:eastAsia="zh-CN"/>
        </w:rPr>
        <w:t>’</w:t>
      </w:r>
      <w:r w:rsidRPr="00A624C2">
        <w:rPr>
          <w:rFonts w:ascii="Book Antiqua" w:hAnsi="Book Antiqua" w:cs="AdvOTb63a3543.I"/>
          <w:color w:val="231F20"/>
          <w:sz w:val="24"/>
          <w:szCs w:val="24"/>
        </w:rPr>
        <w:t>s Disease Endoscopic Index of Severity</w:t>
      </w:r>
      <w:r w:rsidR="00DC4321" w:rsidRPr="00A624C2">
        <w:rPr>
          <w:rFonts w:ascii="Book Antiqua" w:eastAsia="宋体" w:hAnsi="Book Antiqua" w:cs="AdvOTb63a3543.I"/>
          <w:color w:val="231F20"/>
          <w:sz w:val="24"/>
          <w:szCs w:val="24"/>
          <w:lang w:eastAsia="zh-CN"/>
        </w:rPr>
        <w:t>.</w:t>
      </w:r>
    </w:p>
    <w:p w14:paraId="2D4EC42A" w14:textId="77777777" w:rsidR="006121F8" w:rsidRPr="00A624C2" w:rsidRDefault="006121F8" w:rsidP="0028587F">
      <w:pPr>
        <w:spacing w:after="0" w:line="360" w:lineRule="auto"/>
        <w:jc w:val="both"/>
        <w:rPr>
          <w:rFonts w:ascii="Book Antiqua" w:eastAsia="宋体" w:hAnsi="Book Antiqua" w:cs="AdvOTb63a3543.I"/>
          <w:color w:val="231F20"/>
          <w:sz w:val="24"/>
          <w:szCs w:val="24"/>
          <w:lang w:eastAsia="zh-CN"/>
        </w:rPr>
      </w:pPr>
    </w:p>
    <w:p w14:paraId="747BAD3A" w14:textId="77777777" w:rsidR="006121F8" w:rsidRPr="00A624C2" w:rsidRDefault="006121F8" w:rsidP="0028587F">
      <w:pPr>
        <w:spacing w:after="0" w:line="360" w:lineRule="auto"/>
        <w:jc w:val="both"/>
        <w:rPr>
          <w:rFonts w:ascii="Book Antiqua" w:eastAsia="宋体" w:hAnsi="Book Antiqua" w:cs="AdvOTb63a3543.I"/>
          <w:color w:val="231F20"/>
          <w:sz w:val="24"/>
          <w:szCs w:val="24"/>
          <w:lang w:eastAsia="zh-CN"/>
        </w:rPr>
        <w:sectPr w:rsidR="006121F8" w:rsidRPr="00A624C2" w:rsidSect="00E43CC3">
          <w:pgSz w:w="16838" w:h="11906" w:orient="landscape"/>
          <w:pgMar w:top="1276" w:right="1418" w:bottom="1701" w:left="1418" w:header="709" w:footer="709" w:gutter="0"/>
          <w:cols w:space="708"/>
          <w:docGrid w:linePitch="360"/>
        </w:sectPr>
      </w:pPr>
    </w:p>
    <w:p w14:paraId="7A92790B" w14:textId="7EC2894C" w:rsidR="00544E0D" w:rsidRPr="00A624C2" w:rsidRDefault="00E43CC3" w:rsidP="0028587F">
      <w:pPr>
        <w:spacing w:after="0" w:line="360" w:lineRule="auto"/>
        <w:jc w:val="both"/>
        <w:rPr>
          <w:rFonts w:ascii="Book Antiqua" w:eastAsia="宋体" w:hAnsi="Book Antiqua"/>
          <w:b/>
          <w:sz w:val="24"/>
          <w:szCs w:val="24"/>
          <w:lang w:eastAsia="zh-CN"/>
        </w:rPr>
      </w:pPr>
      <w:r w:rsidRPr="00A624C2">
        <w:rPr>
          <w:rFonts w:ascii="Book Antiqua" w:hAnsi="Book Antiqua"/>
          <w:b/>
          <w:sz w:val="24"/>
          <w:szCs w:val="24"/>
        </w:rPr>
        <w:lastRenderedPageBreak/>
        <w:t>Table 3</w:t>
      </w:r>
      <w:r w:rsidR="00544E0D" w:rsidRPr="00A624C2">
        <w:rPr>
          <w:rFonts w:ascii="Book Antiqua" w:hAnsi="Book Antiqua"/>
          <w:b/>
          <w:sz w:val="24"/>
          <w:szCs w:val="24"/>
        </w:rPr>
        <w:t xml:space="preserve"> Sensitivity and specificity of variables at week 14 as predictor</w:t>
      </w:r>
      <w:r w:rsidRPr="00A624C2">
        <w:rPr>
          <w:rFonts w:ascii="Book Antiqua" w:hAnsi="Book Antiqua"/>
          <w:b/>
          <w:sz w:val="24"/>
          <w:szCs w:val="24"/>
        </w:rPr>
        <w:t>s of long-term mucosal healing</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0"/>
        <w:gridCol w:w="2103"/>
        <w:gridCol w:w="2405"/>
      </w:tblGrid>
      <w:tr w:rsidR="00544E0D" w:rsidRPr="00A624C2" w14:paraId="34F7A8D6" w14:textId="77777777" w:rsidTr="00E43CC3">
        <w:tc>
          <w:tcPr>
            <w:tcW w:w="4077" w:type="dxa"/>
            <w:tcBorders>
              <w:top w:val="single" w:sz="4" w:space="0" w:color="auto"/>
              <w:bottom w:val="single" w:sz="4" w:space="0" w:color="auto"/>
            </w:tcBorders>
          </w:tcPr>
          <w:p w14:paraId="603A870B" w14:textId="77777777" w:rsidR="00544E0D" w:rsidRPr="00A624C2" w:rsidRDefault="00544E0D" w:rsidP="0028587F">
            <w:pPr>
              <w:spacing w:line="360" w:lineRule="auto"/>
              <w:jc w:val="both"/>
              <w:rPr>
                <w:rFonts w:ascii="Book Antiqua" w:hAnsi="Book Antiqua"/>
                <w:b/>
                <w:sz w:val="24"/>
                <w:szCs w:val="24"/>
              </w:rPr>
            </w:pPr>
            <w:r w:rsidRPr="00A624C2">
              <w:rPr>
                <w:rFonts w:ascii="Book Antiqua" w:hAnsi="Book Antiqua"/>
                <w:b/>
                <w:sz w:val="24"/>
                <w:szCs w:val="24"/>
              </w:rPr>
              <w:t>Variable</w:t>
            </w:r>
          </w:p>
        </w:tc>
        <w:tc>
          <w:tcPr>
            <w:tcW w:w="2127" w:type="dxa"/>
            <w:tcBorders>
              <w:top w:val="single" w:sz="4" w:space="0" w:color="auto"/>
              <w:bottom w:val="single" w:sz="4" w:space="0" w:color="auto"/>
            </w:tcBorders>
          </w:tcPr>
          <w:p w14:paraId="405B8823" w14:textId="77777777" w:rsidR="00544E0D" w:rsidRPr="00A624C2" w:rsidRDefault="00544E0D" w:rsidP="0028587F">
            <w:pPr>
              <w:spacing w:line="360" w:lineRule="auto"/>
              <w:jc w:val="both"/>
              <w:rPr>
                <w:rFonts w:ascii="Book Antiqua" w:hAnsi="Book Antiqua"/>
                <w:b/>
                <w:sz w:val="24"/>
                <w:szCs w:val="24"/>
              </w:rPr>
            </w:pPr>
            <w:r w:rsidRPr="00A624C2">
              <w:rPr>
                <w:rFonts w:ascii="Book Antiqua" w:hAnsi="Book Antiqua"/>
                <w:b/>
                <w:sz w:val="24"/>
                <w:szCs w:val="24"/>
              </w:rPr>
              <w:t>Sensitivity</w:t>
            </w:r>
          </w:p>
        </w:tc>
        <w:tc>
          <w:tcPr>
            <w:tcW w:w="2440" w:type="dxa"/>
            <w:tcBorders>
              <w:top w:val="single" w:sz="4" w:space="0" w:color="auto"/>
              <w:bottom w:val="single" w:sz="4" w:space="0" w:color="auto"/>
            </w:tcBorders>
          </w:tcPr>
          <w:p w14:paraId="12828A13" w14:textId="77777777" w:rsidR="00544E0D" w:rsidRPr="00A624C2" w:rsidRDefault="00544E0D" w:rsidP="0028587F">
            <w:pPr>
              <w:spacing w:line="360" w:lineRule="auto"/>
              <w:jc w:val="both"/>
              <w:rPr>
                <w:rFonts w:ascii="Book Antiqua" w:hAnsi="Book Antiqua"/>
                <w:b/>
                <w:sz w:val="24"/>
                <w:szCs w:val="24"/>
              </w:rPr>
            </w:pPr>
            <w:r w:rsidRPr="00A624C2">
              <w:rPr>
                <w:rFonts w:ascii="Book Antiqua" w:hAnsi="Book Antiqua"/>
                <w:b/>
                <w:sz w:val="24"/>
                <w:szCs w:val="24"/>
              </w:rPr>
              <w:t>Specificity</w:t>
            </w:r>
          </w:p>
        </w:tc>
      </w:tr>
      <w:tr w:rsidR="00544E0D" w:rsidRPr="00A624C2" w14:paraId="2FD47196" w14:textId="77777777" w:rsidTr="00E43CC3">
        <w:tc>
          <w:tcPr>
            <w:tcW w:w="4077" w:type="dxa"/>
            <w:tcBorders>
              <w:top w:val="single" w:sz="4" w:space="0" w:color="auto"/>
            </w:tcBorders>
          </w:tcPr>
          <w:p w14:paraId="1C14DA7C"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 xml:space="preserve">CDEIS &lt; 3 </w:t>
            </w:r>
          </w:p>
        </w:tc>
        <w:tc>
          <w:tcPr>
            <w:tcW w:w="2127" w:type="dxa"/>
            <w:tcBorders>
              <w:top w:val="single" w:sz="4" w:space="0" w:color="auto"/>
            </w:tcBorders>
          </w:tcPr>
          <w:p w14:paraId="670E781F"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69</w:t>
            </w:r>
          </w:p>
        </w:tc>
        <w:tc>
          <w:tcPr>
            <w:tcW w:w="2440" w:type="dxa"/>
            <w:tcBorders>
              <w:top w:val="single" w:sz="4" w:space="0" w:color="auto"/>
            </w:tcBorders>
          </w:tcPr>
          <w:p w14:paraId="31233C7E"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67</w:t>
            </w:r>
          </w:p>
        </w:tc>
      </w:tr>
      <w:tr w:rsidR="00544E0D" w:rsidRPr="00A624C2" w14:paraId="0CCFDA64" w14:textId="77777777" w:rsidTr="00E43CC3">
        <w:tc>
          <w:tcPr>
            <w:tcW w:w="4077" w:type="dxa"/>
          </w:tcPr>
          <w:p w14:paraId="041649BC"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 xml:space="preserve">CDEIS &lt; 4 </w:t>
            </w:r>
          </w:p>
        </w:tc>
        <w:tc>
          <w:tcPr>
            <w:tcW w:w="2127" w:type="dxa"/>
          </w:tcPr>
          <w:p w14:paraId="66175449"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62</w:t>
            </w:r>
          </w:p>
        </w:tc>
        <w:tc>
          <w:tcPr>
            <w:tcW w:w="2440" w:type="dxa"/>
          </w:tcPr>
          <w:p w14:paraId="28096E0E"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78</w:t>
            </w:r>
          </w:p>
        </w:tc>
      </w:tr>
      <w:tr w:rsidR="00544E0D" w:rsidRPr="00A624C2" w14:paraId="03059D9B" w14:textId="77777777" w:rsidTr="00E43CC3">
        <w:tc>
          <w:tcPr>
            <w:tcW w:w="4077" w:type="dxa"/>
          </w:tcPr>
          <w:p w14:paraId="1CF9F6DC"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80% reduction of CDEIS (baseline to week 14)</w:t>
            </w:r>
          </w:p>
        </w:tc>
        <w:tc>
          <w:tcPr>
            <w:tcW w:w="2127" w:type="dxa"/>
          </w:tcPr>
          <w:p w14:paraId="3C80292B"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59</w:t>
            </w:r>
          </w:p>
        </w:tc>
        <w:tc>
          <w:tcPr>
            <w:tcW w:w="2440" w:type="dxa"/>
          </w:tcPr>
          <w:p w14:paraId="1BB828E5"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91</w:t>
            </w:r>
          </w:p>
        </w:tc>
      </w:tr>
      <w:tr w:rsidR="00544E0D" w:rsidRPr="00A624C2" w14:paraId="23C5310F" w14:textId="77777777" w:rsidTr="00E43CC3">
        <w:tc>
          <w:tcPr>
            <w:tcW w:w="4077" w:type="dxa"/>
          </w:tcPr>
          <w:p w14:paraId="097BF092"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Endoscopic response at week 14</w:t>
            </w:r>
          </w:p>
        </w:tc>
        <w:tc>
          <w:tcPr>
            <w:tcW w:w="2127" w:type="dxa"/>
          </w:tcPr>
          <w:p w14:paraId="72C8B96D"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85</w:t>
            </w:r>
          </w:p>
        </w:tc>
        <w:tc>
          <w:tcPr>
            <w:tcW w:w="2440" w:type="dxa"/>
          </w:tcPr>
          <w:p w14:paraId="197E77C3"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66</w:t>
            </w:r>
          </w:p>
        </w:tc>
      </w:tr>
      <w:tr w:rsidR="00544E0D" w:rsidRPr="00A624C2" w14:paraId="2F685CCC" w14:textId="77777777" w:rsidTr="00E43CC3">
        <w:tc>
          <w:tcPr>
            <w:tcW w:w="4077" w:type="dxa"/>
            <w:tcBorders>
              <w:bottom w:val="single" w:sz="4" w:space="0" w:color="auto"/>
            </w:tcBorders>
          </w:tcPr>
          <w:p w14:paraId="5EF7CF49"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Endoscopic remission at week 14</w:t>
            </w:r>
          </w:p>
        </w:tc>
        <w:tc>
          <w:tcPr>
            <w:tcW w:w="2127" w:type="dxa"/>
            <w:tcBorders>
              <w:bottom w:val="single" w:sz="4" w:space="0" w:color="auto"/>
            </w:tcBorders>
          </w:tcPr>
          <w:p w14:paraId="63D7FE41"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59</w:t>
            </w:r>
          </w:p>
        </w:tc>
        <w:tc>
          <w:tcPr>
            <w:tcW w:w="2440" w:type="dxa"/>
            <w:tcBorders>
              <w:bottom w:val="single" w:sz="4" w:space="0" w:color="auto"/>
            </w:tcBorders>
          </w:tcPr>
          <w:p w14:paraId="7042028A"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85</w:t>
            </w:r>
          </w:p>
        </w:tc>
      </w:tr>
    </w:tbl>
    <w:p w14:paraId="3AD0A23D" w14:textId="17B17C7F" w:rsidR="00873EC7" w:rsidRPr="00A624C2" w:rsidRDefault="00544E0D" w:rsidP="0028587F">
      <w:pPr>
        <w:spacing w:after="0" w:line="360" w:lineRule="auto"/>
        <w:jc w:val="both"/>
        <w:rPr>
          <w:rFonts w:ascii="Book Antiqua" w:hAnsi="Book Antiqua"/>
          <w:sz w:val="24"/>
          <w:szCs w:val="24"/>
        </w:rPr>
      </w:pPr>
      <w:r w:rsidRPr="00A624C2">
        <w:rPr>
          <w:rFonts w:ascii="Book Antiqua" w:hAnsi="Book Antiqua" w:cs="AdvOTb63a3543.I"/>
          <w:color w:val="231F20"/>
          <w:sz w:val="24"/>
          <w:szCs w:val="24"/>
        </w:rPr>
        <w:t>CDEIS</w:t>
      </w:r>
      <w:r w:rsidR="00E43CC3" w:rsidRPr="00A624C2">
        <w:rPr>
          <w:rFonts w:ascii="Book Antiqua" w:eastAsia="宋体" w:hAnsi="Book Antiqua" w:cs="AdvOTb63a3543.I"/>
          <w:color w:val="231F20"/>
          <w:sz w:val="24"/>
          <w:szCs w:val="24"/>
          <w:lang w:eastAsia="zh-CN"/>
        </w:rPr>
        <w:t xml:space="preserve">: </w:t>
      </w:r>
      <w:r w:rsidRPr="00A624C2">
        <w:rPr>
          <w:rFonts w:ascii="Book Antiqua" w:hAnsi="Book Antiqua" w:cs="AdvOTb63a3543.I"/>
          <w:color w:val="231F20"/>
          <w:sz w:val="24"/>
          <w:szCs w:val="24"/>
        </w:rPr>
        <w:t>Crohn</w:t>
      </w:r>
      <w:r w:rsidR="00E43CC3" w:rsidRPr="00A624C2">
        <w:rPr>
          <w:rFonts w:ascii="Book Antiqua" w:eastAsia="宋体" w:hAnsi="Book Antiqua" w:cs="AdvOTb63a3543.I"/>
          <w:color w:val="231F20"/>
          <w:sz w:val="24"/>
          <w:szCs w:val="24"/>
          <w:lang w:eastAsia="zh-CN"/>
        </w:rPr>
        <w:t>’</w:t>
      </w:r>
      <w:r w:rsidRPr="00A624C2">
        <w:rPr>
          <w:rFonts w:ascii="Book Antiqua" w:hAnsi="Book Antiqua" w:cs="AdvOTb63a3543.I"/>
          <w:color w:val="231F20"/>
          <w:sz w:val="24"/>
          <w:szCs w:val="24"/>
        </w:rPr>
        <w:t>s Disease Endoscopic Index of Severity.</w:t>
      </w:r>
    </w:p>
    <w:p w14:paraId="37EA5E10" w14:textId="77777777" w:rsidR="00E43CC3" w:rsidRPr="00A624C2" w:rsidRDefault="00E43CC3">
      <w:pPr>
        <w:rPr>
          <w:rFonts w:ascii="Book Antiqua" w:eastAsia="宋体" w:hAnsi="Book Antiqua"/>
          <w:lang w:eastAsia="zh-CN"/>
        </w:rPr>
      </w:pPr>
      <w:r w:rsidRPr="00A624C2">
        <w:rPr>
          <w:rFonts w:ascii="Book Antiqua" w:hAnsi="Book Antiqua"/>
        </w:rPr>
        <w:br w:type="page"/>
      </w:r>
    </w:p>
    <w:p w14:paraId="4CD02C95" w14:textId="10F713F0" w:rsidR="005E46C4" w:rsidRPr="00A624C2" w:rsidRDefault="00097D46" w:rsidP="00097D46">
      <w:pPr>
        <w:jc w:val="both"/>
        <w:rPr>
          <w:rFonts w:ascii="Book Antiqua" w:eastAsia="宋体" w:hAnsi="Book Antiqua"/>
          <w:b/>
          <w:sz w:val="24"/>
          <w:szCs w:val="24"/>
          <w:lang w:eastAsia="zh-CN"/>
        </w:rPr>
      </w:pPr>
      <w:r w:rsidRPr="00A624C2">
        <w:rPr>
          <w:rFonts w:ascii="Book Antiqua" w:hAnsi="Book Antiqua" w:cs="Arial"/>
          <w:b/>
          <w:bCs/>
          <w:color w:val="000000"/>
          <w:sz w:val="24"/>
          <w:szCs w:val="24"/>
        </w:rPr>
        <w:lastRenderedPageBreak/>
        <w:t>Table 4</w:t>
      </w:r>
      <w:r w:rsidR="005E46C4" w:rsidRPr="00A624C2">
        <w:rPr>
          <w:rFonts w:ascii="Book Antiqua" w:hAnsi="Book Antiqua" w:cs="Arial"/>
          <w:b/>
          <w:bCs/>
          <w:color w:val="000000"/>
          <w:sz w:val="24"/>
          <w:szCs w:val="24"/>
        </w:rPr>
        <w:t xml:space="preserve"> </w:t>
      </w:r>
      <w:r w:rsidR="005E46C4" w:rsidRPr="00A624C2">
        <w:rPr>
          <w:rFonts w:ascii="Book Antiqua" w:hAnsi="Book Antiqua"/>
          <w:b/>
          <w:sz w:val="24"/>
          <w:szCs w:val="24"/>
        </w:rPr>
        <w:t xml:space="preserve">Diagnostic accuracy of 80% </w:t>
      </w:r>
      <w:r w:rsidRPr="00A624C2">
        <w:rPr>
          <w:rFonts w:ascii="Book Antiqua" w:hAnsi="Book Antiqua" w:cs="AdvOTb63a3543.I"/>
          <w:b/>
          <w:color w:val="231F20"/>
          <w:sz w:val="24"/>
          <w:szCs w:val="24"/>
        </w:rPr>
        <w:t>Crohn</w:t>
      </w:r>
      <w:r w:rsidRPr="00A624C2">
        <w:rPr>
          <w:rFonts w:ascii="Book Antiqua" w:eastAsia="宋体" w:hAnsi="Book Antiqua" w:cs="AdvOTb63a3543.I"/>
          <w:b/>
          <w:color w:val="231F20"/>
          <w:sz w:val="24"/>
          <w:szCs w:val="24"/>
          <w:lang w:eastAsia="zh-CN"/>
        </w:rPr>
        <w:t>’</w:t>
      </w:r>
      <w:r w:rsidRPr="00A624C2">
        <w:rPr>
          <w:rFonts w:ascii="Book Antiqua" w:hAnsi="Book Antiqua" w:cs="AdvOTb63a3543.I"/>
          <w:b/>
          <w:color w:val="231F20"/>
          <w:sz w:val="24"/>
          <w:szCs w:val="24"/>
        </w:rPr>
        <w:t>s Disease Endoscopic Index of Severity</w:t>
      </w:r>
      <w:r w:rsidR="005E46C4" w:rsidRPr="00A624C2">
        <w:rPr>
          <w:rFonts w:ascii="Book Antiqua" w:hAnsi="Book Antiqua"/>
          <w:b/>
          <w:sz w:val="24"/>
          <w:szCs w:val="24"/>
        </w:rPr>
        <w:t xml:space="preserve"> reduction at week 14  for the diagnosis of long-term mucosal healing</w:t>
      </w:r>
    </w:p>
    <w:tbl>
      <w:tblPr>
        <w:tblW w:w="8505" w:type="dxa"/>
        <w:tblLayout w:type="fixed"/>
        <w:tblCellMar>
          <w:left w:w="0" w:type="dxa"/>
          <w:right w:w="0" w:type="dxa"/>
        </w:tblCellMar>
        <w:tblLook w:val="0000" w:firstRow="0" w:lastRow="0" w:firstColumn="0" w:lastColumn="0" w:noHBand="0" w:noVBand="0"/>
      </w:tblPr>
      <w:tblGrid>
        <w:gridCol w:w="3563"/>
        <w:gridCol w:w="810"/>
        <w:gridCol w:w="872"/>
        <w:gridCol w:w="1843"/>
        <w:gridCol w:w="1417"/>
      </w:tblGrid>
      <w:tr w:rsidR="00873EC7" w:rsidRPr="00A624C2" w14:paraId="60E8FE4C" w14:textId="77777777" w:rsidTr="00EF4DB8">
        <w:trPr>
          <w:cantSplit/>
          <w:trHeight w:val="369"/>
        </w:trPr>
        <w:tc>
          <w:tcPr>
            <w:tcW w:w="5245" w:type="dxa"/>
            <w:gridSpan w:val="3"/>
            <w:vMerge w:val="restart"/>
            <w:tcBorders>
              <w:top w:val="single" w:sz="4" w:space="0" w:color="auto"/>
            </w:tcBorders>
            <w:shd w:val="clear" w:color="auto" w:fill="FFFFFF"/>
            <w:vAlign w:val="bottom"/>
          </w:tcPr>
          <w:p w14:paraId="4F687687" w14:textId="77777777" w:rsidR="00873EC7" w:rsidRPr="00A624C2" w:rsidRDefault="00873EC7" w:rsidP="005E46C4">
            <w:pPr>
              <w:autoSpaceDE w:val="0"/>
              <w:autoSpaceDN w:val="0"/>
              <w:adjustRightInd w:val="0"/>
              <w:spacing w:after="0" w:line="360" w:lineRule="auto"/>
              <w:ind w:left="60"/>
              <w:jc w:val="both"/>
              <w:rPr>
                <w:rFonts w:ascii="Book Antiqua" w:hAnsi="Book Antiqua"/>
                <w:b/>
                <w:sz w:val="24"/>
                <w:szCs w:val="24"/>
              </w:rPr>
            </w:pPr>
          </w:p>
        </w:tc>
        <w:tc>
          <w:tcPr>
            <w:tcW w:w="3260" w:type="dxa"/>
            <w:gridSpan w:val="2"/>
            <w:tcBorders>
              <w:top w:val="single" w:sz="4" w:space="0" w:color="auto"/>
            </w:tcBorders>
            <w:shd w:val="clear" w:color="auto" w:fill="FFFFFF"/>
            <w:vAlign w:val="bottom"/>
          </w:tcPr>
          <w:p w14:paraId="7597F042" w14:textId="77777777" w:rsidR="00873EC7" w:rsidRPr="00A624C2" w:rsidRDefault="00873EC7" w:rsidP="005E46C4">
            <w:pPr>
              <w:autoSpaceDE w:val="0"/>
              <w:autoSpaceDN w:val="0"/>
              <w:adjustRightInd w:val="0"/>
              <w:spacing w:after="0" w:line="360" w:lineRule="auto"/>
              <w:ind w:left="60" w:right="60"/>
              <w:jc w:val="both"/>
              <w:rPr>
                <w:rFonts w:ascii="Book Antiqua" w:hAnsi="Book Antiqua" w:cs="Arial"/>
                <w:b/>
                <w:color w:val="000000"/>
                <w:sz w:val="24"/>
                <w:szCs w:val="24"/>
              </w:rPr>
            </w:pPr>
            <w:r w:rsidRPr="00A624C2">
              <w:rPr>
                <w:rFonts w:ascii="Book Antiqua" w:hAnsi="Book Antiqua"/>
                <w:b/>
                <w:sz w:val="24"/>
                <w:szCs w:val="24"/>
              </w:rPr>
              <w:t>Mucosal healing</w:t>
            </w:r>
            <w:r w:rsidRPr="00A624C2">
              <w:rPr>
                <w:rFonts w:ascii="Book Antiqua" w:hAnsi="Book Antiqua" w:cs="Arial"/>
                <w:b/>
                <w:color w:val="000000"/>
                <w:sz w:val="24"/>
                <w:szCs w:val="24"/>
              </w:rPr>
              <w:t xml:space="preserve"> at week 46</w:t>
            </w:r>
          </w:p>
        </w:tc>
      </w:tr>
      <w:tr w:rsidR="00873EC7" w:rsidRPr="00A624C2" w14:paraId="6652F2B5" w14:textId="77777777" w:rsidTr="00EF4DB8">
        <w:trPr>
          <w:cantSplit/>
          <w:trHeight w:val="168"/>
        </w:trPr>
        <w:tc>
          <w:tcPr>
            <w:tcW w:w="5245" w:type="dxa"/>
            <w:gridSpan w:val="3"/>
            <w:vMerge/>
            <w:tcBorders>
              <w:bottom w:val="single" w:sz="4" w:space="0" w:color="auto"/>
            </w:tcBorders>
            <w:shd w:val="clear" w:color="auto" w:fill="FFFFFF"/>
            <w:vAlign w:val="bottom"/>
          </w:tcPr>
          <w:p w14:paraId="6570A038" w14:textId="77777777" w:rsidR="00873EC7" w:rsidRPr="00A624C2" w:rsidRDefault="00873EC7" w:rsidP="005E46C4">
            <w:pPr>
              <w:autoSpaceDE w:val="0"/>
              <w:autoSpaceDN w:val="0"/>
              <w:adjustRightInd w:val="0"/>
              <w:spacing w:after="0" w:line="360" w:lineRule="auto"/>
              <w:ind w:left="60"/>
              <w:jc w:val="both"/>
              <w:rPr>
                <w:rFonts w:ascii="Book Antiqua" w:hAnsi="Book Antiqua" w:cs="Arial"/>
                <w:b/>
                <w:color w:val="000000"/>
                <w:sz w:val="24"/>
                <w:szCs w:val="24"/>
              </w:rPr>
            </w:pPr>
          </w:p>
        </w:tc>
        <w:tc>
          <w:tcPr>
            <w:tcW w:w="1843" w:type="dxa"/>
            <w:tcBorders>
              <w:bottom w:val="single" w:sz="4" w:space="0" w:color="auto"/>
            </w:tcBorders>
            <w:shd w:val="clear" w:color="auto" w:fill="FFFFFF"/>
            <w:vAlign w:val="bottom"/>
          </w:tcPr>
          <w:p w14:paraId="2CBF72CA" w14:textId="77777777" w:rsidR="00873EC7" w:rsidRPr="00A624C2" w:rsidRDefault="00873EC7" w:rsidP="005E46C4">
            <w:pPr>
              <w:autoSpaceDE w:val="0"/>
              <w:autoSpaceDN w:val="0"/>
              <w:adjustRightInd w:val="0"/>
              <w:spacing w:after="0" w:line="360" w:lineRule="auto"/>
              <w:ind w:left="60" w:right="60"/>
              <w:jc w:val="both"/>
              <w:rPr>
                <w:rFonts w:ascii="Book Antiqua" w:hAnsi="Book Antiqua" w:cs="Arial"/>
                <w:b/>
                <w:color w:val="000000"/>
                <w:sz w:val="24"/>
                <w:szCs w:val="24"/>
              </w:rPr>
            </w:pPr>
            <w:r w:rsidRPr="00A624C2">
              <w:rPr>
                <w:rFonts w:ascii="Book Antiqua" w:hAnsi="Book Antiqua" w:cs="Arial"/>
                <w:b/>
                <w:color w:val="000000"/>
                <w:sz w:val="24"/>
                <w:szCs w:val="24"/>
              </w:rPr>
              <w:t>No</w:t>
            </w:r>
          </w:p>
        </w:tc>
        <w:tc>
          <w:tcPr>
            <w:tcW w:w="1417" w:type="dxa"/>
            <w:tcBorders>
              <w:bottom w:val="single" w:sz="4" w:space="0" w:color="auto"/>
            </w:tcBorders>
            <w:shd w:val="clear" w:color="auto" w:fill="FFFFFF"/>
            <w:vAlign w:val="bottom"/>
          </w:tcPr>
          <w:p w14:paraId="47A37F2E" w14:textId="77777777" w:rsidR="00873EC7" w:rsidRPr="00A624C2" w:rsidRDefault="00873EC7" w:rsidP="005E46C4">
            <w:pPr>
              <w:autoSpaceDE w:val="0"/>
              <w:autoSpaceDN w:val="0"/>
              <w:adjustRightInd w:val="0"/>
              <w:spacing w:after="0" w:line="360" w:lineRule="auto"/>
              <w:ind w:left="60" w:right="60"/>
              <w:jc w:val="both"/>
              <w:rPr>
                <w:rFonts w:ascii="Book Antiqua" w:hAnsi="Book Antiqua" w:cs="Arial"/>
                <w:b/>
                <w:color w:val="000000"/>
                <w:sz w:val="24"/>
                <w:szCs w:val="24"/>
              </w:rPr>
            </w:pPr>
            <w:r w:rsidRPr="00A624C2">
              <w:rPr>
                <w:rFonts w:ascii="Book Antiqua" w:hAnsi="Book Antiqua" w:cs="Arial"/>
                <w:b/>
                <w:color w:val="000000"/>
                <w:sz w:val="24"/>
                <w:szCs w:val="24"/>
              </w:rPr>
              <w:t>Yes</w:t>
            </w:r>
          </w:p>
        </w:tc>
      </w:tr>
      <w:tr w:rsidR="00873EC7" w:rsidRPr="00A624C2" w14:paraId="24FE8263" w14:textId="77777777" w:rsidTr="00EF4DB8">
        <w:trPr>
          <w:cantSplit/>
          <w:trHeight w:val="369"/>
        </w:trPr>
        <w:tc>
          <w:tcPr>
            <w:tcW w:w="3563" w:type="dxa"/>
            <w:vMerge w:val="restart"/>
            <w:tcBorders>
              <w:top w:val="single" w:sz="4" w:space="0" w:color="auto"/>
              <w:bottom w:val="single" w:sz="4" w:space="0" w:color="auto"/>
            </w:tcBorders>
            <w:shd w:val="clear" w:color="auto" w:fill="FFFFFF"/>
          </w:tcPr>
          <w:p w14:paraId="1735F248" w14:textId="12E950BB" w:rsidR="00873EC7" w:rsidRPr="00A624C2" w:rsidRDefault="00873EC7" w:rsidP="00EF4DB8">
            <w:pPr>
              <w:autoSpaceDE w:val="0"/>
              <w:autoSpaceDN w:val="0"/>
              <w:adjustRightInd w:val="0"/>
              <w:spacing w:after="0" w:line="360" w:lineRule="auto"/>
              <w:ind w:left="60" w:right="60"/>
              <w:rPr>
                <w:rFonts w:ascii="Book Antiqua" w:hAnsi="Book Antiqua" w:cs="Arial"/>
                <w:color w:val="000000"/>
                <w:sz w:val="24"/>
                <w:szCs w:val="24"/>
              </w:rPr>
            </w:pPr>
            <w:r w:rsidRPr="00A624C2">
              <w:rPr>
                <w:rFonts w:ascii="Book Antiqua" w:hAnsi="Book Antiqua" w:cs="Arial"/>
                <w:color w:val="000000"/>
                <w:sz w:val="24"/>
                <w:szCs w:val="24"/>
              </w:rPr>
              <w:t>≥</w:t>
            </w:r>
            <w:r w:rsidR="005E46C4" w:rsidRPr="00A624C2">
              <w:rPr>
                <w:rFonts w:ascii="Book Antiqua" w:eastAsia="宋体" w:hAnsi="Book Antiqua" w:cs="Arial"/>
                <w:color w:val="000000"/>
                <w:sz w:val="24"/>
                <w:szCs w:val="24"/>
                <w:lang w:eastAsia="zh-CN"/>
              </w:rPr>
              <w:t xml:space="preserve"> </w:t>
            </w:r>
            <w:r w:rsidRPr="00A624C2">
              <w:rPr>
                <w:rFonts w:ascii="Book Antiqua" w:hAnsi="Book Antiqua" w:cs="Arial"/>
                <w:color w:val="000000"/>
                <w:sz w:val="24"/>
                <w:szCs w:val="24"/>
              </w:rPr>
              <w:t xml:space="preserve">80% reduction in CDEIS at week 14 from baseline </w:t>
            </w:r>
          </w:p>
        </w:tc>
        <w:tc>
          <w:tcPr>
            <w:tcW w:w="810" w:type="dxa"/>
            <w:vMerge w:val="restart"/>
            <w:shd w:val="clear" w:color="auto" w:fill="FFFFFF"/>
          </w:tcPr>
          <w:p w14:paraId="0B9C768C" w14:textId="77777777" w:rsidR="00873EC7" w:rsidRPr="00A624C2" w:rsidRDefault="00873EC7" w:rsidP="00EF4DB8">
            <w:pPr>
              <w:autoSpaceDE w:val="0"/>
              <w:autoSpaceDN w:val="0"/>
              <w:adjustRightInd w:val="0"/>
              <w:spacing w:after="0" w:line="360" w:lineRule="auto"/>
              <w:ind w:left="60" w:right="60"/>
              <w:rPr>
                <w:rFonts w:ascii="Book Antiqua" w:hAnsi="Book Antiqua" w:cs="Arial"/>
                <w:color w:val="000000"/>
                <w:sz w:val="24"/>
                <w:szCs w:val="24"/>
              </w:rPr>
            </w:pPr>
            <w:r w:rsidRPr="00A624C2">
              <w:rPr>
                <w:rFonts w:ascii="Book Antiqua" w:hAnsi="Book Antiqua" w:cs="Arial"/>
                <w:color w:val="000000"/>
                <w:sz w:val="24"/>
                <w:szCs w:val="24"/>
              </w:rPr>
              <w:t>No</w:t>
            </w:r>
          </w:p>
        </w:tc>
        <w:tc>
          <w:tcPr>
            <w:tcW w:w="872" w:type="dxa"/>
            <w:tcBorders>
              <w:top w:val="single" w:sz="4" w:space="0" w:color="auto"/>
              <w:left w:val="nil"/>
            </w:tcBorders>
            <w:shd w:val="clear" w:color="auto" w:fill="FFFFFF"/>
          </w:tcPr>
          <w:p w14:paraId="0C7C89CB" w14:textId="77777777" w:rsidR="00873EC7" w:rsidRPr="00A624C2" w:rsidRDefault="00873EC7" w:rsidP="00EF4DB8">
            <w:pPr>
              <w:autoSpaceDE w:val="0"/>
              <w:autoSpaceDN w:val="0"/>
              <w:adjustRightInd w:val="0"/>
              <w:spacing w:after="0" w:line="360" w:lineRule="auto"/>
              <w:ind w:left="60" w:right="60"/>
              <w:rPr>
                <w:rFonts w:ascii="Book Antiqua" w:hAnsi="Book Antiqua" w:cs="Arial"/>
                <w:color w:val="000000"/>
                <w:sz w:val="24"/>
                <w:szCs w:val="24"/>
              </w:rPr>
            </w:pPr>
            <w:r w:rsidRPr="00A624C2">
              <w:rPr>
                <w:rFonts w:ascii="Book Antiqua" w:hAnsi="Book Antiqua" w:cs="Arial"/>
                <w:i/>
                <w:color w:val="000000"/>
                <w:sz w:val="24"/>
                <w:szCs w:val="24"/>
              </w:rPr>
              <w:t>n</w:t>
            </w:r>
            <w:r w:rsidRPr="00A624C2">
              <w:rPr>
                <w:rFonts w:ascii="Book Antiqua" w:hAnsi="Book Antiqua" w:cs="Arial"/>
                <w:color w:val="000000"/>
                <w:sz w:val="24"/>
                <w:szCs w:val="24"/>
              </w:rPr>
              <w:t xml:space="preserve"> (%)</w:t>
            </w:r>
          </w:p>
        </w:tc>
        <w:tc>
          <w:tcPr>
            <w:tcW w:w="1843" w:type="dxa"/>
            <w:tcBorders>
              <w:top w:val="single" w:sz="4" w:space="0" w:color="auto"/>
            </w:tcBorders>
            <w:shd w:val="clear" w:color="auto" w:fill="FFFFFF"/>
            <w:vAlign w:val="center"/>
          </w:tcPr>
          <w:p w14:paraId="20BED550" w14:textId="4D9B679D" w:rsidR="00873EC7" w:rsidRPr="00A624C2" w:rsidRDefault="00EF4DB8" w:rsidP="005E46C4">
            <w:pPr>
              <w:autoSpaceDE w:val="0"/>
              <w:autoSpaceDN w:val="0"/>
              <w:adjustRightInd w:val="0"/>
              <w:spacing w:after="0" w:line="360" w:lineRule="auto"/>
              <w:ind w:left="60" w:right="60"/>
              <w:jc w:val="both"/>
              <w:rPr>
                <w:rFonts w:ascii="Book Antiqua" w:hAnsi="Book Antiqua" w:cs="Arial"/>
                <w:color w:val="000000"/>
                <w:sz w:val="24"/>
                <w:szCs w:val="24"/>
              </w:rPr>
            </w:pPr>
            <w:r w:rsidRPr="00A624C2">
              <w:rPr>
                <w:rFonts w:ascii="Book Antiqua" w:hAnsi="Book Antiqua" w:cs="Arial"/>
                <w:color w:val="000000"/>
                <w:sz w:val="24"/>
                <w:szCs w:val="24"/>
              </w:rPr>
              <w:t>32 (74.4</w:t>
            </w:r>
            <w:r w:rsidR="00873EC7" w:rsidRPr="00A624C2">
              <w:rPr>
                <w:rFonts w:ascii="Book Antiqua" w:hAnsi="Book Antiqua" w:cs="Arial"/>
                <w:color w:val="000000"/>
                <w:sz w:val="24"/>
                <w:szCs w:val="24"/>
              </w:rPr>
              <w:t>)</w:t>
            </w:r>
          </w:p>
        </w:tc>
        <w:tc>
          <w:tcPr>
            <w:tcW w:w="1417" w:type="dxa"/>
            <w:tcBorders>
              <w:top w:val="single" w:sz="4" w:space="0" w:color="auto"/>
            </w:tcBorders>
            <w:shd w:val="clear" w:color="auto" w:fill="FFFFFF"/>
            <w:vAlign w:val="center"/>
          </w:tcPr>
          <w:p w14:paraId="540A2A1D" w14:textId="5EDF9720" w:rsidR="00873EC7" w:rsidRPr="00A624C2" w:rsidRDefault="00EF4DB8" w:rsidP="005E46C4">
            <w:pPr>
              <w:autoSpaceDE w:val="0"/>
              <w:autoSpaceDN w:val="0"/>
              <w:adjustRightInd w:val="0"/>
              <w:spacing w:after="0" w:line="360" w:lineRule="auto"/>
              <w:ind w:left="60" w:right="60"/>
              <w:jc w:val="both"/>
              <w:rPr>
                <w:rFonts w:ascii="Book Antiqua" w:hAnsi="Book Antiqua" w:cs="Arial"/>
                <w:color w:val="000000"/>
                <w:sz w:val="24"/>
                <w:szCs w:val="24"/>
              </w:rPr>
            </w:pPr>
            <w:r w:rsidRPr="00A624C2">
              <w:rPr>
                <w:rFonts w:ascii="Book Antiqua" w:hAnsi="Book Antiqua" w:cs="Arial"/>
                <w:color w:val="000000"/>
                <w:sz w:val="24"/>
                <w:szCs w:val="24"/>
              </w:rPr>
              <w:t>11(25.6</w:t>
            </w:r>
            <w:r w:rsidR="00873EC7" w:rsidRPr="00A624C2">
              <w:rPr>
                <w:rFonts w:ascii="Book Antiqua" w:hAnsi="Book Antiqua" w:cs="Arial"/>
                <w:color w:val="000000"/>
                <w:sz w:val="24"/>
                <w:szCs w:val="24"/>
              </w:rPr>
              <w:t>)</w:t>
            </w:r>
          </w:p>
        </w:tc>
      </w:tr>
      <w:tr w:rsidR="00873EC7" w:rsidRPr="00A624C2" w14:paraId="53892C65" w14:textId="77777777" w:rsidTr="00EF4DB8">
        <w:trPr>
          <w:cantSplit/>
          <w:trHeight w:val="168"/>
        </w:trPr>
        <w:tc>
          <w:tcPr>
            <w:tcW w:w="3563" w:type="dxa"/>
            <w:vMerge/>
            <w:tcBorders>
              <w:bottom w:val="single" w:sz="4" w:space="0" w:color="auto"/>
            </w:tcBorders>
            <w:shd w:val="clear" w:color="auto" w:fill="FFFFFF"/>
          </w:tcPr>
          <w:p w14:paraId="52DCE05D" w14:textId="77777777" w:rsidR="00873EC7" w:rsidRPr="00A624C2" w:rsidRDefault="00873EC7" w:rsidP="00EF4DB8">
            <w:pPr>
              <w:autoSpaceDE w:val="0"/>
              <w:autoSpaceDN w:val="0"/>
              <w:adjustRightInd w:val="0"/>
              <w:spacing w:after="0" w:line="360" w:lineRule="auto"/>
              <w:ind w:left="60"/>
              <w:rPr>
                <w:rFonts w:ascii="Book Antiqua" w:hAnsi="Book Antiqua" w:cs="Arial"/>
                <w:color w:val="000000"/>
                <w:sz w:val="24"/>
                <w:szCs w:val="24"/>
              </w:rPr>
            </w:pPr>
          </w:p>
        </w:tc>
        <w:tc>
          <w:tcPr>
            <w:tcW w:w="810" w:type="dxa"/>
            <w:vMerge/>
            <w:shd w:val="clear" w:color="auto" w:fill="FFFFFF"/>
          </w:tcPr>
          <w:p w14:paraId="7E9825CD" w14:textId="77777777" w:rsidR="00873EC7" w:rsidRPr="00A624C2" w:rsidRDefault="00873EC7" w:rsidP="00EF4DB8">
            <w:pPr>
              <w:autoSpaceDE w:val="0"/>
              <w:autoSpaceDN w:val="0"/>
              <w:adjustRightInd w:val="0"/>
              <w:spacing w:after="0" w:line="360" w:lineRule="auto"/>
              <w:ind w:left="60"/>
              <w:rPr>
                <w:rFonts w:ascii="Book Antiqua" w:hAnsi="Book Antiqua" w:cs="Arial"/>
                <w:color w:val="000000"/>
                <w:sz w:val="24"/>
                <w:szCs w:val="24"/>
              </w:rPr>
            </w:pPr>
          </w:p>
        </w:tc>
        <w:tc>
          <w:tcPr>
            <w:tcW w:w="872" w:type="dxa"/>
            <w:tcBorders>
              <w:left w:val="nil"/>
            </w:tcBorders>
            <w:shd w:val="clear" w:color="auto" w:fill="FFFFFF"/>
          </w:tcPr>
          <w:p w14:paraId="2DEF1765" w14:textId="77777777" w:rsidR="00873EC7" w:rsidRPr="00A624C2" w:rsidRDefault="00873EC7" w:rsidP="00EF4DB8">
            <w:pPr>
              <w:autoSpaceDE w:val="0"/>
              <w:autoSpaceDN w:val="0"/>
              <w:adjustRightInd w:val="0"/>
              <w:spacing w:after="0" w:line="360" w:lineRule="auto"/>
              <w:ind w:right="60"/>
              <w:rPr>
                <w:rFonts w:ascii="Book Antiqua" w:eastAsia="宋体" w:hAnsi="Book Antiqua" w:cs="Arial"/>
                <w:color w:val="000000"/>
                <w:sz w:val="24"/>
                <w:szCs w:val="24"/>
                <w:lang w:eastAsia="zh-CN"/>
              </w:rPr>
            </w:pPr>
          </w:p>
        </w:tc>
        <w:tc>
          <w:tcPr>
            <w:tcW w:w="1843" w:type="dxa"/>
            <w:shd w:val="clear" w:color="auto" w:fill="FFFFFF"/>
            <w:vAlign w:val="center"/>
          </w:tcPr>
          <w:p w14:paraId="48614326" w14:textId="77777777" w:rsidR="00873EC7" w:rsidRPr="00A624C2" w:rsidRDefault="00873EC7" w:rsidP="00EF4DB8">
            <w:pPr>
              <w:autoSpaceDE w:val="0"/>
              <w:autoSpaceDN w:val="0"/>
              <w:adjustRightInd w:val="0"/>
              <w:spacing w:after="0" w:line="360" w:lineRule="auto"/>
              <w:ind w:right="60"/>
              <w:jc w:val="both"/>
              <w:rPr>
                <w:rFonts w:ascii="Book Antiqua" w:eastAsia="宋体" w:hAnsi="Book Antiqua" w:cs="Arial"/>
                <w:color w:val="000000"/>
                <w:sz w:val="24"/>
                <w:szCs w:val="24"/>
                <w:lang w:eastAsia="zh-CN"/>
              </w:rPr>
            </w:pPr>
          </w:p>
        </w:tc>
        <w:tc>
          <w:tcPr>
            <w:tcW w:w="1417" w:type="dxa"/>
            <w:shd w:val="clear" w:color="auto" w:fill="FFFFFF"/>
            <w:vAlign w:val="center"/>
          </w:tcPr>
          <w:p w14:paraId="5659F141" w14:textId="77777777" w:rsidR="00873EC7" w:rsidRPr="00A624C2" w:rsidRDefault="00873EC7" w:rsidP="00EF4DB8">
            <w:pPr>
              <w:autoSpaceDE w:val="0"/>
              <w:autoSpaceDN w:val="0"/>
              <w:adjustRightInd w:val="0"/>
              <w:spacing w:after="0" w:line="360" w:lineRule="auto"/>
              <w:ind w:right="60"/>
              <w:jc w:val="both"/>
              <w:rPr>
                <w:rFonts w:ascii="Book Antiqua" w:eastAsia="宋体" w:hAnsi="Book Antiqua" w:cs="Arial"/>
                <w:color w:val="000000"/>
                <w:sz w:val="24"/>
                <w:szCs w:val="24"/>
                <w:lang w:eastAsia="zh-CN"/>
              </w:rPr>
            </w:pPr>
          </w:p>
        </w:tc>
      </w:tr>
      <w:tr w:rsidR="00873EC7" w:rsidRPr="00A624C2" w14:paraId="18B447D2" w14:textId="77777777" w:rsidTr="00EF4DB8">
        <w:trPr>
          <w:cantSplit/>
          <w:trHeight w:val="64"/>
        </w:trPr>
        <w:tc>
          <w:tcPr>
            <w:tcW w:w="3563" w:type="dxa"/>
            <w:vMerge/>
            <w:tcBorders>
              <w:bottom w:val="single" w:sz="4" w:space="0" w:color="auto"/>
            </w:tcBorders>
            <w:shd w:val="clear" w:color="auto" w:fill="FFFFFF"/>
          </w:tcPr>
          <w:p w14:paraId="5078FA1A" w14:textId="77777777" w:rsidR="00873EC7" w:rsidRPr="00A624C2" w:rsidRDefault="00873EC7" w:rsidP="00EF4DB8">
            <w:pPr>
              <w:autoSpaceDE w:val="0"/>
              <w:autoSpaceDN w:val="0"/>
              <w:adjustRightInd w:val="0"/>
              <w:spacing w:after="0" w:line="360" w:lineRule="auto"/>
              <w:ind w:left="60"/>
              <w:rPr>
                <w:rFonts w:ascii="Book Antiqua" w:hAnsi="Book Antiqua" w:cs="Arial"/>
                <w:color w:val="000000"/>
                <w:sz w:val="24"/>
                <w:szCs w:val="24"/>
              </w:rPr>
            </w:pPr>
          </w:p>
        </w:tc>
        <w:tc>
          <w:tcPr>
            <w:tcW w:w="810" w:type="dxa"/>
            <w:tcBorders>
              <w:bottom w:val="single" w:sz="4" w:space="0" w:color="auto"/>
            </w:tcBorders>
            <w:shd w:val="clear" w:color="auto" w:fill="FFFFFF"/>
          </w:tcPr>
          <w:p w14:paraId="4C1FA85D" w14:textId="77777777" w:rsidR="00873EC7" w:rsidRPr="00A624C2" w:rsidRDefault="00873EC7" w:rsidP="00EF4DB8">
            <w:pPr>
              <w:autoSpaceDE w:val="0"/>
              <w:autoSpaceDN w:val="0"/>
              <w:adjustRightInd w:val="0"/>
              <w:spacing w:after="0" w:line="360" w:lineRule="auto"/>
              <w:ind w:left="60" w:right="60"/>
              <w:rPr>
                <w:rFonts w:ascii="Book Antiqua" w:hAnsi="Book Antiqua" w:cs="Arial"/>
                <w:color w:val="000000"/>
                <w:sz w:val="24"/>
                <w:szCs w:val="24"/>
                <w:lang w:val="es-ES"/>
              </w:rPr>
            </w:pPr>
            <w:r w:rsidRPr="00A624C2">
              <w:rPr>
                <w:rFonts w:ascii="Book Antiqua" w:hAnsi="Book Antiqua" w:cs="Arial"/>
                <w:color w:val="000000"/>
                <w:sz w:val="24"/>
                <w:szCs w:val="24"/>
                <w:lang w:val="es-ES"/>
              </w:rPr>
              <w:t>Yes</w:t>
            </w:r>
          </w:p>
        </w:tc>
        <w:tc>
          <w:tcPr>
            <w:tcW w:w="872" w:type="dxa"/>
            <w:tcBorders>
              <w:bottom w:val="single" w:sz="4" w:space="0" w:color="auto"/>
            </w:tcBorders>
            <w:shd w:val="clear" w:color="auto" w:fill="FFFFFF"/>
          </w:tcPr>
          <w:p w14:paraId="758AC75B" w14:textId="77777777" w:rsidR="00873EC7" w:rsidRPr="00A624C2" w:rsidRDefault="00873EC7" w:rsidP="00EF4DB8">
            <w:pPr>
              <w:autoSpaceDE w:val="0"/>
              <w:autoSpaceDN w:val="0"/>
              <w:adjustRightInd w:val="0"/>
              <w:spacing w:after="0" w:line="360" w:lineRule="auto"/>
              <w:ind w:left="60" w:right="60"/>
              <w:rPr>
                <w:rFonts w:ascii="Book Antiqua" w:hAnsi="Book Antiqua" w:cs="Arial"/>
                <w:color w:val="000000"/>
                <w:sz w:val="24"/>
                <w:szCs w:val="24"/>
                <w:lang w:val="es-ES"/>
              </w:rPr>
            </w:pPr>
            <w:r w:rsidRPr="00A624C2">
              <w:rPr>
                <w:rFonts w:ascii="Book Antiqua" w:hAnsi="Book Antiqua" w:cs="Arial"/>
                <w:i/>
                <w:color w:val="000000"/>
                <w:sz w:val="24"/>
                <w:szCs w:val="24"/>
                <w:lang w:val="es-ES"/>
              </w:rPr>
              <w:t>n</w:t>
            </w:r>
            <w:r w:rsidRPr="00A624C2">
              <w:rPr>
                <w:rFonts w:ascii="Book Antiqua" w:hAnsi="Book Antiqua" w:cs="Arial"/>
                <w:color w:val="000000"/>
                <w:sz w:val="24"/>
                <w:szCs w:val="24"/>
                <w:lang w:val="es-ES"/>
              </w:rPr>
              <w:t xml:space="preserve"> (%)</w:t>
            </w:r>
          </w:p>
        </w:tc>
        <w:tc>
          <w:tcPr>
            <w:tcW w:w="1843" w:type="dxa"/>
            <w:tcBorders>
              <w:bottom w:val="single" w:sz="4" w:space="0" w:color="auto"/>
            </w:tcBorders>
            <w:shd w:val="clear" w:color="auto" w:fill="FFFFFF"/>
            <w:vAlign w:val="center"/>
          </w:tcPr>
          <w:p w14:paraId="680EEA83" w14:textId="2F2E99A2" w:rsidR="00873EC7" w:rsidRPr="00A624C2" w:rsidRDefault="00EF4DB8" w:rsidP="005E46C4">
            <w:pPr>
              <w:autoSpaceDE w:val="0"/>
              <w:autoSpaceDN w:val="0"/>
              <w:adjustRightInd w:val="0"/>
              <w:spacing w:after="0" w:line="360" w:lineRule="auto"/>
              <w:ind w:left="60" w:right="60"/>
              <w:jc w:val="both"/>
              <w:rPr>
                <w:rFonts w:ascii="Book Antiqua" w:hAnsi="Book Antiqua" w:cs="Arial"/>
                <w:color w:val="000000"/>
                <w:sz w:val="24"/>
                <w:szCs w:val="24"/>
                <w:lang w:val="es-ES"/>
              </w:rPr>
            </w:pPr>
            <w:r w:rsidRPr="00A624C2">
              <w:rPr>
                <w:rFonts w:ascii="Book Antiqua" w:hAnsi="Book Antiqua" w:cs="Arial"/>
                <w:color w:val="000000"/>
                <w:sz w:val="24"/>
                <w:szCs w:val="24"/>
                <w:lang w:val="es-ES"/>
              </w:rPr>
              <w:t>3 (15.8</w:t>
            </w:r>
            <w:r w:rsidR="00873EC7" w:rsidRPr="00A624C2">
              <w:rPr>
                <w:rFonts w:ascii="Book Antiqua" w:hAnsi="Book Antiqua" w:cs="Arial"/>
                <w:color w:val="000000"/>
                <w:sz w:val="24"/>
                <w:szCs w:val="24"/>
                <w:lang w:val="es-ES"/>
              </w:rPr>
              <w:t>)</w:t>
            </w:r>
          </w:p>
        </w:tc>
        <w:tc>
          <w:tcPr>
            <w:tcW w:w="1417" w:type="dxa"/>
            <w:tcBorders>
              <w:bottom w:val="single" w:sz="4" w:space="0" w:color="auto"/>
            </w:tcBorders>
            <w:shd w:val="clear" w:color="auto" w:fill="FFFFFF"/>
            <w:vAlign w:val="center"/>
          </w:tcPr>
          <w:p w14:paraId="1F47988E" w14:textId="4AEB25ED" w:rsidR="00873EC7" w:rsidRPr="00A624C2" w:rsidRDefault="00EF4DB8" w:rsidP="005E46C4">
            <w:pPr>
              <w:autoSpaceDE w:val="0"/>
              <w:autoSpaceDN w:val="0"/>
              <w:adjustRightInd w:val="0"/>
              <w:spacing w:after="0" w:line="360" w:lineRule="auto"/>
              <w:ind w:left="60" w:right="60"/>
              <w:jc w:val="both"/>
              <w:rPr>
                <w:rFonts w:ascii="Book Antiqua" w:hAnsi="Book Antiqua" w:cs="Arial"/>
                <w:color w:val="000000"/>
                <w:sz w:val="24"/>
                <w:szCs w:val="24"/>
                <w:lang w:val="es-ES"/>
              </w:rPr>
            </w:pPr>
            <w:r w:rsidRPr="00A624C2">
              <w:rPr>
                <w:rFonts w:ascii="Book Antiqua" w:hAnsi="Book Antiqua" w:cs="Arial"/>
                <w:color w:val="000000"/>
                <w:sz w:val="24"/>
                <w:szCs w:val="24"/>
                <w:lang w:val="es-ES"/>
              </w:rPr>
              <w:t>16 (84.2</w:t>
            </w:r>
            <w:r w:rsidR="00873EC7" w:rsidRPr="00A624C2">
              <w:rPr>
                <w:rFonts w:ascii="Book Antiqua" w:hAnsi="Book Antiqua" w:cs="Arial"/>
                <w:color w:val="000000"/>
                <w:sz w:val="24"/>
                <w:szCs w:val="24"/>
                <w:lang w:val="es-ES"/>
              </w:rPr>
              <w:t>)</w:t>
            </w:r>
          </w:p>
        </w:tc>
      </w:tr>
    </w:tbl>
    <w:p w14:paraId="759343E9" w14:textId="77777777" w:rsidR="00097D46" w:rsidRPr="00A624C2" w:rsidRDefault="00097D46" w:rsidP="00097D46">
      <w:pPr>
        <w:spacing w:after="0" w:line="360" w:lineRule="auto"/>
        <w:jc w:val="both"/>
        <w:rPr>
          <w:rFonts w:ascii="Book Antiqua" w:hAnsi="Book Antiqua"/>
          <w:sz w:val="24"/>
          <w:szCs w:val="24"/>
        </w:rPr>
      </w:pPr>
      <w:r w:rsidRPr="00A624C2">
        <w:rPr>
          <w:rFonts w:ascii="Book Antiqua" w:hAnsi="Book Antiqua" w:cs="AdvOTb63a3543.I"/>
          <w:color w:val="231F20"/>
          <w:sz w:val="24"/>
          <w:szCs w:val="24"/>
        </w:rPr>
        <w:t>CDEIS</w:t>
      </w:r>
      <w:r w:rsidRPr="00A624C2">
        <w:rPr>
          <w:rFonts w:ascii="Book Antiqua" w:eastAsia="宋体" w:hAnsi="Book Antiqua" w:cs="AdvOTb63a3543.I"/>
          <w:color w:val="231F20"/>
          <w:sz w:val="24"/>
          <w:szCs w:val="24"/>
          <w:lang w:eastAsia="zh-CN"/>
        </w:rPr>
        <w:t xml:space="preserve">: </w:t>
      </w:r>
      <w:r w:rsidRPr="00A624C2">
        <w:rPr>
          <w:rFonts w:ascii="Book Antiqua" w:hAnsi="Book Antiqua" w:cs="AdvOTb63a3543.I"/>
          <w:color w:val="231F20"/>
          <w:sz w:val="24"/>
          <w:szCs w:val="24"/>
        </w:rPr>
        <w:t>Crohn</w:t>
      </w:r>
      <w:r w:rsidRPr="00A624C2">
        <w:rPr>
          <w:rFonts w:ascii="Book Antiqua" w:eastAsia="宋体" w:hAnsi="Book Antiqua" w:cs="AdvOTb63a3543.I"/>
          <w:color w:val="231F20"/>
          <w:sz w:val="24"/>
          <w:szCs w:val="24"/>
          <w:lang w:eastAsia="zh-CN"/>
        </w:rPr>
        <w:t>’</w:t>
      </w:r>
      <w:r w:rsidRPr="00A624C2">
        <w:rPr>
          <w:rFonts w:ascii="Book Antiqua" w:hAnsi="Book Antiqua" w:cs="AdvOTb63a3543.I"/>
          <w:color w:val="231F20"/>
          <w:sz w:val="24"/>
          <w:szCs w:val="24"/>
        </w:rPr>
        <w:t>s Disease Endoscopic Index of Severity.</w:t>
      </w:r>
    </w:p>
    <w:p w14:paraId="138FE8F9" w14:textId="5DE7BECD" w:rsidR="005E46C4" w:rsidRPr="00A624C2" w:rsidRDefault="005E46C4">
      <w:pPr>
        <w:rPr>
          <w:rFonts w:ascii="Book Antiqua" w:eastAsia="宋体" w:hAnsi="Book Antiqua" w:cs="AdvOTb63a3543.I"/>
          <w:color w:val="231F20"/>
          <w:sz w:val="24"/>
          <w:szCs w:val="24"/>
          <w:lang w:eastAsia="zh-CN"/>
        </w:rPr>
      </w:pPr>
    </w:p>
    <w:p w14:paraId="74B0FD6C" w14:textId="77777777" w:rsidR="00C42BB9" w:rsidRPr="00A624C2" w:rsidRDefault="00E43CC3">
      <w:pPr>
        <w:rPr>
          <w:rFonts w:ascii="Book Antiqua" w:eastAsia="宋体" w:hAnsi="Book Antiqua" w:cs="AdvOTb63a3543.I"/>
          <w:color w:val="231F20"/>
          <w:sz w:val="24"/>
          <w:szCs w:val="24"/>
          <w:lang w:eastAsia="zh-CN"/>
        </w:rPr>
        <w:sectPr w:rsidR="00C42BB9" w:rsidRPr="00A624C2" w:rsidSect="00E43CC3">
          <w:pgSz w:w="11900" w:h="16840"/>
          <w:pgMar w:top="1417" w:right="1701" w:bottom="1417" w:left="1701" w:header="708" w:footer="708" w:gutter="0"/>
          <w:cols w:space="708"/>
          <w:docGrid w:linePitch="360"/>
        </w:sectPr>
      </w:pPr>
      <w:r w:rsidRPr="00A624C2">
        <w:rPr>
          <w:rFonts w:ascii="Book Antiqua" w:eastAsia="宋体" w:hAnsi="Book Antiqua" w:cs="AdvOTb63a3543.I"/>
          <w:color w:val="231F20"/>
          <w:sz w:val="24"/>
          <w:szCs w:val="24"/>
          <w:lang w:eastAsia="zh-CN"/>
        </w:rPr>
        <w:br w:type="page"/>
      </w:r>
    </w:p>
    <w:p w14:paraId="772B54DB" w14:textId="067CCE70" w:rsidR="00544E0D" w:rsidRPr="00A624C2" w:rsidRDefault="00C42BB9" w:rsidP="0028587F">
      <w:pPr>
        <w:spacing w:after="0" w:line="360" w:lineRule="auto"/>
        <w:jc w:val="both"/>
        <w:rPr>
          <w:rFonts w:ascii="Book Antiqua" w:eastAsia="宋体" w:hAnsi="Book Antiqua"/>
          <w:b/>
          <w:sz w:val="24"/>
          <w:szCs w:val="24"/>
          <w:lang w:eastAsia="zh-CN"/>
        </w:rPr>
      </w:pPr>
      <w:r w:rsidRPr="00A624C2">
        <w:rPr>
          <w:rFonts w:ascii="Book Antiqua" w:hAnsi="Book Antiqua"/>
          <w:b/>
          <w:sz w:val="24"/>
          <w:szCs w:val="24"/>
        </w:rPr>
        <w:lastRenderedPageBreak/>
        <w:t>Table 5</w:t>
      </w:r>
      <w:r w:rsidR="00544E0D" w:rsidRPr="00A624C2">
        <w:rPr>
          <w:rFonts w:ascii="Book Antiqua" w:hAnsi="Book Antiqua"/>
          <w:b/>
          <w:sz w:val="24"/>
          <w:szCs w:val="24"/>
        </w:rPr>
        <w:t xml:space="preserve"> Comparison between 50 and 80% </w:t>
      </w:r>
      <w:r w:rsidRPr="00A624C2">
        <w:rPr>
          <w:rFonts w:ascii="Book Antiqua" w:hAnsi="Book Antiqua" w:cs="AdvOTb63a3543.I"/>
          <w:b/>
          <w:color w:val="231F20"/>
          <w:sz w:val="24"/>
          <w:szCs w:val="24"/>
        </w:rPr>
        <w:t>Crohn</w:t>
      </w:r>
      <w:r w:rsidRPr="00A624C2">
        <w:rPr>
          <w:rFonts w:ascii="Book Antiqua" w:eastAsia="宋体" w:hAnsi="Book Antiqua" w:cs="AdvOTb63a3543.I"/>
          <w:b/>
          <w:color w:val="231F20"/>
          <w:sz w:val="24"/>
          <w:szCs w:val="24"/>
          <w:lang w:eastAsia="zh-CN"/>
        </w:rPr>
        <w:t>’</w:t>
      </w:r>
      <w:r w:rsidRPr="00A624C2">
        <w:rPr>
          <w:rFonts w:ascii="Book Antiqua" w:hAnsi="Book Antiqua" w:cs="AdvOTb63a3543.I"/>
          <w:b/>
          <w:color w:val="231F20"/>
          <w:sz w:val="24"/>
          <w:szCs w:val="24"/>
        </w:rPr>
        <w:t>s Disease Endoscopic Index of Severity</w:t>
      </w:r>
      <w:r w:rsidR="00544E0D" w:rsidRPr="00A624C2">
        <w:rPr>
          <w:rFonts w:ascii="Book Antiqua" w:hAnsi="Book Antiqua"/>
          <w:b/>
          <w:sz w:val="24"/>
          <w:szCs w:val="24"/>
        </w:rPr>
        <w:t xml:space="preserve"> reduction from baseline to week 14 as predicto</w:t>
      </w:r>
      <w:r w:rsidRPr="00A624C2">
        <w:rPr>
          <w:rFonts w:ascii="Book Antiqua" w:hAnsi="Book Antiqua"/>
          <w:b/>
          <w:sz w:val="24"/>
          <w:szCs w:val="24"/>
        </w:rPr>
        <w:t>rs of long-term mucosal healing</w:t>
      </w:r>
    </w:p>
    <w:tbl>
      <w:tblPr>
        <w:tblStyle w:val="a5"/>
        <w:tblW w:w="13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8"/>
        <w:gridCol w:w="1825"/>
        <w:gridCol w:w="1984"/>
        <w:gridCol w:w="1985"/>
        <w:gridCol w:w="1984"/>
        <w:gridCol w:w="1843"/>
        <w:gridCol w:w="2126"/>
      </w:tblGrid>
      <w:tr w:rsidR="00544E0D" w:rsidRPr="00A624C2" w14:paraId="2E515F0D" w14:textId="77777777" w:rsidTr="00C42BB9">
        <w:trPr>
          <w:trHeight w:val="843"/>
        </w:trPr>
        <w:tc>
          <w:tcPr>
            <w:tcW w:w="2118" w:type="dxa"/>
            <w:tcBorders>
              <w:top w:val="single" w:sz="4" w:space="0" w:color="auto"/>
              <w:bottom w:val="single" w:sz="4" w:space="0" w:color="auto"/>
            </w:tcBorders>
          </w:tcPr>
          <w:p w14:paraId="54633BE9" w14:textId="7D8EDF24" w:rsidR="00544E0D" w:rsidRPr="00A624C2" w:rsidRDefault="00C42BB9" w:rsidP="0028587F">
            <w:pPr>
              <w:spacing w:line="360" w:lineRule="auto"/>
              <w:ind w:left="247" w:hanging="142"/>
              <w:jc w:val="both"/>
              <w:rPr>
                <w:rFonts w:ascii="Book Antiqua" w:hAnsi="Book Antiqua"/>
                <w:b/>
                <w:sz w:val="24"/>
                <w:szCs w:val="24"/>
              </w:rPr>
            </w:pPr>
            <w:r w:rsidRPr="00A624C2">
              <w:rPr>
                <w:rFonts w:ascii="Book Antiqua" w:hAnsi="Book Antiqua"/>
                <w:b/>
                <w:sz w:val="24"/>
                <w:szCs w:val="24"/>
              </w:rPr>
              <w:t>CDEIS</w:t>
            </w:r>
            <w:r w:rsidRPr="00A624C2">
              <w:rPr>
                <w:rFonts w:ascii="Book Antiqua" w:eastAsia="宋体" w:hAnsi="Book Antiqua"/>
                <w:b/>
                <w:sz w:val="24"/>
                <w:szCs w:val="24"/>
                <w:lang w:eastAsia="zh-CN"/>
              </w:rPr>
              <w:t xml:space="preserve"> </w:t>
            </w:r>
            <w:r w:rsidR="00544E0D" w:rsidRPr="00A624C2">
              <w:rPr>
                <w:rFonts w:ascii="Book Antiqua" w:hAnsi="Book Antiqua"/>
                <w:b/>
                <w:sz w:val="24"/>
                <w:szCs w:val="24"/>
              </w:rPr>
              <w:t>reduction</w:t>
            </w:r>
          </w:p>
        </w:tc>
        <w:tc>
          <w:tcPr>
            <w:tcW w:w="1825" w:type="dxa"/>
            <w:tcBorders>
              <w:top w:val="single" w:sz="4" w:space="0" w:color="auto"/>
              <w:bottom w:val="single" w:sz="4" w:space="0" w:color="auto"/>
            </w:tcBorders>
          </w:tcPr>
          <w:p w14:paraId="1CC1E572" w14:textId="43581787" w:rsidR="00544E0D" w:rsidRPr="00A624C2" w:rsidRDefault="00544E0D" w:rsidP="00C42BB9">
            <w:pPr>
              <w:spacing w:line="360" w:lineRule="auto"/>
              <w:jc w:val="both"/>
              <w:rPr>
                <w:rFonts w:ascii="Book Antiqua" w:hAnsi="Book Antiqua"/>
                <w:b/>
                <w:sz w:val="24"/>
                <w:szCs w:val="24"/>
              </w:rPr>
            </w:pPr>
            <w:r w:rsidRPr="00A624C2">
              <w:rPr>
                <w:rFonts w:ascii="Book Antiqua" w:hAnsi="Book Antiqua"/>
                <w:b/>
                <w:sz w:val="24"/>
                <w:szCs w:val="24"/>
              </w:rPr>
              <w:t xml:space="preserve">Sensitivity </w:t>
            </w:r>
            <w:r w:rsidR="00B46F88" w:rsidRPr="00A624C2">
              <w:rPr>
                <w:rFonts w:ascii="Book Antiqua" w:hAnsi="Book Antiqua"/>
                <w:b/>
                <w:sz w:val="24"/>
                <w:szCs w:val="24"/>
              </w:rPr>
              <w:t>(95%</w:t>
            </w:r>
            <w:r w:rsidRPr="00A624C2">
              <w:rPr>
                <w:rFonts w:ascii="Book Antiqua" w:hAnsi="Book Antiqua"/>
                <w:b/>
                <w:sz w:val="24"/>
                <w:szCs w:val="24"/>
              </w:rPr>
              <w:t>CI)</w:t>
            </w:r>
          </w:p>
        </w:tc>
        <w:tc>
          <w:tcPr>
            <w:tcW w:w="1984" w:type="dxa"/>
            <w:tcBorders>
              <w:top w:val="single" w:sz="4" w:space="0" w:color="auto"/>
              <w:bottom w:val="single" w:sz="4" w:space="0" w:color="auto"/>
            </w:tcBorders>
          </w:tcPr>
          <w:p w14:paraId="558BFE62" w14:textId="77777777" w:rsidR="00544E0D" w:rsidRPr="00A624C2" w:rsidRDefault="00544E0D" w:rsidP="0028587F">
            <w:pPr>
              <w:spacing w:line="360" w:lineRule="auto"/>
              <w:jc w:val="both"/>
              <w:rPr>
                <w:rFonts w:ascii="Book Antiqua" w:hAnsi="Book Antiqua"/>
                <w:b/>
                <w:sz w:val="24"/>
                <w:szCs w:val="24"/>
              </w:rPr>
            </w:pPr>
            <w:r w:rsidRPr="00A624C2">
              <w:rPr>
                <w:rFonts w:ascii="Book Antiqua" w:hAnsi="Book Antiqua"/>
                <w:b/>
                <w:sz w:val="24"/>
                <w:szCs w:val="24"/>
              </w:rPr>
              <w:t>Specificity</w:t>
            </w:r>
          </w:p>
          <w:p w14:paraId="76AAE9BD" w14:textId="73C86652" w:rsidR="00544E0D" w:rsidRPr="00A624C2" w:rsidRDefault="00B46F88" w:rsidP="0028587F">
            <w:pPr>
              <w:spacing w:line="360" w:lineRule="auto"/>
              <w:jc w:val="both"/>
              <w:rPr>
                <w:rFonts w:ascii="Book Antiqua" w:hAnsi="Book Antiqua"/>
                <w:b/>
                <w:sz w:val="24"/>
                <w:szCs w:val="24"/>
              </w:rPr>
            </w:pPr>
            <w:r w:rsidRPr="00A624C2">
              <w:rPr>
                <w:rFonts w:ascii="Book Antiqua" w:hAnsi="Book Antiqua"/>
                <w:b/>
                <w:sz w:val="24"/>
                <w:szCs w:val="24"/>
              </w:rPr>
              <w:t>(95%</w:t>
            </w:r>
            <w:r w:rsidR="00544E0D" w:rsidRPr="00A624C2">
              <w:rPr>
                <w:rFonts w:ascii="Book Antiqua" w:hAnsi="Book Antiqua"/>
                <w:b/>
                <w:sz w:val="24"/>
                <w:szCs w:val="24"/>
              </w:rPr>
              <w:t>CI)</w:t>
            </w:r>
          </w:p>
        </w:tc>
        <w:tc>
          <w:tcPr>
            <w:tcW w:w="1985" w:type="dxa"/>
            <w:tcBorders>
              <w:top w:val="single" w:sz="4" w:space="0" w:color="auto"/>
              <w:bottom w:val="single" w:sz="4" w:space="0" w:color="auto"/>
            </w:tcBorders>
          </w:tcPr>
          <w:p w14:paraId="15D5E655" w14:textId="77777777" w:rsidR="00544E0D" w:rsidRPr="00A624C2" w:rsidRDefault="00544E0D" w:rsidP="0028587F">
            <w:pPr>
              <w:spacing w:line="360" w:lineRule="auto"/>
              <w:jc w:val="both"/>
              <w:rPr>
                <w:rFonts w:ascii="Book Antiqua" w:hAnsi="Book Antiqua"/>
                <w:b/>
                <w:sz w:val="24"/>
                <w:szCs w:val="24"/>
              </w:rPr>
            </w:pPr>
            <w:r w:rsidRPr="00A624C2">
              <w:rPr>
                <w:rFonts w:ascii="Book Antiqua" w:hAnsi="Book Antiqua"/>
                <w:b/>
                <w:sz w:val="24"/>
                <w:szCs w:val="24"/>
              </w:rPr>
              <w:t>PPV</w:t>
            </w:r>
          </w:p>
          <w:p w14:paraId="49F2094B" w14:textId="2629E7B3" w:rsidR="00544E0D" w:rsidRPr="00A624C2" w:rsidRDefault="00B46F88" w:rsidP="0028587F">
            <w:pPr>
              <w:spacing w:line="360" w:lineRule="auto"/>
              <w:jc w:val="both"/>
              <w:rPr>
                <w:rFonts w:ascii="Book Antiqua" w:hAnsi="Book Antiqua"/>
                <w:b/>
                <w:sz w:val="24"/>
                <w:szCs w:val="24"/>
              </w:rPr>
            </w:pPr>
            <w:r w:rsidRPr="00A624C2">
              <w:rPr>
                <w:rFonts w:ascii="Book Antiqua" w:hAnsi="Book Antiqua"/>
                <w:b/>
                <w:sz w:val="24"/>
                <w:szCs w:val="24"/>
              </w:rPr>
              <w:t>(95%</w:t>
            </w:r>
            <w:r w:rsidR="00544E0D" w:rsidRPr="00A624C2">
              <w:rPr>
                <w:rFonts w:ascii="Book Antiqua" w:hAnsi="Book Antiqua"/>
                <w:b/>
                <w:sz w:val="24"/>
                <w:szCs w:val="24"/>
              </w:rPr>
              <w:t>CI)</w:t>
            </w:r>
          </w:p>
        </w:tc>
        <w:tc>
          <w:tcPr>
            <w:tcW w:w="1984" w:type="dxa"/>
            <w:tcBorders>
              <w:top w:val="single" w:sz="4" w:space="0" w:color="auto"/>
              <w:bottom w:val="single" w:sz="4" w:space="0" w:color="auto"/>
            </w:tcBorders>
          </w:tcPr>
          <w:p w14:paraId="655B67D9" w14:textId="77777777" w:rsidR="00544E0D" w:rsidRPr="00A624C2" w:rsidRDefault="00544E0D" w:rsidP="0028587F">
            <w:pPr>
              <w:spacing w:line="360" w:lineRule="auto"/>
              <w:jc w:val="both"/>
              <w:rPr>
                <w:rFonts w:ascii="Book Antiqua" w:hAnsi="Book Antiqua"/>
                <w:b/>
                <w:sz w:val="24"/>
                <w:szCs w:val="24"/>
              </w:rPr>
            </w:pPr>
            <w:r w:rsidRPr="00A624C2">
              <w:rPr>
                <w:rFonts w:ascii="Book Antiqua" w:hAnsi="Book Antiqua"/>
                <w:b/>
                <w:sz w:val="24"/>
                <w:szCs w:val="24"/>
              </w:rPr>
              <w:t>NPV</w:t>
            </w:r>
          </w:p>
          <w:p w14:paraId="7EABD55B" w14:textId="19606A8B" w:rsidR="00544E0D" w:rsidRPr="00A624C2" w:rsidRDefault="00B46F88" w:rsidP="0028587F">
            <w:pPr>
              <w:spacing w:line="360" w:lineRule="auto"/>
              <w:jc w:val="both"/>
              <w:rPr>
                <w:rFonts w:ascii="Book Antiqua" w:hAnsi="Book Antiqua"/>
                <w:b/>
                <w:sz w:val="24"/>
                <w:szCs w:val="24"/>
              </w:rPr>
            </w:pPr>
            <w:r w:rsidRPr="00A624C2">
              <w:rPr>
                <w:rFonts w:ascii="Book Antiqua" w:hAnsi="Book Antiqua"/>
                <w:b/>
                <w:sz w:val="24"/>
                <w:szCs w:val="24"/>
              </w:rPr>
              <w:t>(95%</w:t>
            </w:r>
            <w:r w:rsidR="00544E0D" w:rsidRPr="00A624C2">
              <w:rPr>
                <w:rFonts w:ascii="Book Antiqua" w:hAnsi="Book Antiqua"/>
                <w:b/>
                <w:sz w:val="24"/>
                <w:szCs w:val="24"/>
              </w:rPr>
              <w:t>CI)</w:t>
            </w:r>
          </w:p>
        </w:tc>
        <w:tc>
          <w:tcPr>
            <w:tcW w:w="1843" w:type="dxa"/>
            <w:tcBorders>
              <w:top w:val="single" w:sz="4" w:space="0" w:color="auto"/>
              <w:bottom w:val="single" w:sz="4" w:space="0" w:color="auto"/>
            </w:tcBorders>
          </w:tcPr>
          <w:p w14:paraId="212508FC" w14:textId="77777777" w:rsidR="00544E0D" w:rsidRPr="00A624C2" w:rsidRDefault="00544E0D" w:rsidP="0028587F">
            <w:pPr>
              <w:spacing w:line="360" w:lineRule="auto"/>
              <w:jc w:val="both"/>
              <w:rPr>
                <w:rFonts w:ascii="Book Antiqua" w:hAnsi="Book Antiqua"/>
                <w:b/>
                <w:sz w:val="24"/>
                <w:szCs w:val="24"/>
              </w:rPr>
            </w:pPr>
            <w:r w:rsidRPr="00A624C2">
              <w:rPr>
                <w:rFonts w:ascii="Book Antiqua" w:hAnsi="Book Antiqua"/>
                <w:b/>
                <w:sz w:val="24"/>
                <w:szCs w:val="24"/>
              </w:rPr>
              <w:t>LR+</w:t>
            </w:r>
          </w:p>
          <w:p w14:paraId="24D66804" w14:textId="21008B66" w:rsidR="00544E0D" w:rsidRPr="00A624C2" w:rsidRDefault="00B46F88" w:rsidP="0028587F">
            <w:pPr>
              <w:spacing w:line="360" w:lineRule="auto"/>
              <w:jc w:val="both"/>
              <w:rPr>
                <w:rFonts w:ascii="Book Antiqua" w:hAnsi="Book Antiqua"/>
                <w:b/>
                <w:sz w:val="24"/>
                <w:szCs w:val="24"/>
              </w:rPr>
            </w:pPr>
            <w:r w:rsidRPr="00A624C2">
              <w:rPr>
                <w:rFonts w:ascii="Book Antiqua" w:hAnsi="Book Antiqua"/>
                <w:b/>
                <w:sz w:val="24"/>
                <w:szCs w:val="24"/>
              </w:rPr>
              <w:t>(95%</w:t>
            </w:r>
            <w:r w:rsidR="00544E0D" w:rsidRPr="00A624C2">
              <w:rPr>
                <w:rFonts w:ascii="Book Antiqua" w:hAnsi="Book Antiqua"/>
                <w:b/>
                <w:sz w:val="24"/>
                <w:szCs w:val="24"/>
              </w:rPr>
              <w:t>CI)</w:t>
            </w:r>
          </w:p>
        </w:tc>
        <w:tc>
          <w:tcPr>
            <w:tcW w:w="2126" w:type="dxa"/>
            <w:tcBorders>
              <w:top w:val="single" w:sz="4" w:space="0" w:color="auto"/>
              <w:bottom w:val="single" w:sz="4" w:space="0" w:color="auto"/>
            </w:tcBorders>
          </w:tcPr>
          <w:p w14:paraId="50612B55" w14:textId="77777777" w:rsidR="00544E0D" w:rsidRPr="00A624C2" w:rsidRDefault="00544E0D" w:rsidP="0028587F">
            <w:pPr>
              <w:spacing w:line="360" w:lineRule="auto"/>
              <w:jc w:val="both"/>
              <w:rPr>
                <w:rFonts w:ascii="Book Antiqua" w:hAnsi="Book Antiqua"/>
                <w:b/>
                <w:sz w:val="24"/>
                <w:szCs w:val="24"/>
              </w:rPr>
            </w:pPr>
            <w:r w:rsidRPr="00A624C2">
              <w:rPr>
                <w:rFonts w:ascii="Book Antiqua" w:hAnsi="Book Antiqua"/>
                <w:b/>
                <w:sz w:val="24"/>
                <w:szCs w:val="24"/>
              </w:rPr>
              <w:t>LR-</w:t>
            </w:r>
          </w:p>
          <w:p w14:paraId="3AC83977" w14:textId="23D09EC6" w:rsidR="00544E0D" w:rsidRPr="00A624C2" w:rsidRDefault="00B46F88" w:rsidP="0028587F">
            <w:pPr>
              <w:spacing w:line="360" w:lineRule="auto"/>
              <w:jc w:val="both"/>
              <w:rPr>
                <w:rFonts w:ascii="Book Antiqua" w:hAnsi="Book Antiqua"/>
                <w:b/>
                <w:sz w:val="24"/>
                <w:szCs w:val="24"/>
              </w:rPr>
            </w:pPr>
            <w:r w:rsidRPr="00A624C2">
              <w:rPr>
                <w:rFonts w:ascii="Book Antiqua" w:hAnsi="Book Antiqua"/>
                <w:b/>
                <w:sz w:val="24"/>
                <w:szCs w:val="24"/>
              </w:rPr>
              <w:t>(95%</w:t>
            </w:r>
            <w:r w:rsidR="00544E0D" w:rsidRPr="00A624C2">
              <w:rPr>
                <w:rFonts w:ascii="Book Antiqua" w:hAnsi="Book Antiqua"/>
                <w:b/>
                <w:sz w:val="24"/>
                <w:szCs w:val="24"/>
              </w:rPr>
              <w:t>CI)</w:t>
            </w:r>
          </w:p>
        </w:tc>
      </w:tr>
      <w:tr w:rsidR="00544E0D" w:rsidRPr="00A624C2" w14:paraId="467E0592" w14:textId="77777777" w:rsidTr="00C42BB9">
        <w:trPr>
          <w:trHeight w:val="643"/>
        </w:trPr>
        <w:tc>
          <w:tcPr>
            <w:tcW w:w="2118" w:type="dxa"/>
            <w:tcBorders>
              <w:top w:val="single" w:sz="4" w:space="0" w:color="auto"/>
            </w:tcBorders>
          </w:tcPr>
          <w:p w14:paraId="02B840E1"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50%</w:t>
            </w:r>
          </w:p>
        </w:tc>
        <w:tc>
          <w:tcPr>
            <w:tcW w:w="1825" w:type="dxa"/>
            <w:tcBorders>
              <w:top w:val="single" w:sz="4" w:space="0" w:color="auto"/>
            </w:tcBorders>
          </w:tcPr>
          <w:p w14:paraId="719DB254"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85 (66%-96%)</w:t>
            </w:r>
          </w:p>
        </w:tc>
        <w:tc>
          <w:tcPr>
            <w:tcW w:w="1984" w:type="dxa"/>
            <w:tcBorders>
              <w:top w:val="single" w:sz="4" w:space="0" w:color="auto"/>
            </w:tcBorders>
          </w:tcPr>
          <w:p w14:paraId="49CF425E" w14:textId="0F4F0AF9"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66</w:t>
            </w:r>
            <w:r w:rsidR="00C42BB9" w:rsidRPr="00A624C2">
              <w:rPr>
                <w:rFonts w:ascii="Book Antiqua" w:eastAsia="宋体" w:hAnsi="Book Antiqua"/>
                <w:sz w:val="24"/>
                <w:szCs w:val="24"/>
                <w:lang w:eastAsia="zh-CN"/>
              </w:rPr>
              <w:t xml:space="preserve"> </w:t>
            </w:r>
            <w:r w:rsidRPr="00A624C2">
              <w:rPr>
                <w:rFonts w:ascii="Book Antiqua" w:hAnsi="Book Antiqua"/>
                <w:sz w:val="24"/>
                <w:szCs w:val="24"/>
              </w:rPr>
              <w:t>(48%-81%)</w:t>
            </w:r>
          </w:p>
        </w:tc>
        <w:tc>
          <w:tcPr>
            <w:tcW w:w="1985" w:type="dxa"/>
            <w:tcBorders>
              <w:top w:val="single" w:sz="4" w:space="0" w:color="auto"/>
            </w:tcBorders>
          </w:tcPr>
          <w:p w14:paraId="2F31F8AD" w14:textId="797626BC"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66</w:t>
            </w:r>
            <w:r w:rsidR="00C42BB9" w:rsidRPr="00A624C2">
              <w:rPr>
                <w:rFonts w:ascii="Book Antiqua" w:eastAsia="宋体" w:hAnsi="Book Antiqua"/>
                <w:sz w:val="24"/>
                <w:szCs w:val="24"/>
                <w:lang w:eastAsia="zh-CN"/>
              </w:rPr>
              <w:t xml:space="preserve"> </w:t>
            </w:r>
            <w:r w:rsidRPr="00A624C2">
              <w:rPr>
                <w:rFonts w:ascii="Book Antiqua" w:hAnsi="Book Antiqua"/>
                <w:sz w:val="24"/>
                <w:szCs w:val="24"/>
              </w:rPr>
              <w:t>(54%-76%)</w:t>
            </w:r>
          </w:p>
        </w:tc>
        <w:tc>
          <w:tcPr>
            <w:tcW w:w="1984" w:type="dxa"/>
            <w:tcBorders>
              <w:top w:val="single" w:sz="4" w:space="0" w:color="auto"/>
            </w:tcBorders>
          </w:tcPr>
          <w:p w14:paraId="2B1DC73C" w14:textId="44B8E5F8"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85</w:t>
            </w:r>
            <w:r w:rsidR="00C42BB9" w:rsidRPr="00A624C2">
              <w:rPr>
                <w:rFonts w:ascii="Book Antiqua" w:eastAsia="宋体" w:hAnsi="Book Antiqua"/>
                <w:sz w:val="24"/>
                <w:szCs w:val="24"/>
                <w:lang w:eastAsia="zh-CN"/>
              </w:rPr>
              <w:t xml:space="preserve"> </w:t>
            </w:r>
            <w:r w:rsidRPr="00A624C2">
              <w:rPr>
                <w:rFonts w:ascii="Book Antiqua" w:hAnsi="Book Antiqua"/>
                <w:sz w:val="24"/>
                <w:szCs w:val="24"/>
              </w:rPr>
              <w:t>(69%-93%)</w:t>
            </w:r>
          </w:p>
        </w:tc>
        <w:tc>
          <w:tcPr>
            <w:tcW w:w="1843" w:type="dxa"/>
            <w:tcBorders>
              <w:top w:val="single" w:sz="4" w:space="0" w:color="auto"/>
            </w:tcBorders>
          </w:tcPr>
          <w:p w14:paraId="30712017" w14:textId="3A274534"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2.5</w:t>
            </w:r>
            <w:r w:rsidR="00C42BB9" w:rsidRPr="00A624C2">
              <w:rPr>
                <w:rFonts w:ascii="Book Antiqua" w:eastAsia="宋体" w:hAnsi="Book Antiqua"/>
                <w:sz w:val="24"/>
                <w:szCs w:val="24"/>
                <w:lang w:eastAsia="zh-CN"/>
              </w:rPr>
              <w:t xml:space="preserve"> </w:t>
            </w:r>
            <w:r w:rsidRPr="00A624C2">
              <w:rPr>
                <w:rFonts w:ascii="Book Antiqua" w:hAnsi="Book Antiqua"/>
                <w:sz w:val="24"/>
                <w:szCs w:val="24"/>
              </w:rPr>
              <w:t>(1.5-4)</w:t>
            </w:r>
          </w:p>
        </w:tc>
        <w:tc>
          <w:tcPr>
            <w:tcW w:w="2126" w:type="dxa"/>
            <w:tcBorders>
              <w:top w:val="single" w:sz="4" w:space="0" w:color="auto"/>
            </w:tcBorders>
          </w:tcPr>
          <w:p w14:paraId="7EE8DD48" w14:textId="0F96B270"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0.23</w:t>
            </w:r>
            <w:r w:rsidR="00C42BB9" w:rsidRPr="00A624C2">
              <w:rPr>
                <w:rFonts w:ascii="Book Antiqua" w:eastAsia="宋体" w:hAnsi="Book Antiqua"/>
                <w:sz w:val="24"/>
                <w:szCs w:val="24"/>
                <w:lang w:eastAsia="zh-CN"/>
              </w:rPr>
              <w:t xml:space="preserve"> </w:t>
            </w:r>
            <w:r w:rsidRPr="00A624C2">
              <w:rPr>
                <w:rFonts w:ascii="Book Antiqua" w:hAnsi="Book Antiqua"/>
                <w:sz w:val="24"/>
                <w:szCs w:val="24"/>
              </w:rPr>
              <w:t>(0.09-0.57)</w:t>
            </w:r>
          </w:p>
        </w:tc>
      </w:tr>
      <w:tr w:rsidR="00544E0D" w:rsidRPr="00A624C2" w14:paraId="5BBD9938" w14:textId="77777777" w:rsidTr="00C42BB9">
        <w:trPr>
          <w:trHeight w:val="453"/>
        </w:trPr>
        <w:tc>
          <w:tcPr>
            <w:tcW w:w="2118" w:type="dxa"/>
            <w:tcBorders>
              <w:bottom w:val="single" w:sz="4" w:space="0" w:color="auto"/>
            </w:tcBorders>
          </w:tcPr>
          <w:p w14:paraId="6BA899F6"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80%</w:t>
            </w:r>
          </w:p>
        </w:tc>
        <w:tc>
          <w:tcPr>
            <w:tcW w:w="1825" w:type="dxa"/>
            <w:tcBorders>
              <w:bottom w:val="single" w:sz="4" w:space="0" w:color="auto"/>
            </w:tcBorders>
          </w:tcPr>
          <w:p w14:paraId="3E277019" w14:textId="1E46704D"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59</w:t>
            </w:r>
            <w:r w:rsidR="00C42BB9" w:rsidRPr="00A624C2">
              <w:rPr>
                <w:rFonts w:ascii="Book Antiqua" w:eastAsia="宋体" w:hAnsi="Book Antiqua"/>
                <w:sz w:val="24"/>
                <w:szCs w:val="24"/>
                <w:lang w:eastAsia="zh-CN"/>
              </w:rPr>
              <w:t xml:space="preserve"> </w:t>
            </w:r>
            <w:r w:rsidRPr="00A624C2">
              <w:rPr>
                <w:rFonts w:ascii="Book Antiqua" w:hAnsi="Book Antiqua"/>
                <w:sz w:val="24"/>
                <w:szCs w:val="24"/>
              </w:rPr>
              <w:t>(39%-77%)</w:t>
            </w:r>
          </w:p>
        </w:tc>
        <w:tc>
          <w:tcPr>
            <w:tcW w:w="1984" w:type="dxa"/>
            <w:tcBorders>
              <w:bottom w:val="single" w:sz="4" w:space="0" w:color="auto"/>
            </w:tcBorders>
          </w:tcPr>
          <w:p w14:paraId="0A044122" w14:textId="6664B37E"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91</w:t>
            </w:r>
            <w:r w:rsidR="00C42BB9" w:rsidRPr="00A624C2">
              <w:rPr>
                <w:rFonts w:ascii="Book Antiqua" w:eastAsia="宋体" w:hAnsi="Book Antiqua"/>
                <w:sz w:val="24"/>
                <w:szCs w:val="24"/>
                <w:lang w:eastAsia="zh-CN"/>
              </w:rPr>
              <w:t xml:space="preserve"> </w:t>
            </w:r>
            <w:r w:rsidRPr="00A624C2">
              <w:rPr>
                <w:rFonts w:ascii="Book Antiqua" w:hAnsi="Book Antiqua"/>
                <w:sz w:val="24"/>
                <w:szCs w:val="24"/>
              </w:rPr>
              <w:t>(77%-98%)</w:t>
            </w:r>
          </w:p>
        </w:tc>
        <w:tc>
          <w:tcPr>
            <w:tcW w:w="1985" w:type="dxa"/>
            <w:tcBorders>
              <w:bottom w:val="single" w:sz="4" w:space="0" w:color="auto"/>
            </w:tcBorders>
          </w:tcPr>
          <w:p w14:paraId="604364DB" w14:textId="4046DC1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84</w:t>
            </w:r>
            <w:r w:rsidR="00C42BB9" w:rsidRPr="00A624C2">
              <w:rPr>
                <w:rFonts w:ascii="Book Antiqua" w:eastAsia="宋体" w:hAnsi="Book Antiqua"/>
                <w:sz w:val="24"/>
                <w:szCs w:val="24"/>
                <w:lang w:eastAsia="zh-CN"/>
              </w:rPr>
              <w:t xml:space="preserve"> </w:t>
            </w:r>
            <w:r w:rsidRPr="00A624C2">
              <w:rPr>
                <w:rFonts w:ascii="Book Antiqua" w:hAnsi="Book Antiqua"/>
                <w:sz w:val="24"/>
                <w:szCs w:val="24"/>
              </w:rPr>
              <w:t>(63%-94%)</w:t>
            </w:r>
          </w:p>
        </w:tc>
        <w:tc>
          <w:tcPr>
            <w:tcW w:w="1984" w:type="dxa"/>
            <w:tcBorders>
              <w:bottom w:val="single" w:sz="4" w:space="0" w:color="auto"/>
            </w:tcBorders>
          </w:tcPr>
          <w:p w14:paraId="1481058B" w14:textId="045B35B0"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74</w:t>
            </w:r>
            <w:r w:rsidR="00C42BB9" w:rsidRPr="00A624C2">
              <w:rPr>
                <w:rFonts w:ascii="Book Antiqua" w:eastAsia="宋体" w:hAnsi="Book Antiqua"/>
                <w:sz w:val="24"/>
                <w:szCs w:val="24"/>
                <w:lang w:eastAsia="zh-CN"/>
              </w:rPr>
              <w:t xml:space="preserve"> </w:t>
            </w:r>
            <w:r w:rsidRPr="00A624C2">
              <w:rPr>
                <w:rFonts w:ascii="Book Antiqua" w:hAnsi="Book Antiqua"/>
                <w:sz w:val="24"/>
                <w:szCs w:val="24"/>
              </w:rPr>
              <w:t>(65%-82%)</w:t>
            </w:r>
          </w:p>
        </w:tc>
        <w:tc>
          <w:tcPr>
            <w:tcW w:w="1843" w:type="dxa"/>
            <w:tcBorders>
              <w:bottom w:val="single" w:sz="4" w:space="0" w:color="auto"/>
            </w:tcBorders>
          </w:tcPr>
          <w:p w14:paraId="34BE731F"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6.9 (2.24-21)</w:t>
            </w:r>
          </w:p>
        </w:tc>
        <w:tc>
          <w:tcPr>
            <w:tcW w:w="2126" w:type="dxa"/>
            <w:tcBorders>
              <w:bottom w:val="single" w:sz="4" w:space="0" w:color="auto"/>
            </w:tcBorders>
          </w:tcPr>
          <w:p w14:paraId="09534CFF" w14:textId="77777777" w:rsidR="00544E0D" w:rsidRPr="00A624C2" w:rsidRDefault="00544E0D" w:rsidP="0028587F">
            <w:pPr>
              <w:spacing w:line="360" w:lineRule="auto"/>
              <w:jc w:val="both"/>
              <w:rPr>
                <w:rFonts w:ascii="Book Antiqua" w:hAnsi="Book Antiqua"/>
                <w:sz w:val="24"/>
                <w:szCs w:val="24"/>
              </w:rPr>
            </w:pPr>
            <w:r w:rsidRPr="00A624C2">
              <w:rPr>
                <w:rFonts w:ascii="Book Antiqua" w:hAnsi="Book Antiqua"/>
                <w:sz w:val="24"/>
                <w:szCs w:val="24"/>
              </w:rPr>
              <w:t>0.45 (0.28-0.72)</w:t>
            </w:r>
          </w:p>
        </w:tc>
      </w:tr>
    </w:tbl>
    <w:p w14:paraId="36A2B868" w14:textId="26C8B522" w:rsidR="00873EC7" w:rsidRPr="00A624C2" w:rsidRDefault="00544E0D" w:rsidP="0028587F">
      <w:pPr>
        <w:spacing w:after="0" w:line="360" w:lineRule="auto"/>
        <w:jc w:val="both"/>
        <w:rPr>
          <w:rFonts w:ascii="Book Antiqua" w:eastAsia="宋体" w:hAnsi="Book Antiqua"/>
          <w:b/>
          <w:sz w:val="24"/>
          <w:szCs w:val="24"/>
          <w:lang w:eastAsia="zh-CN"/>
        </w:rPr>
      </w:pPr>
      <w:r w:rsidRPr="00A624C2">
        <w:rPr>
          <w:rFonts w:ascii="Book Antiqua" w:hAnsi="Book Antiqua" w:cs="AdvOTb63a3543.I"/>
          <w:color w:val="231F20"/>
          <w:sz w:val="24"/>
          <w:szCs w:val="24"/>
        </w:rPr>
        <w:t xml:space="preserve">CDEIS: Crohn's Disease Endoscopic Index of Severity; CI: </w:t>
      </w:r>
      <w:r w:rsidR="00B46F88" w:rsidRPr="00A624C2">
        <w:rPr>
          <w:rFonts w:ascii="Book Antiqua" w:hAnsi="Book Antiqua" w:cs="AdvOTb63a3543.I"/>
          <w:color w:val="231F20"/>
          <w:sz w:val="24"/>
          <w:szCs w:val="24"/>
        </w:rPr>
        <w:t>C</w:t>
      </w:r>
      <w:r w:rsidRPr="00A624C2">
        <w:rPr>
          <w:rFonts w:ascii="Book Antiqua" w:hAnsi="Book Antiqua" w:cs="AdvOTb63a3543.I"/>
          <w:color w:val="231F20"/>
          <w:sz w:val="24"/>
          <w:szCs w:val="24"/>
        </w:rPr>
        <w:t xml:space="preserve">onfidence interval; PPV: </w:t>
      </w:r>
      <w:r w:rsidR="00B46F88" w:rsidRPr="00A624C2">
        <w:rPr>
          <w:rFonts w:ascii="Book Antiqua" w:hAnsi="Book Antiqua" w:cs="AdvOTb63a3543.I"/>
          <w:color w:val="231F20"/>
          <w:sz w:val="24"/>
          <w:szCs w:val="24"/>
        </w:rPr>
        <w:t>P</w:t>
      </w:r>
      <w:r w:rsidRPr="00A624C2">
        <w:rPr>
          <w:rFonts w:ascii="Book Antiqua" w:hAnsi="Book Antiqua" w:cs="AdvOTb63a3543.I"/>
          <w:color w:val="231F20"/>
          <w:sz w:val="24"/>
          <w:szCs w:val="24"/>
        </w:rPr>
        <w:t xml:space="preserve">ositive predictive value; NPV: </w:t>
      </w:r>
      <w:r w:rsidR="00B46F88" w:rsidRPr="00A624C2">
        <w:rPr>
          <w:rFonts w:ascii="Book Antiqua" w:hAnsi="Book Antiqua" w:cs="AdvOTb63a3543.I"/>
          <w:color w:val="231F20"/>
          <w:sz w:val="24"/>
          <w:szCs w:val="24"/>
        </w:rPr>
        <w:t>N</w:t>
      </w:r>
      <w:r w:rsidRPr="00A624C2">
        <w:rPr>
          <w:rFonts w:ascii="Book Antiqua" w:hAnsi="Book Antiqua" w:cs="AdvOTb63a3543.I"/>
          <w:color w:val="231F20"/>
          <w:sz w:val="24"/>
          <w:szCs w:val="24"/>
        </w:rPr>
        <w:t xml:space="preserve">egative predictive value; LR+: </w:t>
      </w:r>
      <w:r w:rsidR="00B46F88" w:rsidRPr="00A624C2">
        <w:rPr>
          <w:rFonts w:ascii="Book Antiqua" w:hAnsi="Book Antiqua" w:cs="AdvOTb63a3543.I"/>
          <w:color w:val="231F20"/>
          <w:sz w:val="24"/>
          <w:szCs w:val="24"/>
        </w:rPr>
        <w:t>Positive likelihood ratio; LR-</w:t>
      </w:r>
      <w:r w:rsidRPr="00A624C2">
        <w:rPr>
          <w:rFonts w:ascii="Book Antiqua" w:hAnsi="Book Antiqua" w:cs="AdvOTb63a3543.I"/>
          <w:color w:val="231F20"/>
          <w:sz w:val="24"/>
          <w:szCs w:val="24"/>
        </w:rPr>
        <w:t xml:space="preserve">: </w:t>
      </w:r>
      <w:r w:rsidR="00B46F88" w:rsidRPr="00A624C2">
        <w:rPr>
          <w:rFonts w:ascii="Book Antiqua" w:hAnsi="Book Antiqua" w:cs="AdvOTb63a3543.I"/>
          <w:color w:val="231F20"/>
          <w:sz w:val="24"/>
          <w:szCs w:val="24"/>
        </w:rPr>
        <w:t>N</w:t>
      </w:r>
      <w:r w:rsidRPr="00A624C2">
        <w:rPr>
          <w:rFonts w:ascii="Book Antiqua" w:hAnsi="Book Antiqua" w:cs="AdvOTb63a3543.I"/>
          <w:color w:val="231F20"/>
          <w:sz w:val="24"/>
          <w:szCs w:val="24"/>
        </w:rPr>
        <w:t>egative likelihood ratio.</w:t>
      </w:r>
    </w:p>
    <w:p w14:paraId="72D2F77A" w14:textId="77777777" w:rsidR="00873EC7" w:rsidRPr="00A624C2" w:rsidRDefault="00873EC7" w:rsidP="0028587F">
      <w:pPr>
        <w:spacing w:after="0" w:line="360" w:lineRule="auto"/>
        <w:jc w:val="both"/>
        <w:rPr>
          <w:rFonts w:ascii="Book Antiqua" w:hAnsi="Book Antiqua"/>
          <w:b/>
          <w:sz w:val="24"/>
          <w:szCs w:val="24"/>
        </w:rPr>
      </w:pPr>
    </w:p>
    <w:p w14:paraId="46338B5F" w14:textId="77777777" w:rsidR="00B46F88" w:rsidRPr="00A624C2" w:rsidRDefault="006121F8" w:rsidP="0028587F">
      <w:pPr>
        <w:spacing w:after="0" w:line="360" w:lineRule="auto"/>
        <w:jc w:val="both"/>
        <w:rPr>
          <w:rFonts w:ascii="Book Antiqua" w:hAnsi="Book Antiqua"/>
          <w:b/>
          <w:sz w:val="24"/>
          <w:szCs w:val="24"/>
        </w:rPr>
        <w:sectPr w:rsidR="00B46F88" w:rsidRPr="00A624C2" w:rsidSect="00C42BB9">
          <w:headerReference w:type="default" r:id="rId9"/>
          <w:pgSz w:w="16840" w:h="11900" w:orient="landscape"/>
          <w:pgMar w:top="1701" w:right="1417" w:bottom="1701" w:left="1417" w:header="708" w:footer="708" w:gutter="0"/>
          <w:cols w:space="708"/>
          <w:docGrid w:linePitch="360"/>
        </w:sectPr>
      </w:pPr>
      <w:r w:rsidRPr="00A624C2">
        <w:rPr>
          <w:rFonts w:ascii="Book Antiqua" w:hAnsi="Book Antiqua"/>
          <w:b/>
          <w:sz w:val="24"/>
          <w:szCs w:val="24"/>
        </w:rPr>
        <w:br w:type="page"/>
      </w:r>
    </w:p>
    <w:p w14:paraId="00247A1F" w14:textId="1C1F0C92" w:rsidR="00544E0D" w:rsidRPr="00A624C2" w:rsidRDefault="00A45A32" w:rsidP="0028587F">
      <w:pPr>
        <w:spacing w:after="0" w:line="360" w:lineRule="auto"/>
        <w:jc w:val="both"/>
        <w:rPr>
          <w:rFonts w:ascii="Book Antiqua" w:hAnsi="Book Antiqua" w:cs="AdvOTb63a3543.I"/>
          <w:color w:val="231F20"/>
          <w:sz w:val="24"/>
          <w:szCs w:val="24"/>
        </w:rPr>
      </w:pPr>
      <w:r w:rsidRPr="00A624C2">
        <w:rPr>
          <w:rFonts w:ascii="Book Antiqua" w:hAnsi="Book Antiqua" w:cs="AdvOTb63a3543.I"/>
          <w:noProof/>
          <w:color w:val="231F20"/>
          <w:sz w:val="24"/>
          <w:szCs w:val="24"/>
          <w:lang w:val="en-US" w:eastAsia="zh-CN"/>
        </w:rPr>
        <w:lastRenderedPageBreak/>
        <w:drawing>
          <wp:inline distT="0" distB="0" distL="0" distR="0" wp14:anchorId="34BFAA7D" wp14:editId="5D2629D1">
            <wp:extent cx="5391785" cy="4020185"/>
            <wp:effectExtent l="0" t="0" r="0" b="0"/>
            <wp:docPr id="19" name="图片 19" descr="F:\闫佳萍稿件\编稿\WJG\待编送修\43431\43431-参考文件\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待编送修\43431\43431-参考文件\图片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785" cy="4020185"/>
                    </a:xfrm>
                    <a:prstGeom prst="rect">
                      <a:avLst/>
                    </a:prstGeom>
                    <a:noFill/>
                    <a:ln>
                      <a:noFill/>
                    </a:ln>
                  </pic:spPr>
                </pic:pic>
              </a:graphicData>
            </a:graphic>
          </wp:inline>
        </w:drawing>
      </w:r>
    </w:p>
    <w:p w14:paraId="50E87141" w14:textId="49263195" w:rsidR="00544E0D" w:rsidRPr="00A624C2" w:rsidRDefault="00B46F88" w:rsidP="0028587F">
      <w:pPr>
        <w:spacing w:after="0" w:line="360" w:lineRule="auto"/>
        <w:jc w:val="both"/>
        <w:rPr>
          <w:rFonts w:ascii="Book Antiqua" w:eastAsia="宋体" w:hAnsi="Book Antiqua" w:cs="AdvOTb63a3543.I"/>
          <w:b/>
          <w:color w:val="231F20"/>
          <w:sz w:val="24"/>
          <w:szCs w:val="24"/>
          <w:lang w:eastAsia="zh-CN"/>
        </w:rPr>
      </w:pPr>
      <w:r w:rsidRPr="00A624C2">
        <w:rPr>
          <w:rFonts w:ascii="Book Antiqua" w:hAnsi="Book Antiqua" w:cs="AdvOTb63a3543.I"/>
          <w:b/>
          <w:color w:val="231F20"/>
          <w:sz w:val="24"/>
          <w:szCs w:val="24"/>
        </w:rPr>
        <w:t>Figure 1</w:t>
      </w:r>
      <w:r w:rsidR="00544E0D" w:rsidRPr="00A624C2">
        <w:rPr>
          <w:rFonts w:ascii="Book Antiqua" w:hAnsi="Book Antiqua" w:cs="AdvOTb63a3543.I"/>
          <w:b/>
          <w:color w:val="231F20"/>
          <w:sz w:val="24"/>
          <w:szCs w:val="24"/>
        </w:rPr>
        <w:t xml:space="preserve"> Flow-chart of the study</w:t>
      </w:r>
      <w:r w:rsidRPr="00A624C2">
        <w:rPr>
          <w:rFonts w:ascii="Book Antiqua" w:eastAsia="宋体" w:hAnsi="Book Antiqua" w:cs="AdvOTb63a3543.I"/>
          <w:b/>
          <w:color w:val="231F20"/>
          <w:sz w:val="24"/>
          <w:szCs w:val="24"/>
          <w:lang w:eastAsia="zh-CN"/>
        </w:rPr>
        <w:t xml:space="preserve">. </w:t>
      </w:r>
      <w:r w:rsidRPr="00A624C2">
        <w:rPr>
          <w:rFonts w:ascii="Book Antiqua" w:eastAsia="宋体" w:hAnsi="Book Antiqua" w:cs="AdvOTb63a3543.I"/>
          <w:color w:val="231F20"/>
          <w:sz w:val="24"/>
          <w:szCs w:val="24"/>
          <w:lang w:eastAsia="zh-CN"/>
        </w:rPr>
        <w:t>CD:</w:t>
      </w:r>
      <w:r w:rsidRPr="00A624C2">
        <w:rPr>
          <w:rFonts w:ascii="Book Antiqua" w:eastAsia="宋体" w:hAnsi="Book Antiqua" w:cs="AdvOTb63a3543.I"/>
          <w:b/>
          <w:color w:val="231F20"/>
          <w:sz w:val="24"/>
          <w:szCs w:val="24"/>
          <w:lang w:eastAsia="zh-CN"/>
        </w:rPr>
        <w:t xml:space="preserve"> </w:t>
      </w:r>
      <w:r w:rsidRPr="00A624C2">
        <w:rPr>
          <w:rFonts w:ascii="Book Antiqua" w:hAnsi="Book Antiqua" w:cs="AdvOTb63a3543.I"/>
          <w:color w:val="231F20"/>
          <w:sz w:val="24"/>
          <w:szCs w:val="24"/>
        </w:rPr>
        <w:t>Crohn</w:t>
      </w:r>
      <w:r w:rsidR="0081136B" w:rsidRPr="00A624C2">
        <w:rPr>
          <w:rFonts w:ascii="Book Antiqua" w:eastAsia="宋体" w:hAnsi="Book Antiqua" w:cs="AdvOTb63a3543.I"/>
          <w:color w:val="231F20"/>
          <w:sz w:val="24"/>
          <w:szCs w:val="24"/>
          <w:lang w:eastAsia="zh-CN"/>
        </w:rPr>
        <w:t>’</w:t>
      </w:r>
      <w:r w:rsidRPr="00A624C2">
        <w:rPr>
          <w:rFonts w:ascii="Book Antiqua" w:hAnsi="Book Antiqua" w:cs="AdvOTb63a3543.I"/>
          <w:color w:val="231F20"/>
          <w:sz w:val="24"/>
          <w:szCs w:val="24"/>
        </w:rPr>
        <w:t>s Disease</w:t>
      </w:r>
      <w:r w:rsidRPr="00A624C2">
        <w:rPr>
          <w:rFonts w:ascii="Book Antiqua" w:eastAsia="宋体" w:hAnsi="Book Antiqua" w:cs="AdvOTb63a3543.I"/>
          <w:color w:val="231F20"/>
          <w:sz w:val="24"/>
          <w:szCs w:val="24"/>
          <w:lang w:eastAsia="zh-CN"/>
        </w:rPr>
        <w:t xml:space="preserve">; </w:t>
      </w:r>
      <w:r w:rsidRPr="00A624C2">
        <w:rPr>
          <w:rFonts w:ascii="Book Antiqua" w:hAnsi="Book Antiqua" w:cs="AdvOTb63a3543.I"/>
          <w:color w:val="231F20"/>
          <w:sz w:val="24"/>
          <w:szCs w:val="24"/>
        </w:rPr>
        <w:t>CDEIS: Crohn's Disease Endoscopic Index of Severity;</w:t>
      </w:r>
      <w:r w:rsidRPr="00A624C2">
        <w:rPr>
          <w:rFonts w:ascii="Book Antiqua" w:eastAsia="宋体" w:hAnsi="Book Antiqua" w:cs="AdvOTb63a3543.I"/>
          <w:color w:val="231F20"/>
          <w:sz w:val="24"/>
          <w:szCs w:val="24"/>
          <w:lang w:eastAsia="zh-CN"/>
        </w:rPr>
        <w:t xml:space="preserve"> TNF: </w:t>
      </w:r>
      <w:r w:rsidRPr="00A624C2">
        <w:rPr>
          <w:rFonts w:ascii="Book Antiqua" w:hAnsi="Book Antiqua" w:cs="AdvOT4b47d116"/>
          <w:color w:val="231F20"/>
          <w:sz w:val="24"/>
          <w:szCs w:val="24"/>
        </w:rPr>
        <w:t>Tumor necrosis factor</w:t>
      </w:r>
      <w:r w:rsidRPr="00A624C2">
        <w:rPr>
          <w:rFonts w:ascii="Book Antiqua" w:eastAsia="宋体" w:hAnsi="Book Antiqua" w:cs="AdvOT4b47d116"/>
          <w:color w:val="231F20"/>
          <w:sz w:val="24"/>
          <w:szCs w:val="24"/>
          <w:lang w:eastAsia="zh-CN"/>
        </w:rPr>
        <w:t>.</w:t>
      </w:r>
    </w:p>
    <w:p w14:paraId="5E5B5B3C" w14:textId="47E84D5B" w:rsidR="006121F8" w:rsidRPr="00A624C2" w:rsidRDefault="006121F8" w:rsidP="0028587F">
      <w:pPr>
        <w:spacing w:after="0" w:line="360" w:lineRule="auto"/>
        <w:jc w:val="both"/>
        <w:rPr>
          <w:rFonts w:ascii="Book Antiqua" w:eastAsia="宋体" w:hAnsi="Book Antiqua" w:cs="AdvOTb63a3543.I"/>
          <w:color w:val="231F20"/>
          <w:sz w:val="24"/>
          <w:szCs w:val="24"/>
          <w:lang w:eastAsia="zh-CN"/>
        </w:rPr>
      </w:pPr>
      <w:r w:rsidRPr="00A624C2">
        <w:rPr>
          <w:rFonts w:ascii="Book Antiqua" w:eastAsia="宋体" w:hAnsi="Book Antiqua" w:cs="AdvOTb63a3543.I"/>
          <w:color w:val="231F20"/>
          <w:sz w:val="24"/>
          <w:szCs w:val="24"/>
          <w:lang w:eastAsia="zh-CN"/>
        </w:rPr>
        <w:br w:type="page"/>
      </w:r>
    </w:p>
    <w:p w14:paraId="379A9A5C" w14:textId="77777777" w:rsidR="00544E0D" w:rsidRPr="00A624C2" w:rsidRDefault="00544E0D" w:rsidP="0028587F">
      <w:pPr>
        <w:spacing w:after="0" w:line="360" w:lineRule="auto"/>
        <w:jc w:val="both"/>
        <w:rPr>
          <w:rFonts w:ascii="Book Antiqua" w:hAnsi="Book Antiqua"/>
          <w:sz w:val="24"/>
          <w:szCs w:val="24"/>
        </w:rPr>
      </w:pPr>
      <w:r w:rsidRPr="00A624C2">
        <w:rPr>
          <w:rFonts w:ascii="Book Antiqua" w:hAnsi="Book Antiqua"/>
          <w:noProof/>
          <w:sz w:val="24"/>
          <w:szCs w:val="24"/>
          <w:lang w:val="en-US" w:eastAsia="zh-CN"/>
        </w:rPr>
        <w:lastRenderedPageBreak/>
        <w:drawing>
          <wp:inline distT="0" distB="0" distL="0" distR="0" wp14:anchorId="17113F49" wp14:editId="0BB59875">
            <wp:extent cx="5133975" cy="2988945"/>
            <wp:effectExtent l="19050" t="0" r="9525" b="1905"/>
            <wp:docPr id="12"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208168" w14:textId="668E9DB3" w:rsidR="00544E0D" w:rsidRPr="00A624C2" w:rsidRDefault="000C259D" w:rsidP="0028587F">
      <w:pPr>
        <w:spacing w:after="0" w:line="360" w:lineRule="auto"/>
        <w:jc w:val="both"/>
        <w:rPr>
          <w:rFonts w:ascii="Book Antiqua" w:hAnsi="Book Antiqua"/>
          <w:b/>
          <w:sz w:val="24"/>
          <w:szCs w:val="24"/>
        </w:rPr>
      </w:pPr>
      <w:r w:rsidRPr="00A624C2">
        <w:rPr>
          <w:rFonts w:ascii="Book Antiqua" w:hAnsi="Book Antiqua"/>
          <w:b/>
          <w:sz w:val="24"/>
          <w:szCs w:val="24"/>
        </w:rPr>
        <w:t xml:space="preserve">Figure 2 </w:t>
      </w:r>
      <w:r w:rsidR="00544E0D" w:rsidRPr="00A624C2">
        <w:rPr>
          <w:rFonts w:ascii="Book Antiqua" w:hAnsi="Book Antiqua"/>
          <w:b/>
          <w:sz w:val="24"/>
          <w:szCs w:val="24"/>
        </w:rPr>
        <w:t>Endoscopic response and mucosal healing during follow-up.</w:t>
      </w:r>
    </w:p>
    <w:p w14:paraId="343CDC51" w14:textId="77777777" w:rsidR="00544E0D" w:rsidRPr="00A624C2" w:rsidRDefault="00544E0D" w:rsidP="0028587F">
      <w:pPr>
        <w:spacing w:after="0" w:line="360" w:lineRule="auto"/>
        <w:jc w:val="both"/>
        <w:rPr>
          <w:rFonts w:ascii="Book Antiqua" w:hAnsi="Book Antiqua"/>
          <w:b/>
          <w:sz w:val="24"/>
          <w:szCs w:val="24"/>
        </w:rPr>
      </w:pPr>
    </w:p>
    <w:p w14:paraId="1C4E63BD" w14:textId="6A2A433A" w:rsidR="006121F8" w:rsidRPr="00A624C2" w:rsidRDefault="006121F8" w:rsidP="0028587F">
      <w:pPr>
        <w:spacing w:after="0" w:line="360" w:lineRule="auto"/>
        <w:jc w:val="both"/>
        <w:rPr>
          <w:rFonts w:ascii="Book Antiqua" w:hAnsi="Book Antiqua"/>
          <w:b/>
          <w:sz w:val="24"/>
          <w:szCs w:val="24"/>
        </w:rPr>
      </w:pPr>
      <w:r w:rsidRPr="00A624C2">
        <w:rPr>
          <w:rFonts w:ascii="Book Antiqua" w:hAnsi="Book Antiqua"/>
          <w:b/>
          <w:sz w:val="24"/>
          <w:szCs w:val="24"/>
        </w:rPr>
        <w:br w:type="page"/>
      </w:r>
    </w:p>
    <w:p w14:paraId="3878FE5E" w14:textId="73FECB68" w:rsidR="00544E0D" w:rsidRPr="00A624C2" w:rsidRDefault="0081136B" w:rsidP="0028587F">
      <w:pPr>
        <w:spacing w:after="0" w:line="360" w:lineRule="auto"/>
        <w:jc w:val="both"/>
        <w:rPr>
          <w:rFonts w:ascii="Book Antiqua" w:hAnsi="Book Antiqua"/>
          <w:sz w:val="24"/>
          <w:szCs w:val="24"/>
        </w:rPr>
      </w:pPr>
      <w:r w:rsidRPr="00A624C2">
        <w:rPr>
          <w:rFonts w:ascii="Book Antiqua" w:hAnsi="Book Antiqua"/>
          <w:noProof/>
          <w:sz w:val="24"/>
          <w:szCs w:val="24"/>
          <w:lang w:val="en-US" w:eastAsia="zh-CN"/>
        </w:rPr>
        <w:lastRenderedPageBreak/>
        <w:drawing>
          <wp:inline distT="0" distB="0" distL="0" distR="0" wp14:anchorId="4D9E4075" wp14:editId="135746A8">
            <wp:extent cx="3976489" cy="3441940"/>
            <wp:effectExtent l="0" t="0" r="5080" b="6350"/>
            <wp:docPr id="20" name="图片 20" descr="F:\闫佳萍稿件\编稿\WJG\待编送修\43431\43431-参考文件\图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待编送修\43431\43431-参考文件\图片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6589" cy="3442026"/>
                    </a:xfrm>
                    <a:prstGeom prst="rect">
                      <a:avLst/>
                    </a:prstGeom>
                    <a:noFill/>
                    <a:ln>
                      <a:noFill/>
                    </a:ln>
                  </pic:spPr>
                </pic:pic>
              </a:graphicData>
            </a:graphic>
          </wp:inline>
        </w:drawing>
      </w:r>
    </w:p>
    <w:p w14:paraId="14C33AA3" w14:textId="0A0A2EE1" w:rsidR="00544E0D" w:rsidRPr="00A624C2" w:rsidRDefault="000C259D" w:rsidP="0028587F">
      <w:pPr>
        <w:spacing w:after="0" w:line="360" w:lineRule="auto"/>
        <w:jc w:val="both"/>
        <w:rPr>
          <w:rFonts w:ascii="Book Antiqua" w:eastAsia="宋体" w:hAnsi="Book Antiqua"/>
          <w:sz w:val="24"/>
          <w:szCs w:val="24"/>
          <w:lang w:eastAsia="zh-CN"/>
        </w:rPr>
      </w:pPr>
      <w:r w:rsidRPr="00A624C2">
        <w:rPr>
          <w:rFonts w:ascii="Book Antiqua" w:hAnsi="Book Antiqua"/>
          <w:b/>
          <w:sz w:val="24"/>
          <w:szCs w:val="24"/>
        </w:rPr>
        <w:t>Figure 3</w:t>
      </w:r>
      <w:r w:rsidR="00544E0D" w:rsidRPr="00A624C2">
        <w:rPr>
          <w:rFonts w:ascii="Book Antiqua" w:hAnsi="Book Antiqua"/>
          <w:b/>
          <w:sz w:val="24"/>
          <w:szCs w:val="24"/>
        </w:rPr>
        <w:t xml:space="preserve"> Rec</w:t>
      </w:r>
      <w:r w:rsidRPr="00A624C2">
        <w:rPr>
          <w:rFonts w:ascii="Book Antiqua" w:hAnsi="Book Antiqua"/>
          <w:b/>
          <w:sz w:val="24"/>
          <w:szCs w:val="24"/>
        </w:rPr>
        <w:t>eiver operating characteristics</w:t>
      </w:r>
      <w:r w:rsidR="00544E0D" w:rsidRPr="00A624C2">
        <w:rPr>
          <w:rFonts w:ascii="Book Antiqua" w:hAnsi="Book Antiqua"/>
          <w:b/>
          <w:sz w:val="24"/>
          <w:szCs w:val="24"/>
        </w:rPr>
        <w:t xml:space="preserve"> curves depicting the endoscopic response at week 14 as a predictor of mucosal healing after one year of anti-</w:t>
      </w:r>
      <w:r w:rsidRPr="00A624C2">
        <w:rPr>
          <w:rFonts w:ascii="Book Antiqua" w:hAnsi="Book Antiqua" w:cs="AdvOT4b47d116"/>
          <w:b/>
          <w:color w:val="231F20"/>
          <w:sz w:val="24"/>
          <w:szCs w:val="24"/>
        </w:rPr>
        <w:t xml:space="preserve"> tumor necrosis factor</w:t>
      </w:r>
      <w:r w:rsidRPr="00A624C2">
        <w:rPr>
          <w:rFonts w:ascii="Book Antiqua" w:hAnsi="Book Antiqua"/>
          <w:b/>
          <w:sz w:val="24"/>
          <w:szCs w:val="24"/>
        </w:rPr>
        <w:t xml:space="preserve"> treatment.</w:t>
      </w:r>
      <w:r w:rsidRPr="00A624C2">
        <w:rPr>
          <w:rFonts w:ascii="Book Antiqua" w:hAnsi="Book Antiqua"/>
          <w:sz w:val="24"/>
          <w:szCs w:val="24"/>
        </w:rPr>
        <w:t xml:space="preserve"> </w:t>
      </w:r>
      <w:r w:rsidRPr="00A624C2">
        <w:rPr>
          <w:rFonts w:ascii="Book Antiqua" w:eastAsia="宋体" w:hAnsi="Book Antiqua"/>
          <w:sz w:val="24"/>
          <w:szCs w:val="24"/>
          <w:lang w:eastAsia="zh-CN"/>
        </w:rPr>
        <w:t>Area under the curve =</w:t>
      </w:r>
      <w:r w:rsidR="00544E0D" w:rsidRPr="00A624C2">
        <w:rPr>
          <w:rFonts w:ascii="Book Antiqua" w:hAnsi="Book Antiqua"/>
          <w:sz w:val="24"/>
          <w:szCs w:val="24"/>
        </w:rPr>
        <w:t xml:space="preserve"> 0.778</w:t>
      </w:r>
      <w:r w:rsidRPr="00A624C2">
        <w:rPr>
          <w:rFonts w:ascii="Book Antiqua" w:eastAsia="宋体" w:hAnsi="Book Antiqua"/>
          <w:sz w:val="24"/>
          <w:szCs w:val="24"/>
          <w:lang w:eastAsia="zh-CN"/>
        </w:rPr>
        <w:t>,</w:t>
      </w:r>
      <w:r w:rsidR="00544E0D" w:rsidRPr="00A624C2">
        <w:rPr>
          <w:rFonts w:ascii="Book Antiqua" w:hAnsi="Book Antiqua"/>
          <w:sz w:val="24"/>
          <w:szCs w:val="24"/>
        </w:rPr>
        <w:t xml:space="preserve"> </w:t>
      </w:r>
      <w:r w:rsidRPr="00A624C2">
        <w:rPr>
          <w:rFonts w:ascii="Book Antiqua" w:hAnsi="Book Antiqua"/>
          <w:i/>
          <w:sz w:val="24"/>
          <w:szCs w:val="24"/>
        </w:rPr>
        <w:t>P</w:t>
      </w:r>
      <w:r w:rsidRPr="00A624C2">
        <w:rPr>
          <w:rFonts w:ascii="Book Antiqua" w:eastAsia="宋体" w:hAnsi="Book Antiqua"/>
          <w:sz w:val="24"/>
          <w:szCs w:val="24"/>
          <w:lang w:eastAsia="zh-CN"/>
        </w:rPr>
        <w:t xml:space="preserve"> </w:t>
      </w:r>
      <w:r w:rsidR="00544E0D" w:rsidRPr="00A624C2">
        <w:rPr>
          <w:rFonts w:ascii="Book Antiqua" w:hAnsi="Book Antiqua"/>
          <w:sz w:val="24"/>
          <w:szCs w:val="24"/>
        </w:rPr>
        <w:t>=</w:t>
      </w:r>
      <w:r w:rsidRPr="00A624C2">
        <w:rPr>
          <w:rFonts w:ascii="Book Antiqua" w:eastAsia="宋体" w:hAnsi="Book Antiqua"/>
          <w:sz w:val="24"/>
          <w:szCs w:val="24"/>
          <w:lang w:eastAsia="zh-CN"/>
        </w:rPr>
        <w:t xml:space="preserve"> </w:t>
      </w:r>
      <w:r w:rsidRPr="00A624C2">
        <w:rPr>
          <w:rFonts w:ascii="Book Antiqua" w:hAnsi="Book Antiqua"/>
          <w:sz w:val="24"/>
          <w:szCs w:val="24"/>
        </w:rPr>
        <w:t>0.001</w:t>
      </w:r>
      <w:r w:rsidRPr="00A624C2">
        <w:rPr>
          <w:rFonts w:ascii="Book Antiqua" w:eastAsia="宋体" w:hAnsi="Book Antiqua"/>
          <w:sz w:val="24"/>
          <w:szCs w:val="24"/>
          <w:lang w:eastAsia="zh-CN"/>
        </w:rPr>
        <w:t xml:space="preserve">; ROC: </w:t>
      </w:r>
      <w:r w:rsidRPr="00A624C2">
        <w:rPr>
          <w:rFonts w:ascii="Book Antiqua" w:hAnsi="Book Antiqua"/>
          <w:sz w:val="24"/>
          <w:szCs w:val="24"/>
        </w:rPr>
        <w:t>Receiver operating characteristics</w:t>
      </w:r>
      <w:r w:rsidRPr="00A624C2">
        <w:rPr>
          <w:rFonts w:ascii="Book Antiqua" w:eastAsia="宋体" w:hAnsi="Book Antiqua"/>
          <w:sz w:val="24"/>
          <w:szCs w:val="24"/>
          <w:lang w:eastAsia="zh-CN"/>
        </w:rPr>
        <w:t>.</w:t>
      </w:r>
    </w:p>
    <w:p w14:paraId="3CB7C21D" w14:textId="185495A4" w:rsidR="00102EA2" w:rsidRPr="00A624C2" w:rsidRDefault="00102EA2" w:rsidP="0028587F">
      <w:pPr>
        <w:autoSpaceDE w:val="0"/>
        <w:autoSpaceDN w:val="0"/>
        <w:adjustRightInd w:val="0"/>
        <w:spacing w:after="0" w:line="360" w:lineRule="auto"/>
        <w:jc w:val="both"/>
        <w:rPr>
          <w:rFonts w:ascii="Book Antiqua" w:hAnsi="Book Antiqua"/>
          <w:sz w:val="24"/>
          <w:szCs w:val="24"/>
        </w:rPr>
      </w:pPr>
    </w:p>
    <w:sectPr w:rsidR="00102EA2" w:rsidRPr="00A624C2" w:rsidSect="00B46F88">
      <w:headerReference w:type="defaul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B5847" w14:textId="77777777" w:rsidR="001E48E3" w:rsidRDefault="001E48E3" w:rsidP="00CB0B44">
      <w:pPr>
        <w:spacing w:after="0" w:line="240" w:lineRule="auto"/>
      </w:pPr>
      <w:r>
        <w:separator/>
      </w:r>
    </w:p>
  </w:endnote>
  <w:endnote w:type="continuationSeparator" w:id="0">
    <w:p w14:paraId="1CD7F28F" w14:textId="77777777" w:rsidR="001E48E3" w:rsidRDefault="001E48E3" w:rsidP="00CB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OT223abdb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Garamond">
    <w:charset w:val="00"/>
    <w:family w:val="roman"/>
    <w:pitch w:val="variable"/>
    <w:sig w:usb0="00000287" w:usb1="00000000" w:usb2="00000000" w:usb3="00000000" w:csb0="0000009F" w:csb1="00000000"/>
  </w:font>
  <w:font w:name="AdvTTae86113c">
    <w:charset w:val="00"/>
    <w:family w:val="roman"/>
    <w:pitch w:val="default"/>
  </w:font>
  <w:font w:name="AdvTT08640291">
    <w:panose1 w:val="00000000000000000000"/>
    <w:charset w:val="00"/>
    <w:family w:val="roman"/>
    <w:notTrueType/>
    <w:pitch w:val="default"/>
    <w:sig w:usb0="00000003" w:usb1="00000000" w:usb2="0000000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AdvOT223abdbc+20">
    <w:panose1 w:val="00000000000000000000"/>
    <w:charset w:val="00"/>
    <w:family w:val="swiss"/>
    <w:notTrueType/>
    <w:pitch w:val="default"/>
    <w:sig w:usb0="00000003" w:usb1="00000000" w:usb2="00000000" w:usb3="00000000" w:csb0="00000001" w:csb1="00000000"/>
  </w:font>
  <w:font w:name="AdvOT223abdbc+fb">
    <w:panose1 w:val="00000000000000000000"/>
    <w:charset w:val="00"/>
    <w:family w:val="auto"/>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AdvOT4b47d116">
    <w:panose1 w:val="00000000000000000000"/>
    <w:charset w:val="00"/>
    <w:family w:val="roman"/>
    <w:notTrueType/>
    <w:pitch w:val="default"/>
    <w:sig w:usb0="00000003" w:usb1="00000000" w:usb2="00000000" w:usb3="00000000" w:csb0="00000001" w:csb1="00000000"/>
  </w:font>
  <w:font w:name="AdvOT4b47d116+fb">
    <w:panose1 w:val="00000000000000000000"/>
    <w:charset w:val="00"/>
    <w:family w:val="auto"/>
    <w:notTrueType/>
    <w:pitch w:val="default"/>
    <w:sig w:usb0="00000003" w:usb1="00000000" w:usb2="00000000" w:usb3="00000000" w:csb0="00000001" w:csb1="00000000"/>
  </w:font>
  <w:font w:name="AdvOTb63a3543.I">
    <w:panose1 w:val="00000000000000000000"/>
    <w:charset w:val="00"/>
    <w:family w:val="roman"/>
    <w:notTrueType/>
    <w:pitch w:val="default"/>
    <w:sig w:usb0="00000003" w:usb1="00000000" w:usb2="00000000" w:usb3="00000000" w:csb0="00000001" w:csb1="00000000"/>
  </w:font>
  <w:font w:name="OTNEJMQuadraat">
    <w:altName w:val="Batang"/>
    <w:panose1 w:val="00000000000000000000"/>
    <w:charset w:val="81"/>
    <w:family w:val="roman"/>
    <w:notTrueType/>
    <w:pitch w:val="default"/>
    <w:sig w:usb0="00000001" w:usb1="09060000" w:usb2="00000010" w:usb3="00000000" w:csb0="00080000" w:csb1="00000000"/>
  </w:font>
  <w:font w:name="AdvTT08640291+20">
    <w:panose1 w:val="00000000000000000000"/>
    <w:charset w:val="00"/>
    <w:family w:val="swiss"/>
    <w:notTrueType/>
    <w:pitch w:val="default"/>
    <w:sig w:usb0="00000003" w:usb1="00000000" w:usb2="00000000" w:usb3="00000000" w:csb0="00000001" w:csb1="00000000"/>
  </w:font>
  <w:font w:name="AdvOT602ae986">
    <w:panose1 w:val="00000000000000000000"/>
    <w:charset w:val="00"/>
    <w:family w:val="swiss"/>
    <w:notTrueType/>
    <w:pitch w:val="default"/>
    <w:sig w:usb0="00000003" w:usb1="00000000" w:usb2="00000000" w:usb3="00000000" w:csb0="00000001" w:csb1="00000000"/>
  </w:font>
  <w:font w:name="AdvOT140f2bdb">
    <w:panose1 w:val="00000000000000000000"/>
    <w:charset w:val="00"/>
    <w:family w:val="roman"/>
    <w:notTrueType/>
    <w:pitch w:val="default"/>
    <w:sig w:usb0="00000003" w:usb1="00000000" w:usb2="00000000" w:usb3="00000000" w:csb0="00000001" w:csb1="00000000"/>
  </w:font>
  <w:font w:name="Garamond-Bold">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dvP697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95262" w14:textId="77777777" w:rsidR="001E48E3" w:rsidRDefault="001E48E3" w:rsidP="00CB0B44">
      <w:pPr>
        <w:spacing w:after="0" w:line="240" w:lineRule="auto"/>
      </w:pPr>
      <w:r>
        <w:separator/>
      </w:r>
    </w:p>
  </w:footnote>
  <w:footnote w:type="continuationSeparator" w:id="0">
    <w:p w14:paraId="712D1CA8" w14:textId="77777777" w:rsidR="001E48E3" w:rsidRDefault="001E48E3" w:rsidP="00CB0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1138"/>
      <w:docPartObj>
        <w:docPartGallery w:val="Page Numbers (Top of Page)"/>
        <w:docPartUnique/>
      </w:docPartObj>
    </w:sdtPr>
    <w:sdtEndPr/>
    <w:sdtContent>
      <w:p w14:paraId="6D93E0D2" w14:textId="77777777" w:rsidR="003D78B3" w:rsidRDefault="003D78B3">
        <w:pPr>
          <w:pStyle w:val="a8"/>
          <w:jc w:val="right"/>
        </w:pPr>
        <w:r>
          <w:fldChar w:fldCharType="begin"/>
        </w:r>
        <w:r>
          <w:instrText xml:space="preserve"> PAGE   \* MERGEFORMAT </w:instrText>
        </w:r>
        <w:r>
          <w:fldChar w:fldCharType="separate"/>
        </w:r>
        <w:r w:rsidR="00F46E14">
          <w:rPr>
            <w:noProof/>
          </w:rPr>
          <w:t>1</w:t>
        </w:r>
        <w:r>
          <w:rPr>
            <w:noProof/>
          </w:rPr>
          <w:fldChar w:fldCharType="end"/>
        </w:r>
      </w:p>
    </w:sdtContent>
  </w:sdt>
  <w:p w14:paraId="5D24D9FD" w14:textId="77777777" w:rsidR="003D78B3" w:rsidRDefault="003D78B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748485"/>
      <w:docPartObj>
        <w:docPartGallery w:val="Page Numbers (Top of Page)"/>
        <w:docPartUnique/>
      </w:docPartObj>
    </w:sdtPr>
    <w:sdtEndPr/>
    <w:sdtContent>
      <w:p w14:paraId="6BE9E519" w14:textId="77777777" w:rsidR="00C42BB9" w:rsidRDefault="00C42BB9">
        <w:pPr>
          <w:pStyle w:val="a8"/>
          <w:jc w:val="right"/>
        </w:pPr>
        <w:r>
          <w:fldChar w:fldCharType="begin"/>
        </w:r>
        <w:r>
          <w:instrText xml:space="preserve"> PAGE   \* MERGEFORMAT </w:instrText>
        </w:r>
        <w:r>
          <w:fldChar w:fldCharType="separate"/>
        </w:r>
        <w:r w:rsidR="00B17988">
          <w:rPr>
            <w:noProof/>
          </w:rPr>
          <w:t>26</w:t>
        </w:r>
        <w:r>
          <w:rPr>
            <w:noProof/>
          </w:rPr>
          <w:fldChar w:fldCharType="end"/>
        </w:r>
      </w:p>
    </w:sdtContent>
  </w:sdt>
  <w:p w14:paraId="0706EE1D" w14:textId="77777777" w:rsidR="00C42BB9" w:rsidRDefault="00C42BB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275017"/>
      <w:docPartObj>
        <w:docPartGallery w:val="Page Numbers (Top of Page)"/>
        <w:docPartUnique/>
      </w:docPartObj>
    </w:sdtPr>
    <w:sdtEndPr/>
    <w:sdtContent>
      <w:p w14:paraId="5361AA12" w14:textId="77777777" w:rsidR="00B46F88" w:rsidRDefault="00B46F88">
        <w:pPr>
          <w:pStyle w:val="a8"/>
          <w:jc w:val="right"/>
        </w:pPr>
        <w:r>
          <w:fldChar w:fldCharType="begin"/>
        </w:r>
        <w:r>
          <w:instrText xml:space="preserve"> PAGE   \* MERGEFORMAT </w:instrText>
        </w:r>
        <w:r>
          <w:fldChar w:fldCharType="separate"/>
        </w:r>
        <w:r w:rsidR="00C353AF">
          <w:rPr>
            <w:noProof/>
          </w:rPr>
          <w:t>28</w:t>
        </w:r>
        <w:r>
          <w:rPr>
            <w:noProof/>
          </w:rPr>
          <w:fldChar w:fldCharType="end"/>
        </w:r>
      </w:p>
    </w:sdtContent>
  </w:sdt>
  <w:p w14:paraId="64C6689A" w14:textId="77777777" w:rsidR="00B46F88" w:rsidRDefault="00B46F8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E9F"/>
    <w:multiLevelType w:val="multilevel"/>
    <w:tmpl w:val="79BC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02E6E"/>
    <w:multiLevelType w:val="hybridMultilevel"/>
    <w:tmpl w:val="FC945C4E"/>
    <w:lvl w:ilvl="0" w:tplc="BF4EC458">
      <w:numFmt w:val="bullet"/>
      <w:lvlText w:val="-"/>
      <w:lvlJc w:val="left"/>
      <w:pPr>
        <w:ind w:left="360" w:hanging="360"/>
      </w:pPr>
      <w:rPr>
        <w:rFonts w:ascii="Calibri" w:eastAsiaTheme="minorHAnsi" w:hAnsi="Calibri" w:cstheme="minorBidi"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3096DA5"/>
    <w:multiLevelType w:val="hybridMultilevel"/>
    <w:tmpl w:val="62E8EF2E"/>
    <w:lvl w:ilvl="0" w:tplc="615C6292">
      <w:start w:val="1"/>
      <w:numFmt w:val="bullet"/>
      <w:lvlText w:val="•"/>
      <w:lvlJc w:val="left"/>
      <w:pPr>
        <w:tabs>
          <w:tab w:val="num" w:pos="360"/>
        </w:tabs>
        <w:ind w:left="360" w:hanging="360"/>
      </w:pPr>
      <w:rPr>
        <w:rFonts w:ascii="Arial" w:hAnsi="Arial" w:hint="default"/>
      </w:rPr>
    </w:lvl>
    <w:lvl w:ilvl="1" w:tplc="F714855E" w:tentative="1">
      <w:start w:val="1"/>
      <w:numFmt w:val="bullet"/>
      <w:lvlText w:val="•"/>
      <w:lvlJc w:val="left"/>
      <w:pPr>
        <w:tabs>
          <w:tab w:val="num" w:pos="1080"/>
        </w:tabs>
        <w:ind w:left="1080" w:hanging="360"/>
      </w:pPr>
      <w:rPr>
        <w:rFonts w:ascii="Arial" w:hAnsi="Arial" w:hint="default"/>
      </w:rPr>
    </w:lvl>
    <w:lvl w:ilvl="2" w:tplc="FF20162A" w:tentative="1">
      <w:start w:val="1"/>
      <w:numFmt w:val="bullet"/>
      <w:lvlText w:val="•"/>
      <w:lvlJc w:val="left"/>
      <w:pPr>
        <w:tabs>
          <w:tab w:val="num" w:pos="1800"/>
        </w:tabs>
        <w:ind w:left="1800" w:hanging="360"/>
      </w:pPr>
      <w:rPr>
        <w:rFonts w:ascii="Arial" w:hAnsi="Arial" w:hint="default"/>
      </w:rPr>
    </w:lvl>
    <w:lvl w:ilvl="3" w:tplc="A8E87D38" w:tentative="1">
      <w:start w:val="1"/>
      <w:numFmt w:val="bullet"/>
      <w:lvlText w:val="•"/>
      <w:lvlJc w:val="left"/>
      <w:pPr>
        <w:tabs>
          <w:tab w:val="num" w:pos="2520"/>
        </w:tabs>
        <w:ind w:left="2520" w:hanging="360"/>
      </w:pPr>
      <w:rPr>
        <w:rFonts w:ascii="Arial" w:hAnsi="Arial" w:hint="default"/>
      </w:rPr>
    </w:lvl>
    <w:lvl w:ilvl="4" w:tplc="2A4C2B74" w:tentative="1">
      <w:start w:val="1"/>
      <w:numFmt w:val="bullet"/>
      <w:lvlText w:val="•"/>
      <w:lvlJc w:val="left"/>
      <w:pPr>
        <w:tabs>
          <w:tab w:val="num" w:pos="3240"/>
        </w:tabs>
        <w:ind w:left="3240" w:hanging="360"/>
      </w:pPr>
      <w:rPr>
        <w:rFonts w:ascii="Arial" w:hAnsi="Arial" w:hint="default"/>
      </w:rPr>
    </w:lvl>
    <w:lvl w:ilvl="5" w:tplc="6C80F192" w:tentative="1">
      <w:start w:val="1"/>
      <w:numFmt w:val="bullet"/>
      <w:lvlText w:val="•"/>
      <w:lvlJc w:val="left"/>
      <w:pPr>
        <w:tabs>
          <w:tab w:val="num" w:pos="3960"/>
        </w:tabs>
        <w:ind w:left="3960" w:hanging="360"/>
      </w:pPr>
      <w:rPr>
        <w:rFonts w:ascii="Arial" w:hAnsi="Arial" w:hint="default"/>
      </w:rPr>
    </w:lvl>
    <w:lvl w:ilvl="6" w:tplc="251E7BFE" w:tentative="1">
      <w:start w:val="1"/>
      <w:numFmt w:val="bullet"/>
      <w:lvlText w:val="•"/>
      <w:lvlJc w:val="left"/>
      <w:pPr>
        <w:tabs>
          <w:tab w:val="num" w:pos="4680"/>
        </w:tabs>
        <w:ind w:left="4680" w:hanging="360"/>
      </w:pPr>
      <w:rPr>
        <w:rFonts w:ascii="Arial" w:hAnsi="Arial" w:hint="default"/>
      </w:rPr>
    </w:lvl>
    <w:lvl w:ilvl="7" w:tplc="3FF068E6" w:tentative="1">
      <w:start w:val="1"/>
      <w:numFmt w:val="bullet"/>
      <w:lvlText w:val="•"/>
      <w:lvlJc w:val="left"/>
      <w:pPr>
        <w:tabs>
          <w:tab w:val="num" w:pos="5400"/>
        </w:tabs>
        <w:ind w:left="5400" w:hanging="360"/>
      </w:pPr>
      <w:rPr>
        <w:rFonts w:ascii="Arial" w:hAnsi="Arial" w:hint="default"/>
      </w:rPr>
    </w:lvl>
    <w:lvl w:ilvl="8" w:tplc="A350D17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8B87A54"/>
    <w:multiLevelType w:val="hybridMultilevel"/>
    <w:tmpl w:val="75C6C818"/>
    <w:lvl w:ilvl="0" w:tplc="B3BA7DE4">
      <w:start w:val="1"/>
      <w:numFmt w:val="bullet"/>
      <w:lvlText w:val="•"/>
      <w:lvlJc w:val="left"/>
      <w:pPr>
        <w:tabs>
          <w:tab w:val="num" w:pos="360"/>
        </w:tabs>
        <w:ind w:left="360" w:hanging="360"/>
      </w:pPr>
      <w:rPr>
        <w:rFonts w:ascii="Arial" w:hAnsi="Arial" w:hint="default"/>
      </w:rPr>
    </w:lvl>
    <w:lvl w:ilvl="1" w:tplc="FEF6C3A6" w:tentative="1">
      <w:start w:val="1"/>
      <w:numFmt w:val="bullet"/>
      <w:lvlText w:val="•"/>
      <w:lvlJc w:val="left"/>
      <w:pPr>
        <w:tabs>
          <w:tab w:val="num" w:pos="1080"/>
        </w:tabs>
        <w:ind w:left="1080" w:hanging="360"/>
      </w:pPr>
      <w:rPr>
        <w:rFonts w:ascii="Arial" w:hAnsi="Arial" w:hint="default"/>
      </w:rPr>
    </w:lvl>
    <w:lvl w:ilvl="2" w:tplc="3D6CCC88" w:tentative="1">
      <w:start w:val="1"/>
      <w:numFmt w:val="bullet"/>
      <w:lvlText w:val="•"/>
      <w:lvlJc w:val="left"/>
      <w:pPr>
        <w:tabs>
          <w:tab w:val="num" w:pos="1800"/>
        </w:tabs>
        <w:ind w:left="1800" w:hanging="360"/>
      </w:pPr>
      <w:rPr>
        <w:rFonts w:ascii="Arial" w:hAnsi="Arial" w:hint="default"/>
      </w:rPr>
    </w:lvl>
    <w:lvl w:ilvl="3" w:tplc="0592FAC8" w:tentative="1">
      <w:start w:val="1"/>
      <w:numFmt w:val="bullet"/>
      <w:lvlText w:val="•"/>
      <w:lvlJc w:val="left"/>
      <w:pPr>
        <w:tabs>
          <w:tab w:val="num" w:pos="2520"/>
        </w:tabs>
        <w:ind w:left="2520" w:hanging="360"/>
      </w:pPr>
      <w:rPr>
        <w:rFonts w:ascii="Arial" w:hAnsi="Arial" w:hint="default"/>
      </w:rPr>
    </w:lvl>
    <w:lvl w:ilvl="4" w:tplc="7AA2F6F2" w:tentative="1">
      <w:start w:val="1"/>
      <w:numFmt w:val="bullet"/>
      <w:lvlText w:val="•"/>
      <w:lvlJc w:val="left"/>
      <w:pPr>
        <w:tabs>
          <w:tab w:val="num" w:pos="3240"/>
        </w:tabs>
        <w:ind w:left="3240" w:hanging="360"/>
      </w:pPr>
      <w:rPr>
        <w:rFonts w:ascii="Arial" w:hAnsi="Arial" w:hint="default"/>
      </w:rPr>
    </w:lvl>
    <w:lvl w:ilvl="5" w:tplc="39EA1266" w:tentative="1">
      <w:start w:val="1"/>
      <w:numFmt w:val="bullet"/>
      <w:lvlText w:val="•"/>
      <w:lvlJc w:val="left"/>
      <w:pPr>
        <w:tabs>
          <w:tab w:val="num" w:pos="3960"/>
        </w:tabs>
        <w:ind w:left="3960" w:hanging="360"/>
      </w:pPr>
      <w:rPr>
        <w:rFonts w:ascii="Arial" w:hAnsi="Arial" w:hint="default"/>
      </w:rPr>
    </w:lvl>
    <w:lvl w:ilvl="6" w:tplc="3284481A" w:tentative="1">
      <w:start w:val="1"/>
      <w:numFmt w:val="bullet"/>
      <w:lvlText w:val="•"/>
      <w:lvlJc w:val="left"/>
      <w:pPr>
        <w:tabs>
          <w:tab w:val="num" w:pos="4680"/>
        </w:tabs>
        <w:ind w:left="4680" w:hanging="360"/>
      </w:pPr>
      <w:rPr>
        <w:rFonts w:ascii="Arial" w:hAnsi="Arial" w:hint="default"/>
      </w:rPr>
    </w:lvl>
    <w:lvl w:ilvl="7" w:tplc="97C04500" w:tentative="1">
      <w:start w:val="1"/>
      <w:numFmt w:val="bullet"/>
      <w:lvlText w:val="•"/>
      <w:lvlJc w:val="left"/>
      <w:pPr>
        <w:tabs>
          <w:tab w:val="num" w:pos="5400"/>
        </w:tabs>
        <w:ind w:left="5400" w:hanging="360"/>
      </w:pPr>
      <w:rPr>
        <w:rFonts w:ascii="Arial" w:hAnsi="Arial" w:hint="default"/>
      </w:rPr>
    </w:lvl>
    <w:lvl w:ilvl="8" w:tplc="7F4ABF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D5C1413"/>
    <w:multiLevelType w:val="hybridMultilevel"/>
    <w:tmpl w:val="EBD84ADA"/>
    <w:lvl w:ilvl="0" w:tplc="B344C8E0">
      <w:start w:val="50"/>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521024E"/>
    <w:multiLevelType w:val="hybridMultilevel"/>
    <w:tmpl w:val="43D4A956"/>
    <w:lvl w:ilvl="0" w:tplc="EE1C5550">
      <w:start w:val="1"/>
      <w:numFmt w:val="bullet"/>
      <w:lvlText w:val="•"/>
      <w:lvlJc w:val="left"/>
      <w:pPr>
        <w:tabs>
          <w:tab w:val="num" w:pos="720"/>
        </w:tabs>
        <w:ind w:left="720" w:hanging="360"/>
      </w:pPr>
      <w:rPr>
        <w:rFonts w:ascii="Arial" w:hAnsi="Arial" w:hint="default"/>
      </w:rPr>
    </w:lvl>
    <w:lvl w:ilvl="1" w:tplc="5EA6983A" w:tentative="1">
      <w:start w:val="1"/>
      <w:numFmt w:val="bullet"/>
      <w:lvlText w:val="•"/>
      <w:lvlJc w:val="left"/>
      <w:pPr>
        <w:tabs>
          <w:tab w:val="num" w:pos="1440"/>
        </w:tabs>
        <w:ind w:left="1440" w:hanging="360"/>
      </w:pPr>
      <w:rPr>
        <w:rFonts w:ascii="Arial" w:hAnsi="Arial" w:hint="default"/>
      </w:rPr>
    </w:lvl>
    <w:lvl w:ilvl="2" w:tplc="51A49500" w:tentative="1">
      <w:start w:val="1"/>
      <w:numFmt w:val="bullet"/>
      <w:lvlText w:val="•"/>
      <w:lvlJc w:val="left"/>
      <w:pPr>
        <w:tabs>
          <w:tab w:val="num" w:pos="2160"/>
        </w:tabs>
        <w:ind w:left="2160" w:hanging="360"/>
      </w:pPr>
      <w:rPr>
        <w:rFonts w:ascii="Arial" w:hAnsi="Arial" w:hint="default"/>
      </w:rPr>
    </w:lvl>
    <w:lvl w:ilvl="3" w:tplc="A8845014" w:tentative="1">
      <w:start w:val="1"/>
      <w:numFmt w:val="bullet"/>
      <w:lvlText w:val="•"/>
      <w:lvlJc w:val="left"/>
      <w:pPr>
        <w:tabs>
          <w:tab w:val="num" w:pos="2880"/>
        </w:tabs>
        <w:ind w:left="2880" w:hanging="360"/>
      </w:pPr>
      <w:rPr>
        <w:rFonts w:ascii="Arial" w:hAnsi="Arial" w:hint="default"/>
      </w:rPr>
    </w:lvl>
    <w:lvl w:ilvl="4" w:tplc="736EAA9E" w:tentative="1">
      <w:start w:val="1"/>
      <w:numFmt w:val="bullet"/>
      <w:lvlText w:val="•"/>
      <w:lvlJc w:val="left"/>
      <w:pPr>
        <w:tabs>
          <w:tab w:val="num" w:pos="3600"/>
        </w:tabs>
        <w:ind w:left="3600" w:hanging="360"/>
      </w:pPr>
      <w:rPr>
        <w:rFonts w:ascii="Arial" w:hAnsi="Arial" w:hint="default"/>
      </w:rPr>
    </w:lvl>
    <w:lvl w:ilvl="5" w:tplc="F47CE020" w:tentative="1">
      <w:start w:val="1"/>
      <w:numFmt w:val="bullet"/>
      <w:lvlText w:val="•"/>
      <w:lvlJc w:val="left"/>
      <w:pPr>
        <w:tabs>
          <w:tab w:val="num" w:pos="4320"/>
        </w:tabs>
        <w:ind w:left="4320" w:hanging="360"/>
      </w:pPr>
      <w:rPr>
        <w:rFonts w:ascii="Arial" w:hAnsi="Arial" w:hint="default"/>
      </w:rPr>
    </w:lvl>
    <w:lvl w:ilvl="6" w:tplc="AF1A2B82" w:tentative="1">
      <w:start w:val="1"/>
      <w:numFmt w:val="bullet"/>
      <w:lvlText w:val="•"/>
      <w:lvlJc w:val="left"/>
      <w:pPr>
        <w:tabs>
          <w:tab w:val="num" w:pos="5040"/>
        </w:tabs>
        <w:ind w:left="5040" w:hanging="360"/>
      </w:pPr>
      <w:rPr>
        <w:rFonts w:ascii="Arial" w:hAnsi="Arial" w:hint="default"/>
      </w:rPr>
    </w:lvl>
    <w:lvl w:ilvl="7" w:tplc="A072DFC4" w:tentative="1">
      <w:start w:val="1"/>
      <w:numFmt w:val="bullet"/>
      <w:lvlText w:val="•"/>
      <w:lvlJc w:val="left"/>
      <w:pPr>
        <w:tabs>
          <w:tab w:val="num" w:pos="5760"/>
        </w:tabs>
        <w:ind w:left="5760" w:hanging="360"/>
      </w:pPr>
      <w:rPr>
        <w:rFonts w:ascii="Arial" w:hAnsi="Arial" w:hint="default"/>
      </w:rPr>
    </w:lvl>
    <w:lvl w:ilvl="8" w:tplc="0E80BF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8D2A1D"/>
    <w:multiLevelType w:val="hybridMultilevel"/>
    <w:tmpl w:val="B994FCB6"/>
    <w:lvl w:ilvl="0" w:tplc="8702DDA4">
      <w:start w:val="1"/>
      <w:numFmt w:val="bullet"/>
      <w:lvlText w:val="•"/>
      <w:lvlJc w:val="left"/>
      <w:pPr>
        <w:tabs>
          <w:tab w:val="num" w:pos="720"/>
        </w:tabs>
        <w:ind w:left="720" w:hanging="360"/>
      </w:pPr>
      <w:rPr>
        <w:rFonts w:ascii="Arial" w:hAnsi="Arial" w:hint="default"/>
      </w:rPr>
    </w:lvl>
    <w:lvl w:ilvl="1" w:tplc="9A1464A6" w:tentative="1">
      <w:start w:val="1"/>
      <w:numFmt w:val="bullet"/>
      <w:lvlText w:val="•"/>
      <w:lvlJc w:val="left"/>
      <w:pPr>
        <w:tabs>
          <w:tab w:val="num" w:pos="1440"/>
        </w:tabs>
        <w:ind w:left="1440" w:hanging="360"/>
      </w:pPr>
      <w:rPr>
        <w:rFonts w:ascii="Arial" w:hAnsi="Arial" w:hint="default"/>
      </w:rPr>
    </w:lvl>
    <w:lvl w:ilvl="2" w:tplc="9B1E687A" w:tentative="1">
      <w:start w:val="1"/>
      <w:numFmt w:val="bullet"/>
      <w:lvlText w:val="•"/>
      <w:lvlJc w:val="left"/>
      <w:pPr>
        <w:tabs>
          <w:tab w:val="num" w:pos="2160"/>
        </w:tabs>
        <w:ind w:left="2160" w:hanging="360"/>
      </w:pPr>
      <w:rPr>
        <w:rFonts w:ascii="Arial" w:hAnsi="Arial" w:hint="default"/>
      </w:rPr>
    </w:lvl>
    <w:lvl w:ilvl="3" w:tplc="8B362FA6" w:tentative="1">
      <w:start w:val="1"/>
      <w:numFmt w:val="bullet"/>
      <w:lvlText w:val="•"/>
      <w:lvlJc w:val="left"/>
      <w:pPr>
        <w:tabs>
          <w:tab w:val="num" w:pos="2880"/>
        </w:tabs>
        <w:ind w:left="2880" w:hanging="360"/>
      </w:pPr>
      <w:rPr>
        <w:rFonts w:ascii="Arial" w:hAnsi="Arial" w:hint="default"/>
      </w:rPr>
    </w:lvl>
    <w:lvl w:ilvl="4" w:tplc="6C6CE0BE" w:tentative="1">
      <w:start w:val="1"/>
      <w:numFmt w:val="bullet"/>
      <w:lvlText w:val="•"/>
      <w:lvlJc w:val="left"/>
      <w:pPr>
        <w:tabs>
          <w:tab w:val="num" w:pos="3600"/>
        </w:tabs>
        <w:ind w:left="3600" w:hanging="360"/>
      </w:pPr>
      <w:rPr>
        <w:rFonts w:ascii="Arial" w:hAnsi="Arial" w:hint="default"/>
      </w:rPr>
    </w:lvl>
    <w:lvl w:ilvl="5" w:tplc="6CFED4B4" w:tentative="1">
      <w:start w:val="1"/>
      <w:numFmt w:val="bullet"/>
      <w:lvlText w:val="•"/>
      <w:lvlJc w:val="left"/>
      <w:pPr>
        <w:tabs>
          <w:tab w:val="num" w:pos="4320"/>
        </w:tabs>
        <w:ind w:left="4320" w:hanging="360"/>
      </w:pPr>
      <w:rPr>
        <w:rFonts w:ascii="Arial" w:hAnsi="Arial" w:hint="default"/>
      </w:rPr>
    </w:lvl>
    <w:lvl w:ilvl="6" w:tplc="9760D9CA" w:tentative="1">
      <w:start w:val="1"/>
      <w:numFmt w:val="bullet"/>
      <w:lvlText w:val="•"/>
      <w:lvlJc w:val="left"/>
      <w:pPr>
        <w:tabs>
          <w:tab w:val="num" w:pos="5040"/>
        </w:tabs>
        <w:ind w:left="5040" w:hanging="360"/>
      </w:pPr>
      <w:rPr>
        <w:rFonts w:ascii="Arial" w:hAnsi="Arial" w:hint="default"/>
      </w:rPr>
    </w:lvl>
    <w:lvl w:ilvl="7" w:tplc="CB062308" w:tentative="1">
      <w:start w:val="1"/>
      <w:numFmt w:val="bullet"/>
      <w:lvlText w:val="•"/>
      <w:lvlJc w:val="left"/>
      <w:pPr>
        <w:tabs>
          <w:tab w:val="num" w:pos="5760"/>
        </w:tabs>
        <w:ind w:left="5760" w:hanging="360"/>
      </w:pPr>
      <w:rPr>
        <w:rFonts w:ascii="Arial" w:hAnsi="Arial" w:hint="default"/>
      </w:rPr>
    </w:lvl>
    <w:lvl w:ilvl="8" w:tplc="50E4BB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88777F"/>
    <w:multiLevelType w:val="hybridMultilevel"/>
    <w:tmpl w:val="72EA116A"/>
    <w:lvl w:ilvl="0" w:tplc="7DA81442">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FB3EDF"/>
    <w:multiLevelType w:val="hybridMultilevel"/>
    <w:tmpl w:val="ACB4EF28"/>
    <w:lvl w:ilvl="0" w:tplc="A3265D5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807729"/>
    <w:multiLevelType w:val="hybridMultilevel"/>
    <w:tmpl w:val="460CD0EE"/>
    <w:lvl w:ilvl="0" w:tplc="C562F28E">
      <w:start w:val="1"/>
      <w:numFmt w:val="bullet"/>
      <w:lvlText w:val="•"/>
      <w:lvlJc w:val="left"/>
      <w:pPr>
        <w:tabs>
          <w:tab w:val="num" w:pos="360"/>
        </w:tabs>
        <w:ind w:left="360" w:hanging="360"/>
      </w:pPr>
      <w:rPr>
        <w:rFonts w:ascii="Arial" w:hAnsi="Arial" w:hint="default"/>
      </w:rPr>
    </w:lvl>
    <w:lvl w:ilvl="1" w:tplc="F358217A" w:tentative="1">
      <w:start w:val="1"/>
      <w:numFmt w:val="bullet"/>
      <w:lvlText w:val="•"/>
      <w:lvlJc w:val="left"/>
      <w:pPr>
        <w:tabs>
          <w:tab w:val="num" w:pos="1080"/>
        </w:tabs>
        <w:ind w:left="1080" w:hanging="360"/>
      </w:pPr>
      <w:rPr>
        <w:rFonts w:ascii="Arial" w:hAnsi="Arial" w:hint="default"/>
      </w:rPr>
    </w:lvl>
    <w:lvl w:ilvl="2" w:tplc="C65C680C" w:tentative="1">
      <w:start w:val="1"/>
      <w:numFmt w:val="bullet"/>
      <w:lvlText w:val="•"/>
      <w:lvlJc w:val="left"/>
      <w:pPr>
        <w:tabs>
          <w:tab w:val="num" w:pos="1800"/>
        </w:tabs>
        <w:ind w:left="1800" w:hanging="360"/>
      </w:pPr>
      <w:rPr>
        <w:rFonts w:ascii="Arial" w:hAnsi="Arial" w:hint="default"/>
      </w:rPr>
    </w:lvl>
    <w:lvl w:ilvl="3" w:tplc="F9365498" w:tentative="1">
      <w:start w:val="1"/>
      <w:numFmt w:val="bullet"/>
      <w:lvlText w:val="•"/>
      <w:lvlJc w:val="left"/>
      <w:pPr>
        <w:tabs>
          <w:tab w:val="num" w:pos="2520"/>
        </w:tabs>
        <w:ind w:left="2520" w:hanging="360"/>
      </w:pPr>
      <w:rPr>
        <w:rFonts w:ascii="Arial" w:hAnsi="Arial" w:hint="default"/>
      </w:rPr>
    </w:lvl>
    <w:lvl w:ilvl="4" w:tplc="DF50B00C" w:tentative="1">
      <w:start w:val="1"/>
      <w:numFmt w:val="bullet"/>
      <w:lvlText w:val="•"/>
      <w:lvlJc w:val="left"/>
      <w:pPr>
        <w:tabs>
          <w:tab w:val="num" w:pos="3240"/>
        </w:tabs>
        <w:ind w:left="3240" w:hanging="360"/>
      </w:pPr>
      <w:rPr>
        <w:rFonts w:ascii="Arial" w:hAnsi="Arial" w:hint="default"/>
      </w:rPr>
    </w:lvl>
    <w:lvl w:ilvl="5" w:tplc="5F801076" w:tentative="1">
      <w:start w:val="1"/>
      <w:numFmt w:val="bullet"/>
      <w:lvlText w:val="•"/>
      <w:lvlJc w:val="left"/>
      <w:pPr>
        <w:tabs>
          <w:tab w:val="num" w:pos="3960"/>
        </w:tabs>
        <w:ind w:left="3960" w:hanging="360"/>
      </w:pPr>
      <w:rPr>
        <w:rFonts w:ascii="Arial" w:hAnsi="Arial" w:hint="default"/>
      </w:rPr>
    </w:lvl>
    <w:lvl w:ilvl="6" w:tplc="D990E8FC" w:tentative="1">
      <w:start w:val="1"/>
      <w:numFmt w:val="bullet"/>
      <w:lvlText w:val="•"/>
      <w:lvlJc w:val="left"/>
      <w:pPr>
        <w:tabs>
          <w:tab w:val="num" w:pos="4680"/>
        </w:tabs>
        <w:ind w:left="4680" w:hanging="360"/>
      </w:pPr>
      <w:rPr>
        <w:rFonts w:ascii="Arial" w:hAnsi="Arial" w:hint="default"/>
      </w:rPr>
    </w:lvl>
    <w:lvl w:ilvl="7" w:tplc="BFE65986" w:tentative="1">
      <w:start w:val="1"/>
      <w:numFmt w:val="bullet"/>
      <w:lvlText w:val="•"/>
      <w:lvlJc w:val="left"/>
      <w:pPr>
        <w:tabs>
          <w:tab w:val="num" w:pos="5400"/>
        </w:tabs>
        <w:ind w:left="5400" w:hanging="360"/>
      </w:pPr>
      <w:rPr>
        <w:rFonts w:ascii="Arial" w:hAnsi="Arial" w:hint="default"/>
      </w:rPr>
    </w:lvl>
    <w:lvl w:ilvl="8" w:tplc="E4064DD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0EB56DB"/>
    <w:multiLevelType w:val="hybridMultilevel"/>
    <w:tmpl w:val="E8A47D3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6E364BA8"/>
    <w:multiLevelType w:val="multilevel"/>
    <w:tmpl w:val="3CA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6616E"/>
    <w:multiLevelType w:val="hybridMultilevel"/>
    <w:tmpl w:val="0D3ABF14"/>
    <w:lvl w:ilvl="0" w:tplc="B4489AEE">
      <w:numFmt w:val="bullet"/>
      <w:lvlText w:val="-"/>
      <w:lvlJc w:val="left"/>
      <w:pPr>
        <w:ind w:left="360" w:hanging="360"/>
      </w:pPr>
      <w:rPr>
        <w:rFonts w:ascii="Calibri" w:eastAsiaTheme="minorHAnsi" w:hAnsi="Calibri" w:cs="AdvOT223abdbc"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78884270"/>
    <w:multiLevelType w:val="hybridMultilevel"/>
    <w:tmpl w:val="23E67D74"/>
    <w:lvl w:ilvl="0" w:tplc="333ABF0C">
      <w:start w:val="1"/>
      <w:numFmt w:val="bullet"/>
      <w:lvlText w:val="•"/>
      <w:lvlJc w:val="left"/>
      <w:pPr>
        <w:tabs>
          <w:tab w:val="num" w:pos="360"/>
        </w:tabs>
        <w:ind w:left="360" w:hanging="360"/>
      </w:pPr>
      <w:rPr>
        <w:rFonts w:ascii="Arial" w:hAnsi="Arial" w:hint="default"/>
      </w:rPr>
    </w:lvl>
    <w:lvl w:ilvl="1" w:tplc="A89E495E" w:tentative="1">
      <w:start w:val="1"/>
      <w:numFmt w:val="bullet"/>
      <w:lvlText w:val="•"/>
      <w:lvlJc w:val="left"/>
      <w:pPr>
        <w:tabs>
          <w:tab w:val="num" w:pos="1080"/>
        </w:tabs>
        <w:ind w:left="1080" w:hanging="360"/>
      </w:pPr>
      <w:rPr>
        <w:rFonts w:ascii="Arial" w:hAnsi="Arial" w:hint="default"/>
      </w:rPr>
    </w:lvl>
    <w:lvl w:ilvl="2" w:tplc="FEEE7CFA" w:tentative="1">
      <w:start w:val="1"/>
      <w:numFmt w:val="bullet"/>
      <w:lvlText w:val="•"/>
      <w:lvlJc w:val="left"/>
      <w:pPr>
        <w:tabs>
          <w:tab w:val="num" w:pos="1800"/>
        </w:tabs>
        <w:ind w:left="1800" w:hanging="360"/>
      </w:pPr>
      <w:rPr>
        <w:rFonts w:ascii="Arial" w:hAnsi="Arial" w:hint="default"/>
      </w:rPr>
    </w:lvl>
    <w:lvl w:ilvl="3" w:tplc="1AAED2B6" w:tentative="1">
      <w:start w:val="1"/>
      <w:numFmt w:val="bullet"/>
      <w:lvlText w:val="•"/>
      <w:lvlJc w:val="left"/>
      <w:pPr>
        <w:tabs>
          <w:tab w:val="num" w:pos="2520"/>
        </w:tabs>
        <w:ind w:left="2520" w:hanging="360"/>
      </w:pPr>
      <w:rPr>
        <w:rFonts w:ascii="Arial" w:hAnsi="Arial" w:hint="default"/>
      </w:rPr>
    </w:lvl>
    <w:lvl w:ilvl="4" w:tplc="492C9AE4" w:tentative="1">
      <w:start w:val="1"/>
      <w:numFmt w:val="bullet"/>
      <w:lvlText w:val="•"/>
      <w:lvlJc w:val="left"/>
      <w:pPr>
        <w:tabs>
          <w:tab w:val="num" w:pos="3240"/>
        </w:tabs>
        <w:ind w:left="3240" w:hanging="360"/>
      </w:pPr>
      <w:rPr>
        <w:rFonts w:ascii="Arial" w:hAnsi="Arial" w:hint="default"/>
      </w:rPr>
    </w:lvl>
    <w:lvl w:ilvl="5" w:tplc="82080724" w:tentative="1">
      <w:start w:val="1"/>
      <w:numFmt w:val="bullet"/>
      <w:lvlText w:val="•"/>
      <w:lvlJc w:val="left"/>
      <w:pPr>
        <w:tabs>
          <w:tab w:val="num" w:pos="3960"/>
        </w:tabs>
        <w:ind w:left="3960" w:hanging="360"/>
      </w:pPr>
      <w:rPr>
        <w:rFonts w:ascii="Arial" w:hAnsi="Arial" w:hint="default"/>
      </w:rPr>
    </w:lvl>
    <w:lvl w:ilvl="6" w:tplc="66321F88" w:tentative="1">
      <w:start w:val="1"/>
      <w:numFmt w:val="bullet"/>
      <w:lvlText w:val="•"/>
      <w:lvlJc w:val="left"/>
      <w:pPr>
        <w:tabs>
          <w:tab w:val="num" w:pos="4680"/>
        </w:tabs>
        <w:ind w:left="4680" w:hanging="360"/>
      </w:pPr>
      <w:rPr>
        <w:rFonts w:ascii="Arial" w:hAnsi="Arial" w:hint="default"/>
      </w:rPr>
    </w:lvl>
    <w:lvl w:ilvl="7" w:tplc="2416DB2C" w:tentative="1">
      <w:start w:val="1"/>
      <w:numFmt w:val="bullet"/>
      <w:lvlText w:val="•"/>
      <w:lvlJc w:val="left"/>
      <w:pPr>
        <w:tabs>
          <w:tab w:val="num" w:pos="5400"/>
        </w:tabs>
        <w:ind w:left="5400" w:hanging="360"/>
      </w:pPr>
      <w:rPr>
        <w:rFonts w:ascii="Arial" w:hAnsi="Arial" w:hint="default"/>
      </w:rPr>
    </w:lvl>
    <w:lvl w:ilvl="8" w:tplc="DA823CC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E320FCA"/>
    <w:multiLevelType w:val="hybridMultilevel"/>
    <w:tmpl w:val="4BD6A07C"/>
    <w:lvl w:ilvl="0" w:tplc="C9AA0E26">
      <w:numFmt w:val="bullet"/>
      <w:lvlText w:val=""/>
      <w:lvlJc w:val="left"/>
      <w:pPr>
        <w:ind w:left="360" w:hanging="360"/>
      </w:pPr>
      <w:rPr>
        <w:rFonts w:ascii="Wingdings" w:eastAsiaTheme="minorHAnsi" w:hAnsi="Wing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3"/>
  </w:num>
  <w:num w:numId="4">
    <w:abstractNumId w:val="4"/>
  </w:num>
  <w:num w:numId="5">
    <w:abstractNumId w:val="3"/>
  </w:num>
  <w:num w:numId="6">
    <w:abstractNumId w:val="12"/>
  </w:num>
  <w:num w:numId="7">
    <w:abstractNumId w:val="2"/>
  </w:num>
  <w:num w:numId="8">
    <w:abstractNumId w:val="1"/>
  </w:num>
  <w:num w:numId="9">
    <w:abstractNumId w:val="14"/>
  </w:num>
  <w:num w:numId="10">
    <w:abstractNumId w:val="7"/>
  </w:num>
  <w:num w:numId="11">
    <w:abstractNumId w:val="6"/>
  </w:num>
  <w:num w:numId="12">
    <w:abstractNumId w:val="5"/>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95evztga9rf8edzt2xt0ejvepffvevx9ea&quot;&gt;My EndNote Library&lt;record-ids&gt;&lt;item&gt;2&lt;/item&gt;&lt;item&gt;3&lt;/item&gt;&lt;item&gt;8&lt;/item&gt;&lt;item&gt;13&lt;/item&gt;&lt;item&gt;35&lt;/item&gt;&lt;item&gt;36&lt;/item&gt;&lt;item&gt;42&lt;/item&gt;&lt;item&gt;43&lt;/item&gt;&lt;item&gt;44&lt;/item&gt;&lt;item&gt;45&lt;/item&gt;&lt;item&gt;46&lt;/item&gt;&lt;item&gt;51&lt;/item&gt;&lt;item&gt;60&lt;/item&gt;&lt;item&gt;62&lt;/item&gt;&lt;item&gt;118&lt;/item&gt;&lt;item&gt;120&lt;/item&gt;&lt;item&gt;121&lt;/item&gt;&lt;item&gt;122&lt;/item&gt;&lt;item&gt;123&lt;/item&gt;&lt;item&gt;167&lt;/item&gt;&lt;item&gt;168&lt;/item&gt;&lt;/record-ids&gt;&lt;/item&gt;&lt;/Libraries&gt;"/>
  </w:docVars>
  <w:rsids>
    <w:rsidRoot w:val="00306FAB"/>
    <w:rsid w:val="000004AA"/>
    <w:rsid w:val="0000164B"/>
    <w:rsid w:val="000017D7"/>
    <w:rsid w:val="00002451"/>
    <w:rsid w:val="00010D0C"/>
    <w:rsid w:val="00011571"/>
    <w:rsid w:val="0001236C"/>
    <w:rsid w:val="000155B9"/>
    <w:rsid w:val="000169D7"/>
    <w:rsid w:val="000179C9"/>
    <w:rsid w:val="000219C3"/>
    <w:rsid w:val="00024FC3"/>
    <w:rsid w:val="00025BAB"/>
    <w:rsid w:val="0003026D"/>
    <w:rsid w:val="00031672"/>
    <w:rsid w:val="0003214C"/>
    <w:rsid w:val="00034558"/>
    <w:rsid w:val="00036B9B"/>
    <w:rsid w:val="00037441"/>
    <w:rsid w:val="00040721"/>
    <w:rsid w:val="00043236"/>
    <w:rsid w:val="000455AA"/>
    <w:rsid w:val="00046914"/>
    <w:rsid w:val="00050691"/>
    <w:rsid w:val="00050A2F"/>
    <w:rsid w:val="00054814"/>
    <w:rsid w:val="00054EFE"/>
    <w:rsid w:val="00057810"/>
    <w:rsid w:val="000620DA"/>
    <w:rsid w:val="00062497"/>
    <w:rsid w:val="0006426C"/>
    <w:rsid w:val="0007165B"/>
    <w:rsid w:val="00073398"/>
    <w:rsid w:val="0007670B"/>
    <w:rsid w:val="00077312"/>
    <w:rsid w:val="00081837"/>
    <w:rsid w:val="00096F11"/>
    <w:rsid w:val="00097014"/>
    <w:rsid w:val="00097D46"/>
    <w:rsid w:val="000A0400"/>
    <w:rsid w:val="000A0953"/>
    <w:rsid w:val="000A09B2"/>
    <w:rsid w:val="000A0F9F"/>
    <w:rsid w:val="000A115E"/>
    <w:rsid w:val="000A464B"/>
    <w:rsid w:val="000A58A1"/>
    <w:rsid w:val="000A5B81"/>
    <w:rsid w:val="000A613D"/>
    <w:rsid w:val="000A6C0C"/>
    <w:rsid w:val="000B31BE"/>
    <w:rsid w:val="000B3A03"/>
    <w:rsid w:val="000B4D5D"/>
    <w:rsid w:val="000B5193"/>
    <w:rsid w:val="000B6EEA"/>
    <w:rsid w:val="000C1030"/>
    <w:rsid w:val="000C259D"/>
    <w:rsid w:val="000C4746"/>
    <w:rsid w:val="000C765F"/>
    <w:rsid w:val="000C7D85"/>
    <w:rsid w:val="000D06F3"/>
    <w:rsid w:val="000D0E50"/>
    <w:rsid w:val="000D31B6"/>
    <w:rsid w:val="000D581C"/>
    <w:rsid w:val="000E078B"/>
    <w:rsid w:val="000E0C19"/>
    <w:rsid w:val="000E0F28"/>
    <w:rsid w:val="000E3443"/>
    <w:rsid w:val="000E4EE9"/>
    <w:rsid w:val="000E7DE9"/>
    <w:rsid w:val="000F2C51"/>
    <w:rsid w:val="000F3494"/>
    <w:rsid w:val="000F3D14"/>
    <w:rsid w:val="00100E33"/>
    <w:rsid w:val="00102EA2"/>
    <w:rsid w:val="00103443"/>
    <w:rsid w:val="0010471D"/>
    <w:rsid w:val="00105CE4"/>
    <w:rsid w:val="0011088C"/>
    <w:rsid w:val="00111853"/>
    <w:rsid w:val="001118E7"/>
    <w:rsid w:val="00112153"/>
    <w:rsid w:val="001150C6"/>
    <w:rsid w:val="00116B82"/>
    <w:rsid w:val="00117803"/>
    <w:rsid w:val="0012215A"/>
    <w:rsid w:val="00124387"/>
    <w:rsid w:val="001253D7"/>
    <w:rsid w:val="0013258F"/>
    <w:rsid w:val="00141090"/>
    <w:rsid w:val="00144E8B"/>
    <w:rsid w:val="001476CC"/>
    <w:rsid w:val="00150A4D"/>
    <w:rsid w:val="001535D7"/>
    <w:rsid w:val="0015499D"/>
    <w:rsid w:val="00160A6B"/>
    <w:rsid w:val="00162B98"/>
    <w:rsid w:val="0016375B"/>
    <w:rsid w:val="0016389B"/>
    <w:rsid w:val="00167E57"/>
    <w:rsid w:val="00171385"/>
    <w:rsid w:val="00171CC4"/>
    <w:rsid w:val="001754F5"/>
    <w:rsid w:val="00177257"/>
    <w:rsid w:val="0017780B"/>
    <w:rsid w:val="001804CC"/>
    <w:rsid w:val="00183FC3"/>
    <w:rsid w:val="0018742C"/>
    <w:rsid w:val="00192188"/>
    <w:rsid w:val="001926CB"/>
    <w:rsid w:val="00192BE7"/>
    <w:rsid w:val="001A1A82"/>
    <w:rsid w:val="001A49BB"/>
    <w:rsid w:val="001A6779"/>
    <w:rsid w:val="001A6DD4"/>
    <w:rsid w:val="001B21BB"/>
    <w:rsid w:val="001B4544"/>
    <w:rsid w:val="001B4BFA"/>
    <w:rsid w:val="001B5D54"/>
    <w:rsid w:val="001B6ECE"/>
    <w:rsid w:val="001C0E5A"/>
    <w:rsid w:val="001C1403"/>
    <w:rsid w:val="001C1DDA"/>
    <w:rsid w:val="001C1E2D"/>
    <w:rsid w:val="001C35A2"/>
    <w:rsid w:val="001C7643"/>
    <w:rsid w:val="001D42CF"/>
    <w:rsid w:val="001D5084"/>
    <w:rsid w:val="001D7CDB"/>
    <w:rsid w:val="001E0AEC"/>
    <w:rsid w:val="001E3FEE"/>
    <w:rsid w:val="001E48E3"/>
    <w:rsid w:val="001E6859"/>
    <w:rsid w:val="00201C33"/>
    <w:rsid w:val="00204615"/>
    <w:rsid w:val="00204C34"/>
    <w:rsid w:val="00211C97"/>
    <w:rsid w:val="002123ED"/>
    <w:rsid w:val="00213D1F"/>
    <w:rsid w:val="002161F2"/>
    <w:rsid w:val="00216314"/>
    <w:rsid w:val="00216A5F"/>
    <w:rsid w:val="00217A17"/>
    <w:rsid w:val="0022076C"/>
    <w:rsid w:val="00225972"/>
    <w:rsid w:val="002300E2"/>
    <w:rsid w:val="0023095F"/>
    <w:rsid w:val="002326DA"/>
    <w:rsid w:val="0023461F"/>
    <w:rsid w:val="00234ED7"/>
    <w:rsid w:val="00236F0F"/>
    <w:rsid w:val="00243A88"/>
    <w:rsid w:val="00244146"/>
    <w:rsid w:val="00244EF6"/>
    <w:rsid w:val="00245753"/>
    <w:rsid w:val="00246A68"/>
    <w:rsid w:val="00250948"/>
    <w:rsid w:val="00250DDF"/>
    <w:rsid w:val="002555E8"/>
    <w:rsid w:val="00261927"/>
    <w:rsid w:val="002625D1"/>
    <w:rsid w:val="002653AB"/>
    <w:rsid w:val="00265582"/>
    <w:rsid w:val="002655B4"/>
    <w:rsid w:val="00266AD0"/>
    <w:rsid w:val="00267290"/>
    <w:rsid w:val="002713D3"/>
    <w:rsid w:val="0028587F"/>
    <w:rsid w:val="00286C8D"/>
    <w:rsid w:val="00290098"/>
    <w:rsid w:val="00291ACC"/>
    <w:rsid w:val="002933F7"/>
    <w:rsid w:val="00295155"/>
    <w:rsid w:val="0029546E"/>
    <w:rsid w:val="00296970"/>
    <w:rsid w:val="0029723A"/>
    <w:rsid w:val="002A2F96"/>
    <w:rsid w:val="002A30F4"/>
    <w:rsid w:val="002A3FC1"/>
    <w:rsid w:val="002A4301"/>
    <w:rsid w:val="002A7AD1"/>
    <w:rsid w:val="002B117C"/>
    <w:rsid w:val="002B1BF8"/>
    <w:rsid w:val="002B3948"/>
    <w:rsid w:val="002B4262"/>
    <w:rsid w:val="002B5360"/>
    <w:rsid w:val="002B630C"/>
    <w:rsid w:val="002B6367"/>
    <w:rsid w:val="002B70E3"/>
    <w:rsid w:val="002C1EDB"/>
    <w:rsid w:val="002C37BF"/>
    <w:rsid w:val="002C726B"/>
    <w:rsid w:val="002C7B04"/>
    <w:rsid w:val="002D05A6"/>
    <w:rsid w:val="002D0918"/>
    <w:rsid w:val="002D286C"/>
    <w:rsid w:val="002D35BD"/>
    <w:rsid w:val="002D3C26"/>
    <w:rsid w:val="002D662C"/>
    <w:rsid w:val="002D6E36"/>
    <w:rsid w:val="002D7B5D"/>
    <w:rsid w:val="002E06BF"/>
    <w:rsid w:val="002E1A8B"/>
    <w:rsid w:val="002E2602"/>
    <w:rsid w:val="002E3499"/>
    <w:rsid w:val="002E7A5E"/>
    <w:rsid w:val="002F0418"/>
    <w:rsid w:val="002F1360"/>
    <w:rsid w:val="002F2C88"/>
    <w:rsid w:val="002F306E"/>
    <w:rsid w:val="002F34C3"/>
    <w:rsid w:val="002F7149"/>
    <w:rsid w:val="00301119"/>
    <w:rsid w:val="00306FAB"/>
    <w:rsid w:val="00307FAD"/>
    <w:rsid w:val="00310F8D"/>
    <w:rsid w:val="00312947"/>
    <w:rsid w:val="00315519"/>
    <w:rsid w:val="00315817"/>
    <w:rsid w:val="00316ECA"/>
    <w:rsid w:val="00317A47"/>
    <w:rsid w:val="00320E36"/>
    <w:rsid w:val="00321C52"/>
    <w:rsid w:val="003244F5"/>
    <w:rsid w:val="0032756D"/>
    <w:rsid w:val="00327DBC"/>
    <w:rsid w:val="00331B9F"/>
    <w:rsid w:val="00333171"/>
    <w:rsid w:val="003345FD"/>
    <w:rsid w:val="00335794"/>
    <w:rsid w:val="003370E4"/>
    <w:rsid w:val="003376A2"/>
    <w:rsid w:val="00337815"/>
    <w:rsid w:val="003425B1"/>
    <w:rsid w:val="003476CF"/>
    <w:rsid w:val="00347E60"/>
    <w:rsid w:val="00353CEB"/>
    <w:rsid w:val="003550BD"/>
    <w:rsid w:val="00356E87"/>
    <w:rsid w:val="003608C2"/>
    <w:rsid w:val="00361CC6"/>
    <w:rsid w:val="003637F7"/>
    <w:rsid w:val="0036592A"/>
    <w:rsid w:val="0036668A"/>
    <w:rsid w:val="00367512"/>
    <w:rsid w:val="00367986"/>
    <w:rsid w:val="003734E9"/>
    <w:rsid w:val="00381AFE"/>
    <w:rsid w:val="00381B34"/>
    <w:rsid w:val="003834D4"/>
    <w:rsid w:val="00385115"/>
    <w:rsid w:val="003915C8"/>
    <w:rsid w:val="00394DCB"/>
    <w:rsid w:val="003968E3"/>
    <w:rsid w:val="003A553B"/>
    <w:rsid w:val="003A73C1"/>
    <w:rsid w:val="003A75B8"/>
    <w:rsid w:val="003B1F82"/>
    <w:rsid w:val="003B29FA"/>
    <w:rsid w:val="003C048E"/>
    <w:rsid w:val="003C2474"/>
    <w:rsid w:val="003C3634"/>
    <w:rsid w:val="003C5147"/>
    <w:rsid w:val="003C612B"/>
    <w:rsid w:val="003C7DD4"/>
    <w:rsid w:val="003D78B3"/>
    <w:rsid w:val="003D7E39"/>
    <w:rsid w:val="003E01F0"/>
    <w:rsid w:val="003E09B9"/>
    <w:rsid w:val="003E27EF"/>
    <w:rsid w:val="003E4D59"/>
    <w:rsid w:val="003E7CCA"/>
    <w:rsid w:val="003F0496"/>
    <w:rsid w:val="003F234A"/>
    <w:rsid w:val="003F28AE"/>
    <w:rsid w:val="003F3B8E"/>
    <w:rsid w:val="003F660D"/>
    <w:rsid w:val="003F6A10"/>
    <w:rsid w:val="003F6A69"/>
    <w:rsid w:val="004018A8"/>
    <w:rsid w:val="0040729C"/>
    <w:rsid w:val="00407A86"/>
    <w:rsid w:val="00410C85"/>
    <w:rsid w:val="00411F6A"/>
    <w:rsid w:val="00412D5F"/>
    <w:rsid w:val="00414B26"/>
    <w:rsid w:val="004170DA"/>
    <w:rsid w:val="00420AEA"/>
    <w:rsid w:val="004215CB"/>
    <w:rsid w:val="00423E58"/>
    <w:rsid w:val="0042475E"/>
    <w:rsid w:val="0042542F"/>
    <w:rsid w:val="00427569"/>
    <w:rsid w:val="00432F64"/>
    <w:rsid w:val="00434AC8"/>
    <w:rsid w:val="004351F1"/>
    <w:rsid w:val="00443699"/>
    <w:rsid w:val="00443721"/>
    <w:rsid w:val="004442B5"/>
    <w:rsid w:val="004446EC"/>
    <w:rsid w:val="0044477B"/>
    <w:rsid w:val="00445A46"/>
    <w:rsid w:val="00447D48"/>
    <w:rsid w:val="004500E3"/>
    <w:rsid w:val="00452F51"/>
    <w:rsid w:val="00454203"/>
    <w:rsid w:val="0045574F"/>
    <w:rsid w:val="00465A27"/>
    <w:rsid w:val="00465B5A"/>
    <w:rsid w:val="00466D80"/>
    <w:rsid w:val="00467158"/>
    <w:rsid w:val="00472535"/>
    <w:rsid w:val="00472D38"/>
    <w:rsid w:val="004768EA"/>
    <w:rsid w:val="00480B5A"/>
    <w:rsid w:val="00480BE2"/>
    <w:rsid w:val="0048179B"/>
    <w:rsid w:val="00484264"/>
    <w:rsid w:val="004844B9"/>
    <w:rsid w:val="00484D67"/>
    <w:rsid w:val="00490D81"/>
    <w:rsid w:val="004935C6"/>
    <w:rsid w:val="00493852"/>
    <w:rsid w:val="00496147"/>
    <w:rsid w:val="004965A8"/>
    <w:rsid w:val="004969CA"/>
    <w:rsid w:val="004A11F5"/>
    <w:rsid w:val="004A1A5E"/>
    <w:rsid w:val="004A2554"/>
    <w:rsid w:val="004A26CC"/>
    <w:rsid w:val="004A2DB8"/>
    <w:rsid w:val="004A306B"/>
    <w:rsid w:val="004A5407"/>
    <w:rsid w:val="004A693F"/>
    <w:rsid w:val="004B1A7A"/>
    <w:rsid w:val="004B5EB2"/>
    <w:rsid w:val="004B69AE"/>
    <w:rsid w:val="004B720B"/>
    <w:rsid w:val="004B73DF"/>
    <w:rsid w:val="004C01E2"/>
    <w:rsid w:val="004C0CEA"/>
    <w:rsid w:val="004C0F44"/>
    <w:rsid w:val="004C6349"/>
    <w:rsid w:val="004C6708"/>
    <w:rsid w:val="004C6ABA"/>
    <w:rsid w:val="004D0F5C"/>
    <w:rsid w:val="004D162B"/>
    <w:rsid w:val="004D2FE6"/>
    <w:rsid w:val="004D3C55"/>
    <w:rsid w:val="004D3F71"/>
    <w:rsid w:val="004D5909"/>
    <w:rsid w:val="004D6D35"/>
    <w:rsid w:val="004E1884"/>
    <w:rsid w:val="004E5051"/>
    <w:rsid w:val="004F3A32"/>
    <w:rsid w:val="004F517E"/>
    <w:rsid w:val="004F7559"/>
    <w:rsid w:val="004F7BCE"/>
    <w:rsid w:val="00501B6F"/>
    <w:rsid w:val="00505135"/>
    <w:rsid w:val="00506C0E"/>
    <w:rsid w:val="00506CAC"/>
    <w:rsid w:val="0051013B"/>
    <w:rsid w:val="005105AD"/>
    <w:rsid w:val="00511141"/>
    <w:rsid w:val="005111E3"/>
    <w:rsid w:val="0051164B"/>
    <w:rsid w:val="00512701"/>
    <w:rsid w:val="005133EE"/>
    <w:rsid w:val="00514058"/>
    <w:rsid w:val="00514FD9"/>
    <w:rsid w:val="0051544C"/>
    <w:rsid w:val="0051630B"/>
    <w:rsid w:val="00517A42"/>
    <w:rsid w:val="0052200F"/>
    <w:rsid w:val="0052531A"/>
    <w:rsid w:val="00525321"/>
    <w:rsid w:val="00525401"/>
    <w:rsid w:val="00525F7E"/>
    <w:rsid w:val="00527ED9"/>
    <w:rsid w:val="00530F1B"/>
    <w:rsid w:val="005310D4"/>
    <w:rsid w:val="00535864"/>
    <w:rsid w:val="00536DE2"/>
    <w:rsid w:val="005401C2"/>
    <w:rsid w:val="00541F8C"/>
    <w:rsid w:val="00544E0D"/>
    <w:rsid w:val="0054636A"/>
    <w:rsid w:val="0055047A"/>
    <w:rsid w:val="00550CB2"/>
    <w:rsid w:val="0055424C"/>
    <w:rsid w:val="00557D36"/>
    <w:rsid w:val="00560E39"/>
    <w:rsid w:val="0056319D"/>
    <w:rsid w:val="00563998"/>
    <w:rsid w:val="005648EE"/>
    <w:rsid w:val="00564E6A"/>
    <w:rsid w:val="00565843"/>
    <w:rsid w:val="00566363"/>
    <w:rsid w:val="0057037A"/>
    <w:rsid w:val="005705F6"/>
    <w:rsid w:val="00575E20"/>
    <w:rsid w:val="0058321C"/>
    <w:rsid w:val="00585D26"/>
    <w:rsid w:val="00585DBB"/>
    <w:rsid w:val="00587FDB"/>
    <w:rsid w:val="00591009"/>
    <w:rsid w:val="00591BA3"/>
    <w:rsid w:val="00591D8A"/>
    <w:rsid w:val="00592383"/>
    <w:rsid w:val="0059541A"/>
    <w:rsid w:val="005974B5"/>
    <w:rsid w:val="005A0C3C"/>
    <w:rsid w:val="005A1132"/>
    <w:rsid w:val="005A33C7"/>
    <w:rsid w:val="005A546E"/>
    <w:rsid w:val="005A571A"/>
    <w:rsid w:val="005A63FC"/>
    <w:rsid w:val="005A6632"/>
    <w:rsid w:val="005B0C6A"/>
    <w:rsid w:val="005B174C"/>
    <w:rsid w:val="005B2A9D"/>
    <w:rsid w:val="005B2DB1"/>
    <w:rsid w:val="005B311F"/>
    <w:rsid w:val="005B31C1"/>
    <w:rsid w:val="005B40FE"/>
    <w:rsid w:val="005B618A"/>
    <w:rsid w:val="005B7C6B"/>
    <w:rsid w:val="005C25B4"/>
    <w:rsid w:val="005C3AC3"/>
    <w:rsid w:val="005C4335"/>
    <w:rsid w:val="005C442D"/>
    <w:rsid w:val="005D63C4"/>
    <w:rsid w:val="005D66DC"/>
    <w:rsid w:val="005D7775"/>
    <w:rsid w:val="005E3190"/>
    <w:rsid w:val="005E46C4"/>
    <w:rsid w:val="005E665D"/>
    <w:rsid w:val="005F14BE"/>
    <w:rsid w:val="005F4507"/>
    <w:rsid w:val="005F55AB"/>
    <w:rsid w:val="005F7FD9"/>
    <w:rsid w:val="00602C8F"/>
    <w:rsid w:val="00602D3B"/>
    <w:rsid w:val="00606F89"/>
    <w:rsid w:val="00610732"/>
    <w:rsid w:val="006121F8"/>
    <w:rsid w:val="0061314E"/>
    <w:rsid w:val="00613FA1"/>
    <w:rsid w:val="00617F6A"/>
    <w:rsid w:val="0062067D"/>
    <w:rsid w:val="00624A4C"/>
    <w:rsid w:val="00624FE6"/>
    <w:rsid w:val="00625B5C"/>
    <w:rsid w:val="00626155"/>
    <w:rsid w:val="00626D7E"/>
    <w:rsid w:val="00627FBE"/>
    <w:rsid w:val="00630B6B"/>
    <w:rsid w:val="00631358"/>
    <w:rsid w:val="00634426"/>
    <w:rsid w:val="0063600D"/>
    <w:rsid w:val="006414A0"/>
    <w:rsid w:val="00641FCB"/>
    <w:rsid w:val="00642BEF"/>
    <w:rsid w:val="0064423F"/>
    <w:rsid w:val="00644F3F"/>
    <w:rsid w:val="00646584"/>
    <w:rsid w:val="00647B14"/>
    <w:rsid w:val="00647D14"/>
    <w:rsid w:val="00650E54"/>
    <w:rsid w:val="00652CF9"/>
    <w:rsid w:val="006561B4"/>
    <w:rsid w:val="00656304"/>
    <w:rsid w:val="00661826"/>
    <w:rsid w:val="006642D2"/>
    <w:rsid w:val="00664FCA"/>
    <w:rsid w:val="006712D4"/>
    <w:rsid w:val="00671860"/>
    <w:rsid w:val="00671BB0"/>
    <w:rsid w:val="006734C0"/>
    <w:rsid w:val="0067515E"/>
    <w:rsid w:val="00676938"/>
    <w:rsid w:val="006846BC"/>
    <w:rsid w:val="00687F05"/>
    <w:rsid w:val="006903FA"/>
    <w:rsid w:val="00691021"/>
    <w:rsid w:val="00692CFD"/>
    <w:rsid w:val="0069631E"/>
    <w:rsid w:val="00697F4D"/>
    <w:rsid w:val="006A0282"/>
    <w:rsid w:val="006A08AF"/>
    <w:rsid w:val="006A5AA9"/>
    <w:rsid w:val="006B3AD2"/>
    <w:rsid w:val="006C3129"/>
    <w:rsid w:val="006C4BD5"/>
    <w:rsid w:val="006D2CCA"/>
    <w:rsid w:val="006D5C5C"/>
    <w:rsid w:val="006D5F77"/>
    <w:rsid w:val="006D66DD"/>
    <w:rsid w:val="006D7E56"/>
    <w:rsid w:val="006E5396"/>
    <w:rsid w:val="006E6346"/>
    <w:rsid w:val="006F2A89"/>
    <w:rsid w:val="00702E95"/>
    <w:rsid w:val="00705B5E"/>
    <w:rsid w:val="00706058"/>
    <w:rsid w:val="00706556"/>
    <w:rsid w:val="00710006"/>
    <w:rsid w:val="007110DD"/>
    <w:rsid w:val="00711CD0"/>
    <w:rsid w:val="007150FF"/>
    <w:rsid w:val="007163EE"/>
    <w:rsid w:val="007175EB"/>
    <w:rsid w:val="00717C09"/>
    <w:rsid w:val="007257FF"/>
    <w:rsid w:val="00725BC4"/>
    <w:rsid w:val="00732CE9"/>
    <w:rsid w:val="00735AC5"/>
    <w:rsid w:val="0073617B"/>
    <w:rsid w:val="00736E87"/>
    <w:rsid w:val="00740006"/>
    <w:rsid w:val="007459A6"/>
    <w:rsid w:val="00751D82"/>
    <w:rsid w:val="007522ED"/>
    <w:rsid w:val="00754666"/>
    <w:rsid w:val="00756093"/>
    <w:rsid w:val="007603C0"/>
    <w:rsid w:val="00762436"/>
    <w:rsid w:val="00765C6C"/>
    <w:rsid w:val="00765CFF"/>
    <w:rsid w:val="00765F6E"/>
    <w:rsid w:val="00767959"/>
    <w:rsid w:val="00774CD9"/>
    <w:rsid w:val="0077540C"/>
    <w:rsid w:val="00780019"/>
    <w:rsid w:val="00780707"/>
    <w:rsid w:val="0078206B"/>
    <w:rsid w:val="007827DF"/>
    <w:rsid w:val="007837BF"/>
    <w:rsid w:val="007856C9"/>
    <w:rsid w:val="00785E5B"/>
    <w:rsid w:val="00785F45"/>
    <w:rsid w:val="00786D26"/>
    <w:rsid w:val="0079307A"/>
    <w:rsid w:val="007933E9"/>
    <w:rsid w:val="00795B88"/>
    <w:rsid w:val="00797A7F"/>
    <w:rsid w:val="007A0795"/>
    <w:rsid w:val="007A1EBB"/>
    <w:rsid w:val="007A1FB3"/>
    <w:rsid w:val="007A2747"/>
    <w:rsid w:val="007A3E06"/>
    <w:rsid w:val="007A7C57"/>
    <w:rsid w:val="007B124F"/>
    <w:rsid w:val="007B2C5E"/>
    <w:rsid w:val="007B38D6"/>
    <w:rsid w:val="007B7249"/>
    <w:rsid w:val="007C1C51"/>
    <w:rsid w:val="007C311A"/>
    <w:rsid w:val="007C6C90"/>
    <w:rsid w:val="007C6FFC"/>
    <w:rsid w:val="007C74AD"/>
    <w:rsid w:val="007D065F"/>
    <w:rsid w:val="007D1EC0"/>
    <w:rsid w:val="007D3AEF"/>
    <w:rsid w:val="007D4668"/>
    <w:rsid w:val="007D6AE6"/>
    <w:rsid w:val="007D6E3E"/>
    <w:rsid w:val="007D724F"/>
    <w:rsid w:val="007E175D"/>
    <w:rsid w:val="007E4113"/>
    <w:rsid w:val="007F34AE"/>
    <w:rsid w:val="007F3C2A"/>
    <w:rsid w:val="007F4A05"/>
    <w:rsid w:val="007F61B4"/>
    <w:rsid w:val="00800E83"/>
    <w:rsid w:val="00801283"/>
    <w:rsid w:val="00803EC9"/>
    <w:rsid w:val="0080499C"/>
    <w:rsid w:val="00804EC2"/>
    <w:rsid w:val="00807DF6"/>
    <w:rsid w:val="0081039B"/>
    <w:rsid w:val="0081136B"/>
    <w:rsid w:val="00813912"/>
    <w:rsid w:val="00816FC4"/>
    <w:rsid w:val="008226B2"/>
    <w:rsid w:val="0082285B"/>
    <w:rsid w:val="00822ACD"/>
    <w:rsid w:val="00825CA2"/>
    <w:rsid w:val="00826EE4"/>
    <w:rsid w:val="00834F96"/>
    <w:rsid w:val="00836410"/>
    <w:rsid w:val="00840477"/>
    <w:rsid w:val="00840E2E"/>
    <w:rsid w:val="00842A29"/>
    <w:rsid w:val="00844FEB"/>
    <w:rsid w:val="0084666C"/>
    <w:rsid w:val="0085174E"/>
    <w:rsid w:val="00854C7B"/>
    <w:rsid w:val="00857900"/>
    <w:rsid w:val="008614D5"/>
    <w:rsid w:val="008616E7"/>
    <w:rsid w:val="00862CE0"/>
    <w:rsid w:val="00862DB7"/>
    <w:rsid w:val="00863D3E"/>
    <w:rsid w:val="0086437A"/>
    <w:rsid w:val="0086631B"/>
    <w:rsid w:val="00870D24"/>
    <w:rsid w:val="00872779"/>
    <w:rsid w:val="00873EC7"/>
    <w:rsid w:val="008746E5"/>
    <w:rsid w:val="00875181"/>
    <w:rsid w:val="00877582"/>
    <w:rsid w:val="008820FB"/>
    <w:rsid w:val="008869DD"/>
    <w:rsid w:val="0089607C"/>
    <w:rsid w:val="00896C18"/>
    <w:rsid w:val="00896FCC"/>
    <w:rsid w:val="00897415"/>
    <w:rsid w:val="008A6267"/>
    <w:rsid w:val="008A78CA"/>
    <w:rsid w:val="008B5C09"/>
    <w:rsid w:val="008C2535"/>
    <w:rsid w:val="008C3376"/>
    <w:rsid w:val="008C3468"/>
    <w:rsid w:val="008C4623"/>
    <w:rsid w:val="008C4FC9"/>
    <w:rsid w:val="008D001F"/>
    <w:rsid w:val="008D1BE8"/>
    <w:rsid w:val="008E0A4C"/>
    <w:rsid w:val="008E2E6A"/>
    <w:rsid w:val="008E3DE6"/>
    <w:rsid w:val="008E42C7"/>
    <w:rsid w:val="008E5024"/>
    <w:rsid w:val="008E569B"/>
    <w:rsid w:val="008E5EA2"/>
    <w:rsid w:val="008E6C78"/>
    <w:rsid w:val="008E7371"/>
    <w:rsid w:val="008E7712"/>
    <w:rsid w:val="008E7FEA"/>
    <w:rsid w:val="008F0565"/>
    <w:rsid w:val="008F12F6"/>
    <w:rsid w:val="008F4EF5"/>
    <w:rsid w:val="008F537B"/>
    <w:rsid w:val="008F595C"/>
    <w:rsid w:val="00900792"/>
    <w:rsid w:val="00900E15"/>
    <w:rsid w:val="00903395"/>
    <w:rsid w:val="009052B1"/>
    <w:rsid w:val="00905E55"/>
    <w:rsid w:val="009127E9"/>
    <w:rsid w:val="0091461C"/>
    <w:rsid w:val="00914D76"/>
    <w:rsid w:val="00915393"/>
    <w:rsid w:val="009154E9"/>
    <w:rsid w:val="00917937"/>
    <w:rsid w:val="00921D08"/>
    <w:rsid w:val="00922A96"/>
    <w:rsid w:val="00924CDC"/>
    <w:rsid w:val="0092735B"/>
    <w:rsid w:val="00930C19"/>
    <w:rsid w:val="00932743"/>
    <w:rsid w:val="009338F6"/>
    <w:rsid w:val="009427BD"/>
    <w:rsid w:val="00944C7E"/>
    <w:rsid w:val="00946246"/>
    <w:rsid w:val="0094796B"/>
    <w:rsid w:val="00950B98"/>
    <w:rsid w:val="00957A50"/>
    <w:rsid w:val="00962987"/>
    <w:rsid w:val="00963EBC"/>
    <w:rsid w:val="00964846"/>
    <w:rsid w:val="00965C11"/>
    <w:rsid w:val="00965DFD"/>
    <w:rsid w:val="00972778"/>
    <w:rsid w:val="00972FCD"/>
    <w:rsid w:val="00977F3F"/>
    <w:rsid w:val="00980C01"/>
    <w:rsid w:val="00981672"/>
    <w:rsid w:val="009816F1"/>
    <w:rsid w:val="009840B3"/>
    <w:rsid w:val="009847B0"/>
    <w:rsid w:val="009849E8"/>
    <w:rsid w:val="00987093"/>
    <w:rsid w:val="009965F8"/>
    <w:rsid w:val="00996EC9"/>
    <w:rsid w:val="00997004"/>
    <w:rsid w:val="009A012B"/>
    <w:rsid w:val="009A0461"/>
    <w:rsid w:val="009A0EAC"/>
    <w:rsid w:val="009A2AFB"/>
    <w:rsid w:val="009B22F7"/>
    <w:rsid w:val="009B3DD1"/>
    <w:rsid w:val="009C0F49"/>
    <w:rsid w:val="009C4DAD"/>
    <w:rsid w:val="009C6051"/>
    <w:rsid w:val="009D046D"/>
    <w:rsid w:val="009D0DD8"/>
    <w:rsid w:val="009D12BF"/>
    <w:rsid w:val="009D150B"/>
    <w:rsid w:val="009D214B"/>
    <w:rsid w:val="009D76EF"/>
    <w:rsid w:val="009D7F40"/>
    <w:rsid w:val="009E00D1"/>
    <w:rsid w:val="009E2E10"/>
    <w:rsid w:val="009E3557"/>
    <w:rsid w:val="009E3D71"/>
    <w:rsid w:val="009E4206"/>
    <w:rsid w:val="009E67BD"/>
    <w:rsid w:val="009F2245"/>
    <w:rsid w:val="009F25DA"/>
    <w:rsid w:val="009F2B69"/>
    <w:rsid w:val="009F478F"/>
    <w:rsid w:val="009F4922"/>
    <w:rsid w:val="009F5B3B"/>
    <w:rsid w:val="009F61C0"/>
    <w:rsid w:val="009F7A7F"/>
    <w:rsid w:val="00A01B49"/>
    <w:rsid w:val="00A102EB"/>
    <w:rsid w:val="00A119FD"/>
    <w:rsid w:val="00A11A18"/>
    <w:rsid w:val="00A13B50"/>
    <w:rsid w:val="00A163E9"/>
    <w:rsid w:val="00A17C2A"/>
    <w:rsid w:val="00A20384"/>
    <w:rsid w:val="00A2179D"/>
    <w:rsid w:val="00A23604"/>
    <w:rsid w:val="00A23969"/>
    <w:rsid w:val="00A25419"/>
    <w:rsid w:val="00A26972"/>
    <w:rsid w:val="00A303EE"/>
    <w:rsid w:val="00A30C55"/>
    <w:rsid w:val="00A35B73"/>
    <w:rsid w:val="00A37144"/>
    <w:rsid w:val="00A37B98"/>
    <w:rsid w:val="00A42CF8"/>
    <w:rsid w:val="00A45A32"/>
    <w:rsid w:val="00A51D39"/>
    <w:rsid w:val="00A529D0"/>
    <w:rsid w:val="00A54751"/>
    <w:rsid w:val="00A54B3F"/>
    <w:rsid w:val="00A624C2"/>
    <w:rsid w:val="00A626CD"/>
    <w:rsid w:val="00A62C14"/>
    <w:rsid w:val="00A65C27"/>
    <w:rsid w:val="00A66C10"/>
    <w:rsid w:val="00A70981"/>
    <w:rsid w:val="00A73964"/>
    <w:rsid w:val="00A75B53"/>
    <w:rsid w:val="00A7670B"/>
    <w:rsid w:val="00A776BA"/>
    <w:rsid w:val="00A77AA9"/>
    <w:rsid w:val="00A80730"/>
    <w:rsid w:val="00A81766"/>
    <w:rsid w:val="00A83FCC"/>
    <w:rsid w:val="00A869FE"/>
    <w:rsid w:val="00A87128"/>
    <w:rsid w:val="00A9191F"/>
    <w:rsid w:val="00A91E0D"/>
    <w:rsid w:val="00A94BD8"/>
    <w:rsid w:val="00AA343D"/>
    <w:rsid w:val="00AA44F2"/>
    <w:rsid w:val="00AA4B3F"/>
    <w:rsid w:val="00AA4F0C"/>
    <w:rsid w:val="00AA6A64"/>
    <w:rsid w:val="00AA75C9"/>
    <w:rsid w:val="00AB04E4"/>
    <w:rsid w:val="00AB077A"/>
    <w:rsid w:val="00AC07BC"/>
    <w:rsid w:val="00AC1628"/>
    <w:rsid w:val="00AC1DEE"/>
    <w:rsid w:val="00AC73FC"/>
    <w:rsid w:val="00AD0568"/>
    <w:rsid w:val="00AD08AA"/>
    <w:rsid w:val="00AD2E8A"/>
    <w:rsid w:val="00AD64E0"/>
    <w:rsid w:val="00AD7CC6"/>
    <w:rsid w:val="00AE1156"/>
    <w:rsid w:val="00AE1E21"/>
    <w:rsid w:val="00AE427C"/>
    <w:rsid w:val="00AE4E43"/>
    <w:rsid w:val="00AF1013"/>
    <w:rsid w:val="00AF4665"/>
    <w:rsid w:val="00AF7105"/>
    <w:rsid w:val="00B0298C"/>
    <w:rsid w:val="00B05801"/>
    <w:rsid w:val="00B06F44"/>
    <w:rsid w:val="00B14312"/>
    <w:rsid w:val="00B15392"/>
    <w:rsid w:val="00B165D1"/>
    <w:rsid w:val="00B17289"/>
    <w:rsid w:val="00B17988"/>
    <w:rsid w:val="00B216C7"/>
    <w:rsid w:val="00B227FC"/>
    <w:rsid w:val="00B23C80"/>
    <w:rsid w:val="00B23D00"/>
    <w:rsid w:val="00B247DB"/>
    <w:rsid w:val="00B25F29"/>
    <w:rsid w:val="00B27261"/>
    <w:rsid w:val="00B31DC8"/>
    <w:rsid w:val="00B37F1F"/>
    <w:rsid w:val="00B416BE"/>
    <w:rsid w:val="00B422BB"/>
    <w:rsid w:val="00B422E1"/>
    <w:rsid w:val="00B457F2"/>
    <w:rsid w:val="00B46F88"/>
    <w:rsid w:val="00B510ED"/>
    <w:rsid w:val="00B54945"/>
    <w:rsid w:val="00B576B2"/>
    <w:rsid w:val="00B60CD6"/>
    <w:rsid w:val="00B60ECF"/>
    <w:rsid w:val="00B62436"/>
    <w:rsid w:val="00B71237"/>
    <w:rsid w:val="00B71548"/>
    <w:rsid w:val="00B72504"/>
    <w:rsid w:val="00B72F1C"/>
    <w:rsid w:val="00B732DE"/>
    <w:rsid w:val="00B73BDC"/>
    <w:rsid w:val="00B7446D"/>
    <w:rsid w:val="00B81EA9"/>
    <w:rsid w:val="00B82674"/>
    <w:rsid w:val="00B91BE6"/>
    <w:rsid w:val="00B92C04"/>
    <w:rsid w:val="00B92C89"/>
    <w:rsid w:val="00B9504D"/>
    <w:rsid w:val="00B95970"/>
    <w:rsid w:val="00B962BC"/>
    <w:rsid w:val="00B96F72"/>
    <w:rsid w:val="00B96FBA"/>
    <w:rsid w:val="00BA21AD"/>
    <w:rsid w:val="00BA3286"/>
    <w:rsid w:val="00BA45F6"/>
    <w:rsid w:val="00BA50FD"/>
    <w:rsid w:val="00BA5BDA"/>
    <w:rsid w:val="00BA6533"/>
    <w:rsid w:val="00BA77D1"/>
    <w:rsid w:val="00BB29F6"/>
    <w:rsid w:val="00BC42B5"/>
    <w:rsid w:val="00BC52A5"/>
    <w:rsid w:val="00BC6632"/>
    <w:rsid w:val="00BC7625"/>
    <w:rsid w:val="00BD175F"/>
    <w:rsid w:val="00BD41F7"/>
    <w:rsid w:val="00BD422D"/>
    <w:rsid w:val="00BD7077"/>
    <w:rsid w:val="00BE0EE6"/>
    <w:rsid w:val="00BE334B"/>
    <w:rsid w:val="00BE3D39"/>
    <w:rsid w:val="00BE474D"/>
    <w:rsid w:val="00BE7451"/>
    <w:rsid w:val="00BE7B16"/>
    <w:rsid w:val="00BF02F7"/>
    <w:rsid w:val="00BF4810"/>
    <w:rsid w:val="00BF4DF2"/>
    <w:rsid w:val="00BF4DF4"/>
    <w:rsid w:val="00BF6779"/>
    <w:rsid w:val="00BF7071"/>
    <w:rsid w:val="00BF7120"/>
    <w:rsid w:val="00C023EB"/>
    <w:rsid w:val="00C02B51"/>
    <w:rsid w:val="00C05DCC"/>
    <w:rsid w:val="00C11637"/>
    <w:rsid w:val="00C17A9E"/>
    <w:rsid w:val="00C17B0A"/>
    <w:rsid w:val="00C20778"/>
    <w:rsid w:val="00C20CD3"/>
    <w:rsid w:val="00C21152"/>
    <w:rsid w:val="00C2254D"/>
    <w:rsid w:val="00C23BB1"/>
    <w:rsid w:val="00C249DE"/>
    <w:rsid w:val="00C2516E"/>
    <w:rsid w:val="00C30B8F"/>
    <w:rsid w:val="00C343F7"/>
    <w:rsid w:val="00C353AF"/>
    <w:rsid w:val="00C42BB9"/>
    <w:rsid w:val="00C47BB1"/>
    <w:rsid w:val="00C500C6"/>
    <w:rsid w:val="00C510AD"/>
    <w:rsid w:val="00C511C1"/>
    <w:rsid w:val="00C52376"/>
    <w:rsid w:val="00C526DB"/>
    <w:rsid w:val="00C5740A"/>
    <w:rsid w:val="00C605AF"/>
    <w:rsid w:val="00C71028"/>
    <w:rsid w:val="00C71AAE"/>
    <w:rsid w:val="00C725FA"/>
    <w:rsid w:val="00C72C58"/>
    <w:rsid w:val="00C8076D"/>
    <w:rsid w:val="00C829BA"/>
    <w:rsid w:val="00C85A4A"/>
    <w:rsid w:val="00C86867"/>
    <w:rsid w:val="00C8765C"/>
    <w:rsid w:val="00C917D6"/>
    <w:rsid w:val="00CA3C1E"/>
    <w:rsid w:val="00CA5F8B"/>
    <w:rsid w:val="00CA6333"/>
    <w:rsid w:val="00CB0B44"/>
    <w:rsid w:val="00CB0EA8"/>
    <w:rsid w:val="00CB1AE2"/>
    <w:rsid w:val="00CB1B53"/>
    <w:rsid w:val="00CB37E2"/>
    <w:rsid w:val="00CB6C53"/>
    <w:rsid w:val="00CC3ABF"/>
    <w:rsid w:val="00CC4AEE"/>
    <w:rsid w:val="00CC6D83"/>
    <w:rsid w:val="00CC7695"/>
    <w:rsid w:val="00CD0941"/>
    <w:rsid w:val="00CD44EE"/>
    <w:rsid w:val="00CD5593"/>
    <w:rsid w:val="00CD6702"/>
    <w:rsid w:val="00CD6E60"/>
    <w:rsid w:val="00CD6F6A"/>
    <w:rsid w:val="00CE2E8E"/>
    <w:rsid w:val="00CE5C70"/>
    <w:rsid w:val="00CE7232"/>
    <w:rsid w:val="00CF019D"/>
    <w:rsid w:val="00CF08FC"/>
    <w:rsid w:val="00CF6FB5"/>
    <w:rsid w:val="00D02EC1"/>
    <w:rsid w:val="00D04226"/>
    <w:rsid w:val="00D147A6"/>
    <w:rsid w:val="00D16575"/>
    <w:rsid w:val="00D17C6C"/>
    <w:rsid w:val="00D25589"/>
    <w:rsid w:val="00D26FE0"/>
    <w:rsid w:val="00D33A80"/>
    <w:rsid w:val="00D35144"/>
    <w:rsid w:val="00D3570E"/>
    <w:rsid w:val="00D372B5"/>
    <w:rsid w:val="00D4150B"/>
    <w:rsid w:val="00D41FE9"/>
    <w:rsid w:val="00D4423D"/>
    <w:rsid w:val="00D45704"/>
    <w:rsid w:val="00D47946"/>
    <w:rsid w:val="00D5049B"/>
    <w:rsid w:val="00D51BED"/>
    <w:rsid w:val="00D5286A"/>
    <w:rsid w:val="00D53D8D"/>
    <w:rsid w:val="00D540BE"/>
    <w:rsid w:val="00D55683"/>
    <w:rsid w:val="00D62C6D"/>
    <w:rsid w:val="00D63184"/>
    <w:rsid w:val="00D670B7"/>
    <w:rsid w:val="00D70933"/>
    <w:rsid w:val="00D70E4C"/>
    <w:rsid w:val="00D723B8"/>
    <w:rsid w:val="00D7376E"/>
    <w:rsid w:val="00D74643"/>
    <w:rsid w:val="00D82D56"/>
    <w:rsid w:val="00D83146"/>
    <w:rsid w:val="00D837C9"/>
    <w:rsid w:val="00D85C8B"/>
    <w:rsid w:val="00D86E45"/>
    <w:rsid w:val="00D87D21"/>
    <w:rsid w:val="00D9021A"/>
    <w:rsid w:val="00D91DA8"/>
    <w:rsid w:val="00D92070"/>
    <w:rsid w:val="00D92B89"/>
    <w:rsid w:val="00D96AA2"/>
    <w:rsid w:val="00D975CB"/>
    <w:rsid w:val="00DA0DB3"/>
    <w:rsid w:val="00DA1DFD"/>
    <w:rsid w:val="00DA38FC"/>
    <w:rsid w:val="00DB16EE"/>
    <w:rsid w:val="00DB1EDE"/>
    <w:rsid w:val="00DB239F"/>
    <w:rsid w:val="00DB2DD2"/>
    <w:rsid w:val="00DB3BD8"/>
    <w:rsid w:val="00DB5A2D"/>
    <w:rsid w:val="00DB6D2A"/>
    <w:rsid w:val="00DB6D34"/>
    <w:rsid w:val="00DB6EDC"/>
    <w:rsid w:val="00DB6F9D"/>
    <w:rsid w:val="00DC0FE4"/>
    <w:rsid w:val="00DC3534"/>
    <w:rsid w:val="00DC4321"/>
    <w:rsid w:val="00DC495E"/>
    <w:rsid w:val="00DC5ADD"/>
    <w:rsid w:val="00DC7CFE"/>
    <w:rsid w:val="00DC7D37"/>
    <w:rsid w:val="00DD334A"/>
    <w:rsid w:val="00DD6BED"/>
    <w:rsid w:val="00DE3DB2"/>
    <w:rsid w:val="00DE626C"/>
    <w:rsid w:val="00DF2719"/>
    <w:rsid w:val="00DF3621"/>
    <w:rsid w:val="00DF6BF1"/>
    <w:rsid w:val="00DF76E4"/>
    <w:rsid w:val="00E003B4"/>
    <w:rsid w:val="00E01E06"/>
    <w:rsid w:val="00E0235C"/>
    <w:rsid w:val="00E0623B"/>
    <w:rsid w:val="00E06C6B"/>
    <w:rsid w:val="00E11036"/>
    <w:rsid w:val="00E13B57"/>
    <w:rsid w:val="00E14CC5"/>
    <w:rsid w:val="00E150D6"/>
    <w:rsid w:val="00E17915"/>
    <w:rsid w:val="00E21F6D"/>
    <w:rsid w:val="00E2530A"/>
    <w:rsid w:val="00E270C1"/>
    <w:rsid w:val="00E27C7A"/>
    <w:rsid w:val="00E30268"/>
    <w:rsid w:val="00E30A32"/>
    <w:rsid w:val="00E30C8C"/>
    <w:rsid w:val="00E31F7A"/>
    <w:rsid w:val="00E340D3"/>
    <w:rsid w:val="00E36268"/>
    <w:rsid w:val="00E43CC3"/>
    <w:rsid w:val="00E54D25"/>
    <w:rsid w:val="00E55D8F"/>
    <w:rsid w:val="00E56609"/>
    <w:rsid w:val="00E56D97"/>
    <w:rsid w:val="00E5728B"/>
    <w:rsid w:val="00E62CF5"/>
    <w:rsid w:val="00E63236"/>
    <w:rsid w:val="00E65E6C"/>
    <w:rsid w:val="00E700E5"/>
    <w:rsid w:val="00E7337D"/>
    <w:rsid w:val="00E73ADF"/>
    <w:rsid w:val="00E7679B"/>
    <w:rsid w:val="00E77D1D"/>
    <w:rsid w:val="00E855DA"/>
    <w:rsid w:val="00E85B5F"/>
    <w:rsid w:val="00E8709C"/>
    <w:rsid w:val="00E879F7"/>
    <w:rsid w:val="00E90820"/>
    <w:rsid w:val="00E93AF3"/>
    <w:rsid w:val="00EA2B2D"/>
    <w:rsid w:val="00EA47FA"/>
    <w:rsid w:val="00EB3DD7"/>
    <w:rsid w:val="00EB4897"/>
    <w:rsid w:val="00EB4C10"/>
    <w:rsid w:val="00EB79FE"/>
    <w:rsid w:val="00EB7ECE"/>
    <w:rsid w:val="00EC081D"/>
    <w:rsid w:val="00EC1D62"/>
    <w:rsid w:val="00EC44E5"/>
    <w:rsid w:val="00EC4642"/>
    <w:rsid w:val="00ED088D"/>
    <w:rsid w:val="00ED14F9"/>
    <w:rsid w:val="00ED2776"/>
    <w:rsid w:val="00ED61DC"/>
    <w:rsid w:val="00EE03EC"/>
    <w:rsid w:val="00EE2480"/>
    <w:rsid w:val="00EE33D3"/>
    <w:rsid w:val="00EE3DD8"/>
    <w:rsid w:val="00EE3F1A"/>
    <w:rsid w:val="00EE7DFB"/>
    <w:rsid w:val="00EF0498"/>
    <w:rsid w:val="00EF1D74"/>
    <w:rsid w:val="00EF2D34"/>
    <w:rsid w:val="00EF4DB8"/>
    <w:rsid w:val="00EF6F83"/>
    <w:rsid w:val="00EF7957"/>
    <w:rsid w:val="00F01B2F"/>
    <w:rsid w:val="00F02991"/>
    <w:rsid w:val="00F041AF"/>
    <w:rsid w:val="00F057D5"/>
    <w:rsid w:val="00F07F80"/>
    <w:rsid w:val="00F10B7A"/>
    <w:rsid w:val="00F139CE"/>
    <w:rsid w:val="00F14056"/>
    <w:rsid w:val="00F202FA"/>
    <w:rsid w:val="00F20E3B"/>
    <w:rsid w:val="00F20E53"/>
    <w:rsid w:val="00F228E5"/>
    <w:rsid w:val="00F24CE5"/>
    <w:rsid w:val="00F24D4D"/>
    <w:rsid w:val="00F2572F"/>
    <w:rsid w:val="00F26963"/>
    <w:rsid w:val="00F307C3"/>
    <w:rsid w:val="00F3089F"/>
    <w:rsid w:val="00F32A08"/>
    <w:rsid w:val="00F32A93"/>
    <w:rsid w:val="00F33BBB"/>
    <w:rsid w:val="00F33E94"/>
    <w:rsid w:val="00F352F3"/>
    <w:rsid w:val="00F444E6"/>
    <w:rsid w:val="00F45268"/>
    <w:rsid w:val="00F46B5E"/>
    <w:rsid w:val="00F46E14"/>
    <w:rsid w:val="00F50E2C"/>
    <w:rsid w:val="00F50F2B"/>
    <w:rsid w:val="00F522BB"/>
    <w:rsid w:val="00F57012"/>
    <w:rsid w:val="00F60381"/>
    <w:rsid w:val="00F606AF"/>
    <w:rsid w:val="00F613BA"/>
    <w:rsid w:val="00F64ED0"/>
    <w:rsid w:val="00F64FAD"/>
    <w:rsid w:val="00F66C35"/>
    <w:rsid w:val="00F704A5"/>
    <w:rsid w:val="00F7095F"/>
    <w:rsid w:val="00F71F65"/>
    <w:rsid w:val="00F73533"/>
    <w:rsid w:val="00F73637"/>
    <w:rsid w:val="00F74997"/>
    <w:rsid w:val="00F75BA1"/>
    <w:rsid w:val="00F77C10"/>
    <w:rsid w:val="00F81677"/>
    <w:rsid w:val="00F81AC6"/>
    <w:rsid w:val="00F81CA0"/>
    <w:rsid w:val="00F827D5"/>
    <w:rsid w:val="00F8619D"/>
    <w:rsid w:val="00F92356"/>
    <w:rsid w:val="00F95A92"/>
    <w:rsid w:val="00F962E9"/>
    <w:rsid w:val="00F968A4"/>
    <w:rsid w:val="00F97565"/>
    <w:rsid w:val="00FA3B11"/>
    <w:rsid w:val="00FA3CF0"/>
    <w:rsid w:val="00FA3DEF"/>
    <w:rsid w:val="00FA434A"/>
    <w:rsid w:val="00FA5146"/>
    <w:rsid w:val="00FB0E22"/>
    <w:rsid w:val="00FB2CDD"/>
    <w:rsid w:val="00FB2EF9"/>
    <w:rsid w:val="00FB7236"/>
    <w:rsid w:val="00FC00F3"/>
    <w:rsid w:val="00FC0C99"/>
    <w:rsid w:val="00FC100F"/>
    <w:rsid w:val="00FC2B05"/>
    <w:rsid w:val="00FC5AE4"/>
    <w:rsid w:val="00FC6FB4"/>
    <w:rsid w:val="00FD0928"/>
    <w:rsid w:val="00FD1668"/>
    <w:rsid w:val="00FD313D"/>
    <w:rsid w:val="00FD3480"/>
    <w:rsid w:val="00FD3C7A"/>
    <w:rsid w:val="00FD4156"/>
    <w:rsid w:val="00FD41AD"/>
    <w:rsid w:val="00FD5947"/>
    <w:rsid w:val="00FD6360"/>
    <w:rsid w:val="00FD7174"/>
    <w:rsid w:val="00FE01B0"/>
    <w:rsid w:val="00FE19E4"/>
    <w:rsid w:val="00FE467B"/>
    <w:rsid w:val="00FE4AE9"/>
    <w:rsid w:val="00FE4CDF"/>
    <w:rsid w:val="00FE53F3"/>
    <w:rsid w:val="00FE5F69"/>
    <w:rsid w:val="00FE7F6F"/>
    <w:rsid w:val="00FF5311"/>
    <w:rsid w:val="00FF77E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300E940E"/>
  <w15:docId w15:val="{48EF8876-98BF-4EEE-9306-0E5C7115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F049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5">
    <w:name w:val="heading 5"/>
    <w:basedOn w:val="a"/>
    <w:next w:val="a"/>
    <w:link w:val="50"/>
    <w:uiPriority w:val="9"/>
    <w:semiHidden/>
    <w:unhideWhenUsed/>
    <w:qFormat/>
    <w:rsid w:val="001A49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499"/>
    <w:pPr>
      <w:spacing w:after="0" w:line="240" w:lineRule="auto"/>
    </w:pPr>
    <w:rPr>
      <w:rFonts w:ascii="Tahoma" w:hAnsi="Tahoma" w:cs="Tahoma"/>
      <w:sz w:val="16"/>
      <w:szCs w:val="16"/>
    </w:rPr>
  </w:style>
  <w:style w:type="character" w:customStyle="1" w:styleId="a4">
    <w:name w:val="批注框文本 字符"/>
    <w:basedOn w:val="a0"/>
    <w:link w:val="a3"/>
    <w:uiPriority w:val="99"/>
    <w:semiHidden/>
    <w:rsid w:val="002E3499"/>
    <w:rPr>
      <w:rFonts w:ascii="Tahoma" w:hAnsi="Tahoma" w:cs="Tahoma"/>
      <w:sz w:val="16"/>
      <w:szCs w:val="16"/>
      <w:lang w:val="en-US"/>
    </w:rPr>
  </w:style>
  <w:style w:type="table" w:styleId="a5">
    <w:name w:val="Table Grid"/>
    <w:basedOn w:val="a1"/>
    <w:uiPriority w:val="59"/>
    <w:rsid w:val="00D7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F4DF2"/>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7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0">
    <w:name w:val="HTML 预设格式 字符"/>
    <w:basedOn w:val="a0"/>
    <w:link w:val="HTML"/>
    <w:uiPriority w:val="99"/>
    <w:semiHidden/>
    <w:rsid w:val="007F4A05"/>
    <w:rPr>
      <w:rFonts w:ascii="Courier New" w:eastAsia="Times New Roman" w:hAnsi="Courier New" w:cs="Courier New"/>
      <w:sz w:val="20"/>
      <w:szCs w:val="20"/>
      <w:lang w:eastAsia="es-ES"/>
    </w:rPr>
  </w:style>
  <w:style w:type="paragraph" w:styleId="a7">
    <w:name w:val="List Paragraph"/>
    <w:basedOn w:val="a"/>
    <w:uiPriority w:val="34"/>
    <w:qFormat/>
    <w:rsid w:val="005B311F"/>
    <w:pPr>
      <w:ind w:left="720"/>
      <w:contextualSpacing/>
    </w:pPr>
  </w:style>
  <w:style w:type="paragraph" w:styleId="a8">
    <w:name w:val="header"/>
    <w:basedOn w:val="a"/>
    <w:link w:val="a9"/>
    <w:uiPriority w:val="99"/>
    <w:unhideWhenUsed/>
    <w:rsid w:val="00CB0B44"/>
    <w:pPr>
      <w:tabs>
        <w:tab w:val="center" w:pos="4252"/>
        <w:tab w:val="right" w:pos="8504"/>
      </w:tabs>
      <w:spacing w:after="0" w:line="240" w:lineRule="auto"/>
    </w:pPr>
  </w:style>
  <w:style w:type="character" w:customStyle="1" w:styleId="a9">
    <w:name w:val="页眉 字符"/>
    <w:basedOn w:val="a0"/>
    <w:link w:val="a8"/>
    <w:uiPriority w:val="99"/>
    <w:rsid w:val="00CB0B44"/>
    <w:rPr>
      <w:lang w:val="en-US"/>
    </w:rPr>
  </w:style>
  <w:style w:type="paragraph" w:styleId="aa">
    <w:name w:val="footer"/>
    <w:basedOn w:val="a"/>
    <w:link w:val="ab"/>
    <w:uiPriority w:val="99"/>
    <w:unhideWhenUsed/>
    <w:rsid w:val="00CB0B44"/>
    <w:pPr>
      <w:tabs>
        <w:tab w:val="center" w:pos="4252"/>
        <w:tab w:val="right" w:pos="8504"/>
      </w:tabs>
      <w:spacing w:after="0" w:line="240" w:lineRule="auto"/>
    </w:pPr>
  </w:style>
  <w:style w:type="character" w:customStyle="1" w:styleId="ab">
    <w:name w:val="页脚 字符"/>
    <w:basedOn w:val="a0"/>
    <w:link w:val="aa"/>
    <w:uiPriority w:val="99"/>
    <w:rsid w:val="00CB0B44"/>
    <w:rPr>
      <w:lang w:val="en-US"/>
    </w:rPr>
  </w:style>
  <w:style w:type="paragraph" w:customStyle="1" w:styleId="EndNoteBibliographyTitle">
    <w:name w:val="EndNote Bibliography Title"/>
    <w:basedOn w:val="a"/>
    <w:link w:val="EndNoteBibliographyTitleCar"/>
    <w:rsid w:val="00E13B57"/>
    <w:pPr>
      <w:spacing w:after="0"/>
      <w:jc w:val="center"/>
    </w:pPr>
    <w:rPr>
      <w:rFonts w:ascii="Calibri" w:hAnsi="Calibri"/>
      <w:noProof/>
    </w:rPr>
  </w:style>
  <w:style w:type="character" w:customStyle="1" w:styleId="EndNoteBibliographyTitleCar">
    <w:name w:val="EndNote Bibliography Title Car"/>
    <w:basedOn w:val="a0"/>
    <w:link w:val="EndNoteBibliographyTitle"/>
    <w:rsid w:val="00E13B57"/>
    <w:rPr>
      <w:rFonts w:ascii="Calibri" w:hAnsi="Calibri"/>
      <w:noProof/>
      <w:lang w:val="en-US"/>
    </w:rPr>
  </w:style>
  <w:style w:type="paragraph" w:customStyle="1" w:styleId="EndNoteBibliography">
    <w:name w:val="EndNote Bibliography"/>
    <w:basedOn w:val="a"/>
    <w:link w:val="EndNoteBibliographyCar"/>
    <w:rsid w:val="00E13B57"/>
    <w:pPr>
      <w:spacing w:line="240" w:lineRule="auto"/>
    </w:pPr>
    <w:rPr>
      <w:rFonts w:ascii="Calibri" w:hAnsi="Calibri"/>
      <w:noProof/>
    </w:rPr>
  </w:style>
  <w:style w:type="character" w:customStyle="1" w:styleId="EndNoteBibliographyCar">
    <w:name w:val="EndNote Bibliography Car"/>
    <w:basedOn w:val="a0"/>
    <w:link w:val="EndNoteBibliography"/>
    <w:rsid w:val="00E13B57"/>
    <w:rPr>
      <w:rFonts w:ascii="Calibri" w:hAnsi="Calibri"/>
      <w:noProof/>
      <w:lang w:val="en-US"/>
    </w:rPr>
  </w:style>
  <w:style w:type="character" w:customStyle="1" w:styleId="50">
    <w:name w:val="标题 5 字符"/>
    <w:basedOn w:val="a0"/>
    <w:link w:val="5"/>
    <w:uiPriority w:val="9"/>
    <w:semiHidden/>
    <w:rsid w:val="001A49BB"/>
    <w:rPr>
      <w:rFonts w:asciiTheme="majorHAnsi" w:eastAsiaTheme="majorEastAsia" w:hAnsiTheme="majorHAnsi" w:cstheme="majorBidi"/>
      <w:color w:val="243F60" w:themeColor="accent1" w:themeShade="7F"/>
      <w:lang w:val="en-US"/>
    </w:rPr>
  </w:style>
  <w:style w:type="character" w:styleId="ac">
    <w:name w:val="Hyperlink"/>
    <w:basedOn w:val="a0"/>
    <w:uiPriority w:val="99"/>
    <w:unhideWhenUsed/>
    <w:rsid w:val="001A49BB"/>
    <w:rPr>
      <w:color w:val="0000FF" w:themeColor="hyperlink"/>
      <w:u w:val="single"/>
    </w:rPr>
  </w:style>
  <w:style w:type="character" w:styleId="ad">
    <w:name w:val="annotation reference"/>
    <w:basedOn w:val="a0"/>
    <w:uiPriority w:val="99"/>
    <w:unhideWhenUsed/>
    <w:qFormat/>
    <w:rsid w:val="00C8076D"/>
    <w:rPr>
      <w:sz w:val="16"/>
      <w:szCs w:val="16"/>
    </w:rPr>
  </w:style>
  <w:style w:type="paragraph" w:styleId="ae">
    <w:name w:val="annotation text"/>
    <w:basedOn w:val="a"/>
    <w:link w:val="af"/>
    <w:uiPriority w:val="99"/>
    <w:unhideWhenUsed/>
    <w:qFormat/>
    <w:rsid w:val="00C8076D"/>
    <w:pPr>
      <w:spacing w:line="240" w:lineRule="auto"/>
    </w:pPr>
    <w:rPr>
      <w:sz w:val="20"/>
      <w:szCs w:val="20"/>
    </w:rPr>
  </w:style>
  <w:style w:type="character" w:customStyle="1" w:styleId="af">
    <w:name w:val="批注文字 字符"/>
    <w:basedOn w:val="a0"/>
    <w:link w:val="ae"/>
    <w:uiPriority w:val="99"/>
    <w:qFormat/>
    <w:rsid w:val="00C8076D"/>
    <w:rPr>
      <w:sz w:val="20"/>
      <w:szCs w:val="20"/>
      <w:lang w:val="en-US"/>
    </w:rPr>
  </w:style>
  <w:style w:type="paragraph" w:styleId="af0">
    <w:name w:val="annotation subject"/>
    <w:basedOn w:val="ae"/>
    <w:next w:val="ae"/>
    <w:link w:val="af1"/>
    <w:uiPriority w:val="99"/>
    <w:semiHidden/>
    <w:unhideWhenUsed/>
    <w:rsid w:val="00C8076D"/>
    <w:rPr>
      <w:b/>
      <w:bCs/>
    </w:rPr>
  </w:style>
  <w:style w:type="character" w:customStyle="1" w:styleId="af1">
    <w:name w:val="批注主题 字符"/>
    <w:basedOn w:val="af"/>
    <w:link w:val="af0"/>
    <w:uiPriority w:val="99"/>
    <w:semiHidden/>
    <w:rsid w:val="00C8076D"/>
    <w:rPr>
      <w:b/>
      <w:bCs/>
      <w:sz w:val="20"/>
      <w:szCs w:val="20"/>
      <w:lang w:val="en-US"/>
    </w:rPr>
  </w:style>
  <w:style w:type="character" w:styleId="af2">
    <w:name w:val="Placeholder Text"/>
    <w:basedOn w:val="a0"/>
    <w:uiPriority w:val="99"/>
    <w:semiHidden/>
    <w:rsid w:val="00111853"/>
    <w:rPr>
      <w:color w:val="808080"/>
    </w:rPr>
  </w:style>
  <w:style w:type="character" w:styleId="af3">
    <w:name w:val="line number"/>
    <w:basedOn w:val="a0"/>
    <w:uiPriority w:val="99"/>
    <w:semiHidden/>
    <w:unhideWhenUsed/>
    <w:rsid w:val="00BA3286"/>
  </w:style>
  <w:style w:type="paragraph" w:styleId="af4">
    <w:name w:val="Revision"/>
    <w:hidden/>
    <w:uiPriority w:val="99"/>
    <w:semiHidden/>
    <w:rsid w:val="00634426"/>
    <w:pPr>
      <w:spacing w:after="0" w:line="240" w:lineRule="auto"/>
    </w:pPr>
  </w:style>
  <w:style w:type="character" w:styleId="af5">
    <w:name w:val="Strong"/>
    <w:basedOn w:val="a0"/>
    <w:uiPriority w:val="22"/>
    <w:qFormat/>
    <w:rsid w:val="005C25B4"/>
    <w:rPr>
      <w:b/>
      <w:bCs/>
    </w:rPr>
  </w:style>
  <w:style w:type="paragraph" w:styleId="af6">
    <w:name w:val="Normal (Web)"/>
    <w:basedOn w:val="a"/>
    <w:uiPriority w:val="99"/>
    <w:unhideWhenUsed/>
    <w:rsid w:val="006121F8"/>
    <w:rPr>
      <w:rFonts w:ascii="Times New Roman" w:eastAsia="宋体" w:hAnsi="Times New Roman" w:cs="Times New Roman"/>
      <w:sz w:val="24"/>
      <w:szCs w:val="24"/>
      <w:lang w:val="en-GB" w:eastAsia="en-US"/>
    </w:rPr>
  </w:style>
  <w:style w:type="paragraph" w:styleId="af7">
    <w:name w:val="footnote text"/>
    <w:basedOn w:val="a"/>
    <w:link w:val="af8"/>
    <w:uiPriority w:val="99"/>
    <w:semiHidden/>
    <w:unhideWhenUsed/>
    <w:rsid w:val="006121F8"/>
    <w:pPr>
      <w:widowControl w:val="0"/>
      <w:snapToGrid w:val="0"/>
      <w:spacing w:after="0" w:line="240" w:lineRule="auto"/>
    </w:pPr>
    <w:rPr>
      <w:kern w:val="2"/>
      <w:sz w:val="18"/>
      <w:szCs w:val="18"/>
      <w:lang w:val="en-US" w:eastAsia="zh-CN"/>
    </w:rPr>
  </w:style>
  <w:style w:type="character" w:customStyle="1" w:styleId="af8">
    <w:name w:val="脚注文本 字符"/>
    <w:basedOn w:val="a0"/>
    <w:link w:val="af7"/>
    <w:uiPriority w:val="99"/>
    <w:semiHidden/>
    <w:rsid w:val="006121F8"/>
    <w:rPr>
      <w:kern w:val="2"/>
      <w:sz w:val="18"/>
      <w:szCs w:val="18"/>
      <w:lang w:val="en-US" w:eastAsia="zh-CN"/>
    </w:rPr>
  </w:style>
  <w:style w:type="character" w:customStyle="1" w:styleId="highlight">
    <w:name w:val="highlight"/>
    <w:basedOn w:val="a0"/>
    <w:rsid w:val="003C7DD4"/>
  </w:style>
  <w:style w:type="character" w:customStyle="1" w:styleId="apple-converted-space">
    <w:name w:val="apple-converted-space"/>
    <w:basedOn w:val="a0"/>
    <w:rsid w:val="003C7DD4"/>
  </w:style>
  <w:style w:type="character" w:customStyle="1" w:styleId="10">
    <w:name w:val="标题 1 字符"/>
    <w:basedOn w:val="a0"/>
    <w:link w:val="1"/>
    <w:uiPriority w:val="9"/>
    <w:rsid w:val="00EF0498"/>
    <w:rPr>
      <w:rFonts w:asciiTheme="majorHAnsi" w:eastAsiaTheme="majorEastAsia" w:hAnsiTheme="majorHAnsi" w:cstheme="majorBidi"/>
      <w:b/>
      <w:bCs/>
      <w:color w:val="345A8A" w:themeColor="accent1" w:themeShade="B5"/>
      <w:sz w:val="32"/>
      <w:szCs w:val="32"/>
    </w:rPr>
  </w:style>
  <w:style w:type="character" w:styleId="af9">
    <w:name w:val="FollowedHyperlink"/>
    <w:basedOn w:val="a0"/>
    <w:uiPriority w:val="99"/>
    <w:semiHidden/>
    <w:unhideWhenUsed/>
    <w:rsid w:val="002D2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293">
      <w:bodyDiv w:val="1"/>
      <w:marLeft w:val="0"/>
      <w:marRight w:val="0"/>
      <w:marTop w:val="0"/>
      <w:marBottom w:val="0"/>
      <w:divBdr>
        <w:top w:val="none" w:sz="0" w:space="0" w:color="auto"/>
        <w:left w:val="none" w:sz="0" w:space="0" w:color="auto"/>
        <w:bottom w:val="none" w:sz="0" w:space="0" w:color="auto"/>
        <w:right w:val="none" w:sz="0" w:space="0" w:color="auto"/>
      </w:divBdr>
    </w:div>
    <w:div w:id="78215171">
      <w:bodyDiv w:val="1"/>
      <w:marLeft w:val="0"/>
      <w:marRight w:val="0"/>
      <w:marTop w:val="0"/>
      <w:marBottom w:val="0"/>
      <w:divBdr>
        <w:top w:val="none" w:sz="0" w:space="0" w:color="auto"/>
        <w:left w:val="none" w:sz="0" w:space="0" w:color="auto"/>
        <w:bottom w:val="none" w:sz="0" w:space="0" w:color="auto"/>
        <w:right w:val="none" w:sz="0" w:space="0" w:color="auto"/>
      </w:divBdr>
    </w:div>
    <w:div w:id="99447706">
      <w:bodyDiv w:val="1"/>
      <w:marLeft w:val="0"/>
      <w:marRight w:val="0"/>
      <w:marTop w:val="0"/>
      <w:marBottom w:val="0"/>
      <w:divBdr>
        <w:top w:val="none" w:sz="0" w:space="0" w:color="auto"/>
        <w:left w:val="none" w:sz="0" w:space="0" w:color="auto"/>
        <w:bottom w:val="none" w:sz="0" w:space="0" w:color="auto"/>
        <w:right w:val="none" w:sz="0" w:space="0" w:color="auto"/>
      </w:divBdr>
    </w:div>
    <w:div w:id="156770925">
      <w:bodyDiv w:val="1"/>
      <w:marLeft w:val="0"/>
      <w:marRight w:val="0"/>
      <w:marTop w:val="0"/>
      <w:marBottom w:val="0"/>
      <w:divBdr>
        <w:top w:val="none" w:sz="0" w:space="0" w:color="auto"/>
        <w:left w:val="none" w:sz="0" w:space="0" w:color="auto"/>
        <w:bottom w:val="none" w:sz="0" w:space="0" w:color="auto"/>
        <w:right w:val="none" w:sz="0" w:space="0" w:color="auto"/>
      </w:divBdr>
    </w:div>
    <w:div w:id="158469299">
      <w:bodyDiv w:val="1"/>
      <w:marLeft w:val="0"/>
      <w:marRight w:val="0"/>
      <w:marTop w:val="0"/>
      <w:marBottom w:val="0"/>
      <w:divBdr>
        <w:top w:val="none" w:sz="0" w:space="0" w:color="auto"/>
        <w:left w:val="none" w:sz="0" w:space="0" w:color="auto"/>
        <w:bottom w:val="none" w:sz="0" w:space="0" w:color="auto"/>
        <w:right w:val="none" w:sz="0" w:space="0" w:color="auto"/>
      </w:divBdr>
    </w:div>
    <w:div w:id="161052114">
      <w:bodyDiv w:val="1"/>
      <w:marLeft w:val="0"/>
      <w:marRight w:val="0"/>
      <w:marTop w:val="0"/>
      <w:marBottom w:val="0"/>
      <w:divBdr>
        <w:top w:val="none" w:sz="0" w:space="0" w:color="auto"/>
        <w:left w:val="none" w:sz="0" w:space="0" w:color="auto"/>
        <w:bottom w:val="none" w:sz="0" w:space="0" w:color="auto"/>
        <w:right w:val="none" w:sz="0" w:space="0" w:color="auto"/>
      </w:divBdr>
    </w:div>
    <w:div w:id="169486077">
      <w:bodyDiv w:val="1"/>
      <w:marLeft w:val="0"/>
      <w:marRight w:val="0"/>
      <w:marTop w:val="0"/>
      <w:marBottom w:val="0"/>
      <w:divBdr>
        <w:top w:val="none" w:sz="0" w:space="0" w:color="auto"/>
        <w:left w:val="none" w:sz="0" w:space="0" w:color="auto"/>
        <w:bottom w:val="none" w:sz="0" w:space="0" w:color="auto"/>
        <w:right w:val="none" w:sz="0" w:space="0" w:color="auto"/>
      </w:divBdr>
    </w:div>
    <w:div w:id="175655101">
      <w:bodyDiv w:val="1"/>
      <w:marLeft w:val="0"/>
      <w:marRight w:val="0"/>
      <w:marTop w:val="0"/>
      <w:marBottom w:val="0"/>
      <w:divBdr>
        <w:top w:val="none" w:sz="0" w:space="0" w:color="auto"/>
        <w:left w:val="none" w:sz="0" w:space="0" w:color="auto"/>
        <w:bottom w:val="none" w:sz="0" w:space="0" w:color="auto"/>
        <w:right w:val="none" w:sz="0" w:space="0" w:color="auto"/>
      </w:divBdr>
    </w:div>
    <w:div w:id="285694826">
      <w:bodyDiv w:val="1"/>
      <w:marLeft w:val="0"/>
      <w:marRight w:val="0"/>
      <w:marTop w:val="0"/>
      <w:marBottom w:val="0"/>
      <w:divBdr>
        <w:top w:val="none" w:sz="0" w:space="0" w:color="auto"/>
        <w:left w:val="none" w:sz="0" w:space="0" w:color="auto"/>
        <w:bottom w:val="none" w:sz="0" w:space="0" w:color="auto"/>
        <w:right w:val="none" w:sz="0" w:space="0" w:color="auto"/>
      </w:divBdr>
    </w:div>
    <w:div w:id="287781121">
      <w:bodyDiv w:val="1"/>
      <w:marLeft w:val="0"/>
      <w:marRight w:val="0"/>
      <w:marTop w:val="0"/>
      <w:marBottom w:val="0"/>
      <w:divBdr>
        <w:top w:val="none" w:sz="0" w:space="0" w:color="auto"/>
        <w:left w:val="none" w:sz="0" w:space="0" w:color="auto"/>
        <w:bottom w:val="none" w:sz="0" w:space="0" w:color="auto"/>
        <w:right w:val="none" w:sz="0" w:space="0" w:color="auto"/>
      </w:divBdr>
    </w:div>
    <w:div w:id="305595638">
      <w:bodyDiv w:val="1"/>
      <w:marLeft w:val="0"/>
      <w:marRight w:val="0"/>
      <w:marTop w:val="0"/>
      <w:marBottom w:val="0"/>
      <w:divBdr>
        <w:top w:val="none" w:sz="0" w:space="0" w:color="auto"/>
        <w:left w:val="none" w:sz="0" w:space="0" w:color="auto"/>
        <w:bottom w:val="none" w:sz="0" w:space="0" w:color="auto"/>
        <w:right w:val="none" w:sz="0" w:space="0" w:color="auto"/>
      </w:divBdr>
    </w:div>
    <w:div w:id="317392519">
      <w:bodyDiv w:val="1"/>
      <w:marLeft w:val="0"/>
      <w:marRight w:val="0"/>
      <w:marTop w:val="0"/>
      <w:marBottom w:val="0"/>
      <w:divBdr>
        <w:top w:val="none" w:sz="0" w:space="0" w:color="auto"/>
        <w:left w:val="none" w:sz="0" w:space="0" w:color="auto"/>
        <w:bottom w:val="none" w:sz="0" w:space="0" w:color="auto"/>
        <w:right w:val="none" w:sz="0" w:space="0" w:color="auto"/>
      </w:divBdr>
    </w:div>
    <w:div w:id="369885794">
      <w:bodyDiv w:val="1"/>
      <w:marLeft w:val="0"/>
      <w:marRight w:val="0"/>
      <w:marTop w:val="0"/>
      <w:marBottom w:val="0"/>
      <w:divBdr>
        <w:top w:val="none" w:sz="0" w:space="0" w:color="auto"/>
        <w:left w:val="none" w:sz="0" w:space="0" w:color="auto"/>
        <w:bottom w:val="none" w:sz="0" w:space="0" w:color="auto"/>
        <w:right w:val="none" w:sz="0" w:space="0" w:color="auto"/>
      </w:divBdr>
    </w:div>
    <w:div w:id="399913881">
      <w:bodyDiv w:val="1"/>
      <w:marLeft w:val="0"/>
      <w:marRight w:val="0"/>
      <w:marTop w:val="0"/>
      <w:marBottom w:val="0"/>
      <w:divBdr>
        <w:top w:val="none" w:sz="0" w:space="0" w:color="auto"/>
        <w:left w:val="none" w:sz="0" w:space="0" w:color="auto"/>
        <w:bottom w:val="none" w:sz="0" w:space="0" w:color="auto"/>
        <w:right w:val="none" w:sz="0" w:space="0" w:color="auto"/>
      </w:divBdr>
      <w:divsChild>
        <w:div w:id="2089188438">
          <w:marLeft w:val="547"/>
          <w:marRight w:val="0"/>
          <w:marTop w:val="115"/>
          <w:marBottom w:val="0"/>
          <w:divBdr>
            <w:top w:val="none" w:sz="0" w:space="0" w:color="auto"/>
            <w:left w:val="none" w:sz="0" w:space="0" w:color="auto"/>
            <w:bottom w:val="none" w:sz="0" w:space="0" w:color="auto"/>
            <w:right w:val="none" w:sz="0" w:space="0" w:color="auto"/>
          </w:divBdr>
        </w:div>
      </w:divsChild>
    </w:div>
    <w:div w:id="423378788">
      <w:bodyDiv w:val="1"/>
      <w:marLeft w:val="0"/>
      <w:marRight w:val="0"/>
      <w:marTop w:val="0"/>
      <w:marBottom w:val="0"/>
      <w:divBdr>
        <w:top w:val="none" w:sz="0" w:space="0" w:color="auto"/>
        <w:left w:val="none" w:sz="0" w:space="0" w:color="auto"/>
        <w:bottom w:val="none" w:sz="0" w:space="0" w:color="auto"/>
        <w:right w:val="none" w:sz="0" w:space="0" w:color="auto"/>
      </w:divBdr>
    </w:div>
    <w:div w:id="489098727">
      <w:bodyDiv w:val="1"/>
      <w:marLeft w:val="0"/>
      <w:marRight w:val="0"/>
      <w:marTop w:val="0"/>
      <w:marBottom w:val="0"/>
      <w:divBdr>
        <w:top w:val="none" w:sz="0" w:space="0" w:color="auto"/>
        <w:left w:val="none" w:sz="0" w:space="0" w:color="auto"/>
        <w:bottom w:val="none" w:sz="0" w:space="0" w:color="auto"/>
        <w:right w:val="none" w:sz="0" w:space="0" w:color="auto"/>
      </w:divBdr>
    </w:div>
    <w:div w:id="489910654">
      <w:bodyDiv w:val="1"/>
      <w:marLeft w:val="0"/>
      <w:marRight w:val="0"/>
      <w:marTop w:val="0"/>
      <w:marBottom w:val="0"/>
      <w:divBdr>
        <w:top w:val="none" w:sz="0" w:space="0" w:color="auto"/>
        <w:left w:val="none" w:sz="0" w:space="0" w:color="auto"/>
        <w:bottom w:val="none" w:sz="0" w:space="0" w:color="auto"/>
        <w:right w:val="none" w:sz="0" w:space="0" w:color="auto"/>
      </w:divBdr>
    </w:div>
    <w:div w:id="509485961">
      <w:bodyDiv w:val="1"/>
      <w:marLeft w:val="0"/>
      <w:marRight w:val="0"/>
      <w:marTop w:val="0"/>
      <w:marBottom w:val="0"/>
      <w:divBdr>
        <w:top w:val="none" w:sz="0" w:space="0" w:color="auto"/>
        <w:left w:val="none" w:sz="0" w:space="0" w:color="auto"/>
        <w:bottom w:val="none" w:sz="0" w:space="0" w:color="auto"/>
        <w:right w:val="none" w:sz="0" w:space="0" w:color="auto"/>
      </w:divBdr>
      <w:divsChild>
        <w:div w:id="1827042703">
          <w:marLeft w:val="547"/>
          <w:marRight w:val="0"/>
          <w:marTop w:val="154"/>
          <w:marBottom w:val="0"/>
          <w:divBdr>
            <w:top w:val="none" w:sz="0" w:space="0" w:color="auto"/>
            <w:left w:val="none" w:sz="0" w:space="0" w:color="auto"/>
            <w:bottom w:val="none" w:sz="0" w:space="0" w:color="auto"/>
            <w:right w:val="none" w:sz="0" w:space="0" w:color="auto"/>
          </w:divBdr>
        </w:div>
      </w:divsChild>
    </w:div>
    <w:div w:id="525101283">
      <w:bodyDiv w:val="1"/>
      <w:marLeft w:val="0"/>
      <w:marRight w:val="0"/>
      <w:marTop w:val="0"/>
      <w:marBottom w:val="0"/>
      <w:divBdr>
        <w:top w:val="none" w:sz="0" w:space="0" w:color="auto"/>
        <w:left w:val="none" w:sz="0" w:space="0" w:color="auto"/>
        <w:bottom w:val="none" w:sz="0" w:space="0" w:color="auto"/>
        <w:right w:val="none" w:sz="0" w:space="0" w:color="auto"/>
      </w:divBdr>
      <w:divsChild>
        <w:div w:id="1993214137">
          <w:marLeft w:val="547"/>
          <w:marRight w:val="0"/>
          <w:marTop w:val="67"/>
          <w:marBottom w:val="0"/>
          <w:divBdr>
            <w:top w:val="none" w:sz="0" w:space="0" w:color="auto"/>
            <w:left w:val="none" w:sz="0" w:space="0" w:color="auto"/>
            <w:bottom w:val="none" w:sz="0" w:space="0" w:color="auto"/>
            <w:right w:val="none" w:sz="0" w:space="0" w:color="auto"/>
          </w:divBdr>
        </w:div>
      </w:divsChild>
    </w:div>
    <w:div w:id="532378896">
      <w:bodyDiv w:val="1"/>
      <w:marLeft w:val="0"/>
      <w:marRight w:val="0"/>
      <w:marTop w:val="0"/>
      <w:marBottom w:val="0"/>
      <w:divBdr>
        <w:top w:val="none" w:sz="0" w:space="0" w:color="auto"/>
        <w:left w:val="none" w:sz="0" w:space="0" w:color="auto"/>
        <w:bottom w:val="none" w:sz="0" w:space="0" w:color="auto"/>
        <w:right w:val="none" w:sz="0" w:space="0" w:color="auto"/>
      </w:divBdr>
    </w:div>
    <w:div w:id="544410245">
      <w:bodyDiv w:val="1"/>
      <w:marLeft w:val="0"/>
      <w:marRight w:val="0"/>
      <w:marTop w:val="0"/>
      <w:marBottom w:val="0"/>
      <w:divBdr>
        <w:top w:val="none" w:sz="0" w:space="0" w:color="auto"/>
        <w:left w:val="none" w:sz="0" w:space="0" w:color="auto"/>
        <w:bottom w:val="none" w:sz="0" w:space="0" w:color="auto"/>
        <w:right w:val="none" w:sz="0" w:space="0" w:color="auto"/>
      </w:divBdr>
    </w:div>
    <w:div w:id="599530828">
      <w:bodyDiv w:val="1"/>
      <w:marLeft w:val="0"/>
      <w:marRight w:val="0"/>
      <w:marTop w:val="0"/>
      <w:marBottom w:val="0"/>
      <w:divBdr>
        <w:top w:val="none" w:sz="0" w:space="0" w:color="auto"/>
        <w:left w:val="none" w:sz="0" w:space="0" w:color="auto"/>
        <w:bottom w:val="none" w:sz="0" w:space="0" w:color="auto"/>
        <w:right w:val="none" w:sz="0" w:space="0" w:color="auto"/>
      </w:divBdr>
    </w:div>
    <w:div w:id="623388606">
      <w:bodyDiv w:val="1"/>
      <w:marLeft w:val="0"/>
      <w:marRight w:val="0"/>
      <w:marTop w:val="0"/>
      <w:marBottom w:val="0"/>
      <w:divBdr>
        <w:top w:val="none" w:sz="0" w:space="0" w:color="auto"/>
        <w:left w:val="none" w:sz="0" w:space="0" w:color="auto"/>
        <w:bottom w:val="none" w:sz="0" w:space="0" w:color="auto"/>
        <w:right w:val="none" w:sz="0" w:space="0" w:color="auto"/>
      </w:divBdr>
    </w:div>
    <w:div w:id="634260812">
      <w:bodyDiv w:val="1"/>
      <w:marLeft w:val="0"/>
      <w:marRight w:val="0"/>
      <w:marTop w:val="0"/>
      <w:marBottom w:val="0"/>
      <w:divBdr>
        <w:top w:val="none" w:sz="0" w:space="0" w:color="auto"/>
        <w:left w:val="none" w:sz="0" w:space="0" w:color="auto"/>
        <w:bottom w:val="none" w:sz="0" w:space="0" w:color="auto"/>
        <w:right w:val="none" w:sz="0" w:space="0" w:color="auto"/>
      </w:divBdr>
    </w:div>
    <w:div w:id="676729631">
      <w:bodyDiv w:val="1"/>
      <w:marLeft w:val="0"/>
      <w:marRight w:val="0"/>
      <w:marTop w:val="0"/>
      <w:marBottom w:val="0"/>
      <w:divBdr>
        <w:top w:val="none" w:sz="0" w:space="0" w:color="auto"/>
        <w:left w:val="none" w:sz="0" w:space="0" w:color="auto"/>
        <w:bottom w:val="none" w:sz="0" w:space="0" w:color="auto"/>
        <w:right w:val="none" w:sz="0" w:space="0" w:color="auto"/>
      </w:divBdr>
    </w:div>
    <w:div w:id="681663412">
      <w:bodyDiv w:val="1"/>
      <w:marLeft w:val="0"/>
      <w:marRight w:val="0"/>
      <w:marTop w:val="0"/>
      <w:marBottom w:val="0"/>
      <w:divBdr>
        <w:top w:val="none" w:sz="0" w:space="0" w:color="auto"/>
        <w:left w:val="none" w:sz="0" w:space="0" w:color="auto"/>
        <w:bottom w:val="none" w:sz="0" w:space="0" w:color="auto"/>
        <w:right w:val="none" w:sz="0" w:space="0" w:color="auto"/>
      </w:divBdr>
    </w:div>
    <w:div w:id="682978138">
      <w:bodyDiv w:val="1"/>
      <w:marLeft w:val="0"/>
      <w:marRight w:val="0"/>
      <w:marTop w:val="0"/>
      <w:marBottom w:val="0"/>
      <w:divBdr>
        <w:top w:val="none" w:sz="0" w:space="0" w:color="auto"/>
        <w:left w:val="none" w:sz="0" w:space="0" w:color="auto"/>
        <w:bottom w:val="none" w:sz="0" w:space="0" w:color="auto"/>
        <w:right w:val="none" w:sz="0" w:space="0" w:color="auto"/>
      </w:divBdr>
    </w:div>
    <w:div w:id="691345582">
      <w:bodyDiv w:val="1"/>
      <w:marLeft w:val="0"/>
      <w:marRight w:val="0"/>
      <w:marTop w:val="0"/>
      <w:marBottom w:val="0"/>
      <w:divBdr>
        <w:top w:val="none" w:sz="0" w:space="0" w:color="auto"/>
        <w:left w:val="none" w:sz="0" w:space="0" w:color="auto"/>
        <w:bottom w:val="none" w:sz="0" w:space="0" w:color="auto"/>
        <w:right w:val="none" w:sz="0" w:space="0" w:color="auto"/>
      </w:divBdr>
    </w:div>
    <w:div w:id="698703180">
      <w:bodyDiv w:val="1"/>
      <w:marLeft w:val="0"/>
      <w:marRight w:val="0"/>
      <w:marTop w:val="0"/>
      <w:marBottom w:val="0"/>
      <w:divBdr>
        <w:top w:val="none" w:sz="0" w:space="0" w:color="auto"/>
        <w:left w:val="none" w:sz="0" w:space="0" w:color="auto"/>
        <w:bottom w:val="none" w:sz="0" w:space="0" w:color="auto"/>
        <w:right w:val="none" w:sz="0" w:space="0" w:color="auto"/>
      </w:divBdr>
    </w:div>
    <w:div w:id="746536518">
      <w:bodyDiv w:val="1"/>
      <w:marLeft w:val="0"/>
      <w:marRight w:val="0"/>
      <w:marTop w:val="0"/>
      <w:marBottom w:val="0"/>
      <w:divBdr>
        <w:top w:val="none" w:sz="0" w:space="0" w:color="auto"/>
        <w:left w:val="none" w:sz="0" w:space="0" w:color="auto"/>
        <w:bottom w:val="none" w:sz="0" w:space="0" w:color="auto"/>
        <w:right w:val="none" w:sz="0" w:space="0" w:color="auto"/>
      </w:divBdr>
    </w:div>
    <w:div w:id="747650972">
      <w:bodyDiv w:val="1"/>
      <w:marLeft w:val="0"/>
      <w:marRight w:val="0"/>
      <w:marTop w:val="0"/>
      <w:marBottom w:val="0"/>
      <w:divBdr>
        <w:top w:val="none" w:sz="0" w:space="0" w:color="auto"/>
        <w:left w:val="none" w:sz="0" w:space="0" w:color="auto"/>
        <w:bottom w:val="none" w:sz="0" w:space="0" w:color="auto"/>
        <w:right w:val="none" w:sz="0" w:space="0" w:color="auto"/>
      </w:divBdr>
    </w:div>
    <w:div w:id="831994326">
      <w:bodyDiv w:val="1"/>
      <w:marLeft w:val="0"/>
      <w:marRight w:val="0"/>
      <w:marTop w:val="0"/>
      <w:marBottom w:val="0"/>
      <w:divBdr>
        <w:top w:val="none" w:sz="0" w:space="0" w:color="auto"/>
        <w:left w:val="none" w:sz="0" w:space="0" w:color="auto"/>
        <w:bottom w:val="none" w:sz="0" w:space="0" w:color="auto"/>
        <w:right w:val="none" w:sz="0" w:space="0" w:color="auto"/>
      </w:divBdr>
    </w:div>
    <w:div w:id="869221626">
      <w:bodyDiv w:val="1"/>
      <w:marLeft w:val="0"/>
      <w:marRight w:val="0"/>
      <w:marTop w:val="0"/>
      <w:marBottom w:val="0"/>
      <w:divBdr>
        <w:top w:val="none" w:sz="0" w:space="0" w:color="auto"/>
        <w:left w:val="none" w:sz="0" w:space="0" w:color="auto"/>
        <w:bottom w:val="none" w:sz="0" w:space="0" w:color="auto"/>
        <w:right w:val="none" w:sz="0" w:space="0" w:color="auto"/>
      </w:divBdr>
    </w:div>
    <w:div w:id="904756647">
      <w:bodyDiv w:val="1"/>
      <w:marLeft w:val="0"/>
      <w:marRight w:val="0"/>
      <w:marTop w:val="0"/>
      <w:marBottom w:val="0"/>
      <w:divBdr>
        <w:top w:val="none" w:sz="0" w:space="0" w:color="auto"/>
        <w:left w:val="none" w:sz="0" w:space="0" w:color="auto"/>
        <w:bottom w:val="none" w:sz="0" w:space="0" w:color="auto"/>
        <w:right w:val="none" w:sz="0" w:space="0" w:color="auto"/>
      </w:divBdr>
      <w:divsChild>
        <w:div w:id="1808430943">
          <w:marLeft w:val="547"/>
          <w:marRight w:val="0"/>
          <w:marTop w:val="115"/>
          <w:marBottom w:val="0"/>
          <w:divBdr>
            <w:top w:val="none" w:sz="0" w:space="0" w:color="auto"/>
            <w:left w:val="none" w:sz="0" w:space="0" w:color="auto"/>
            <w:bottom w:val="none" w:sz="0" w:space="0" w:color="auto"/>
            <w:right w:val="none" w:sz="0" w:space="0" w:color="auto"/>
          </w:divBdr>
        </w:div>
      </w:divsChild>
    </w:div>
    <w:div w:id="916018218">
      <w:bodyDiv w:val="1"/>
      <w:marLeft w:val="0"/>
      <w:marRight w:val="0"/>
      <w:marTop w:val="0"/>
      <w:marBottom w:val="0"/>
      <w:divBdr>
        <w:top w:val="none" w:sz="0" w:space="0" w:color="auto"/>
        <w:left w:val="none" w:sz="0" w:space="0" w:color="auto"/>
        <w:bottom w:val="none" w:sz="0" w:space="0" w:color="auto"/>
        <w:right w:val="none" w:sz="0" w:space="0" w:color="auto"/>
      </w:divBdr>
    </w:div>
    <w:div w:id="920523434">
      <w:bodyDiv w:val="1"/>
      <w:marLeft w:val="0"/>
      <w:marRight w:val="0"/>
      <w:marTop w:val="0"/>
      <w:marBottom w:val="0"/>
      <w:divBdr>
        <w:top w:val="none" w:sz="0" w:space="0" w:color="auto"/>
        <w:left w:val="none" w:sz="0" w:space="0" w:color="auto"/>
        <w:bottom w:val="none" w:sz="0" w:space="0" w:color="auto"/>
        <w:right w:val="none" w:sz="0" w:space="0" w:color="auto"/>
      </w:divBdr>
    </w:div>
    <w:div w:id="985472209">
      <w:bodyDiv w:val="1"/>
      <w:marLeft w:val="0"/>
      <w:marRight w:val="0"/>
      <w:marTop w:val="0"/>
      <w:marBottom w:val="0"/>
      <w:divBdr>
        <w:top w:val="none" w:sz="0" w:space="0" w:color="auto"/>
        <w:left w:val="none" w:sz="0" w:space="0" w:color="auto"/>
        <w:bottom w:val="none" w:sz="0" w:space="0" w:color="auto"/>
        <w:right w:val="none" w:sz="0" w:space="0" w:color="auto"/>
      </w:divBdr>
    </w:div>
    <w:div w:id="1009212094">
      <w:bodyDiv w:val="1"/>
      <w:marLeft w:val="0"/>
      <w:marRight w:val="0"/>
      <w:marTop w:val="0"/>
      <w:marBottom w:val="0"/>
      <w:divBdr>
        <w:top w:val="none" w:sz="0" w:space="0" w:color="auto"/>
        <w:left w:val="none" w:sz="0" w:space="0" w:color="auto"/>
        <w:bottom w:val="none" w:sz="0" w:space="0" w:color="auto"/>
        <w:right w:val="none" w:sz="0" w:space="0" w:color="auto"/>
      </w:divBdr>
    </w:div>
    <w:div w:id="1024593695">
      <w:bodyDiv w:val="1"/>
      <w:marLeft w:val="0"/>
      <w:marRight w:val="0"/>
      <w:marTop w:val="0"/>
      <w:marBottom w:val="0"/>
      <w:divBdr>
        <w:top w:val="none" w:sz="0" w:space="0" w:color="auto"/>
        <w:left w:val="none" w:sz="0" w:space="0" w:color="auto"/>
        <w:bottom w:val="none" w:sz="0" w:space="0" w:color="auto"/>
        <w:right w:val="none" w:sz="0" w:space="0" w:color="auto"/>
      </w:divBdr>
    </w:div>
    <w:div w:id="1025712567">
      <w:bodyDiv w:val="1"/>
      <w:marLeft w:val="0"/>
      <w:marRight w:val="0"/>
      <w:marTop w:val="0"/>
      <w:marBottom w:val="0"/>
      <w:divBdr>
        <w:top w:val="none" w:sz="0" w:space="0" w:color="auto"/>
        <w:left w:val="none" w:sz="0" w:space="0" w:color="auto"/>
        <w:bottom w:val="none" w:sz="0" w:space="0" w:color="auto"/>
        <w:right w:val="none" w:sz="0" w:space="0" w:color="auto"/>
      </w:divBdr>
    </w:div>
    <w:div w:id="1051004147">
      <w:bodyDiv w:val="1"/>
      <w:marLeft w:val="0"/>
      <w:marRight w:val="0"/>
      <w:marTop w:val="0"/>
      <w:marBottom w:val="0"/>
      <w:divBdr>
        <w:top w:val="none" w:sz="0" w:space="0" w:color="auto"/>
        <w:left w:val="none" w:sz="0" w:space="0" w:color="auto"/>
        <w:bottom w:val="none" w:sz="0" w:space="0" w:color="auto"/>
        <w:right w:val="none" w:sz="0" w:space="0" w:color="auto"/>
      </w:divBdr>
    </w:div>
    <w:div w:id="1069107986">
      <w:bodyDiv w:val="1"/>
      <w:marLeft w:val="0"/>
      <w:marRight w:val="0"/>
      <w:marTop w:val="0"/>
      <w:marBottom w:val="0"/>
      <w:divBdr>
        <w:top w:val="none" w:sz="0" w:space="0" w:color="auto"/>
        <w:left w:val="none" w:sz="0" w:space="0" w:color="auto"/>
        <w:bottom w:val="none" w:sz="0" w:space="0" w:color="auto"/>
        <w:right w:val="none" w:sz="0" w:space="0" w:color="auto"/>
      </w:divBdr>
    </w:div>
    <w:div w:id="1079793380">
      <w:bodyDiv w:val="1"/>
      <w:marLeft w:val="0"/>
      <w:marRight w:val="0"/>
      <w:marTop w:val="0"/>
      <w:marBottom w:val="0"/>
      <w:divBdr>
        <w:top w:val="none" w:sz="0" w:space="0" w:color="auto"/>
        <w:left w:val="none" w:sz="0" w:space="0" w:color="auto"/>
        <w:bottom w:val="none" w:sz="0" w:space="0" w:color="auto"/>
        <w:right w:val="none" w:sz="0" w:space="0" w:color="auto"/>
      </w:divBdr>
    </w:div>
    <w:div w:id="1122846112">
      <w:bodyDiv w:val="1"/>
      <w:marLeft w:val="0"/>
      <w:marRight w:val="0"/>
      <w:marTop w:val="0"/>
      <w:marBottom w:val="0"/>
      <w:divBdr>
        <w:top w:val="none" w:sz="0" w:space="0" w:color="auto"/>
        <w:left w:val="none" w:sz="0" w:space="0" w:color="auto"/>
        <w:bottom w:val="none" w:sz="0" w:space="0" w:color="auto"/>
        <w:right w:val="none" w:sz="0" w:space="0" w:color="auto"/>
      </w:divBdr>
    </w:div>
    <w:div w:id="1133643303">
      <w:bodyDiv w:val="1"/>
      <w:marLeft w:val="0"/>
      <w:marRight w:val="0"/>
      <w:marTop w:val="0"/>
      <w:marBottom w:val="0"/>
      <w:divBdr>
        <w:top w:val="none" w:sz="0" w:space="0" w:color="auto"/>
        <w:left w:val="none" w:sz="0" w:space="0" w:color="auto"/>
        <w:bottom w:val="none" w:sz="0" w:space="0" w:color="auto"/>
        <w:right w:val="none" w:sz="0" w:space="0" w:color="auto"/>
      </w:divBdr>
    </w:div>
    <w:div w:id="1144858766">
      <w:bodyDiv w:val="1"/>
      <w:marLeft w:val="0"/>
      <w:marRight w:val="0"/>
      <w:marTop w:val="0"/>
      <w:marBottom w:val="0"/>
      <w:divBdr>
        <w:top w:val="none" w:sz="0" w:space="0" w:color="auto"/>
        <w:left w:val="none" w:sz="0" w:space="0" w:color="auto"/>
        <w:bottom w:val="none" w:sz="0" w:space="0" w:color="auto"/>
        <w:right w:val="none" w:sz="0" w:space="0" w:color="auto"/>
      </w:divBdr>
    </w:div>
    <w:div w:id="1153058201">
      <w:bodyDiv w:val="1"/>
      <w:marLeft w:val="0"/>
      <w:marRight w:val="0"/>
      <w:marTop w:val="0"/>
      <w:marBottom w:val="0"/>
      <w:divBdr>
        <w:top w:val="none" w:sz="0" w:space="0" w:color="auto"/>
        <w:left w:val="none" w:sz="0" w:space="0" w:color="auto"/>
        <w:bottom w:val="none" w:sz="0" w:space="0" w:color="auto"/>
        <w:right w:val="none" w:sz="0" w:space="0" w:color="auto"/>
      </w:divBdr>
    </w:div>
    <w:div w:id="1169638296">
      <w:bodyDiv w:val="1"/>
      <w:marLeft w:val="0"/>
      <w:marRight w:val="0"/>
      <w:marTop w:val="0"/>
      <w:marBottom w:val="0"/>
      <w:divBdr>
        <w:top w:val="none" w:sz="0" w:space="0" w:color="auto"/>
        <w:left w:val="none" w:sz="0" w:space="0" w:color="auto"/>
        <w:bottom w:val="none" w:sz="0" w:space="0" w:color="auto"/>
        <w:right w:val="none" w:sz="0" w:space="0" w:color="auto"/>
      </w:divBdr>
    </w:div>
    <w:div w:id="1204290300">
      <w:bodyDiv w:val="1"/>
      <w:marLeft w:val="0"/>
      <w:marRight w:val="0"/>
      <w:marTop w:val="0"/>
      <w:marBottom w:val="0"/>
      <w:divBdr>
        <w:top w:val="none" w:sz="0" w:space="0" w:color="auto"/>
        <w:left w:val="none" w:sz="0" w:space="0" w:color="auto"/>
        <w:bottom w:val="none" w:sz="0" w:space="0" w:color="auto"/>
        <w:right w:val="none" w:sz="0" w:space="0" w:color="auto"/>
      </w:divBdr>
    </w:div>
    <w:div w:id="1206718320">
      <w:bodyDiv w:val="1"/>
      <w:marLeft w:val="0"/>
      <w:marRight w:val="0"/>
      <w:marTop w:val="0"/>
      <w:marBottom w:val="0"/>
      <w:divBdr>
        <w:top w:val="none" w:sz="0" w:space="0" w:color="auto"/>
        <w:left w:val="none" w:sz="0" w:space="0" w:color="auto"/>
        <w:bottom w:val="none" w:sz="0" w:space="0" w:color="auto"/>
        <w:right w:val="none" w:sz="0" w:space="0" w:color="auto"/>
      </w:divBdr>
    </w:div>
    <w:div w:id="1213150338">
      <w:bodyDiv w:val="1"/>
      <w:marLeft w:val="0"/>
      <w:marRight w:val="0"/>
      <w:marTop w:val="0"/>
      <w:marBottom w:val="0"/>
      <w:divBdr>
        <w:top w:val="none" w:sz="0" w:space="0" w:color="auto"/>
        <w:left w:val="none" w:sz="0" w:space="0" w:color="auto"/>
        <w:bottom w:val="none" w:sz="0" w:space="0" w:color="auto"/>
        <w:right w:val="none" w:sz="0" w:space="0" w:color="auto"/>
      </w:divBdr>
    </w:div>
    <w:div w:id="1223444027">
      <w:bodyDiv w:val="1"/>
      <w:marLeft w:val="0"/>
      <w:marRight w:val="0"/>
      <w:marTop w:val="0"/>
      <w:marBottom w:val="0"/>
      <w:divBdr>
        <w:top w:val="none" w:sz="0" w:space="0" w:color="auto"/>
        <w:left w:val="none" w:sz="0" w:space="0" w:color="auto"/>
        <w:bottom w:val="none" w:sz="0" w:space="0" w:color="auto"/>
        <w:right w:val="none" w:sz="0" w:space="0" w:color="auto"/>
      </w:divBdr>
    </w:div>
    <w:div w:id="1255361104">
      <w:bodyDiv w:val="1"/>
      <w:marLeft w:val="0"/>
      <w:marRight w:val="0"/>
      <w:marTop w:val="0"/>
      <w:marBottom w:val="0"/>
      <w:divBdr>
        <w:top w:val="none" w:sz="0" w:space="0" w:color="auto"/>
        <w:left w:val="none" w:sz="0" w:space="0" w:color="auto"/>
        <w:bottom w:val="none" w:sz="0" w:space="0" w:color="auto"/>
        <w:right w:val="none" w:sz="0" w:space="0" w:color="auto"/>
      </w:divBdr>
    </w:div>
    <w:div w:id="1272979815">
      <w:bodyDiv w:val="1"/>
      <w:marLeft w:val="0"/>
      <w:marRight w:val="0"/>
      <w:marTop w:val="0"/>
      <w:marBottom w:val="0"/>
      <w:divBdr>
        <w:top w:val="none" w:sz="0" w:space="0" w:color="auto"/>
        <w:left w:val="none" w:sz="0" w:space="0" w:color="auto"/>
        <w:bottom w:val="none" w:sz="0" w:space="0" w:color="auto"/>
        <w:right w:val="none" w:sz="0" w:space="0" w:color="auto"/>
      </w:divBdr>
    </w:div>
    <w:div w:id="1276912654">
      <w:bodyDiv w:val="1"/>
      <w:marLeft w:val="0"/>
      <w:marRight w:val="0"/>
      <w:marTop w:val="0"/>
      <w:marBottom w:val="0"/>
      <w:divBdr>
        <w:top w:val="none" w:sz="0" w:space="0" w:color="auto"/>
        <w:left w:val="none" w:sz="0" w:space="0" w:color="auto"/>
        <w:bottom w:val="none" w:sz="0" w:space="0" w:color="auto"/>
        <w:right w:val="none" w:sz="0" w:space="0" w:color="auto"/>
      </w:divBdr>
    </w:div>
    <w:div w:id="1294411626">
      <w:bodyDiv w:val="1"/>
      <w:marLeft w:val="0"/>
      <w:marRight w:val="0"/>
      <w:marTop w:val="0"/>
      <w:marBottom w:val="0"/>
      <w:divBdr>
        <w:top w:val="none" w:sz="0" w:space="0" w:color="auto"/>
        <w:left w:val="none" w:sz="0" w:space="0" w:color="auto"/>
        <w:bottom w:val="none" w:sz="0" w:space="0" w:color="auto"/>
        <w:right w:val="none" w:sz="0" w:space="0" w:color="auto"/>
      </w:divBdr>
    </w:div>
    <w:div w:id="1295062249">
      <w:bodyDiv w:val="1"/>
      <w:marLeft w:val="0"/>
      <w:marRight w:val="0"/>
      <w:marTop w:val="0"/>
      <w:marBottom w:val="0"/>
      <w:divBdr>
        <w:top w:val="none" w:sz="0" w:space="0" w:color="auto"/>
        <w:left w:val="none" w:sz="0" w:space="0" w:color="auto"/>
        <w:bottom w:val="none" w:sz="0" w:space="0" w:color="auto"/>
        <w:right w:val="none" w:sz="0" w:space="0" w:color="auto"/>
      </w:divBdr>
    </w:div>
    <w:div w:id="1300917737">
      <w:bodyDiv w:val="1"/>
      <w:marLeft w:val="0"/>
      <w:marRight w:val="0"/>
      <w:marTop w:val="0"/>
      <w:marBottom w:val="0"/>
      <w:divBdr>
        <w:top w:val="none" w:sz="0" w:space="0" w:color="auto"/>
        <w:left w:val="none" w:sz="0" w:space="0" w:color="auto"/>
        <w:bottom w:val="none" w:sz="0" w:space="0" w:color="auto"/>
        <w:right w:val="none" w:sz="0" w:space="0" w:color="auto"/>
      </w:divBdr>
      <w:divsChild>
        <w:div w:id="959342094">
          <w:marLeft w:val="547"/>
          <w:marRight w:val="0"/>
          <w:marTop w:val="115"/>
          <w:marBottom w:val="0"/>
          <w:divBdr>
            <w:top w:val="none" w:sz="0" w:space="0" w:color="auto"/>
            <w:left w:val="none" w:sz="0" w:space="0" w:color="auto"/>
            <w:bottom w:val="none" w:sz="0" w:space="0" w:color="auto"/>
            <w:right w:val="none" w:sz="0" w:space="0" w:color="auto"/>
          </w:divBdr>
        </w:div>
      </w:divsChild>
    </w:div>
    <w:div w:id="1324511489">
      <w:bodyDiv w:val="1"/>
      <w:marLeft w:val="0"/>
      <w:marRight w:val="0"/>
      <w:marTop w:val="0"/>
      <w:marBottom w:val="0"/>
      <w:divBdr>
        <w:top w:val="none" w:sz="0" w:space="0" w:color="auto"/>
        <w:left w:val="none" w:sz="0" w:space="0" w:color="auto"/>
        <w:bottom w:val="none" w:sz="0" w:space="0" w:color="auto"/>
        <w:right w:val="none" w:sz="0" w:space="0" w:color="auto"/>
      </w:divBdr>
    </w:div>
    <w:div w:id="1334727517">
      <w:bodyDiv w:val="1"/>
      <w:marLeft w:val="0"/>
      <w:marRight w:val="0"/>
      <w:marTop w:val="0"/>
      <w:marBottom w:val="0"/>
      <w:divBdr>
        <w:top w:val="none" w:sz="0" w:space="0" w:color="auto"/>
        <w:left w:val="none" w:sz="0" w:space="0" w:color="auto"/>
        <w:bottom w:val="none" w:sz="0" w:space="0" w:color="auto"/>
        <w:right w:val="none" w:sz="0" w:space="0" w:color="auto"/>
      </w:divBdr>
    </w:div>
    <w:div w:id="1339428370">
      <w:bodyDiv w:val="1"/>
      <w:marLeft w:val="0"/>
      <w:marRight w:val="0"/>
      <w:marTop w:val="0"/>
      <w:marBottom w:val="0"/>
      <w:divBdr>
        <w:top w:val="none" w:sz="0" w:space="0" w:color="auto"/>
        <w:left w:val="none" w:sz="0" w:space="0" w:color="auto"/>
        <w:bottom w:val="none" w:sz="0" w:space="0" w:color="auto"/>
        <w:right w:val="none" w:sz="0" w:space="0" w:color="auto"/>
      </w:divBdr>
    </w:div>
    <w:div w:id="1409424406">
      <w:bodyDiv w:val="1"/>
      <w:marLeft w:val="0"/>
      <w:marRight w:val="0"/>
      <w:marTop w:val="0"/>
      <w:marBottom w:val="0"/>
      <w:divBdr>
        <w:top w:val="none" w:sz="0" w:space="0" w:color="auto"/>
        <w:left w:val="none" w:sz="0" w:space="0" w:color="auto"/>
        <w:bottom w:val="none" w:sz="0" w:space="0" w:color="auto"/>
        <w:right w:val="none" w:sz="0" w:space="0" w:color="auto"/>
      </w:divBdr>
    </w:div>
    <w:div w:id="1470630322">
      <w:bodyDiv w:val="1"/>
      <w:marLeft w:val="0"/>
      <w:marRight w:val="0"/>
      <w:marTop w:val="0"/>
      <w:marBottom w:val="0"/>
      <w:divBdr>
        <w:top w:val="none" w:sz="0" w:space="0" w:color="auto"/>
        <w:left w:val="none" w:sz="0" w:space="0" w:color="auto"/>
        <w:bottom w:val="none" w:sz="0" w:space="0" w:color="auto"/>
        <w:right w:val="none" w:sz="0" w:space="0" w:color="auto"/>
      </w:divBdr>
    </w:div>
    <w:div w:id="1470854945">
      <w:bodyDiv w:val="1"/>
      <w:marLeft w:val="0"/>
      <w:marRight w:val="0"/>
      <w:marTop w:val="0"/>
      <w:marBottom w:val="0"/>
      <w:divBdr>
        <w:top w:val="none" w:sz="0" w:space="0" w:color="auto"/>
        <w:left w:val="none" w:sz="0" w:space="0" w:color="auto"/>
        <w:bottom w:val="none" w:sz="0" w:space="0" w:color="auto"/>
        <w:right w:val="none" w:sz="0" w:space="0" w:color="auto"/>
      </w:divBdr>
    </w:div>
    <w:div w:id="1476223070">
      <w:bodyDiv w:val="1"/>
      <w:marLeft w:val="0"/>
      <w:marRight w:val="0"/>
      <w:marTop w:val="0"/>
      <w:marBottom w:val="0"/>
      <w:divBdr>
        <w:top w:val="none" w:sz="0" w:space="0" w:color="auto"/>
        <w:left w:val="none" w:sz="0" w:space="0" w:color="auto"/>
        <w:bottom w:val="none" w:sz="0" w:space="0" w:color="auto"/>
        <w:right w:val="none" w:sz="0" w:space="0" w:color="auto"/>
      </w:divBdr>
    </w:div>
    <w:div w:id="1505392617">
      <w:bodyDiv w:val="1"/>
      <w:marLeft w:val="0"/>
      <w:marRight w:val="0"/>
      <w:marTop w:val="0"/>
      <w:marBottom w:val="0"/>
      <w:divBdr>
        <w:top w:val="none" w:sz="0" w:space="0" w:color="auto"/>
        <w:left w:val="none" w:sz="0" w:space="0" w:color="auto"/>
        <w:bottom w:val="none" w:sz="0" w:space="0" w:color="auto"/>
        <w:right w:val="none" w:sz="0" w:space="0" w:color="auto"/>
      </w:divBdr>
    </w:div>
    <w:div w:id="1539581854">
      <w:bodyDiv w:val="1"/>
      <w:marLeft w:val="0"/>
      <w:marRight w:val="0"/>
      <w:marTop w:val="0"/>
      <w:marBottom w:val="0"/>
      <w:divBdr>
        <w:top w:val="none" w:sz="0" w:space="0" w:color="auto"/>
        <w:left w:val="none" w:sz="0" w:space="0" w:color="auto"/>
        <w:bottom w:val="none" w:sz="0" w:space="0" w:color="auto"/>
        <w:right w:val="none" w:sz="0" w:space="0" w:color="auto"/>
      </w:divBdr>
    </w:div>
    <w:div w:id="1539583948">
      <w:bodyDiv w:val="1"/>
      <w:marLeft w:val="0"/>
      <w:marRight w:val="0"/>
      <w:marTop w:val="0"/>
      <w:marBottom w:val="0"/>
      <w:divBdr>
        <w:top w:val="none" w:sz="0" w:space="0" w:color="auto"/>
        <w:left w:val="none" w:sz="0" w:space="0" w:color="auto"/>
        <w:bottom w:val="none" w:sz="0" w:space="0" w:color="auto"/>
        <w:right w:val="none" w:sz="0" w:space="0" w:color="auto"/>
      </w:divBdr>
    </w:div>
    <w:div w:id="1546794512">
      <w:bodyDiv w:val="1"/>
      <w:marLeft w:val="0"/>
      <w:marRight w:val="0"/>
      <w:marTop w:val="0"/>
      <w:marBottom w:val="0"/>
      <w:divBdr>
        <w:top w:val="none" w:sz="0" w:space="0" w:color="auto"/>
        <w:left w:val="none" w:sz="0" w:space="0" w:color="auto"/>
        <w:bottom w:val="none" w:sz="0" w:space="0" w:color="auto"/>
        <w:right w:val="none" w:sz="0" w:space="0" w:color="auto"/>
      </w:divBdr>
    </w:div>
    <w:div w:id="1619989986">
      <w:bodyDiv w:val="1"/>
      <w:marLeft w:val="0"/>
      <w:marRight w:val="0"/>
      <w:marTop w:val="0"/>
      <w:marBottom w:val="0"/>
      <w:divBdr>
        <w:top w:val="none" w:sz="0" w:space="0" w:color="auto"/>
        <w:left w:val="none" w:sz="0" w:space="0" w:color="auto"/>
        <w:bottom w:val="none" w:sz="0" w:space="0" w:color="auto"/>
        <w:right w:val="none" w:sz="0" w:space="0" w:color="auto"/>
      </w:divBdr>
    </w:div>
    <w:div w:id="1626696832">
      <w:bodyDiv w:val="1"/>
      <w:marLeft w:val="0"/>
      <w:marRight w:val="0"/>
      <w:marTop w:val="0"/>
      <w:marBottom w:val="0"/>
      <w:divBdr>
        <w:top w:val="none" w:sz="0" w:space="0" w:color="auto"/>
        <w:left w:val="none" w:sz="0" w:space="0" w:color="auto"/>
        <w:bottom w:val="none" w:sz="0" w:space="0" w:color="auto"/>
        <w:right w:val="none" w:sz="0" w:space="0" w:color="auto"/>
      </w:divBdr>
    </w:div>
    <w:div w:id="1672827587">
      <w:bodyDiv w:val="1"/>
      <w:marLeft w:val="0"/>
      <w:marRight w:val="0"/>
      <w:marTop w:val="0"/>
      <w:marBottom w:val="0"/>
      <w:divBdr>
        <w:top w:val="none" w:sz="0" w:space="0" w:color="auto"/>
        <w:left w:val="none" w:sz="0" w:space="0" w:color="auto"/>
        <w:bottom w:val="none" w:sz="0" w:space="0" w:color="auto"/>
        <w:right w:val="none" w:sz="0" w:space="0" w:color="auto"/>
      </w:divBdr>
    </w:div>
    <w:div w:id="1691446009">
      <w:bodyDiv w:val="1"/>
      <w:marLeft w:val="0"/>
      <w:marRight w:val="0"/>
      <w:marTop w:val="0"/>
      <w:marBottom w:val="0"/>
      <w:divBdr>
        <w:top w:val="none" w:sz="0" w:space="0" w:color="auto"/>
        <w:left w:val="none" w:sz="0" w:space="0" w:color="auto"/>
        <w:bottom w:val="none" w:sz="0" w:space="0" w:color="auto"/>
        <w:right w:val="none" w:sz="0" w:space="0" w:color="auto"/>
      </w:divBdr>
    </w:div>
    <w:div w:id="1694764748">
      <w:bodyDiv w:val="1"/>
      <w:marLeft w:val="0"/>
      <w:marRight w:val="0"/>
      <w:marTop w:val="0"/>
      <w:marBottom w:val="0"/>
      <w:divBdr>
        <w:top w:val="none" w:sz="0" w:space="0" w:color="auto"/>
        <w:left w:val="none" w:sz="0" w:space="0" w:color="auto"/>
        <w:bottom w:val="none" w:sz="0" w:space="0" w:color="auto"/>
        <w:right w:val="none" w:sz="0" w:space="0" w:color="auto"/>
      </w:divBdr>
    </w:div>
    <w:div w:id="1718773349">
      <w:bodyDiv w:val="1"/>
      <w:marLeft w:val="0"/>
      <w:marRight w:val="0"/>
      <w:marTop w:val="0"/>
      <w:marBottom w:val="0"/>
      <w:divBdr>
        <w:top w:val="none" w:sz="0" w:space="0" w:color="auto"/>
        <w:left w:val="none" w:sz="0" w:space="0" w:color="auto"/>
        <w:bottom w:val="none" w:sz="0" w:space="0" w:color="auto"/>
        <w:right w:val="none" w:sz="0" w:space="0" w:color="auto"/>
      </w:divBdr>
      <w:divsChild>
        <w:div w:id="748624397">
          <w:marLeft w:val="547"/>
          <w:marRight w:val="0"/>
          <w:marTop w:val="115"/>
          <w:marBottom w:val="0"/>
          <w:divBdr>
            <w:top w:val="none" w:sz="0" w:space="0" w:color="auto"/>
            <w:left w:val="none" w:sz="0" w:space="0" w:color="auto"/>
            <w:bottom w:val="none" w:sz="0" w:space="0" w:color="auto"/>
            <w:right w:val="none" w:sz="0" w:space="0" w:color="auto"/>
          </w:divBdr>
        </w:div>
      </w:divsChild>
    </w:div>
    <w:div w:id="1764259451">
      <w:bodyDiv w:val="1"/>
      <w:marLeft w:val="0"/>
      <w:marRight w:val="0"/>
      <w:marTop w:val="0"/>
      <w:marBottom w:val="0"/>
      <w:divBdr>
        <w:top w:val="none" w:sz="0" w:space="0" w:color="auto"/>
        <w:left w:val="none" w:sz="0" w:space="0" w:color="auto"/>
        <w:bottom w:val="none" w:sz="0" w:space="0" w:color="auto"/>
        <w:right w:val="none" w:sz="0" w:space="0" w:color="auto"/>
      </w:divBdr>
    </w:div>
    <w:div w:id="1782651653">
      <w:bodyDiv w:val="1"/>
      <w:marLeft w:val="0"/>
      <w:marRight w:val="0"/>
      <w:marTop w:val="0"/>
      <w:marBottom w:val="0"/>
      <w:divBdr>
        <w:top w:val="none" w:sz="0" w:space="0" w:color="auto"/>
        <w:left w:val="none" w:sz="0" w:space="0" w:color="auto"/>
        <w:bottom w:val="none" w:sz="0" w:space="0" w:color="auto"/>
        <w:right w:val="none" w:sz="0" w:space="0" w:color="auto"/>
      </w:divBdr>
    </w:div>
    <w:div w:id="1806120790">
      <w:bodyDiv w:val="1"/>
      <w:marLeft w:val="0"/>
      <w:marRight w:val="0"/>
      <w:marTop w:val="0"/>
      <w:marBottom w:val="0"/>
      <w:divBdr>
        <w:top w:val="none" w:sz="0" w:space="0" w:color="auto"/>
        <w:left w:val="none" w:sz="0" w:space="0" w:color="auto"/>
        <w:bottom w:val="none" w:sz="0" w:space="0" w:color="auto"/>
        <w:right w:val="none" w:sz="0" w:space="0" w:color="auto"/>
      </w:divBdr>
      <w:divsChild>
        <w:div w:id="167529040">
          <w:marLeft w:val="547"/>
          <w:marRight w:val="0"/>
          <w:marTop w:val="115"/>
          <w:marBottom w:val="0"/>
          <w:divBdr>
            <w:top w:val="none" w:sz="0" w:space="0" w:color="auto"/>
            <w:left w:val="none" w:sz="0" w:space="0" w:color="auto"/>
            <w:bottom w:val="none" w:sz="0" w:space="0" w:color="auto"/>
            <w:right w:val="none" w:sz="0" w:space="0" w:color="auto"/>
          </w:divBdr>
        </w:div>
      </w:divsChild>
    </w:div>
    <w:div w:id="1809517487">
      <w:bodyDiv w:val="1"/>
      <w:marLeft w:val="0"/>
      <w:marRight w:val="0"/>
      <w:marTop w:val="0"/>
      <w:marBottom w:val="0"/>
      <w:divBdr>
        <w:top w:val="none" w:sz="0" w:space="0" w:color="auto"/>
        <w:left w:val="none" w:sz="0" w:space="0" w:color="auto"/>
        <w:bottom w:val="none" w:sz="0" w:space="0" w:color="auto"/>
        <w:right w:val="none" w:sz="0" w:space="0" w:color="auto"/>
      </w:divBdr>
    </w:div>
    <w:div w:id="1851797374">
      <w:bodyDiv w:val="1"/>
      <w:marLeft w:val="0"/>
      <w:marRight w:val="0"/>
      <w:marTop w:val="0"/>
      <w:marBottom w:val="0"/>
      <w:divBdr>
        <w:top w:val="none" w:sz="0" w:space="0" w:color="auto"/>
        <w:left w:val="none" w:sz="0" w:space="0" w:color="auto"/>
        <w:bottom w:val="none" w:sz="0" w:space="0" w:color="auto"/>
        <w:right w:val="none" w:sz="0" w:space="0" w:color="auto"/>
      </w:divBdr>
    </w:div>
    <w:div w:id="1871843508">
      <w:bodyDiv w:val="1"/>
      <w:marLeft w:val="0"/>
      <w:marRight w:val="0"/>
      <w:marTop w:val="0"/>
      <w:marBottom w:val="0"/>
      <w:divBdr>
        <w:top w:val="none" w:sz="0" w:space="0" w:color="auto"/>
        <w:left w:val="none" w:sz="0" w:space="0" w:color="auto"/>
        <w:bottom w:val="none" w:sz="0" w:space="0" w:color="auto"/>
        <w:right w:val="none" w:sz="0" w:space="0" w:color="auto"/>
      </w:divBdr>
    </w:div>
    <w:div w:id="1886870259">
      <w:bodyDiv w:val="1"/>
      <w:marLeft w:val="0"/>
      <w:marRight w:val="0"/>
      <w:marTop w:val="0"/>
      <w:marBottom w:val="0"/>
      <w:divBdr>
        <w:top w:val="none" w:sz="0" w:space="0" w:color="auto"/>
        <w:left w:val="none" w:sz="0" w:space="0" w:color="auto"/>
        <w:bottom w:val="none" w:sz="0" w:space="0" w:color="auto"/>
        <w:right w:val="none" w:sz="0" w:space="0" w:color="auto"/>
      </w:divBdr>
    </w:div>
    <w:div w:id="1898584364">
      <w:bodyDiv w:val="1"/>
      <w:marLeft w:val="0"/>
      <w:marRight w:val="0"/>
      <w:marTop w:val="0"/>
      <w:marBottom w:val="0"/>
      <w:divBdr>
        <w:top w:val="none" w:sz="0" w:space="0" w:color="auto"/>
        <w:left w:val="none" w:sz="0" w:space="0" w:color="auto"/>
        <w:bottom w:val="none" w:sz="0" w:space="0" w:color="auto"/>
        <w:right w:val="none" w:sz="0" w:space="0" w:color="auto"/>
      </w:divBdr>
    </w:div>
    <w:div w:id="1904870150">
      <w:bodyDiv w:val="1"/>
      <w:marLeft w:val="0"/>
      <w:marRight w:val="0"/>
      <w:marTop w:val="0"/>
      <w:marBottom w:val="0"/>
      <w:divBdr>
        <w:top w:val="none" w:sz="0" w:space="0" w:color="auto"/>
        <w:left w:val="none" w:sz="0" w:space="0" w:color="auto"/>
        <w:bottom w:val="none" w:sz="0" w:space="0" w:color="auto"/>
        <w:right w:val="none" w:sz="0" w:space="0" w:color="auto"/>
      </w:divBdr>
    </w:div>
    <w:div w:id="1937637436">
      <w:bodyDiv w:val="1"/>
      <w:marLeft w:val="0"/>
      <w:marRight w:val="0"/>
      <w:marTop w:val="0"/>
      <w:marBottom w:val="0"/>
      <w:divBdr>
        <w:top w:val="none" w:sz="0" w:space="0" w:color="auto"/>
        <w:left w:val="none" w:sz="0" w:space="0" w:color="auto"/>
        <w:bottom w:val="none" w:sz="0" w:space="0" w:color="auto"/>
        <w:right w:val="none" w:sz="0" w:space="0" w:color="auto"/>
      </w:divBdr>
    </w:div>
    <w:div w:id="1947619935">
      <w:bodyDiv w:val="1"/>
      <w:marLeft w:val="0"/>
      <w:marRight w:val="0"/>
      <w:marTop w:val="0"/>
      <w:marBottom w:val="0"/>
      <w:divBdr>
        <w:top w:val="none" w:sz="0" w:space="0" w:color="auto"/>
        <w:left w:val="none" w:sz="0" w:space="0" w:color="auto"/>
        <w:bottom w:val="none" w:sz="0" w:space="0" w:color="auto"/>
        <w:right w:val="none" w:sz="0" w:space="0" w:color="auto"/>
      </w:divBdr>
    </w:div>
    <w:div w:id="1950116533">
      <w:bodyDiv w:val="1"/>
      <w:marLeft w:val="0"/>
      <w:marRight w:val="0"/>
      <w:marTop w:val="0"/>
      <w:marBottom w:val="0"/>
      <w:divBdr>
        <w:top w:val="none" w:sz="0" w:space="0" w:color="auto"/>
        <w:left w:val="none" w:sz="0" w:space="0" w:color="auto"/>
        <w:bottom w:val="none" w:sz="0" w:space="0" w:color="auto"/>
        <w:right w:val="none" w:sz="0" w:space="0" w:color="auto"/>
      </w:divBdr>
    </w:div>
    <w:div w:id="1960915883">
      <w:bodyDiv w:val="1"/>
      <w:marLeft w:val="0"/>
      <w:marRight w:val="0"/>
      <w:marTop w:val="0"/>
      <w:marBottom w:val="0"/>
      <w:divBdr>
        <w:top w:val="none" w:sz="0" w:space="0" w:color="auto"/>
        <w:left w:val="none" w:sz="0" w:space="0" w:color="auto"/>
        <w:bottom w:val="none" w:sz="0" w:space="0" w:color="auto"/>
        <w:right w:val="none" w:sz="0" w:space="0" w:color="auto"/>
      </w:divBdr>
    </w:div>
    <w:div w:id="2027368465">
      <w:bodyDiv w:val="1"/>
      <w:marLeft w:val="0"/>
      <w:marRight w:val="0"/>
      <w:marTop w:val="0"/>
      <w:marBottom w:val="0"/>
      <w:divBdr>
        <w:top w:val="none" w:sz="0" w:space="0" w:color="auto"/>
        <w:left w:val="none" w:sz="0" w:space="0" w:color="auto"/>
        <w:bottom w:val="none" w:sz="0" w:space="0" w:color="auto"/>
        <w:right w:val="none" w:sz="0" w:space="0" w:color="auto"/>
      </w:divBdr>
    </w:div>
    <w:div w:id="2031829979">
      <w:bodyDiv w:val="1"/>
      <w:marLeft w:val="0"/>
      <w:marRight w:val="0"/>
      <w:marTop w:val="0"/>
      <w:marBottom w:val="0"/>
      <w:divBdr>
        <w:top w:val="none" w:sz="0" w:space="0" w:color="auto"/>
        <w:left w:val="none" w:sz="0" w:space="0" w:color="auto"/>
        <w:bottom w:val="none" w:sz="0" w:space="0" w:color="auto"/>
        <w:right w:val="none" w:sz="0" w:space="0" w:color="auto"/>
      </w:divBdr>
    </w:div>
    <w:div w:id="2041591949">
      <w:bodyDiv w:val="1"/>
      <w:marLeft w:val="0"/>
      <w:marRight w:val="0"/>
      <w:marTop w:val="0"/>
      <w:marBottom w:val="0"/>
      <w:divBdr>
        <w:top w:val="none" w:sz="0" w:space="0" w:color="auto"/>
        <w:left w:val="none" w:sz="0" w:space="0" w:color="auto"/>
        <w:bottom w:val="none" w:sz="0" w:space="0" w:color="auto"/>
        <w:right w:val="none" w:sz="0" w:space="0" w:color="auto"/>
      </w:divBdr>
    </w:div>
    <w:div w:id="2077047187">
      <w:bodyDiv w:val="1"/>
      <w:marLeft w:val="0"/>
      <w:marRight w:val="0"/>
      <w:marTop w:val="0"/>
      <w:marBottom w:val="0"/>
      <w:divBdr>
        <w:top w:val="none" w:sz="0" w:space="0" w:color="auto"/>
        <w:left w:val="none" w:sz="0" w:space="0" w:color="auto"/>
        <w:bottom w:val="none" w:sz="0" w:space="0" w:color="auto"/>
        <w:right w:val="none" w:sz="0" w:space="0" w:color="auto"/>
      </w:divBdr>
    </w:div>
    <w:div w:id="2114588781">
      <w:bodyDiv w:val="1"/>
      <w:marLeft w:val="0"/>
      <w:marRight w:val="0"/>
      <w:marTop w:val="0"/>
      <w:marBottom w:val="0"/>
      <w:divBdr>
        <w:top w:val="none" w:sz="0" w:space="0" w:color="auto"/>
        <w:left w:val="none" w:sz="0" w:space="0" w:color="auto"/>
        <w:bottom w:val="none" w:sz="0" w:space="0" w:color="auto"/>
        <w:right w:val="none" w:sz="0" w:space="0" w:color="auto"/>
      </w:divBdr>
    </w:div>
    <w:div w:id="2121483529">
      <w:bodyDiv w:val="1"/>
      <w:marLeft w:val="0"/>
      <w:marRight w:val="0"/>
      <w:marTop w:val="0"/>
      <w:marBottom w:val="0"/>
      <w:divBdr>
        <w:top w:val="none" w:sz="0" w:space="0" w:color="auto"/>
        <w:left w:val="none" w:sz="0" w:space="0" w:color="auto"/>
        <w:bottom w:val="none" w:sz="0" w:space="0" w:color="auto"/>
        <w:right w:val="none" w:sz="0" w:space="0" w:color="auto"/>
      </w:divBdr>
    </w:div>
    <w:div w:id="21349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6239771499151"/>
          <c:y val="0.106758771717953"/>
          <c:w val="0.51120020842982905"/>
          <c:h val="0.79078047759368497"/>
        </c:manualLayout>
      </c:layout>
      <c:barChart>
        <c:barDir val="col"/>
        <c:grouping val="clustered"/>
        <c:varyColors val="0"/>
        <c:ser>
          <c:idx val="0"/>
          <c:order val="0"/>
          <c:tx>
            <c:strRef>
              <c:f>Hoja1!$B$1</c:f>
              <c:strCache>
                <c:ptCount val="1"/>
                <c:pt idx="0">
                  <c:v>Endoscopic Response</c:v>
                </c:pt>
              </c:strCache>
            </c:strRef>
          </c:tx>
          <c:spPr>
            <a:solidFill>
              <a:schemeClr val="tx2">
                <a:lumMod val="75000"/>
              </a:schemeClr>
            </a:solidFill>
          </c:spPr>
          <c:invertIfNegative val="0"/>
          <c:cat>
            <c:strRef>
              <c:f>Hoja1!$A$2:$A$3</c:f>
              <c:strCache>
                <c:ptCount val="2"/>
                <c:pt idx="0">
                  <c:v>Week 14</c:v>
                </c:pt>
                <c:pt idx="1">
                  <c:v>Week 46</c:v>
                </c:pt>
              </c:strCache>
            </c:strRef>
          </c:cat>
          <c:val>
            <c:numRef>
              <c:f>Hoja1!$B$2:$B$3</c:f>
              <c:numCache>
                <c:formatCode>General</c:formatCode>
                <c:ptCount val="2"/>
                <c:pt idx="0">
                  <c:v>57</c:v>
                </c:pt>
                <c:pt idx="1">
                  <c:v>52</c:v>
                </c:pt>
              </c:numCache>
            </c:numRef>
          </c:val>
          <c:extLst>
            <c:ext xmlns:c16="http://schemas.microsoft.com/office/drawing/2014/chart" uri="{C3380CC4-5D6E-409C-BE32-E72D297353CC}">
              <c16:uniqueId val="{00000000-C174-4CB3-90ED-F6298BA68B79}"/>
            </c:ext>
          </c:extLst>
        </c:ser>
        <c:ser>
          <c:idx val="1"/>
          <c:order val="1"/>
          <c:tx>
            <c:strRef>
              <c:f>Hoja1!$C$1</c:f>
              <c:strCache>
                <c:ptCount val="1"/>
                <c:pt idx="0">
                  <c:v>Mucosal Healing</c:v>
                </c:pt>
              </c:strCache>
            </c:strRef>
          </c:tx>
          <c:spPr>
            <a:solidFill>
              <a:schemeClr val="accent1">
                <a:lumMod val="40000"/>
                <a:lumOff val="60000"/>
              </a:schemeClr>
            </a:solidFill>
          </c:spPr>
          <c:invertIfNegative val="0"/>
          <c:cat>
            <c:strRef>
              <c:f>Hoja1!$A$2:$A$3</c:f>
              <c:strCache>
                <c:ptCount val="2"/>
                <c:pt idx="0">
                  <c:v>Week 14</c:v>
                </c:pt>
                <c:pt idx="1">
                  <c:v>Week 46</c:v>
                </c:pt>
              </c:strCache>
            </c:strRef>
          </c:cat>
          <c:val>
            <c:numRef>
              <c:f>Hoja1!$C$2:$C$3</c:f>
              <c:numCache>
                <c:formatCode>General</c:formatCode>
                <c:ptCount val="2"/>
                <c:pt idx="0">
                  <c:v>34</c:v>
                </c:pt>
                <c:pt idx="1">
                  <c:v>44</c:v>
                </c:pt>
              </c:numCache>
            </c:numRef>
          </c:val>
          <c:extLst>
            <c:ext xmlns:c16="http://schemas.microsoft.com/office/drawing/2014/chart" uri="{C3380CC4-5D6E-409C-BE32-E72D297353CC}">
              <c16:uniqueId val="{00000001-C174-4CB3-90ED-F6298BA68B79}"/>
            </c:ext>
          </c:extLst>
        </c:ser>
        <c:dLbls>
          <c:showLegendKey val="0"/>
          <c:showVal val="0"/>
          <c:showCatName val="0"/>
          <c:showSerName val="0"/>
          <c:showPercent val="0"/>
          <c:showBubbleSize val="0"/>
        </c:dLbls>
        <c:gapWidth val="150"/>
        <c:axId val="263694592"/>
        <c:axId val="263708672"/>
      </c:barChart>
      <c:catAx>
        <c:axId val="263694592"/>
        <c:scaling>
          <c:orientation val="minMax"/>
        </c:scaling>
        <c:delete val="0"/>
        <c:axPos val="b"/>
        <c:numFmt formatCode="General" sourceLinked="0"/>
        <c:majorTickMark val="out"/>
        <c:minorTickMark val="none"/>
        <c:tickLblPos val="nextTo"/>
        <c:txPr>
          <a:bodyPr/>
          <a:lstStyle/>
          <a:p>
            <a:pPr>
              <a:defRPr sz="1200"/>
            </a:pPr>
            <a:endParaRPr lang="zh-CN"/>
          </a:p>
        </c:txPr>
        <c:crossAx val="263708672"/>
        <c:crosses val="autoZero"/>
        <c:auto val="1"/>
        <c:lblAlgn val="ctr"/>
        <c:lblOffset val="100"/>
        <c:noMultiLvlLbl val="0"/>
      </c:catAx>
      <c:valAx>
        <c:axId val="263708672"/>
        <c:scaling>
          <c:orientation val="minMax"/>
          <c:max val="100"/>
        </c:scaling>
        <c:delete val="0"/>
        <c:axPos val="l"/>
        <c:numFmt formatCode="General" sourceLinked="1"/>
        <c:majorTickMark val="out"/>
        <c:minorTickMark val="none"/>
        <c:tickLblPos val="nextTo"/>
        <c:txPr>
          <a:bodyPr/>
          <a:lstStyle/>
          <a:p>
            <a:pPr>
              <a:defRPr sz="1100"/>
            </a:pPr>
            <a:endParaRPr lang="zh-CN"/>
          </a:p>
        </c:txPr>
        <c:crossAx val="263694592"/>
        <c:crosses val="autoZero"/>
        <c:crossBetween val="between"/>
      </c:valAx>
    </c:plotArea>
    <c:legend>
      <c:legendPos val="r"/>
      <c:overlay val="0"/>
      <c:txPr>
        <a:bodyPr/>
        <a:lstStyle/>
        <a:p>
          <a:pPr>
            <a:defRPr sz="1100"/>
          </a:pPr>
          <a:endParaRPr lang="zh-CN"/>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0.04228</cdr:x>
      <cdr:y>0.32515</cdr:y>
    </cdr:from>
    <cdr:to>
      <cdr:x>0.10298</cdr:x>
      <cdr:y>0.72342</cdr:y>
    </cdr:to>
    <cdr:sp macro="" textlink="">
      <cdr:nvSpPr>
        <cdr:cNvPr id="2" name="1 CuadroTexto"/>
        <cdr:cNvSpPr txBox="1"/>
      </cdr:nvSpPr>
      <cdr:spPr>
        <a:xfrm xmlns:a="http://schemas.openxmlformats.org/drawingml/2006/main" rot="5400000" flipV="1">
          <a:off x="-202976" y="1403103"/>
          <a:ext cx="1190361" cy="3277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600" b="0"/>
            <a:t>%</a:t>
          </a:r>
          <a:r>
            <a:rPr lang="es-ES" sz="1600"/>
            <a:t>paients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8D1A0-EB3B-41D6-BE75-80BCC243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6104</Words>
  <Characters>34797</Characters>
  <Application>Microsoft Office Word</Application>
  <DocSecurity>0</DocSecurity>
  <Lines>289</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 - TECNIC DE SUPORT (DIR.SIST.INF.)</dc:creator>
  <cp:keywords/>
  <dc:description/>
  <cp:lastModifiedBy>宋 涵</cp:lastModifiedBy>
  <cp:revision>3</cp:revision>
  <cp:lastPrinted>2017-06-28T10:52:00Z</cp:lastPrinted>
  <dcterms:created xsi:type="dcterms:W3CDTF">2019-03-02T03:13:00Z</dcterms:created>
  <dcterms:modified xsi:type="dcterms:W3CDTF">2019-04-12T05:55:00Z</dcterms:modified>
</cp:coreProperties>
</file>