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C25" w:rsidRPr="00DE17D7" w:rsidRDefault="00A44C25" w:rsidP="00B26511">
      <w:pPr>
        <w:pStyle w:val="Default"/>
        <w:spacing w:line="360" w:lineRule="auto"/>
        <w:jc w:val="both"/>
        <w:rPr>
          <w:rFonts w:cs="Times New Roman"/>
          <w:b/>
          <w:color w:val="auto"/>
        </w:rPr>
      </w:pPr>
      <w:bookmarkStart w:id="0" w:name="_GoBack"/>
      <w:bookmarkEnd w:id="0"/>
      <w:r w:rsidRPr="00DE17D7">
        <w:rPr>
          <w:rFonts w:cs="Times New Roman"/>
          <w:b/>
          <w:bCs/>
          <w:color w:val="auto"/>
        </w:rPr>
        <w:t xml:space="preserve">Name of Journal: </w:t>
      </w:r>
      <w:r w:rsidRPr="00DE17D7">
        <w:rPr>
          <w:rFonts w:cs="Times New Roman"/>
          <w:b/>
          <w:i/>
          <w:iCs/>
          <w:color w:val="auto"/>
        </w:rPr>
        <w:t xml:space="preserve">World Journal of Gastroenterology </w:t>
      </w:r>
    </w:p>
    <w:p w:rsidR="00B26511" w:rsidRPr="00DE17D7" w:rsidRDefault="00B26511" w:rsidP="00B26511">
      <w:pPr>
        <w:spacing w:after="0" w:line="360" w:lineRule="auto"/>
        <w:jc w:val="both"/>
        <w:rPr>
          <w:rFonts w:ascii="Book Antiqua" w:hAnsi="Book Antiqua" w:cs="Arial"/>
          <w:b/>
          <w:bCs/>
          <w:lang w:eastAsia="zh-CN"/>
        </w:rPr>
      </w:pPr>
      <w:r w:rsidRPr="00DE17D7">
        <w:rPr>
          <w:rFonts w:ascii="Book Antiqua" w:hAnsi="Book Antiqua" w:cs="Arial"/>
          <w:b/>
          <w:bCs/>
          <w:lang w:eastAsia="zh-CN"/>
        </w:rPr>
        <w:t xml:space="preserve">Manuscript NO: </w:t>
      </w:r>
      <w:r w:rsidRPr="00DE17D7">
        <w:rPr>
          <w:rFonts w:ascii="Book Antiqua" w:hAnsi="Book Antiqua" w:cs="Arial" w:hint="eastAsia"/>
          <w:b/>
          <w:bCs/>
          <w:lang w:eastAsia="zh-CN"/>
        </w:rPr>
        <w:t>45847</w:t>
      </w:r>
    </w:p>
    <w:p w:rsidR="00B26511" w:rsidRPr="00DE17D7" w:rsidRDefault="00B26511" w:rsidP="00B26511">
      <w:pPr>
        <w:spacing w:after="0" w:line="360" w:lineRule="auto"/>
        <w:jc w:val="both"/>
        <w:rPr>
          <w:rFonts w:ascii="Book Antiqua" w:hAnsi="Book Antiqua" w:cs="Arial"/>
          <w:b/>
          <w:bCs/>
          <w:lang w:eastAsia="zh-CN"/>
        </w:rPr>
      </w:pPr>
      <w:bookmarkStart w:id="1" w:name="OLE_LINK4"/>
      <w:r w:rsidRPr="00DE17D7">
        <w:rPr>
          <w:rFonts w:ascii="Book Antiqua" w:hAnsi="Book Antiqua"/>
          <w:b/>
          <w:shd w:val="clear" w:color="auto" w:fill="FFFFFF"/>
        </w:rPr>
        <w:t>Manuscript Type</w:t>
      </w:r>
      <w:bookmarkEnd w:id="1"/>
      <w:r w:rsidRPr="00DE17D7">
        <w:rPr>
          <w:rFonts w:ascii="Book Antiqua" w:hAnsi="Book Antiqua" w:cs="Arial"/>
          <w:b/>
          <w:bCs/>
          <w:lang w:eastAsia="zh-CN"/>
        </w:rPr>
        <w:t xml:space="preserve">: </w:t>
      </w:r>
      <w:r w:rsidRPr="00DE17D7">
        <w:rPr>
          <w:rFonts w:ascii="Book Antiqua" w:hAnsi="Book Antiqua"/>
          <w:b/>
          <w:sz w:val="24"/>
          <w:szCs w:val="24"/>
        </w:rPr>
        <w:t>OPINION REVIEW</w:t>
      </w:r>
    </w:p>
    <w:p w:rsidR="006444F4" w:rsidRPr="009169B7" w:rsidRDefault="006444F4" w:rsidP="00B26511">
      <w:pPr>
        <w:pStyle w:val="a3"/>
        <w:spacing w:before="0" w:beforeAutospacing="0" w:after="0" w:afterAutospacing="0" w:line="360" w:lineRule="auto"/>
        <w:jc w:val="both"/>
        <w:rPr>
          <w:rFonts w:ascii="Book Antiqua" w:eastAsia="宋体" w:hAnsi="Book Antiqua"/>
          <w:b/>
          <w:lang w:eastAsia="zh-CN"/>
        </w:rPr>
      </w:pPr>
    </w:p>
    <w:p w:rsidR="00A44C25" w:rsidRPr="009169B7" w:rsidRDefault="00A44C25" w:rsidP="00B26511">
      <w:pPr>
        <w:pStyle w:val="a3"/>
        <w:spacing w:before="0" w:beforeAutospacing="0" w:after="0" w:afterAutospacing="0" w:line="360" w:lineRule="auto"/>
        <w:jc w:val="both"/>
        <w:rPr>
          <w:rFonts w:ascii="Book Antiqua" w:hAnsi="Book Antiqua"/>
          <w:b/>
        </w:rPr>
      </w:pPr>
      <w:bookmarkStart w:id="2" w:name="OLE_LINK774"/>
      <w:bookmarkStart w:id="3" w:name="OLE_LINK775"/>
      <w:r w:rsidRPr="009169B7">
        <w:rPr>
          <w:rFonts w:ascii="Book Antiqua" w:hAnsi="Book Antiqua"/>
          <w:b/>
        </w:rPr>
        <w:t xml:space="preserve">Repurposing drugs to target </w:t>
      </w:r>
      <w:r w:rsidR="00B26511" w:rsidRPr="009169B7">
        <w:rPr>
          <w:rFonts w:ascii="Book Antiqua" w:hAnsi="Book Antiqua"/>
          <w:b/>
        </w:rPr>
        <w:t>nonalcoholic steatohepatitis</w:t>
      </w:r>
    </w:p>
    <w:bookmarkEnd w:id="2"/>
    <w:bookmarkEnd w:id="3"/>
    <w:p w:rsidR="006444F4" w:rsidRPr="009169B7" w:rsidRDefault="006444F4" w:rsidP="00B26511">
      <w:pPr>
        <w:autoSpaceDE w:val="0"/>
        <w:autoSpaceDN w:val="0"/>
        <w:adjustRightInd w:val="0"/>
        <w:spacing w:after="0" w:line="360" w:lineRule="auto"/>
        <w:jc w:val="both"/>
        <w:rPr>
          <w:rFonts w:ascii="Book Antiqua" w:hAnsi="Book Antiqua"/>
          <w:b/>
          <w:sz w:val="24"/>
          <w:szCs w:val="24"/>
          <w:lang w:eastAsia="zh-CN"/>
        </w:rPr>
      </w:pPr>
    </w:p>
    <w:p w:rsidR="006444F4" w:rsidRPr="009169B7" w:rsidRDefault="00B26511" w:rsidP="00B26511">
      <w:pPr>
        <w:spacing w:after="0" w:line="360" w:lineRule="auto"/>
        <w:jc w:val="both"/>
        <w:rPr>
          <w:rFonts w:ascii="Book Antiqua" w:hAnsi="Book Antiqua"/>
          <w:sz w:val="24"/>
          <w:szCs w:val="24"/>
        </w:rPr>
      </w:pPr>
      <w:r w:rsidRPr="009169B7">
        <w:rPr>
          <w:rFonts w:ascii="Book Antiqua" w:hAnsi="Book Antiqua"/>
          <w:sz w:val="24"/>
          <w:szCs w:val="24"/>
        </w:rPr>
        <w:t>Sookoian</w:t>
      </w:r>
      <w:r w:rsidRPr="009169B7">
        <w:rPr>
          <w:rFonts w:ascii="Book Antiqua" w:hAnsi="Book Antiqua" w:cs="Garamond-Bold"/>
          <w:bCs/>
          <w:sz w:val="24"/>
          <w:szCs w:val="24"/>
          <w:lang w:eastAsia="zh-CN"/>
        </w:rPr>
        <w:t xml:space="preserve"> </w:t>
      </w:r>
      <w:r w:rsidRPr="009169B7">
        <w:rPr>
          <w:rFonts w:ascii="Book Antiqua" w:hAnsi="Book Antiqua" w:cs="Garamond-Bold" w:hint="eastAsia"/>
          <w:bCs/>
          <w:sz w:val="24"/>
          <w:szCs w:val="24"/>
          <w:lang w:eastAsia="zh-CN"/>
        </w:rPr>
        <w:t>S</w:t>
      </w:r>
      <w:r w:rsidRPr="009169B7">
        <w:rPr>
          <w:rFonts w:ascii="Book Antiqua" w:hAnsi="Book Antiqua" w:cs="Garamond-Bold" w:hint="eastAsia"/>
          <w:bCs/>
          <w:i/>
          <w:sz w:val="24"/>
          <w:szCs w:val="24"/>
          <w:lang w:eastAsia="zh-CN"/>
        </w:rPr>
        <w:t xml:space="preserve"> et al</w:t>
      </w:r>
      <w:r w:rsidRPr="009169B7">
        <w:rPr>
          <w:rFonts w:ascii="Book Antiqua" w:hAnsi="Book Antiqua" w:cs="Garamond-Bold" w:hint="eastAsia"/>
          <w:bCs/>
          <w:sz w:val="24"/>
          <w:szCs w:val="24"/>
          <w:lang w:eastAsia="zh-CN"/>
        </w:rPr>
        <w:t xml:space="preserve">. </w:t>
      </w:r>
      <w:bookmarkStart w:id="4" w:name="OLE_LINK776"/>
      <w:bookmarkStart w:id="5" w:name="OLE_LINK777"/>
      <w:r w:rsidRPr="009169B7">
        <w:rPr>
          <w:rFonts w:ascii="Book Antiqua" w:hAnsi="Book Antiqua" w:cs="Garamond-Bold"/>
          <w:bCs/>
          <w:sz w:val="24"/>
          <w:szCs w:val="24"/>
          <w:lang w:eastAsia="zh-CN"/>
        </w:rPr>
        <w:t>NASH drug discovery</w:t>
      </w:r>
      <w:bookmarkEnd w:id="4"/>
      <w:bookmarkEnd w:id="5"/>
    </w:p>
    <w:p w:rsidR="006444F4" w:rsidRPr="009169B7" w:rsidRDefault="006444F4" w:rsidP="00B26511">
      <w:pPr>
        <w:autoSpaceDE w:val="0"/>
        <w:autoSpaceDN w:val="0"/>
        <w:adjustRightInd w:val="0"/>
        <w:spacing w:after="0" w:line="360" w:lineRule="auto"/>
        <w:jc w:val="both"/>
        <w:rPr>
          <w:rFonts w:ascii="Book Antiqua" w:hAnsi="Book Antiqua"/>
          <w:b/>
          <w:sz w:val="24"/>
          <w:szCs w:val="24"/>
          <w:lang w:eastAsia="zh-CN"/>
        </w:rPr>
      </w:pPr>
    </w:p>
    <w:p w:rsidR="00A44C25" w:rsidRPr="009169B7" w:rsidRDefault="00A44C25" w:rsidP="00B26511">
      <w:pPr>
        <w:autoSpaceDE w:val="0"/>
        <w:autoSpaceDN w:val="0"/>
        <w:adjustRightInd w:val="0"/>
        <w:spacing w:after="0" w:line="360" w:lineRule="auto"/>
        <w:jc w:val="both"/>
        <w:rPr>
          <w:rFonts w:ascii="Book Antiqua" w:hAnsi="Book Antiqua" w:hint="eastAsia"/>
          <w:sz w:val="24"/>
          <w:szCs w:val="24"/>
          <w:lang w:eastAsia="zh-CN"/>
        </w:rPr>
      </w:pPr>
      <w:r w:rsidRPr="009169B7">
        <w:rPr>
          <w:rFonts w:ascii="Book Antiqua" w:hAnsi="Book Antiqua"/>
          <w:sz w:val="24"/>
          <w:szCs w:val="24"/>
        </w:rPr>
        <w:t xml:space="preserve">Silvia </w:t>
      </w:r>
      <w:bookmarkStart w:id="6" w:name="OLE_LINK1"/>
      <w:bookmarkStart w:id="7" w:name="OLE_LINK2"/>
      <w:r w:rsidRPr="009169B7">
        <w:rPr>
          <w:rFonts w:ascii="Book Antiqua" w:hAnsi="Book Antiqua"/>
          <w:sz w:val="24"/>
          <w:szCs w:val="24"/>
        </w:rPr>
        <w:t>Sookoian</w:t>
      </w:r>
      <w:bookmarkEnd w:id="6"/>
      <w:bookmarkEnd w:id="7"/>
      <w:r w:rsidR="00B26511" w:rsidRPr="009169B7">
        <w:rPr>
          <w:rFonts w:ascii="Book Antiqua" w:hAnsi="Book Antiqua" w:hint="eastAsia"/>
          <w:sz w:val="24"/>
          <w:szCs w:val="24"/>
          <w:lang w:eastAsia="zh-CN"/>
        </w:rPr>
        <w:t>,</w:t>
      </w:r>
      <w:r w:rsidRPr="009169B7">
        <w:rPr>
          <w:rFonts w:ascii="Book Antiqua" w:hAnsi="Book Antiqua"/>
          <w:sz w:val="24"/>
          <w:szCs w:val="24"/>
        </w:rPr>
        <w:t xml:space="preserve"> Carlos J Pirola</w:t>
      </w:r>
    </w:p>
    <w:p w:rsidR="00A44C25" w:rsidRPr="009169B7" w:rsidRDefault="00A44C25" w:rsidP="00B26511">
      <w:pPr>
        <w:pStyle w:val="a5"/>
        <w:spacing w:after="0" w:line="360" w:lineRule="auto"/>
        <w:jc w:val="both"/>
        <w:rPr>
          <w:rFonts w:ascii="Book Antiqua" w:eastAsia="宋体" w:hAnsi="Book Antiqua" w:hint="eastAsia"/>
          <w:b/>
          <w:sz w:val="24"/>
          <w:szCs w:val="24"/>
          <w:lang w:eastAsia="zh-CN"/>
        </w:rPr>
      </w:pPr>
    </w:p>
    <w:p w:rsidR="007D2F34" w:rsidRPr="009169B7" w:rsidRDefault="00A44C25" w:rsidP="007D2F34">
      <w:pPr>
        <w:spacing w:after="0" w:line="360" w:lineRule="auto"/>
        <w:jc w:val="both"/>
        <w:rPr>
          <w:rFonts w:ascii="Book Antiqua" w:hAnsi="Book Antiqua" w:hint="eastAsia"/>
          <w:sz w:val="24"/>
          <w:szCs w:val="24"/>
          <w:lang w:eastAsia="zh-CN"/>
        </w:rPr>
      </w:pPr>
      <w:r w:rsidRPr="009169B7">
        <w:rPr>
          <w:rFonts w:ascii="Book Antiqua" w:hAnsi="Book Antiqua"/>
          <w:b/>
          <w:sz w:val="24"/>
          <w:szCs w:val="24"/>
        </w:rPr>
        <w:t>Silvia Sookoian</w:t>
      </w:r>
      <w:r w:rsidR="00B26511" w:rsidRPr="009169B7">
        <w:rPr>
          <w:rFonts w:ascii="Book Antiqua" w:hAnsi="Book Antiqua" w:hint="eastAsia"/>
          <w:b/>
          <w:sz w:val="24"/>
          <w:szCs w:val="24"/>
          <w:lang w:eastAsia="zh-CN"/>
        </w:rPr>
        <w:t>,</w:t>
      </w:r>
      <w:r w:rsidRPr="009169B7">
        <w:rPr>
          <w:rFonts w:ascii="Book Antiqua" w:hAnsi="Book Antiqua"/>
          <w:sz w:val="24"/>
          <w:szCs w:val="24"/>
        </w:rPr>
        <w:t xml:space="preserve"> </w:t>
      </w:r>
      <w:r w:rsidR="007D2F34" w:rsidRPr="009169B7">
        <w:rPr>
          <w:rFonts w:ascii="Book Antiqua" w:hAnsi="Book Antiqua"/>
          <w:sz w:val="24"/>
          <w:szCs w:val="24"/>
          <w:lang w:eastAsia="zh-CN"/>
        </w:rPr>
        <w:t>Department of Clinical and Molecular Hepatology, National Scientific and Technical Research Council (CONICET), University of Buenos Aires, Institute of Medical Research (IDIM), Ciudad Autónoma de Buenos Aires 1427, Argentina</w:t>
      </w:r>
    </w:p>
    <w:p w:rsidR="00B26511" w:rsidRPr="009169B7" w:rsidRDefault="00B26511" w:rsidP="00B26511">
      <w:pPr>
        <w:spacing w:after="0" w:line="360" w:lineRule="auto"/>
        <w:jc w:val="both"/>
        <w:rPr>
          <w:rFonts w:ascii="Book Antiqua" w:hAnsi="Book Antiqua"/>
          <w:b/>
          <w:sz w:val="24"/>
          <w:szCs w:val="24"/>
          <w:lang w:eastAsia="zh-CN"/>
        </w:rPr>
      </w:pPr>
    </w:p>
    <w:p w:rsidR="007D2F34" w:rsidRPr="009169B7" w:rsidRDefault="00A44C25" w:rsidP="007D2F34">
      <w:pPr>
        <w:pStyle w:val="a5"/>
        <w:spacing w:after="0" w:line="360" w:lineRule="auto"/>
        <w:jc w:val="both"/>
        <w:rPr>
          <w:rFonts w:ascii="Book Antiqua" w:eastAsia="宋体" w:hAnsi="Book Antiqua" w:hint="eastAsia"/>
          <w:sz w:val="24"/>
          <w:szCs w:val="24"/>
          <w:lang w:val="en-US" w:eastAsia="zh-CN"/>
        </w:rPr>
      </w:pPr>
      <w:r w:rsidRPr="009169B7">
        <w:rPr>
          <w:rFonts w:ascii="Book Antiqua" w:hAnsi="Book Antiqua"/>
          <w:b/>
          <w:sz w:val="24"/>
          <w:szCs w:val="24"/>
        </w:rPr>
        <w:t>Carlos J Pirola</w:t>
      </w:r>
      <w:r w:rsidR="007D2F34" w:rsidRPr="009169B7">
        <w:rPr>
          <w:rFonts w:ascii="Book Antiqua" w:eastAsia="宋体" w:hAnsi="Book Antiqua" w:hint="eastAsia"/>
          <w:b/>
          <w:sz w:val="24"/>
          <w:szCs w:val="24"/>
          <w:lang w:eastAsia="zh-CN"/>
        </w:rPr>
        <w:t>,</w:t>
      </w:r>
      <w:r w:rsidRPr="009169B7">
        <w:rPr>
          <w:rFonts w:ascii="Book Antiqua" w:hAnsi="Book Antiqua"/>
          <w:sz w:val="24"/>
          <w:szCs w:val="24"/>
        </w:rPr>
        <w:t xml:space="preserve"> </w:t>
      </w:r>
      <w:r w:rsidR="007D2F34" w:rsidRPr="009169B7">
        <w:rPr>
          <w:rFonts w:ascii="Book Antiqua" w:hAnsi="Book Antiqua"/>
          <w:sz w:val="24"/>
          <w:szCs w:val="24"/>
          <w:lang w:val="en-US"/>
        </w:rPr>
        <w:t>Department of Molecular Genetics and Biology of Complex Diseases, National Scientific and Technical Research Council (CONICET), University of Buenos Aires, Institute of Medical Research (IDIM), Ciudad Autonoma de Buenos Aires 1427, Argentina</w:t>
      </w:r>
    </w:p>
    <w:p w:rsidR="00A44C25" w:rsidRPr="009169B7" w:rsidRDefault="00A44C25" w:rsidP="00B26511">
      <w:pPr>
        <w:pStyle w:val="Default"/>
        <w:spacing w:line="360" w:lineRule="auto"/>
        <w:jc w:val="both"/>
        <w:rPr>
          <w:rFonts w:cs="Times New Roman"/>
          <w:color w:val="auto"/>
          <w:lang w:eastAsia="zh-CN"/>
        </w:rPr>
      </w:pPr>
    </w:p>
    <w:p w:rsidR="00A44C25" w:rsidRPr="009169B7" w:rsidRDefault="007D2F34" w:rsidP="00B26511">
      <w:pPr>
        <w:spacing w:after="0" w:line="360" w:lineRule="auto"/>
        <w:jc w:val="both"/>
        <w:rPr>
          <w:rStyle w:val="a4"/>
          <w:rFonts w:ascii="Book Antiqua" w:hAnsi="Book Antiqua" w:hint="eastAsia"/>
          <w:sz w:val="24"/>
          <w:szCs w:val="24"/>
          <w:lang w:val="es-ES" w:eastAsia="zh-CN"/>
        </w:rPr>
      </w:pPr>
      <w:r w:rsidRPr="009169B7">
        <w:rPr>
          <w:rFonts w:ascii="Book Antiqua" w:hAnsi="Book Antiqua"/>
          <w:b/>
          <w:bCs/>
          <w:sz w:val="24"/>
          <w:szCs w:val="24"/>
          <w:shd w:val="clear" w:color="auto" w:fill="FFFFFF"/>
        </w:rPr>
        <w:t>ORCID number</w:t>
      </w:r>
      <w:r w:rsidRPr="009169B7">
        <w:rPr>
          <w:rFonts w:ascii="Book Antiqua" w:hAnsi="Book Antiqua"/>
          <w:b/>
          <w:sz w:val="24"/>
          <w:szCs w:val="24"/>
          <w:lang w:val="en-GB"/>
        </w:rPr>
        <w:t>:</w:t>
      </w:r>
      <w:r w:rsidRPr="009169B7">
        <w:rPr>
          <w:rFonts w:ascii="Book Antiqua" w:hAnsi="Book Antiqua" w:hint="eastAsia"/>
          <w:b/>
          <w:lang w:val="en-GB" w:eastAsia="zh-CN"/>
        </w:rPr>
        <w:t xml:space="preserve"> </w:t>
      </w:r>
      <w:r w:rsidR="00A44C25" w:rsidRPr="009169B7">
        <w:rPr>
          <w:rFonts w:ascii="Book Antiqua" w:hAnsi="Book Antiqua"/>
          <w:bCs/>
          <w:sz w:val="24"/>
          <w:szCs w:val="24"/>
          <w:lang w:val="es-ES"/>
        </w:rPr>
        <w:t>Silvia Sookoian (</w:t>
      </w:r>
      <w:r w:rsidR="00A44C25" w:rsidRPr="009169B7">
        <w:rPr>
          <w:rFonts w:ascii="Book Antiqua" w:hAnsi="Book Antiqua"/>
          <w:sz w:val="24"/>
          <w:szCs w:val="24"/>
          <w:lang w:val="es-ES"/>
        </w:rPr>
        <w:t>0000-0001-5929-5470); Carlos J Pirola (0000-0001-8234-4058)</w:t>
      </w:r>
      <w:r w:rsidRPr="009169B7">
        <w:rPr>
          <w:rFonts w:ascii="Book Antiqua" w:hAnsi="Book Antiqua" w:hint="eastAsia"/>
          <w:sz w:val="24"/>
          <w:szCs w:val="24"/>
          <w:lang w:val="es-ES" w:eastAsia="zh-CN"/>
        </w:rPr>
        <w:t>.</w:t>
      </w:r>
    </w:p>
    <w:p w:rsidR="00A44C25" w:rsidRPr="009169B7" w:rsidRDefault="00A44C25" w:rsidP="00B26511">
      <w:pPr>
        <w:pStyle w:val="a5"/>
        <w:spacing w:after="0" w:line="360" w:lineRule="auto"/>
        <w:jc w:val="both"/>
        <w:rPr>
          <w:rFonts w:ascii="Book Antiqua" w:hAnsi="Book Antiqua"/>
          <w:bCs/>
          <w:sz w:val="24"/>
          <w:szCs w:val="24"/>
          <w:lang w:val="es-ES"/>
        </w:rPr>
      </w:pPr>
    </w:p>
    <w:p w:rsidR="00A44C25" w:rsidRPr="009169B7" w:rsidRDefault="007D2F34" w:rsidP="00B26511">
      <w:pPr>
        <w:pStyle w:val="a5"/>
        <w:spacing w:after="0" w:line="360" w:lineRule="auto"/>
        <w:jc w:val="both"/>
        <w:rPr>
          <w:rFonts w:ascii="Book Antiqua" w:hAnsi="Book Antiqua"/>
          <w:sz w:val="24"/>
          <w:szCs w:val="24"/>
          <w:lang w:eastAsia="zh-CN"/>
        </w:rPr>
      </w:pPr>
      <w:r w:rsidRPr="009169B7">
        <w:rPr>
          <w:rFonts w:ascii="Book Antiqua" w:hAnsi="Book Antiqua"/>
          <w:b/>
          <w:bCs/>
          <w:sz w:val="24"/>
          <w:szCs w:val="24"/>
        </w:rPr>
        <w:t>Author contributions</w:t>
      </w:r>
      <w:r w:rsidRPr="009169B7">
        <w:rPr>
          <w:rFonts w:ascii="Book Antiqua" w:hAnsi="Book Antiqua"/>
          <w:bCs/>
          <w:sz w:val="24"/>
          <w:szCs w:val="24"/>
        </w:rPr>
        <w:t>:</w:t>
      </w:r>
      <w:r w:rsidR="00A44C25" w:rsidRPr="009169B7">
        <w:rPr>
          <w:rFonts w:ascii="Book Antiqua" w:hAnsi="Book Antiqua"/>
          <w:sz w:val="24"/>
          <w:szCs w:val="24"/>
        </w:rPr>
        <w:t xml:space="preserve"> All authors equally contributed to this paper with conception and design of the study, literature review and analysis, drafting and critical revision and editing, and final approval of the final version.</w:t>
      </w:r>
    </w:p>
    <w:p w:rsidR="006444F4" w:rsidRPr="009169B7" w:rsidRDefault="006444F4" w:rsidP="00B26511">
      <w:pPr>
        <w:pStyle w:val="a5"/>
        <w:spacing w:after="0" w:line="360" w:lineRule="auto"/>
        <w:jc w:val="both"/>
        <w:rPr>
          <w:rFonts w:ascii="Book Antiqua" w:hAnsi="Book Antiqua"/>
          <w:sz w:val="24"/>
          <w:szCs w:val="24"/>
          <w:lang w:eastAsia="zh-CN"/>
        </w:rPr>
      </w:pPr>
    </w:p>
    <w:p w:rsidR="006444F4" w:rsidRPr="009169B7" w:rsidRDefault="00A44C25" w:rsidP="00B26511">
      <w:pPr>
        <w:spacing w:after="0" w:line="360" w:lineRule="auto"/>
        <w:jc w:val="both"/>
        <w:rPr>
          <w:rFonts w:ascii="Book Antiqua" w:hAnsi="Book Antiqua" w:hint="eastAsia"/>
          <w:sz w:val="24"/>
          <w:szCs w:val="24"/>
          <w:lang w:eastAsia="zh-CN"/>
        </w:rPr>
      </w:pPr>
      <w:r w:rsidRPr="009169B7">
        <w:rPr>
          <w:rFonts w:ascii="Book Antiqua" w:hAnsi="Book Antiqua"/>
          <w:b/>
          <w:bCs/>
          <w:sz w:val="24"/>
          <w:szCs w:val="24"/>
        </w:rPr>
        <w:t>Supported by</w:t>
      </w:r>
      <w:r w:rsidRPr="009169B7">
        <w:rPr>
          <w:rFonts w:ascii="Book Antiqua" w:hAnsi="Book Antiqua"/>
          <w:sz w:val="24"/>
          <w:szCs w:val="24"/>
        </w:rPr>
        <w:t xml:space="preserve"> grants PICT 2014-0432, PICT 2014-1816 and PICT 2015-0551, PICT 2016-0135 (Agencia Nacional de Promoción Científica y Tecnológica, FONCyT). </w:t>
      </w:r>
    </w:p>
    <w:p w:rsidR="007D2F34" w:rsidRPr="009169B7" w:rsidRDefault="007D2F34" w:rsidP="00B26511">
      <w:pPr>
        <w:spacing w:after="0" w:line="360" w:lineRule="auto"/>
        <w:jc w:val="both"/>
        <w:rPr>
          <w:rFonts w:ascii="Book Antiqua" w:hAnsi="Book Antiqua"/>
          <w:sz w:val="24"/>
          <w:szCs w:val="24"/>
          <w:lang w:eastAsia="zh-CN"/>
        </w:rPr>
      </w:pPr>
    </w:p>
    <w:p w:rsidR="006444F4" w:rsidRPr="009169B7" w:rsidRDefault="007D2F34" w:rsidP="00B26511">
      <w:pPr>
        <w:pStyle w:val="Default"/>
        <w:spacing w:line="360" w:lineRule="auto"/>
        <w:jc w:val="both"/>
        <w:rPr>
          <w:rFonts w:cs="Times New Roman" w:hint="eastAsia"/>
          <w:color w:val="auto"/>
          <w:lang w:eastAsia="zh-CN"/>
        </w:rPr>
      </w:pPr>
      <w:r w:rsidRPr="009169B7">
        <w:rPr>
          <w:rFonts w:cs="Times New Roman"/>
          <w:b/>
          <w:bCs/>
          <w:color w:val="auto"/>
        </w:rPr>
        <w:t>Conflict-of-interest statement:</w:t>
      </w:r>
      <w:r w:rsidRPr="009169B7">
        <w:rPr>
          <w:rFonts w:cs="Times New Roman" w:hint="eastAsia"/>
          <w:b/>
          <w:bCs/>
          <w:color w:val="auto"/>
          <w:lang w:eastAsia="zh-CN"/>
        </w:rPr>
        <w:t xml:space="preserve"> </w:t>
      </w:r>
      <w:r w:rsidR="00A44C25" w:rsidRPr="009169B7">
        <w:rPr>
          <w:rFonts w:cs="Times New Roman"/>
          <w:color w:val="auto"/>
        </w:rPr>
        <w:t xml:space="preserve">No potential conflicts of interest. </w:t>
      </w:r>
    </w:p>
    <w:p w:rsidR="007D2F34" w:rsidRPr="009169B7" w:rsidRDefault="007D2F34" w:rsidP="00B26511">
      <w:pPr>
        <w:pStyle w:val="Default"/>
        <w:spacing w:line="360" w:lineRule="auto"/>
        <w:jc w:val="both"/>
        <w:rPr>
          <w:rFonts w:cs="Times New Roman" w:hint="eastAsia"/>
          <w:color w:val="auto"/>
          <w:lang w:eastAsia="zh-CN"/>
        </w:rPr>
      </w:pPr>
    </w:p>
    <w:p w:rsidR="007D2F34" w:rsidRPr="009169B7" w:rsidRDefault="007D2F34" w:rsidP="007D2F34">
      <w:pPr>
        <w:pStyle w:val="Default"/>
        <w:spacing w:line="360" w:lineRule="auto"/>
        <w:jc w:val="both"/>
        <w:rPr>
          <w:color w:val="auto"/>
          <w:lang w:eastAsia="zh-CN"/>
        </w:rPr>
      </w:pPr>
      <w:bookmarkStart w:id="8" w:name="OLE_LINK507"/>
      <w:bookmarkStart w:id="9" w:name="OLE_LINK506"/>
      <w:bookmarkStart w:id="10" w:name="OLE_LINK496"/>
      <w:bookmarkStart w:id="11" w:name="OLE_LINK479"/>
      <w:bookmarkStart w:id="12" w:name="OLE_LINK8"/>
      <w:bookmarkStart w:id="13" w:name="OLE_LINK9"/>
      <w:r w:rsidRPr="009169B7">
        <w:rPr>
          <w:b/>
          <w:color w:val="auto"/>
          <w:lang w:eastAsia="zh-CN"/>
        </w:rPr>
        <w:t xml:space="preserve">Open-Access: </w:t>
      </w:r>
      <w:r w:rsidRPr="009169B7">
        <w:rPr>
          <w:color w:val="auto"/>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3E39F2">
          <w:rPr>
            <w:rStyle w:val="a6"/>
            <w:color w:val="auto"/>
            <w:u w:val="none"/>
            <w:lang w:eastAsia="zh-CN"/>
          </w:rPr>
          <w:t>http://creativecommons.org/licenses/by-nc/4.0/</w:t>
        </w:r>
      </w:hyperlink>
      <w:bookmarkEnd w:id="8"/>
      <w:bookmarkEnd w:id="9"/>
      <w:bookmarkEnd w:id="10"/>
      <w:bookmarkEnd w:id="11"/>
    </w:p>
    <w:bookmarkEnd w:id="12"/>
    <w:bookmarkEnd w:id="13"/>
    <w:p w:rsidR="007D2F34" w:rsidRPr="009169B7" w:rsidRDefault="007D2F34" w:rsidP="00B26511">
      <w:pPr>
        <w:pStyle w:val="Default"/>
        <w:spacing w:line="360" w:lineRule="auto"/>
        <w:jc w:val="both"/>
        <w:rPr>
          <w:rFonts w:cs="Times New Roman" w:hint="eastAsia"/>
          <w:color w:val="auto"/>
          <w:lang w:val="es-ES" w:eastAsia="zh-CN"/>
        </w:rPr>
      </w:pPr>
    </w:p>
    <w:p w:rsidR="007D2F34" w:rsidRPr="009169B7" w:rsidRDefault="007D2F34" w:rsidP="00B26511">
      <w:pPr>
        <w:pStyle w:val="Default"/>
        <w:spacing w:line="360" w:lineRule="auto"/>
        <w:jc w:val="both"/>
        <w:rPr>
          <w:rFonts w:cs="Times New Roman" w:hint="eastAsia"/>
          <w:color w:val="auto"/>
          <w:lang w:val="es-ES" w:eastAsia="zh-CN"/>
        </w:rPr>
      </w:pPr>
      <w:r w:rsidRPr="009169B7">
        <w:rPr>
          <w:rFonts w:cs="Times New Roman"/>
          <w:b/>
          <w:color w:val="auto"/>
          <w:lang w:val="es-ES" w:eastAsia="zh-CN"/>
        </w:rPr>
        <w:t>M</w:t>
      </w:r>
      <w:r w:rsidRPr="009169B7">
        <w:rPr>
          <w:rFonts w:cs="Times New Roman" w:hint="eastAsia"/>
          <w:b/>
          <w:color w:val="auto"/>
          <w:lang w:val="es-ES" w:eastAsia="zh-CN"/>
        </w:rPr>
        <w:t xml:space="preserve">anuscript source: </w:t>
      </w:r>
      <w:r w:rsidRPr="009169B7">
        <w:rPr>
          <w:rFonts w:cs="Times New Roman"/>
          <w:color w:val="auto"/>
          <w:lang w:val="es-ES" w:eastAsia="zh-CN"/>
        </w:rPr>
        <w:t>Invited manuscript</w:t>
      </w:r>
    </w:p>
    <w:p w:rsidR="007D2F34" w:rsidRPr="009169B7" w:rsidRDefault="007D2F34" w:rsidP="00B26511">
      <w:pPr>
        <w:pStyle w:val="Default"/>
        <w:spacing w:line="360" w:lineRule="auto"/>
        <w:jc w:val="both"/>
        <w:rPr>
          <w:rFonts w:cs="Times New Roman" w:hint="eastAsia"/>
          <w:color w:val="auto"/>
          <w:lang w:val="es-ES" w:eastAsia="zh-CN"/>
        </w:rPr>
      </w:pPr>
    </w:p>
    <w:p w:rsidR="007D2F34" w:rsidRPr="009169B7" w:rsidRDefault="008E7FAE" w:rsidP="007D2F34">
      <w:pPr>
        <w:spacing w:after="0" w:line="360" w:lineRule="auto"/>
        <w:jc w:val="both"/>
        <w:rPr>
          <w:rFonts w:ascii="Book Antiqua" w:hAnsi="Book Antiqua" w:hint="eastAsia"/>
          <w:sz w:val="24"/>
          <w:szCs w:val="24"/>
          <w:lang w:eastAsia="zh-CN"/>
        </w:rPr>
      </w:pPr>
      <w:r>
        <w:rPr>
          <w:rFonts w:ascii="Book Antiqua" w:hAnsi="Book Antiqua"/>
          <w:b/>
          <w:bCs/>
          <w:sz w:val="24"/>
          <w:szCs w:val="24"/>
          <w:lang w:val="es-ES"/>
        </w:rPr>
        <w:t>Correspond</w:t>
      </w:r>
      <w:r>
        <w:rPr>
          <w:rFonts w:ascii="Book Antiqua" w:hAnsi="Book Antiqua" w:hint="eastAsia"/>
          <w:b/>
          <w:bCs/>
          <w:sz w:val="24"/>
          <w:szCs w:val="24"/>
          <w:lang w:val="es-ES" w:eastAsia="zh-CN"/>
        </w:rPr>
        <w:t>ing author</w:t>
      </w:r>
      <w:r w:rsidR="00A44C25" w:rsidRPr="009169B7">
        <w:rPr>
          <w:rFonts w:ascii="Book Antiqua" w:hAnsi="Book Antiqua"/>
          <w:b/>
          <w:bCs/>
          <w:sz w:val="24"/>
          <w:szCs w:val="24"/>
          <w:lang w:val="es-ES"/>
        </w:rPr>
        <w:t xml:space="preserve">: </w:t>
      </w:r>
      <w:r w:rsidR="00A44C25" w:rsidRPr="009169B7">
        <w:rPr>
          <w:rFonts w:ascii="Book Antiqua" w:eastAsia="AGaramond-Regular" w:hAnsi="Book Antiqua"/>
          <w:b/>
          <w:sz w:val="24"/>
          <w:szCs w:val="24"/>
          <w:lang w:val="es-ES"/>
        </w:rPr>
        <w:t xml:space="preserve">Silvia Sookoian, </w:t>
      </w:r>
      <w:r w:rsidR="007D2F34" w:rsidRPr="009169B7">
        <w:rPr>
          <w:rFonts w:ascii="Book Antiqua" w:eastAsia="AGaramond-Regular" w:hAnsi="Book Antiqua"/>
          <w:b/>
          <w:sz w:val="24"/>
          <w:szCs w:val="24"/>
          <w:lang w:val="es-ES"/>
        </w:rPr>
        <w:t>FAASLD, MD, PhD, Senior Scientist,</w:t>
      </w:r>
      <w:r w:rsidR="007D2F34" w:rsidRPr="009169B7">
        <w:rPr>
          <w:rFonts w:ascii="Book Antiqua" w:hAnsi="Book Antiqua" w:hint="eastAsia"/>
          <w:b/>
          <w:sz w:val="24"/>
          <w:szCs w:val="24"/>
          <w:lang w:val="es-ES" w:eastAsia="zh-CN"/>
        </w:rPr>
        <w:t xml:space="preserve"> </w:t>
      </w:r>
      <w:bookmarkStart w:id="14" w:name="OLE_LINK781"/>
      <w:bookmarkStart w:id="15" w:name="OLE_LINK782"/>
      <w:r w:rsidR="007D2F34" w:rsidRPr="009169B7">
        <w:rPr>
          <w:rFonts w:ascii="Book Antiqua" w:hAnsi="Book Antiqua"/>
          <w:sz w:val="24"/>
          <w:szCs w:val="24"/>
          <w:lang w:eastAsia="zh-CN"/>
        </w:rPr>
        <w:t>Department of Clinical and Molecular Hepatology</w:t>
      </w:r>
      <w:bookmarkEnd w:id="14"/>
      <w:bookmarkEnd w:id="15"/>
      <w:r w:rsidR="007D2F34" w:rsidRPr="009169B7">
        <w:rPr>
          <w:rFonts w:ascii="Book Antiqua" w:hAnsi="Book Antiqua"/>
          <w:sz w:val="24"/>
          <w:szCs w:val="24"/>
          <w:lang w:eastAsia="zh-CN"/>
        </w:rPr>
        <w:t xml:space="preserve">, </w:t>
      </w:r>
      <w:bookmarkStart w:id="16" w:name="OLE_LINK783"/>
      <w:bookmarkStart w:id="17" w:name="OLE_LINK784"/>
      <w:r w:rsidR="007D2F34" w:rsidRPr="009169B7">
        <w:rPr>
          <w:rFonts w:ascii="Book Antiqua" w:hAnsi="Book Antiqua"/>
          <w:sz w:val="24"/>
          <w:szCs w:val="24"/>
          <w:lang w:eastAsia="zh-CN"/>
        </w:rPr>
        <w:t>National Scientific and Technical Research Council (CONICET), University of Buenos Aires, Institute of Medical Research (IDIM)</w:t>
      </w:r>
      <w:bookmarkEnd w:id="16"/>
      <w:bookmarkEnd w:id="17"/>
      <w:r w:rsidR="007D2F34" w:rsidRPr="009169B7">
        <w:rPr>
          <w:rFonts w:ascii="Book Antiqua" w:hAnsi="Book Antiqua"/>
          <w:sz w:val="24"/>
          <w:szCs w:val="24"/>
          <w:lang w:eastAsia="zh-CN"/>
        </w:rPr>
        <w:t xml:space="preserve">, </w:t>
      </w:r>
      <w:bookmarkStart w:id="18" w:name="OLE_LINK785"/>
      <w:bookmarkStart w:id="19" w:name="OLE_LINK786"/>
      <w:r w:rsidR="007D2F34" w:rsidRPr="009169B7">
        <w:rPr>
          <w:rFonts w:ascii="Book Antiqua" w:eastAsia="AGaramond-Regular" w:hAnsi="Book Antiqua"/>
          <w:sz w:val="24"/>
          <w:szCs w:val="24"/>
          <w:lang w:val="es-ES"/>
        </w:rPr>
        <w:t>Combatientes de Malvinas 3150</w:t>
      </w:r>
      <w:bookmarkEnd w:id="18"/>
      <w:bookmarkEnd w:id="19"/>
      <w:r w:rsidR="007D2F34" w:rsidRPr="009169B7">
        <w:rPr>
          <w:rFonts w:ascii="Book Antiqua" w:eastAsia="AGaramond-Regular" w:hAnsi="Book Antiqua"/>
          <w:sz w:val="24"/>
          <w:szCs w:val="24"/>
          <w:lang w:val="es-ES"/>
        </w:rPr>
        <w:t>,</w:t>
      </w:r>
      <w:r w:rsidR="007D2F34" w:rsidRPr="009169B7">
        <w:rPr>
          <w:rFonts w:ascii="Book Antiqua" w:hAnsi="Book Antiqua" w:hint="eastAsia"/>
          <w:sz w:val="24"/>
          <w:szCs w:val="24"/>
          <w:lang w:val="es-ES" w:eastAsia="zh-CN"/>
        </w:rPr>
        <w:t xml:space="preserve"> </w:t>
      </w:r>
      <w:bookmarkStart w:id="20" w:name="OLE_LINK787"/>
      <w:bookmarkStart w:id="21" w:name="OLE_LINK788"/>
      <w:r w:rsidR="007D2F34" w:rsidRPr="009169B7">
        <w:rPr>
          <w:rFonts w:ascii="Book Antiqua" w:hAnsi="Book Antiqua"/>
          <w:sz w:val="24"/>
          <w:szCs w:val="24"/>
          <w:lang w:eastAsia="zh-CN"/>
        </w:rPr>
        <w:t>Ciudad Autónoma de Buenos Aires</w:t>
      </w:r>
      <w:bookmarkEnd w:id="20"/>
      <w:bookmarkEnd w:id="21"/>
      <w:r w:rsidR="007D2F34" w:rsidRPr="009169B7">
        <w:rPr>
          <w:rFonts w:ascii="Book Antiqua" w:hAnsi="Book Antiqua"/>
          <w:sz w:val="24"/>
          <w:szCs w:val="24"/>
          <w:lang w:eastAsia="zh-CN"/>
        </w:rPr>
        <w:t xml:space="preserve"> 1427, Argentina</w:t>
      </w:r>
      <w:r w:rsidR="007D2F34" w:rsidRPr="009169B7">
        <w:rPr>
          <w:rFonts w:ascii="Book Antiqua" w:hAnsi="Book Antiqua" w:hint="eastAsia"/>
          <w:sz w:val="24"/>
          <w:szCs w:val="24"/>
          <w:lang w:eastAsia="zh-CN"/>
        </w:rPr>
        <w:t xml:space="preserve">. </w:t>
      </w:r>
      <w:hyperlink r:id="rId9" w:history="1">
        <w:r w:rsidR="007D2F34" w:rsidRPr="009169B7">
          <w:rPr>
            <w:rStyle w:val="a6"/>
            <w:rFonts w:ascii="Book Antiqua" w:eastAsia="AGaramond-Regular" w:hAnsi="Book Antiqua"/>
            <w:color w:val="auto"/>
            <w:sz w:val="24"/>
            <w:szCs w:val="24"/>
            <w:u w:val="none"/>
            <w:lang w:val="es-ES"/>
          </w:rPr>
          <w:t>ssookoian@intramed.net</w:t>
        </w:r>
      </w:hyperlink>
    </w:p>
    <w:p w:rsidR="00A44C25" w:rsidRPr="009169B7" w:rsidRDefault="007D2F34" w:rsidP="00B26511">
      <w:pPr>
        <w:pStyle w:val="a5"/>
        <w:spacing w:after="0" w:line="360" w:lineRule="auto"/>
        <w:jc w:val="both"/>
        <w:rPr>
          <w:rFonts w:ascii="Book Antiqua" w:hAnsi="Book Antiqua"/>
          <w:bCs/>
          <w:sz w:val="24"/>
          <w:szCs w:val="24"/>
          <w:lang w:val="en-US" w:eastAsia="zh-CN"/>
        </w:rPr>
      </w:pPr>
      <w:r w:rsidRPr="009169B7">
        <w:rPr>
          <w:rFonts w:ascii="Book Antiqua" w:hAnsi="Book Antiqua" w:cs="Arial"/>
          <w:b/>
          <w:sz w:val="24"/>
          <w:szCs w:val="24"/>
          <w:lang w:val="fr-FR" w:eastAsia="zh-CN"/>
        </w:rPr>
        <w:t>Telephone</w:t>
      </w:r>
      <w:r w:rsidRPr="009169B7">
        <w:rPr>
          <w:rFonts w:ascii="Book Antiqua" w:hAnsi="Book Antiqua" w:cs="Arial"/>
          <w:b/>
          <w:sz w:val="24"/>
          <w:szCs w:val="24"/>
          <w:lang w:val="fr-FR"/>
        </w:rPr>
        <w:t>:</w:t>
      </w:r>
      <w:r w:rsidR="00A44C25" w:rsidRPr="009169B7">
        <w:rPr>
          <w:rFonts w:ascii="Book Antiqua" w:hAnsi="Book Antiqua"/>
          <w:bCs/>
          <w:sz w:val="24"/>
          <w:szCs w:val="24"/>
          <w:lang w:val="en-US"/>
        </w:rPr>
        <w:t xml:space="preserve"> </w:t>
      </w:r>
      <w:bookmarkStart w:id="22" w:name="OLE_LINK789"/>
      <w:bookmarkStart w:id="23" w:name="OLE_LINK790"/>
      <w:r w:rsidRPr="009169B7">
        <w:rPr>
          <w:rFonts w:ascii="Book Antiqua" w:eastAsia="宋体" w:hAnsi="Book Antiqua" w:hint="eastAsia"/>
          <w:bCs/>
          <w:sz w:val="24"/>
          <w:szCs w:val="24"/>
          <w:lang w:val="en-US" w:eastAsia="zh-CN"/>
        </w:rPr>
        <w:t>+</w:t>
      </w:r>
      <w:r w:rsidR="00A44C25" w:rsidRPr="009169B7">
        <w:rPr>
          <w:rFonts w:ascii="Book Antiqua" w:hAnsi="Book Antiqua"/>
          <w:bCs/>
          <w:sz w:val="24"/>
          <w:szCs w:val="24"/>
          <w:lang w:val="en-US"/>
        </w:rPr>
        <w:t>54-11-52873905</w:t>
      </w:r>
      <w:bookmarkEnd w:id="22"/>
      <w:bookmarkEnd w:id="23"/>
    </w:p>
    <w:p w:rsidR="006444F4" w:rsidRPr="009169B7" w:rsidRDefault="006444F4" w:rsidP="00B26511">
      <w:pPr>
        <w:pStyle w:val="a5"/>
        <w:spacing w:after="0" w:line="360" w:lineRule="auto"/>
        <w:jc w:val="both"/>
        <w:rPr>
          <w:rFonts w:ascii="Book Antiqua" w:eastAsia="宋体" w:hAnsi="Book Antiqua" w:hint="eastAsia"/>
          <w:bCs/>
          <w:sz w:val="24"/>
          <w:szCs w:val="24"/>
          <w:lang w:val="en-US" w:eastAsia="zh-CN"/>
        </w:rPr>
      </w:pPr>
      <w:r w:rsidRPr="009169B7">
        <w:rPr>
          <w:rFonts w:ascii="Book Antiqua" w:hAnsi="Book Antiqua"/>
          <w:b/>
          <w:bCs/>
          <w:sz w:val="24"/>
          <w:szCs w:val="24"/>
          <w:lang w:val="en-US" w:eastAsia="zh-CN"/>
        </w:rPr>
        <w:t>Fax:</w:t>
      </w:r>
      <w:r w:rsidR="007D2F34" w:rsidRPr="009169B7">
        <w:rPr>
          <w:rFonts w:ascii="Book Antiqua" w:eastAsia="宋体" w:hAnsi="Book Antiqua" w:hint="eastAsia"/>
          <w:bCs/>
          <w:sz w:val="24"/>
          <w:szCs w:val="24"/>
          <w:lang w:val="en-US" w:eastAsia="zh-CN"/>
        </w:rPr>
        <w:t xml:space="preserve"> +</w:t>
      </w:r>
      <w:r w:rsidR="00881277" w:rsidRPr="009169B7">
        <w:rPr>
          <w:rFonts w:ascii="Book Antiqua" w:hAnsi="Book Antiqua"/>
          <w:bCs/>
          <w:sz w:val="24"/>
          <w:szCs w:val="24"/>
          <w:lang w:val="en-US" w:eastAsia="zh-CN"/>
        </w:rPr>
        <w:t>54-11-52873905</w:t>
      </w:r>
    </w:p>
    <w:p w:rsidR="007D2F34" w:rsidRPr="009169B7" w:rsidRDefault="007D2F34" w:rsidP="00B26511">
      <w:pPr>
        <w:pStyle w:val="a5"/>
        <w:spacing w:after="0" w:line="360" w:lineRule="auto"/>
        <w:jc w:val="both"/>
        <w:rPr>
          <w:rFonts w:ascii="Book Antiqua" w:eastAsia="宋体" w:hAnsi="Book Antiqua" w:hint="eastAsia"/>
          <w:bCs/>
          <w:sz w:val="24"/>
          <w:szCs w:val="24"/>
          <w:lang w:val="en-US" w:eastAsia="zh-CN"/>
        </w:rPr>
      </w:pPr>
    </w:p>
    <w:p w:rsidR="007D2F34" w:rsidRPr="009169B7" w:rsidRDefault="007D2F34" w:rsidP="007D2F34">
      <w:pPr>
        <w:widowControl w:val="0"/>
        <w:spacing w:after="0" w:line="360" w:lineRule="auto"/>
        <w:jc w:val="both"/>
        <w:rPr>
          <w:rFonts w:ascii="Book Antiqua" w:hAnsi="Book Antiqua"/>
          <w:b/>
          <w:kern w:val="2"/>
          <w:sz w:val="24"/>
          <w:szCs w:val="24"/>
          <w:lang w:eastAsia="zh-CN"/>
        </w:rPr>
      </w:pPr>
      <w:bookmarkStart w:id="24" w:name="OLE_LINK75"/>
      <w:bookmarkStart w:id="25" w:name="OLE_LINK76"/>
      <w:bookmarkStart w:id="26" w:name="OLE_LINK269"/>
      <w:bookmarkStart w:id="27" w:name="OLE_LINK239"/>
      <w:r w:rsidRPr="009169B7">
        <w:rPr>
          <w:rFonts w:ascii="Book Antiqua" w:hAnsi="Book Antiqua"/>
          <w:b/>
          <w:kern w:val="2"/>
          <w:sz w:val="24"/>
          <w:szCs w:val="24"/>
          <w:lang w:eastAsia="zh-CN"/>
        </w:rPr>
        <w:t xml:space="preserve">Received: </w:t>
      </w:r>
      <w:r w:rsidRPr="009169B7">
        <w:rPr>
          <w:rFonts w:ascii="Book Antiqua" w:hAnsi="Book Antiqua"/>
          <w:kern w:val="2"/>
          <w:sz w:val="24"/>
          <w:szCs w:val="24"/>
          <w:lang w:eastAsia="zh-CN"/>
        </w:rPr>
        <w:t xml:space="preserve">January </w:t>
      </w:r>
      <w:r w:rsidRPr="009169B7">
        <w:rPr>
          <w:rFonts w:ascii="Book Antiqua" w:hAnsi="Book Antiqua" w:hint="eastAsia"/>
          <w:kern w:val="2"/>
          <w:sz w:val="24"/>
          <w:szCs w:val="24"/>
          <w:lang w:eastAsia="zh-CN"/>
        </w:rPr>
        <w:t>18</w:t>
      </w:r>
      <w:r w:rsidRPr="009169B7">
        <w:rPr>
          <w:rFonts w:ascii="Book Antiqua" w:hAnsi="Book Antiqua"/>
          <w:kern w:val="2"/>
          <w:sz w:val="24"/>
          <w:szCs w:val="24"/>
          <w:lang w:eastAsia="zh-CN"/>
        </w:rPr>
        <w:t>, 2019</w:t>
      </w:r>
    </w:p>
    <w:p w:rsidR="007D2F34" w:rsidRPr="009169B7" w:rsidRDefault="007D2F34" w:rsidP="007D2F34">
      <w:pPr>
        <w:widowControl w:val="0"/>
        <w:spacing w:after="0" w:line="360" w:lineRule="auto"/>
        <w:jc w:val="both"/>
        <w:rPr>
          <w:rFonts w:ascii="Book Antiqua" w:hAnsi="Book Antiqua"/>
          <w:b/>
          <w:kern w:val="2"/>
          <w:sz w:val="24"/>
          <w:szCs w:val="24"/>
          <w:lang w:eastAsia="zh-CN"/>
        </w:rPr>
      </w:pPr>
      <w:r w:rsidRPr="009169B7">
        <w:rPr>
          <w:rFonts w:ascii="Book Antiqua" w:hAnsi="Book Antiqua"/>
          <w:b/>
          <w:kern w:val="2"/>
          <w:sz w:val="24"/>
          <w:szCs w:val="24"/>
          <w:lang w:eastAsia="zh-CN"/>
        </w:rPr>
        <w:t xml:space="preserve">Peer-review started: </w:t>
      </w:r>
      <w:r w:rsidRPr="009169B7">
        <w:rPr>
          <w:rFonts w:ascii="Book Antiqua" w:hAnsi="Book Antiqua"/>
          <w:kern w:val="2"/>
          <w:sz w:val="24"/>
          <w:szCs w:val="24"/>
          <w:lang w:eastAsia="zh-CN"/>
        </w:rPr>
        <w:t xml:space="preserve">January </w:t>
      </w:r>
      <w:r w:rsidRPr="009169B7">
        <w:rPr>
          <w:rFonts w:ascii="Book Antiqua" w:hAnsi="Book Antiqua" w:hint="eastAsia"/>
          <w:kern w:val="2"/>
          <w:sz w:val="24"/>
          <w:szCs w:val="24"/>
          <w:lang w:eastAsia="zh-CN"/>
        </w:rPr>
        <w:t>18</w:t>
      </w:r>
      <w:r w:rsidRPr="009169B7">
        <w:rPr>
          <w:rFonts w:ascii="Book Antiqua" w:hAnsi="Book Antiqua"/>
          <w:kern w:val="2"/>
          <w:sz w:val="24"/>
          <w:szCs w:val="24"/>
          <w:lang w:eastAsia="zh-CN"/>
        </w:rPr>
        <w:t>, 2019</w:t>
      </w:r>
    </w:p>
    <w:p w:rsidR="007D2F34" w:rsidRPr="009169B7" w:rsidRDefault="007D2F34" w:rsidP="007D2F34">
      <w:pPr>
        <w:widowControl w:val="0"/>
        <w:spacing w:after="0" w:line="360" w:lineRule="auto"/>
        <w:jc w:val="both"/>
        <w:rPr>
          <w:rFonts w:ascii="Book Antiqua" w:hAnsi="Book Antiqua"/>
          <w:b/>
          <w:kern w:val="2"/>
          <w:sz w:val="24"/>
          <w:szCs w:val="24"/>
          <w:lang w:eastAsia="zh-CN"/>
        </w:rPr>
      </w:pPr>
      <w:r w:rsidRPr="009169B7">
        <w:rPr>
          <w:rFonts w:ascii="Book Antiqua" w:hAnsi="Book Antiqua"/>
          <w:b/>
          <w:kern w:val="2"/>
          <w:sz w:val="24"/>
          <w:szCs w:val="24"/>
          <w:lang w:eastAsia="zh-CN"/>
        </w:rPr>
        <w:t xml:space="preserve">First decision: </w:t>
      </w:r>
      <w:r w:rsidRPr="009169B7">
        <w:rPr>
          <w:rFonts w:ascii="Book Antiqua" w:hAnsi="Book Antiqua" w:hint="eastAsia"/>
          <w:kern w:val="2"/>
          <w:sz w:val="24"/>
          <w:szCs w:val="24"/>
          <w:lang w:eastAsia="zh-CN"/>
        </w:rPr>
        <w:t>March</w:t>
      </w:r>
      <w:r w:rsidRPr="009169B7">
        <w:rPr>
          <w:rFonts w:ascii="Book Antiqua" w:hAnsi="Book Antiqua"/>
          <w:kern w:val="2"/>
          <w:sz w:val="24"/>
          <w:szCs w:val="24"/>
          <w:lang w:eastAsia="zh-CN"/>
        </w:rPr>
        <w:t xml:space="preserve"> </w:t>
      </w:r>
      <w:r w:rsidRPr="009169B7">
        <w:rPr>
          <w:rFonts w:ascii="Book Antiqua" w:hAnsi="Book Antiqua" w:hint="eastAsia"/>
          <w:kern w:val="2"/>
          <w:sz w:val="24"/>
          <w:szCs w:val="24"/>
          <w:lang w:eastAsia="zh-CN"/>
        </w:rPr>
        <w:t>20</w:t>
      </w:r>
      <w:r w:rsidRPr="009169B7">
        <w:rPr>
          <w:rFonts w:ascii="Book Antiqua" w:hAnsi="Book Antiqua"/>
          <w:kern w:val="2"/>
          <w:sz w:val="24"/>
          <w:szCs w:val="24"/>
          <w:lang w:eastAsia="zh-CN"/>
        </w:rPr>
        <w:t>, 2019</w:t>
      </w:r>
    </w:p>
    <w:p w:rsidR="007D2F34" w:rsidRPr="009169B7" w:rsidRDefault="007D2F34" w:rsidP="007D2F34">
      <w:pPr>
        <w:widowControl w:val="0"/>
        <w:spacing w:after="0" w:line="360" w:lineRule="auto"/>
        <w:jc w:val="both"/>
        <w:rPr>
          <w:rFonts w:ascii="Book Antiqua" w:hAnsi="Book Antiqua"/>
          <w:b/>
          <w:kern w:val="2"/>
          <w:sz w:val="24"/>
          <w:szCs w:val="24"/>
          <w:lang w:eastAsia="zh-CN"/>
        </w:rPr>
      </w:pPr>
      <w:r w:rsidRPr="009169B7">
        <w:rPr>
          <w:rFonts w:ascii="Book Antiqua" w:hAnsi="Book Antiqua"/>
          <w:b/>
          <w:kern w:val="2"/>
          <w:sz w:val="24"/>
          <w:szCs w:val="24"/>
          <w:lang w:eastAsia="zh-CN"/>
        </w:rPr>
        <w:t xml:space="preserve">Revised: </w:t>
      </w:r>
      <w:r w:rsidRPr="009169B7">
        <w:rPr>
          <w:rFonts w:ascii="Book Antiqua" w:hAnsi="Book Antiqua" w:hint="eastAsia"/>
          <w:kern w:val="2"/>
          <w:sz w:val="24"/>
          <w:szCs w:val="24"/>
          <w:lang w:eastAsia="zh-CN"/>
        </w:rPr>
        <w:t>March</w:t>
      </w:r>
      <w:r w:rsidRPr="009169B7">
        <w:rPr>
          <w:rFonts w:ascii="Book Antiqua" w:hAnsi="Book Antiqua"/>
          <w:kern w:val="2"/>
          <w:sz w:val="24"/>
          <w:szCs w:val="24"/>
          <w:lang w:eastAsia="zh-CN"/>
        </w:rPr>
        <w:t xml:space="preserve"> </w:t>
      </w:r>
      <w:r w:rsidRPr="009169B7">
        <w:rPr>
          <w:rFonts w:ascii="Book Antiqua" w:hAnsi="Book Antiqua" w:hint="eastAsia"/>
          <w:kern w:val="2"/>
          <w:sz w:val="24"/>
          <w:szCs w:val="24"/>
          <w:lang w:eastAsia="zh-CN"/>
        </w:rPr>
        <w:t>21</w:t>
      </w:r>
      <w:r w:rsidRPr="009169B7">
        <w:rPr>
          <w:rFonts w:ascii="Book Antiqua" w:hAnsi="Book Antiqua"/>
          <w:kern w:val="2"/>
          <w:sz w:val="24"/>
          <w:szCs w:val="24"/>
          <w:lang w:eastAsia="zh-CN"/>
        </w:rPr>
        <w:t>, 2019</w:t>
      </w:r>
    </w:p>
    <w:p w:rsidR="007D2F34" w:rsidRPr="009169B7" w:rsidRDefault="007D2F34" w:rsidP="007D2F34">
      <w:pPr>
        <w:widowControl w:val="0"/>
        <w:spacing w:after="0" w:line="360" w:lineRule="auto"/>
        <w:jc w:val="both"/>
        <w:rPr>
          <w:rFonts w:ascii="Book Antiqua" w:hAnsi="Book Antiqua"/>
          <w:kern w:val="2"/>
          <w:sz w:val="24"/>
          <w:szCs w:val="24"/>
          <w:lang w:eastAsia="zh-CN"/>
        </w:rPr>
      </w:pPr>
      <w:r w:rsidRPr="009169B7">
        <w:rPr>
          <w:rFonts w:ascii="Book Antiqua" w:hAnsi="Book Antiqua"/>
          <w:b/>
          <w:kern w:val="2"/>
          <w:sz w:val="24"/>
          <w:szCs w:val="24"/>
          <w:lang w:eastAsia="zh-CN"/>
        </w:rPr>
        <w:t xml:space="preserve">Accepted: </w:t>
      </w:r>
      <w:r w:rsidR="00AA1996" w:rsidRPr="00AA1996">
        <w:rPr>
          <w:rFonts w:ascii="Book Antiqua" w:hAnsi="Book Antiqua"/>
          <w:kern w:val="2"/>
          <w:sz w:val="24"/>
          <w:szCs w:val="24"/>
          <w:lang w:eastAsia="zh-CN"/>
        </w:rPr>
        <w:t>March 29, 2019</w:t>
      </w:r>
    </w:p>
    <w:p w:rsidR="007D2F34" w:rsidRPr="009169B7" w:rsidRDefault="007D2F34" w:rsidP="007D2F34">
      <w:pPr>
        <w:widowControl w:val="0"/>
        <w:spacing w:after="0" w:line="360" w:lineRule="auto"/>
        <w:jc w:val="both"/>
        <w:rPr>
          <w:rFonts w:ascii="Book Antiqua" w:hAnsi="Book Antiqua"/>
          <w:b/>
          <w:kern w:val="2"/>
          <w:sz w:val="24"/>
          <w:szCs w:val="24"/>
          <w:lang w:eastAsia="zh-CN"/>
        </w:rPr>
      </w:pPr>
      <w:r w:rsidRPr="009169B7">
        <w:rPr>
          <w:rFonts w:ascii="Book Antiqua" w:hAnsi="Book Antiqua"/>
          <w:b/>
          <w:kern w:val="2"/>
          <w:sz w:val="24"/>
          <w:szCs w:val="24"/>
          <w:lang w:eastAsia="zh-CN"/>
        </w:rPr>
        <w:t>Article in press:</w:t>
      </w:r>
      <w:r w:rsidR="003E39F2">
        <w:rPr>
          <w:rFonts w:ascii="Book Antiqua" w:hAnsi="Book Antiqua"/>
          <w:b/>
          <w:kern w:val="2"/>
          <w:sz w:val="24"/>
          <w:szCs w:val="24"/>
          <w:lang w:eastAsia="zh-CN"/>
        </w:rPr>
        <w:t xml:space="preserve"> </w:t>
      </w:r>
      <w:r w:rsidR="003E39F2" w:rsidRPr="00AA1996">
        <w:rPr>
          <w:rFonts w:ascii="Book Antiqua" w:hAnsi="Book Antiqua"/>
          <w:kern w:val="2"/>
          <w:sz w:val="24"/>
          <w:szCs w:val="24"/>
          <w:lang w:eastAsia="zh-CN"/>
        </w:rPr>
        <w:t xml:space="preserve">March </w:t>
      </w:r>
      <w:r w:rsidR="003E39F2">
        <w:rPr>
          <w:rFonts w:ascii="Book Antiqua" w:hAnsi="Book Antiqua"/>
          <w:kern w:val="2"/>
          <w:sz w:val="24"/>
          <w:szCs w:val="24"/>
          <w:lang w:eastAsia="zh-CN"/>
        </w:rPr>
        <w:t>30</w:t>
      </w:r>
      <w:r w:rsidR="003E39F2" w:rsidRPr="00AA1996">
        <w:rPr>
          <w:rFonts w:ascii="Book Antiqua" w:hAnsi="Book Antiqua"/>
          <w:kern w:val="2"/>
          <w:sz w:val="24"/>
          <w:szCs w:val="24"/>
          <w:lang w:eastAsia="zh-CN"/>
        </w:rPr>
        <w:t>, 2019</w:t>
      </w:r>
    </w:p>
    <w:p w:rsidR="007D2F34" w:rsidRPr="009169B7" w:rsidRDefault="007D2F34" w:rsidP="007D2F34">
      <w:pPr>
        <w:widowControl w:val="0"/>
        <w:spacing w:after="0" w:line="360" w:lineRule="auto"/>
        <w:jc w:val="both"/>
        <w:rPr>
          <w:rFonts w:ascii="Book Antiqua" w:hAnsi="Book Antiqua"/>
          <w:b/>
          <w:kern w:val="2"/>
          <w:sz w:val="24"/>
          <w:szCs w:val="24"/>
          <w:lang w:eastAsia="zh-CN"/>
        </w:rPr>
      </w:pPr>
      <w:r w:rsidRPr="009169B7">
        <w:rPr>
          <w:rFonts w:ascii="Book Antiqua" w:hAnsi="Book Antiqua"/>
          <w:b/>
          <w:kern w:val="2"/>
          <w:sz w:val="24"/>
          <w:szCs w:val="24"/>
          <w:lang w:eastAsia="zh-CN"/>
        </w:rPr>
        <w:t>Published online:</w:t>
      </w:r>
      <w:r w:rsidR="003E39F2">
        <w:rPr>
          <w:rFonts w:ascii="Book Antiqua" w:hAnsi="Book Antiqua"/>
          <w:b/>
          <w:kern w:val="2"/>
          <w:sz w:val="24"/>
          <w:szCs w:val="24"/>
          <w:lang w:eastAsia="zh-CN"/>
        </w:rPr>
        <w:t xml:space="preserve"> </w:t>
      </w:r>
      <w:r w:rsidR="003E39F2">
        <w:rPr>
          <w:rFonts w:ascii="Book Antiqua" w:hAnsi="Book Antiqua"/>
          <w:kern w:val="2"/>
          <w:sz w:val="24"/>
          <w:szCs w:val="24"/>
          <w:lang w:eastAsia="zh-CN"/>
        </w:rPr>
        <w:t>April</w:t>
      </w:r>
      <w:r w:rsidR="003E39F2" w:rsidRPr="00AA1996">
        <w:rPr>
          <w:rFonts w:ascii="Book Antiqua" w:hAnsi="Book Antiqua"/>
          <w:kern w:val="2"/>
          <w:sz w:val="24"/>
          <w:szCs w:val="24"/>
          <w:lang w:eastAsia="zh-CN"/>
        </w:rPr>
        <w:t xml:space="preserve"> 2</w:t>
      </w:r>
      <w:r w:rsidR="003E39F2">
        <w:rPr>
          <w:rFonts w:ascii="Book Antiqua" w:hAnsi="Book Antiqua"/>
          <w:kern w:val="2"/>
          <w:sz w:val="24"/>
          <w:szCs w:val="24"/>
          <w:lang w:eastAsia="zh-CN"/>
        </w:rPr>
        <w:t>1</w:t>
      </w:r>
      <w:r w:rsidR="003E39F2" w:rsidRPr="00AA1996">
        <w:rPr>
          <w:rFonts w:ascii="Book Antiqua" w:hAnsi="Book Antiqua"/>
          <w:kern w:val="2"/>
          <w:sz w:val="24"/>
          <w:szCs w:val="24"/>
          <w:lang w:eastAsia="zh-CN"/>
        </w:rPr>
        <w:t>, 2019</w:t>
      </w:r>
    </w:p>
    <w:bookmarkEnd w:id="24"/>
    <w:bookmarkEnd w:id="25"/>
    <w:bookmarkEnd w:id="26"/>
    <w:bookmarkEnd w:id="27"/>
    <w:p w:rsidR="007D2F34" w:rsidRPr="009169B7" w:rsidRDefault="007D2F34" w:rsidP="00B26511">
      <w:pPr>
        <w:pStyle w:val="a5"/>
        <w:spacing w:after="0" w:line="360" w:lineRule="auto"/>
        <w:jc w:val="both"/>
        <w:rPr>
          <w:rFonts w:ascii="Book Antiqua" w:eastAsia="宋体" w:hAnsi="Book Antiqua" w:hint="eastAsia"/>
          <w:bCs/>
          <w:sz w:val="24"/>
          <w:szCs w:val="24"/>
          <w:lang w:val="en-US" w:eastAsia="zh-CN"/>
        </w:rPr>
      </w:pPr>
    </w:p>
    <w:p w:rsidR="00A44C25" w:rsidRPr="009169B7" w:rsidRDefault="00A44C25" w:rsidP="00B26511">
      <w:pPr>
        <w:spacing w:after="0" w:line="360" w:lineRule="auto"/>
        <w:jc w:val="both"/>
        <w:rPr>
          <w:rFonts w:ascii="Book Antiqua" w:hAnsi="Book Antiqua" w:hint="eastAsia"/>
          <w:b/>
          <w:bCs/>
          <w:sz w:val="24"/>
          <w:szCs w:val="24"/>
          <w:lang w:eastAsia="zh-CN"/>
        </w:rPr>
      </w:pPr>
      <w:r w:rsidRPr="009169B7">
        <w:rPr>
          <w:rFonts w:ascii="Book Antiqua" w:hAnsi="Book Antiqua"/>
          <w:bCs/>
          <w:sz w:val="24"/>
          <w:szCs w:val="24"/>
        </w:rPr>
        <w:br w:type="page"/>
      </w:r>
      <w:r w:rsidR="00A817DD" w:rsidRPr="009169B7">
        <w:rPr>
          <w:rFonts w:ascii="Book Antiqua" w:hAnsi="Book Antiqua"/>
          <w:b/>
          <w:bCs/>
          <w:sz w:val="24"/>
          <w:szCs w:val="24"/>
        </w:rPr>
        <w:lastRenderedPageBreak/>
        <w:t>Abstract</w:t>
      </w:r>
    </w:p>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 xml:space="preserve">Nonalcoholic fatty liver disease (NAFLD) is a complex disorder that has evolved </w:t>
      </w:r>
      <w:r w:rsidRPr="009169B7">
        <w:rPr>
          <w:rStyle w:val="st"/>
          <w:rFonts w:ascii="Book Antiqua" w:hAnsi="Book Antiqua"/>
          <w:sz w:val="24"/>
          <w:szCs w:val="24"/>
        </w:rPr>
        <w:t>in recent years</w:t>
      </w:r>
      <w:r w:rsidRPr="009169B7">
        <w:rPr>
          <w:rFonts w:ascii="Book Antiqua" w:hAnsi="Book Antiqua"/>
          <w:sz w:val="24"/>
          <w:szCs w:val="24"/>
        </w:rPr>
        <w:t xml:space="preserve"> as the leading global cause of chronic liver damage. The main obstacle to better disease management pertains to the lack of approved pharmacological interventions for the treatment of nonalcoholic steatohepatitis (NASH) and NASH-fibrosis—the severe histological forms. Over the past decade, tremendous advances have been made in NAFLD research, resulting in the discovery of disease mechanisms and novel therapeutic targets. Hence, a large number of pharmacological agents are currently being tested for safety and efficacy. These drugs are in the initial pharmacological phases (phase 1 and 2), which involve testing tolerability, therapeutic action, and pharmacological issues. It is thus reasonable to assume that the next generation of NASH drugs will not be available for clinical use for foreseeable future. The expected delay can be mitigated by drug repurposing or repositioning, which essentially relies on identifying and developing new uses for existing drugs. Here, we propose a drug candidate selection method based on the integration of molecular pathways of disease pathogenesis into network analysis tools that use OMICs data as well as multiples sources, including text mining from the medical literature. </w:t>
      </w:r>
    </w:p>
    <w:p w:rsidR="00D960ED" w:rsidRPr="009169B7" w:rsidRDefault="00D960ED" w:rsidP="00B26511">
      <w:pPr>
        <w:spacing w:after="0" w:line="360" w:lineRule="auto"/>
        <w:jc w:val="both"/>
        <w:rPr>
          <w:rFonts w:ascii="Book Antiqua" w:hAnsi="Book Antiqua" w:hint="eastAsia"/>
          <w:b/>
          <w:bCs/>
          <w:sz w:val="24"/>
          <w:szCs w:val="24"/>
          <w:lang w:eastAsia="zh-CN"/>
        </w:rPr>
      </w:pPr>
    </w:p>
    <w:p w:rsidR="00A44C25" w:rsidRPr="009169B7" w:rsidRDefault="00A44C25" w:rsidP="00B26511">
      <w:pPr>
        <w:spacing w:after="0" w:line="360" w:lineRule="auto"/>
        <w:jc w:val="both"/>
        <w:rPr>
          <w:rFonts w:ascii="Book Antiqua" w:hAnsi="Book Antiqua"/>
          <w:sz w:val="24"/>
          <w:szCs w:val="24"/>
          <w:lang w:eastAsia="zh-CN"/>
        </w:rPr>
      </w:pPr>
      <w:r w:rsidRPr="009169B7">
        <w:rPr>
          <w:rFonts w:ascii="Book Antiqua" w:eastAsia="BatangChe" w:hAnsi="Book Antiqua"/>
          <w:b/>
          <w:bCs/>
          <w:sz w:val="24"/>
          <w:szCs w:val="24"/>
        </w:rPr>
        <w:t>Key</w:t>
      </w:r>
      <w:r w:rsidR="00D960ED" w:rsidRPr="009169B7">
        <w:rPr>
          <w:rFonts w:ascii="Book Antiqua" w:hAnsi="Book Antiqua" w:hint="eastAsia"/>
          <w:b/>
          <w:bCs/>
          <w:sz w:val="24"/>
          <w:szCs w:val="24"/>
          <w:lang w:eastAsia="zh-CN"/>
        </w:rPr>
        <w:t xml:space="preserve"> </w:t>
      </w:r>
      <w:r w:rsidRPr="009169B7">
        <w:rPr>
          <w:rFonts w:ascii="Book Antiqua" w:eastAsia="BatangChe" w:hAnsi="Book Antiqua"/>
          <w:b/>
          <w:bCs/>
          <w:sz w:val="24"/>
          <w:szCs w:val="24"/>
        </w:rPr>
        <w:t>words</w:t>
      </w:r>
      <w:r w:rsidRPr="009169B7">
        <w:rPr>
          <w:rFonts w:ascii="Book Antiqua" w:eastAsia="BatangChe" w:hAnsi="Book Antiqua"/>
          <w:sz w:val="24"/>
          <w:szCs w:val="24"/>
        </w:rPr>
        <w:t>:</w:t>
      </w:r>
      <w:r w:rsidR="00D960ED" w:rsidRPr="009169B7">
        <w:rPr>
          <w:rFonts w:ascii="Book Antiqua" w:hAnsi="Book Antiqua" w:hint="eastAsia"/>
          <w:sz w:val="24"/>
          <w:szCs w:val="24"/>
          <w:lang w:eastAsia="zh-CN"/>
        </w:rPr>
        <w:t xml:space="preserve"> </w:t>
      </w:r>
      <w:bookmarkStart w:id="28" w:name="OLE_LINK778"/>
      <w:r w:rsidR="00D960ED" w:rsidRPr="009169B7">
        <w:rPr>
          <w:rFonts w:ascii="Book Antiqua" w:eastAsia="BatangChe" w:hAnsi="Book Antiqua"/>
          <w:sz w:val="24"/>
          <w:szCs w:val="24"/>
        </w:rPr>
        <w:t>D</w:t>
      </w:r>
      <w:r w:rsidR="00881277" w:rsidRPr="009169B7">
        <w:rPr>
          <w:rFonts w:ascii="Book Antiqua" w:eastAsia="BatangChe" w:hAnsi="Book Antiqua"/>
          <w:sz w:val="24"/>
          <w:szCs w:val="24"/>
        </w:rPr>
        <w:t xml:space="preserve">rug discovery; </w:t>
      </w:r>
      <w:r w:rsidR="00D960ED" w:rsidRPr="009169B7">
        <w:rPr>
          <w:rFonts w:ascii="Book Antiqua" w:eastAsia="BatangChe" w:hAnsi="Book Antiqua"/>
          <w:sz w:val="24"/>
          <w:szCs w:val="24"/>
        </w:rPr>
        <w:t>D</w:t>
      </w:r>
      <w:r w:rsidR="00881277" w:rsidRPr="009169B7">
        <w:rPr>
          <w:rFonts w:ascii="Book Antiqua" w:eastAsia="BatangChe" w:hAnsi="Book Antiqua"/>
          <w:sz w:val="24"/>
          <w:szCs w:val="24"/>
        </w:rPr>
        <w:t xml:space="preserve">rug repositioning; </w:t>
      </w:r>
      <w:r w:rsidR="00D960ED" w:rsidRPr="009169B7">
        <w:rPr>
          <w:rFonts w:ascii="Book Antiqua" w:eastAsia="BatangChe" w:hAnsi="Book Antiqua"/>
          <w:sz w:val="24"/>
          <w:szCs w:val="24"/>
        </w:rPr>
        <w:t>F</w:t>
      </w:r>
      <w:r w:rsidRPr="009169B7">
        <w:rPr>
          <w:rFonts w:ascii="Book Antiqua" w:eastAsia="BatangChe" w:hAnsi="Book Antiqua"/>
          <w:sz w:val="24"/>
          <w:szCs w:val="24"/>
        </w:rPr>
        <w:t xml:space="preserve">ibrosis; </w:t>
      </w:r>
      <w:r w:rsidR="00D960ED" w:rsidRPr="009169B7">
        <w:rPr>
          <w:rFonts w:ascii="Book Antiqua" w:eastAsia="BatangChe" w:hAnsi="Book Antiqua"/>
          <w:sz w:val="24"/>
          <w:szCs w:val="24"/>
        </w:rPr>
        <w:t>G</w:t>
      </w:r>
      <w:r w:rsidRPr="009169B7">
        <w:rPr>
          <w:rFonts w:ascii="Book Antiqua" w:eastAsia="BatangChe" w:hAnsi="Book Antiqua"/>
          <w:sz w:val="24"/>
          <w:szCs w:val="24"/>
        </w:rPr>
        <w:t xml:space="preserve">enetics; </w:t>
      </w:r>
      <w:r w:rsidR="00D960ED" w:rsidRPr="009169B7">
        <w:rPr>
          <w:rFonts w:ascii="Book Antiqua" w:eastAsia="BatangChe" w:hAnsi="Book Antiqua"/>
          <w:sz w:val="24"/>
          <w:szCs w:val="24"/>
        </w:rPr>
        <w:t>T</w:t>
      </w:r>
      <w:r w:rsidRPr="009169B7">
        <w:rPr>
          <w:rFonts w:ascii="Book Antiqua" w:eastAsia="BatangChe" w:hAnsi="Book Antiqua"/>
          <w:sz w:val="24"/>
          <w:szCs w:val="24"/>
        </w:rPr>
        <w:t xml:space="preserve">reatment; </w:t>
      </w:r>
      <w:r w:rsidR="00D960ED" w:rsidRPr="009169B7">
        <w:rPr>
          <w:rFonts w:ascii="Book Antiqua" w:eastAsia="BatangChe" w:hAnsi="Book Antiqua"/>
          <w:sz w:val="24"/>
          <w:szCs w:val="24"/>
        </w:rPr>
        <w:t>S</w:t>
      </w:r>
      <w:r w:rsidRPr="009169B7">
        <w:rPr>
          <w:rFonts w:ascii="Book Antiqua" w:eastAsia="BatangChe" w:hAnsi="Book Antiqua"/>
          <w:sz w:val="24"/>
          <w:szCs w:val="24"/>
        </w:rPr>
        <w:t>ystems biology</w:t>
      </w:r>
    </w:p>
    <w:bookmarkEnd w:id="28"/>
    <w:p w:rsidR="006444F4" w:rsidRPr="009169B7" w:rsidRDefault="006444F4" w:rsidP="00B26511">
      <w:pPr>
        <w:spacing w:after="0" w:line="360" w:lineRule="auto"/>
        <w:jc w:val="both"/>
        <w:rPr>
          <w:rFonts w:ascii="Book Antiqua" w:hAnsi="Book Antiqua" w:hint="eastAsia"/>
          <w:sz w:val="24"/>
          <w:szCs w:val="24"/>
          <w:lang w:eastAsia="zh-CN"/>
        </w:rPr>
      </w:pPr>
    </w:p>
    <w:p w:rsidR="00D960ED" w:rsidRPr="009169B7" w:rsidRDefault="00D960ED" w:rsidP="00D960ED">
      <w:pPr>
        <w:spacing w:after="0" w:line="360" w:lineRule="auto"/>
        <w:jc w:val="both"/>
        <w:rPr>
          <w:rFonts w:ascii="Book Antiqua" w:hAnsi="Book Antiqua"/>
          <w:i/>
          <w:iCs/>
          <w:sz w:val="24"/>
          <w:szCs w:val="24"/>
        </w:rPr>
      </w:pPr>
      <w:bookmarkStart w:id="29" w:name="OLE_LINK779"/>
      <w:r w:rsidRPr="009169B7">
        <w:rPr>
          <w:rFonts w:ascii="Book Antiqua" w:hAnsi="Book Antiqua" w:cs="Tahoma"/>
          <w:b/>
          <w:sz w:val="24"/>
          <w:szCs w:val="24"/>
          <w:lang w:val="en-GB" w:eastAsia="ja-JP"/>
        </w:rPr>
        <w:t xml:space="preserve">© </w:t>
      </w:r>
      <w:r w:rsidRPr="009169B7">
        <w:rPr>
          <w:rFonts w:ascii="Book Antiqua" w:eastAsia="AdvTimes" w:hAnsi="Book Antiqua" w:cs="AdvTimes"/>
          <w:b/>
          <w:sz w:val="24"/>
          <w:szCs w:val="24"/>
          <w:lang w:val="fr-FR" w:eastAsia="ja-JP"/>
        </w:rPr>
        <w:t xml:space="preserve">The Author(s) </w:t>
      </w:r>
      <w:r w:rsidRPr="009169B7">
        <w:rPr>
          <w:rFonts w:ascii="Book Antiqua" w:hAnsi="Book Antiqua" w:cs="AdvTimes" w:hint="eastAsia"/>
          <w:b/>
          <w:sz w:val="24"/>
          <w:szCs w:val="24"/>
          <w:lang w:val="fr-FR" w:eastAsia="zh-CN"/>
        </w:rPr>
        <w:t>2019</w:t>
      </w:r>
      <w:r w:rsidRPr="009169B7">
        <w:rPr>
          <w:rFonts w:ascii="Book Antiqua" w:eastAsia="AdvTimes" w:hAnsi="Book Antiqua" w:cs="AdvTimes"/>
          <w:b/>
          <w:sz w:val="24"/>
          <w:szCs w:val="24"/>
          <w:lang w:val="fr-FR" w:eastAsia="ja-JP"/>
        </w:rPr>
        <w:t>.</w:t>
      </w:r>
      <w:r w:rsidRPr="009169B7">
        <w:rPr>
          <w:rFonts w:ascii="Book Antiqua" w:eastAsia="AdvTimes" w:hAnsi="Book Antiqua" w:cs="AdvTimes"/>
          <w:sz w:val="24"/>
          <w:szCs w:val="24"/>
          <w:lang w:val="fr-FR" w:eastAsia="ja-JP"/>
        </w:rPr>
        <w:t xml:space="preserve"> Published by </w:t>
      </w:r>
      <w:r w:rsidRPr="009169B7">
        <w:rPr>
          <w:rFonts w:ascii="Book Antiqua" w:hAnsi="Book Antiqua" w:cs="Arial Unicode MS"/>
          <w:sz w:val="24"/>
          <w:szCs w:val="24"/>
          <w:lang w:val="en-GB" w:eastAsia="ja-JP"/>
        </w:rPr>
        <w:t xml:space="preserve">Baishideng Publishing Group Inc. </w:t>
      </w:r>
      <w:r w:rsidRPr="009169B7">
        <w:rPr>
          <w:rFonts w:ascii="Book Antiqua" w:hAnsi="Book Antiqua" w:cs="Arial Unicode MS"/>
          <w:sz w:val="24"/>
          <w:szCs w:val="24"/>
          <w:lang w:val="fr-FR" w:eastAsia="ja-JP"/>
        </w:rPr>
        <w:t>All rights reserved</w:t>
      </w:r>
      <w:r w:rsidRPr="009169B7">
        <w:rPr>
          <w:rFonts w:ascii="Book Antiqua" w:hAnsi="Book Antiqua" w:cs="Arial Unicode MS" w:hint="eastAsia"/>
          <w:sz w:val="24"/>
          <w:szCs w:val="24"/>
          <w:lang w:val="fr-FR"/>
        </w:rPr>
        <w:t>.</w:t>
      </w:r>
    </w:p>
    <w:bookmarkEnd w:id="29"/>
    <w:p w:rsidR="00D960ED" w:rsidRPr="009169B7" w:rsidRDefault="00D960ED" w:rsidP="00B26511">
      <w:pPr>
        <w:spacing w:after="0" w:line="360" w:lineRule="auto"/>
        <w:jc w:val="both"/>
        <w:rPr>
          <w:rFonts w:ascii="Book Antiqua" w:hAnsi="Book Antiqua"/>
          <w:sz w:val="24"/>
          <w:szCs w:val="24"/>
          <w:lang w:eastAsia="zh-CN"/>
        </w:rPr>
      </w:pPr>
    </w:p>
    <w:p w:rsidR="006444F4" w:rsidRPr="009169B7" w:rsidRDefault="006444F4" w:rsidP="00B26511">
      <w:pPr>
        <w:pStyle w:val="a5"/>
        <w:spacing w:after="0" w:line="360" w:lineRule="auto"/>
        <w:jc w:val="both"/>
        <w:rPr>
          <w:rFonts w:ascii="Book Antiqua" w:eastAsia="宋体" w:hAnsi="Book Antiqua" w:hint="eastAsia"/>
          <w:sz w:val="24"/>
          <w:szCs w:val="24"/>
          <w:lang w:eastAsia="zh-CN"/>
        </w:rPr>
      </w:pPr>
      <w:bookmarkStart w:id="30" w:name="OLE_LINK19"/>
      <w:bookmarkStart w:id="31" w:name="OLE_LINK20"/>
      <w:r w:rsidRPr="009169B7">
        <w:rPr>
          <w:rFonts w:ascii="Book Antiqua" w:eastAsia="Arial Unicode MS" w:hAnsi="Book Antiqua" w:cs="Arial Unicode MS"/>
          <w:b/>
          <w:sz w:val="24"/>
          <w:szCs w:val="24"/>
        </w:rPr>
        <w:t>Core tip</w:t>
      </w:r>
      <w:r w:rsidRPr="009169B7">
        <w:rPr>
          <w:rFonts w:ascii="Book Antiqua" w:eastAsia="Arial Unicode MS" w:hAnsi="Book Antiqua" w:cs="Arial Unicode MS"/>
          <w:b/>
          <w:sz w:val="24"/>
          <w:szCs w:val="24"/>
          <w:lang w:eastAsia="zh-CN"/>
        </w:rPr>
        <w:t>:</w:t>
      </w:r>
      <w:bookmarkEnd w:id="30"/>
      <w:bookmarkEnd w:id="31"/>
      <w:r w:rsidRPr="009169B7">
        <w:rPr>
          <w:rFonts w:ascii="Book Antiqua" w:eastAsia="Arial Unicode MS" w:hAnsi="Book Antiqua" w:cs="Arial Unicode MS"/>
          <w:b/>
          <w:sz w:val="24"/>
          <w:szCs w:val="24"/>
        </w:rPr>
        <w:t xml:space="preserve"> </w:t>
      </w:r>
      <w:r w:rsidRPr="009169B7">
        <w:rPr>
          <w:rFonts w:ascii="Book Antiqua" w:hAnsi="Book Antiqua"/>
          <w:sz w:val="24"/>
          <w:szCs w:val="24"/>
        </w:rPr>
        <w:t>As a proof-of-concept of the advantages that can be yielded by applying multi-omics systems-based approaches to the analysis of potential candidates to the treatment of</w:t>
      </w:r>
      <w:r w:rsidR="00881277" w:rsidRPr="009169B7">
        <w:rPr>
          <w:rFonts w:ascii="Book Antiqua" w:hAnsi="Book Antiqua"/>
          <w:sz w:val="24"/>
          <w:szCs w:val="24"/>
          <w:lang w:val="en-US"/>
        </w:rPr>
        <w:t xml:space="preserve"> </w:t>
      </w:r>
      <w:r w:rsidR="00881277" w:rsidRPr="009169B7">
        <w:rPr>
          <w:rFonts w:ascii="Book Antiqua" w:hAnsi="Book Antiqua"/>
          <w:sz w:val="24"/>
          <w:szCs w:val="24"/>
        </w:rPr>
        <w:t>nonalcoholic steatohepatitis</w:t>
      </w:r>
      <w:r w:rsidRPr="009169B7">
        <w:rPr>
          <w:rFonts w:ascii="Book Antiqua" w:hAnsi="Book Antiqua"/>
          <w:sz w:val="24"/>
          <w:szCs w:val="24"/>
        </w:rPr>
        <w:t xml:space="preserve"> </w:t>
      </w:r>
      <w:r w:rsidR="00881277" w:rsidRPr="009169B7">
        <w:rPr>
          <w:rFonts w:ascii="Book Antiqua" w:hAnsi="Book Antiqua"/>
          <w:sz w:val="24"/>
          <w:szCs w:val="24"/>
          <w:lang w:val="en-US"/>
        </w:rPr>
        <w:t>(</w:t>
      </w:r>
      <w:r w:rsidRPr="009169B7">
        <w:rPr>
          <w:rFonts w:ascii="Book Antiqua" w:hAnsi="Book Antiqua"/>
          <w:sz w:val="24"/>
          <w:szCs w:val="24"/>
        </w:rPr>
        <w:t>NASH</w:t>
      </w:r>
      <w:r w:rsidR="00881277" w:rsidRPr="009169B7">
        <w:rPr>
          <w:rFonts w:ascii="Book Antiqua" w:hAnsi="Book Antiqua"/>
          <w:sz w:val="24"/>
          <w:szCs w:val="24"/>
          <w:lang w:val="en-US"/>
        </w:rPr>
        <w:t xml:space="preserve">) </w:t>
      </w:r>
      <w:r w:rsidRPr="009169B7">
        <w:rPr>
          <w:rFonts w:ascii="Book Antiqua" w:hAnsi="Book Antiqua"/>
          <w:sz w:val="24"/>
          <w:szCs w:val="24"/>
        </w:rPr>
        <w:t xml:space="preserve">we selected the </w:t>
      </w:r>
      <w:r w:rsidR="00D960ED" w:rsidRPr="009169B7">
        <w:rPr>
          <w:rStyle w:val="aa"/>
          <w:rFonts w:ascii="Book Antiqua" w:hAnsi="Book Antiqua"/>
          <w:i w:val="0"/>
          <w:sz w:val="24"/>
          <w:szCs w:val="24"/>
        </w:rPr>
        <w:t xml:space="preserve">Kyoto Encyclopedia of Genes and Genomes </w:t>
      </w:r>
      <w:r w:rsidR="00D960ED" w:rsidRPr="009169B7">
        <w:rPr>
          <w:rStyle w:val="aa"/>
          <w:rFonts w:ascii="Book Antiqua" w:eastAsia="宋体" w:hAnsi="Book Antiqua" w:hint="eastAsia"/>
          <w:i w:val="0"/>
          <w:sz w:val="24"/>
          <w:szCs w:val="24"/>
          <w:lang w:eastAsia="zh-CN"/>
        </w:rPr>
        <w:t>(</w:t>
      </w:r>
      <w:r w:rsidRPr="009169B7">
        <w:rPr>
          <w:rStyle w:val="aa"/>
          <w:rFonts w:ascii="Book Antiqua" w:hAnsi="Book Antiqua"/>
          <w:i w:val="0"/>
          <w:sz w:val="24"/>
          <w:szCs w:val="24"/>
        </w:rPr>
        <w:t>KEGG</w:t>
      </w:r>
      <w:r w:rsidR="00D960ED" w:rsidRPr="009169B7">
        <w:rPr>
          <w:rStyle w:val="st"/>
          <w:rFonts w:ascii="Book Antiqua" w:eastAsia="宋体" w:hAnsi="Book Antiqua" w:hint="eastAsia"/>
          <w:sz w:val="24"/>
          <w:szCs w:val="24"/>
          <w:lang w:eastAsia="zh-CN"/>
        </w:rPr>
        <w:t>)</w:t>
      </w:r>
      <w:r w:rsidRPr="009169B7">
        <w:rPr>
          <w:rFonts w:ascii="Book Antiqua" w:hAnsi="Book Antiqua"/>
          <w:sz w:val="24"/>
          <w:szCs w:val="24"/>
        </w:rPr>
        <w:t xml:space="preserve"> pathway map of </w:t>
      </w:r>
      <w:r w:rsidR="00D960ED" w:rsidRPr="009169B7">
        <w:rPr>
          <w:rFonts w:ascii="Book Antiqua" w:hAnsi="Book Antiqua"/>
          <w:sz w:val="24"/>
          <w:szCs w:val="24"/>
        </w:rPr>
        <w:t>nonalcoholic fatty liver disease (NAFLD)</w:t>
      </w:r>
      <w:r w:rsidRPr="009169B7">
        <w:rPr>
          <w:rFonts w:ascii="Book Antiqua" w:hAnsi="Book Antiqua"/>
          <w:sz w:val="24"/>
          <w:szCs w:val="24"/>
        </w:rPr>
        <w:t xml:space="preserve">, which illustrates a stage-dependent progression of the disease. After generating a protein−chemical interaction network, we predicted </w:t>
      </w:r>
      <w:r w:rsidRPr="009169B7">
        <w:rPr>
          <w:rFonts w:ascii="Book Antiqua" w:hAnsi="Book Antiqua"/>
          <w:sz w:val="24"/>
          <w:szCs w:val="24"/>
        </w:rPr>
        <w:lastRenderedPageBreak/>
        <w:t xml:space="preserve">remarkable examples of potential drug repurposing for the treatment of NASH based on the NAFLD-KEGG </w:t>
      </w:r>
      <w:r w:rsidR="00D960ED" w:rsidRPr="009169B7">
        <w:rPr>
          <w:rFonts w:ascii="Book Antiqua" w:hAnsi="Book Antiqua"/>
          <w:sz w:val="24"/>
          <w:szCs w:val="24"/>
        </w:rPr>
        <w:t>connectivity map.</w:t>
      </w:r>
    </w:p>
    <w:p w:rsidR="006444F4" w:rsidRPr="009169B7" w:rsidRDefault="006444F4" w:rsidP="00B26511">
      <w:pPr>
        <w:spacing w:after="0" w:line="360" w:lineRule="auto"/>
        <w:jc w:val="both"/>
        <w:rPr>
          <w:rFonts w:ascii="Book Antiqua" w:hAnsi="Book Antiqua"/>
          <w:sz w:val="24"/>
          <w:szCs w:val="24"/>
          <w:lang w:eastAsia="zh-CN"/>
        </w:rPr>
      </w:pPr>
    </w:p>
    <w:p w:rsidR="003E39F2" w:rsidRDefault="003E39F2" w:rsidP="003E39F2">
      <w:pPr>
        <w:pStyle w:val="a3"/>
        <w:spacing w:before="0" w:beforeAutospacing="0" w:after="0" w:afterAutospacing="0" w:line="360" w:lineRule="auto"/>
        <w:jc w:val="both"/>
        <w:rPr>
          <w:rFonts w:ascii="Book Antiqua" w:hAnsi="Book Antiqua"/>
        </w:rPr>
      </w:pPr>
      <w:bookmarkStart w:id="32" w:name="OLE_LINK95"/>
      <w:bookmarkStart w:id="33" w:name="OLE_LINK53"/>
      <w:bookmarkStart w:id="34" w:name="OLE_LINK47"/>
      <w:bookmarkStart w:id="35" w:name="OLE_LINK48"/>
      <w:bookmarkStart w:id="36" w:name="OLE_LINK289"/>
      <w:bookmarkStart w:id="37" w:name="OLE_LINK494"/>
      <w:bookmarkStart w:id="38" w:name="OLE_LINK142"/>
      <w:bookmarkStart w:id="39" w:name="OLE_LINK143"/>
      <w:bookmarkStart w:id="40" w:name="OLE_LINK249"/>
      <w:bookmarkStart w:id="41" w:name="OLE_LINK256"/>
      <w:bookmarkStart w:id="42" w:name="OLE_LINK85"/>
      <w:bookmarkStart w:id="43" w:name="OLE_LINK780"/>
      <w:r w:rsidRPr="003E39F2">
        <w:rPr>
          <w:rFonts w:ascii="Book Antiqua" w:eastAsia="宋体" w:hAnsi="Book Antiqua"/>
          <w:b/>
          <w:color w:val="000000"/>
          <w:lang w:eastAsia="zh-CN"/>
        </w:rPr>
        <w:t>Citation</w:t>
      </w:r>
      <w:r w:rsidRPr="003E39F2">
        <w:rPr>
          <w:rFonts w:ascii="Book Antiqua" w:eastAsia="宋体" w:hAnsi="Book Antiqua"/>
          <w:color w:val="000000"/>
          <w:lang w:eastAsia="zh-CN"/>
        </w:rPr>
        <w:t>:</w:t>
      </w:r>
      <w:r>
        <w:rPr>
          <w:rFonts w:ascii="Book Antiqua" w:eastAsia="宋体" w:hAnsi="Book Antiqua"/>
          <w:color w:val="000000"/>
          <w:lang w:eastAsia="zh-CN"/>
        </w:rPr>
        <w:t xml:space="preserve"> </w:t>
      </w:r>
      <w:r w:rsidR="00881277" w:rsidRPr="009169B7">
        <w:rPr>
          <w:rFonts w:ascii="Book Antiqua" w:hAnsi="Book Antiqua"/>
        </w:rPr>
        <w:t xml:space="preserve">Sookoian S, Pirola CJ. </w:t>
      </w:r>
      <w:bookmarkStart w:id="44" w:name="OLE_LINK1105"/>
      <w:bookmarkStart w:id="45" w:name="OLE_LINK1107"/>
      <w:r w:rsidR="00D960ED" w:rsidRPr="009169B7">
        <w:rPr>
          <w:rFonts w:ascii="Book Antiqua" w:hAnsi="Book Antiqua"/>
        </w:rPr>
        <w:t>Repurposing drugs to target nonalcoholic steatohepatitis</w:t>
      </w:r>
      <w:r w:rsidR="00D960ED" w:rsidRPr="009169B7">
        <w:rPr>
          <w:rFonts w:ascii="Book Antiqua" w:eastAsia="宋体" w:hAnsi="Book Antiqua" w:hint="eastAsia"/>
          <w:lang w:eastAsia="zh-CN"/>
        </w:rPr>
        <w:t xml:space="preserve">. </w:t>
      </w:r>
      <w:r w:rsidR="00881277" w:rsidRPr="009169B7">
        <w:rPr>
          <w:rFonts w:ascii="Book Antiqua" w:hAnsi="Book Antiqua"/>
          <w:i/>
        </w:rPr>
        <w:t xml:space="preserve">World J Gastroenterol </w:t>
      </w:r>
      <w:r w:rsidR="00881277" w:rsidRPr="009169B7">
        <w:rPr>
          <w:rFonts w:ascii="Book Antiqua" w:hAnsi="Book Antiqua"/>
        </w:rPr>
        <w:t>2019;</w:t>
      </w:r>
      <w:r>
        <w:rPr>
          <w:rFonts w:ascii="Book Antiqua" w:hAnsi="Book Antiqua"/>
        </w:rPr>
        <w:t xml:space="preserve"> </w:t>
      </w:r>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386AAC">
        <w:rPr>
          <w:rFonts w:ascii="Book Antiqua" w:hAnsi="Book Antiqua"/>
        </w:rPr>
        <w:t xml:space="preserve">25(15): </w:t>
      </w:r>
      <w:r>
        <w:rPr>
          <w:rFonts w:ascii="Book Antiqua" w:hAnsi="Book Antiqua"/>
        </w:rPr>
        <w:t>1783</w:t>
      </w:r>
      <w:r w:rsidRPr="00386AAC">
        <w:rPr>
          <w:rFonts w:ascii="Book Antiqua" w:hAnsi="Book Antiqua"/>
        </w:rPr>
        <w:t>-</w:t>
      </w:r>
      <w:r>
        <w:rPr>
          <w:rFonts w:ascii="Book Antiqua" w:hAnsi="Book Antiqua"/>
        </w:rPr>
        <w:t>1796</w:t>
      </w:r>
      <w:r w:rsidRPr="00386AAC">
        <w:rPr>
          <w:rFonts w:ascii="Book Antiqua" w:hAnsi="Book Antiqua"/>
        </w:rPr>
        <w:t xml:space="preserve">  Available from: </w:t>
      </w:r>
    </w:p>
    <w:p w:rsidR="003E39F2" w:rsidRDefault="003E39F2" w:rsidP="003E39F2">
      <w:pPr>
        <w:pStyle w:val="a3"/>
        <w:spacing w:before="0" w:beforeAutospacing="0" w:after="0" w:afterAutospacing="0" w:line="360" w:lineRule="auto"/>
        <w:jc w:val="both"/>
        <w:rPr>
          <w:rFonts w:ascii="Book Antiqua" w:hAnsi="Book Antiqua"/>
        </w:rPr>
      </w:pPr>
      <w:r w:rsidRPr="003E39F2">
        <w:rPr>
          <w:rFonts w:ascii="Book Antiqua" w:hAnsi="Book Antiqua"/>
          <w:b/>
        </w:rPr>
        <w:t>URL</w:t>
      </w:r>
      <w:r w:rsidRPr="00386AAC">
        <w:rPr>
          <w:rFonts w:ascii="Book Antiqua" w:hAnsi="Book Antiqua"/>
        </w:rPr>
        <w:t>: https://www.wjgnet.com/1007-9327/full/v25/i15/</w:t>
      </w:r>
      <w:r>
        <w:rPr>
          <w:rFonts w:ascii="Book Antiqua" w:hAnsi="Book Antiqua"/>
        </w:rPr>
        <w:t>1783</w:t>
      </w:r>
      <w:r w:rsidRPr="00386AAC">
        <w:rPr>
          <w:rFonts w:ascii="Book Antiqua" w:hAnsi="Book Antiqua"/>
        </w:rPr>
        <w:t xml:space="preserve">.htm  </w:t>
      </w:r>
    </w:p>
    <w:p w:rsidR="006444F4" w:rsidRDefault="003E39F2" w:rsidP="003E39F2">
      <w:pPr>
        <w:pStyle w:val="a3"/>
        <w:spacing w:before="0" w:beforeAutospacing="0" w:after="0" w:afterAutospacing="0" w:line="360" w:lineRule="auto"/>
        <w:jc w:val="both"/>
        <w:rPr>
          <w:rFonts w:ascii="Book Antiqua" w:hAnsi="Book Antiqua"/>
        </w:rPr>
      </w:pPr>
      <w:r w:rsidRPr="003E39F2">
        <w:rPr>
          <w:rFonts w:ascii="Book Antiqua" w:hAnsi="Book Antiqua"/>
          <w:b/>
        </w:rPr>
        <w:t>DOI</w:t>
      </w:r>
      <w:r w:rsidRPr="00386AAC">
        <w:rPr>
          <w:rFonts w:ascii="Book Antiqua" w:hAnsi="Book Antiqua"/>
        </w:rPr>
        <w:t xml:space="preserve">: </w:t>
      </w:r>
      <w:hyperlink r:id="rId10" w:history="1">
        <w:r w:rsidRPr="00401466">
          <w:rPr>
            <w:rStyle w:val="a6"/>
            <w:rFonts w:ascii="Book Antiqua" w:hAnsi="Book Antiqua"/>
          </w:rPr>
          <w:t>https://dx.doi.org/10.3748/wjg.v25.i15.1783</w:t>
        </w:r>
      </w:hyperlink>
    </w:p>
    <w:p w:rsidR="003E39F2" w:rsidRPr="009169B7" w:rsidRDefault="003E39F2" w:rsidP="003E39F2">
      <w:pPr>
        <w:pStyle w:val="a3"/>
        <w:spacing w:before="0" w:beforeAutospacing="0" w:after="0" w:afterAutospacing="0" w:line="360" w:lineRule="auto"/>
        <w:jc w:val="both"/>
        <w:rPr>
          <w:rFonts w:ascii="Book Antiqua" w:hAnsi="Book Antiqua"/>
          <w:lang w:eastAsia="zh-CN"/>
        </w:rPr>
      </w:pPr>
    </w:p>
    <w:p w:rsidR="00A44C25" w:rsidRPr="009169B7" w:rsidRDefault="006444F4" w:rsidP="00B26511">
      <w:pPr>
        <w:spacing w:after="0" w:line="360" w:lineRule="auto"/>
        <w:jc w:val="both"/>
        <w:rPr>
          <w:rFonts w:ascii="Book Antiqua" w:eastAsia="BatangChe" w:hAnsi="Book Antiqua"/>
          <w:b/>
          <w:sz w:val="24"/>
          <w:szCs w:val="24"/>
        </w:rPr>
      </w:pPr>
      <w:r w:rsidRPr="009169B7">
        <w:rPr>
          <w:rFonts w:ascii="Book Antiqua" w:eastAsia="BatangChe" w:hAnsi="Book Antiqua"/>
          <w:b/>
          <w:sz w:val="24"/>
          <w:szCs w:val="24"/>
        </w:rPr>
        <w:br w:type="page"/>
      </w:r>
      <w:r w:rsidR="00EA557A" w:rsidRPr="009169B7">
        <w:rPr>
          <w:rFonts w:ascii="Book Antiqua" w:eastAsia="BatangChe" w:hAnsi="Book Antiqua"/>
          <w:b/>
          <w:sz w:val="24"/>
          <w:szCs w:val="24"/>
        </w:rPr>
        <w:lastRenderedPageBreak/>
        <w:t>INTRODUCTION</w:t>
      </w:r>
    </w:p>
    <w:p w:rsidR="00A44C25" w:rsidRPr="009169B7" w:rsidRDefault="00A44C25" w:rsidP="00B26511">
      <w:pPr>
        <w:spacing w:after="0" w:line="360" w:lineRule="auto"/>
        <w:jc w:val="both"/>
        <w:rPr>
          <w:rFonts w:ascii="Book Antiqua" w:hAnsi="Book Antiqua" w:hint="eastAsia"/>
          <w:sz w:val="24"/>
          <w:szCs w:val="24"/>
          <w:lang w:eastAsia="zh-CN"/>
        </w:rPr>
      </w:pPr>
      <w:r w:rsidRPr="009169B7">
        <w:rPr>
          <w:rFonts w:ascii="Book Antiqua" w:hAnsi="Book Antiqua"/>
          <w:sz w:val="24"/>
          <w:szCs w:val="24"/>
        </w:rPr>
        <w:t xml:space="preserve">Nonalcoholic fatty liver disease (NAFLD) is a complex disorder that has emerged as the leading global cause of chronic liver damage </w:t>
      </w:r>
      <w:r w:rsidRPr="009169B7">
        <w:rPr>
          <w:rStyle w:val="st"/>
          <w:rFonts w:ascii="Book Antiqua" w:hAnsi="Book Antiqua"/>
          <w:sz w:val="24"/>
          <w:szCs w:val="24"/>
        </w:rPr>
        <w:t>in recent years</w:t>
      </w:r>
      <w:r w:rsidR="00F44DD9" w:rsidRPr="009169B7">
        <w:rPr>
          <w:rFonts w:ascii="Book Antiqua" w:hAnsi="Book Antiqua"/>
          <w:sz w:val="24"/>
          <w:szCs w:val="24"/>
          <w:vertAlign w:val="superscript"/>
        </w:rPr>
        <w:t>[</w:t>
      </w:r>
      <w:r w:rsidRPr="009169B7">
        <w:rPr>
          <w:rFonts w:ascii="Book Antiqua" w:hAnsi="Book Antiqua"/>
          <w:noProof/>
          <w:sz w:val="24"/>
          <w:szCs w:val="24"/>
          <w:vertAlign w:val="superscript"/>
        </w:rPr>
        <w:t>1</w:t>
      </w:r>
      <w:r w:rsidR="00F44DD9" w:rsidRPr="009169B7">
        <w:rPr>
          <w:rFonts w:ascii="Book Antiqua" w:hAnsi="Book Antiqua"/>
          <w:noProof/>
          <w:sz w:val="24"/>
          <w:szCs w:val="24"/>
          <w:vertAlign w:val="superscript"/>
        </w:rPr>
        <w:t>]</w:t>
      </w:r>
      <w:r w:rsidRPr="009169B7">
        <w:rPr>
          <w:rFonts w:ascii="Book Antiqua" w:hAnsi="Book Antiqua"/>
          <w:sz w:val="24"/>
          <w:szCs w:val="24"/>
        </w:rPr>
        <w:t>. The disease course progresses through highly dynamic histological stages, ranging from simple steatosis or nonalcoholic fatty liver (NAFL) to nonalcoholic steatohepatitis (NASH), NASH-fibrosis and cirrhosis</w:t>
      </w:r>
      <w:r w:rsidR="00F44DD9" w:rsidRPr="009169B7">
        <w:rPr>
          <w:rFonts w:ascii="Book Antiqua" w:hAnsi="Book Antiqua"/>
          <w:sz w:val="24"/>
          <w:szCs w:val="24"/>
          <w:vertAlign w:val="superscript"/>
        </w:rPr>
        <w:t>[</w:t>
      </w:r>
      <w:r w:rsidRPr="009169B7">
        <w:rPr>
          <w:rFonts w:ascii="Book Antiqua" w:hAnsi="Book Antiqua"/>
          <w:noProof/>
          <w:sz w:val="24"/>
          <w:szCs w:val="24"/>
          <w:vertAlign w:val="superscript"/>
        </w:rPr>
        <w:t>1</w:t>
      </w:r>
      <w:r w:rsidR="00881277" w:rsidRPr="009169B7">
        <w:rPr>
          <w:rFonts w:ascii="Book Antiqua" w:hAnsi="Book Antiqua"/>
          <w:noProof/>
          <w:sz w:val="24"/>
          <w:szCs w:val="24"/>
          <w:vertAlign w:val="superscript"/>
        </w:rPr>
        <w:t>,</w:t>
      </w:r>
      <w:r w:rsidRPr="009169B7">
        <w:rPr>
          <w:rFonts w:ascii="Book Antiqua" w:hAnsi="Book Antiqua"/>
          <w:noProof/>
          <w:sz w:val="24"/>
          <w:szCs w:val="24"/>
          <w:vertAlign w:val="superscript"/>
        </w:rPr>
        <w:t>2</w:t>
      </w:r>
      <w:r w:rsidR="00F44DD9" w:rsidRPr="009169B7">
        <w:rPr>
          <w:rFonts w:ascii="Book Antiqua" w:hAnsi="Book Antiqua"/>
          <w:noProof/>
          <w:sz w:val="24"/>
          <w:szCs w:val="24"/>
          <w:vertAlign w:val="superscript"/>
        </w:rPr>
        <w:t>]</w:t>
      </w:r>
      <w:r w:rsidRPr="009169B7">
        <w:rPr>
          <w:rFonts w:ascii="Book Antiqua" w:hAnsi="Book Antiqua"/>
          <w:sz w:val="24"/>
          <w:szCs w:val="24"/>
        </w:rPr>
        <w:t>. NASH-fibrosis and its complications, including cirrhosis and hepatocellular carcinoma, not only significantly reduce life expectancy by increasing liver-related mortality</w:t>
      </w:r>
      <w:r w:rsidR="00F44DD9" w:rsidRPr="009169B7">
        <w:rPr>
          <w:rFonts w:ascii="Book Antiqua" w:hAnsi="Book Antiqua"/>
          <w:sz w:val="24"/>
          <w:szCs w:val="24"/>
          <w:vertAlign w:val="superscript"/>
        </w:rPr>
        <w:t>[</w:t>
      </w:r>
      <w:r w:rsidRPr="009169B7">
        <w:rPr>
          <w:rFonts w:ascii="Book Antiqua" w:hAnsi="Book Antiqua"/>
          <w:noProof/>
          <w:sz w:val="24"/>
          <w:szCs w:val="24"/>
          <w:vertAlign w:val="superscript"/>
        </w:rPr>
        <w:t>3</w:t>
      </w:r>
      <w:r w:rsidR="00F44DD9" w:rsidRPr="009169B7">
        <w:rPr>
          <w:rFonts w:ascii="Book Antiqua" w:hAnsi="Book Antiqua"/>
          <w:noProof/>
          <w:sz w:val="24"/>
          <w:szCs w:val="24"/>
          <w:vertAlign w:val="superscript"/>
        </w:rPr>
        <w:t>]</w:t>
      </w:r>
      <w:r w:rsidRPr="009169B7">
        <w:rPr>
          <w:rFonts w:ascii="Book Antiqua" w:hAnsi="Book Antiqua"/>
          <w:sz w:val="24"/>
          <w:szCs w:val="24"/>
        </w:rPr>
        <w:t xml:space="preserve"> but also represent a challenge for the healthcare system because much of the affected population is also affected by NAFLD-associated comorbidities, including obesity, type 2 diabetes (T</w:t>
      </w:r>
      <w:r w:rsidR="009169B7" w:rsidRPr="009169B7">
        <w:rPr>
          <w:rFonts w:ascii="Book Antiqua" w:hAnsi="Book Antiqua"/>
          <w:sz w:val="24"/>
          <w:szCs w:val="24"/>
        </w:rPr>
        <w:t>2D), and cardiovascular disease</w:t>
      </w:r>
      <w:r w:rsidR="00F44DD9" w:rsidRPr="009169B7">
        <w:rPr>
          <w:rFonts w:ascii="Book Antiqua" w:hAnsi="Book Antiqua"/>
          <w:sz w:val="24"/>
          <w:szCs w:val="24"/>
          <w:vertAlign w:val="superscript"/>
        </w:rPr>
        <w:t>[</w:t>
      </w:r>
      <w:r w:rsidRPr="009169B7">
        <w:rPr>
          <w:rFonts w:ascii="Book Antiqua" w:hAnsi="Book Antiqua"/>
          <w:noProof/>
          <w:sz w:val="24"/>
          <w:szCs w:val="24"/>
          <w:vertAlign w:val="superscript"/>
        </w:rPr>
        <w:t>1</w:t>
      </w:r>
      <w:r w:rsidR="00E25256" w:rsidRPr="009169B7">
        <w:rPr>
          <w:rFonts w:ascii="Book Antiqua" w:hAnsi="Book Antiqua"/>
          <w:noProof/>
          <w:sz w:val="24"/>
          <w:szCs w:val="24"/>
          <w:vertAlign w:val="superscript"/>
        </w:rPr>
        <w:t>,</w:t>
      </w:r>
      <w:r w:rsidRPr="009169B7">
        <w:rPr>
          <w:rFonts w:ascii="Book Antiqua" w:hAnsi="Book Antiqua"/>
          <w:noProof/>
          <w:sz w:val="24"/>
          <w:szCs w:val="24"/>
          <w:vertAlign w:val="superscript"/>
        </w:rPr>
        <w:t>4-6</w:t>
      </w:r>
      <w:r w:rsidR="00F44DD9" w:rsidRPr="009169B7">
        <w:rPr>
          <w:rFonts w:ascii="Book Antiqua" w:hAnsi="Book Antiqua"/>
          <w:noProof/>
          <w:sz w:val="24"/>
          <w:szCs w:val="24"/>
          <w:vertAlign w:val="superscript"/>
        </w:rPr>
        <w:t>]</w:t>
      </w:r>
      <w:r w:rsidRPr="009169B7">
        <w:rPr>
          <w:rFonts w:ascii="Book Antiqua" w:hAnsi="Book Antiqua"/>
          <w:sz w:val="24"/>
          <w:szCs w:val="24"/>
        </w:rPr>
        <w:t>. Absence of reliable noninvasive biomarkers that allow identification of patients at a high risk of fibrosis and /or disease progression is one of the obstacles facing disease management</w:t>
      </w:r>
      <w:r w:rsidR="00F44DD9" w:rsidRPr="009169B7">
        <w:rPr>
          <w:rFonts w:ascii="Book Antiqua" w:hAnsi="Book Antiqua"/>
          <w:noProof/>
          <w:sz w:val="24"/>
          <w:szCs w:val="24"/>
          <w:vertAlign w:val="superscript"/>
        </w:rPr>
        <w:t>[</w:t>
      </w:r>
      <w:r w:rsidRPr="009169B7">
        <w:rPr>
          <w:rFonts w:ascii="Book Antiqua" w:hAnsi="Book Antiqua"/>
          <w:noProof/>
          <w:sz w:val="24"/>
          <w:szCs w:val="24"/>
          <w:vertAlign w:val="superscript"/>
        </w:rPr>
        <w:t>7</w:t>
      </w:r>
      <w:r w:rsidR="00E25256" w:rsidRPr="009169B7">
        <w:rPr>
          <w:rFonts w:ascii="Book Antiqua" w:hAnsi="Book Antiqua"/>
          <w:noProof/>
          <w:sz w:val="24"/>
          <w:szCs w:val="24"/>
          <w:vertAlign w:val="superscript"/>
        </w:rPr>
        <w:t>,</w:t>
      </w:r>
      <w:r w:rsidRPr="009169B7">
        <w:rPr>
          <w:rFonts w:ascii="Book Antiqua" w:hAnsi="Book Antiqua"/>
          <w:noProof/>
          <w:sz w:val="24"/>
          <w:szCs w:val="24"/>
          <w:vertAlign w:val="superscript"/>
        </w:rPr>
        <w:t>8</w:t>
      </w:r>
      <w:r w:rsidR="00F44DD9" w:rsidRPr="009169B7">
        <w:rPr>
          <w:rFonts w:ascii="Book Antiqua" w:hAnsi="Book Antiqua"/>
          <w:noProof/>
          <w:sz w:val="24"/>
          <w:szCs w:val="24"/>
          <w:vertAlign w:val="superscript"/>
        </w:rPr>
        <w:t>]</w:t>
      </w:r>
      <w:r w:rsidRPr="009169B7">
        <w:rPr>
          <w:rFonts w:ascii="Book Antiqua" w:hAnsi="Book Antiqua"/>
          <w:sz w:val="24"/>
          <w:szCs w:val="24"/>
        </w:rPr>
        <w:t>. Similarly, while a large number of drugs against NASH are currently being tested for efficacy and safety, no pharmacological interventions are presently approved for treating NASH</w:t>
      </w:r>
      <w:r w:rsidR="00F44DD9" w:rsidRPr="009169B7">
        <w:rPr>
          <w:rFonts w:ascii="Book Antiqua" w:hAnsi="Book Antiqua"/>
          <w:noProof/>
          <w:sz w:val="24"/>
          <w:szCs w:val="24"/>
          <w:vertAlign w:val="superscript"/>
        </w:rPr>
        <w:t>[</w:t>
      </w:r>
      <w:r w:rsidRPr="009169B7">
        <w:rPr>
          <w:rFonts w:ascii="Book Antiqua" w:hAnsi="Book Antiqua"/>
          <w:noProof/>
          <w:sz w:val="24"/>
          <w:szCs w:val="24"/>
          <w:vertAlign w:val="superscript"/>
        </w:rPr>
        <w:t>2</w:t>
      </w:r>
      <w:r w:rsidR="00E25256" w:rsidRPr="009169B7">
        <w:rPr>
          <w:rFonts w:ascii="Book Antiqua" w:hAnsi="Book Antiqua"/>
          <w:noProof/>
          <w:sz w:val="24"/>
          <w:szCs w:val="24"/>
          <w:vertAlign w:val="superscript"/>
        </w:rPr>
        <w:t>,</w:t>
      </w:r>
      <w:r w:rsidRPr="009169B7">
        <w:rPr>
          <w:rFonts w:ascii="Book Antiqua" w:hAnsi="Book Antiqua"/>
          <w:noProof/>
          <w:sz w:val="24"/>
          <w:szCs w:val="24"/>
          <w:vertAlign w:val="superscript"/>
        </w:rPr>
        <w:t>5</w:t>
      </w:r>
      <w:r w:rsidR="00E25256" w:rsidRPr="009169B7">
        <w:rPr>
          <w:rFonts w:ascii="Book Antiqua" w:hAnsi="Book Antiqua"/>
          <w:noProof/>
          <w:sz w:val="24"/>
          <w:szCs w:val="24"/>
          <w:vertAlign w:val="superscript"/>
        </w:rPr>
        <w:t>,</w:t>
      </w:r>
      <w:r w:rsidRPr="009169B7">
        <w:rPr>
          <w:rFonts w:ascii="Book Antiqua" w:hAnsi="Book Antiqua"/>
          <w:noProof/>
          <w:sz w:val="24"/>
          <w:szCs w:val="24"/>
          <w:vertAlign w:val="superscript"/>
        </w:rPr>
        <w:t>9</w:t>
      </w:r>
      <w:r w:rsidR="00E25256" w:rsidRPr="009169B7">
        <w:rPr>
          <w:rFonts w:ascii="Book Antiqua" w:hAnsi="Book Antiqua"/>
          <w:noProof/>
          <w:sz w:val="24"/>
          <w:szCs w:val="24"/>
          <w:vertAlign w:val="superscript"/>
        </w:rPr>
        <w:t>,</w:t>
      </w:r>
      <w:r w:rsidRPr="009169B7">
        <w:rPr>
          <w:rFonts w:ascii="Book Antiqua" w:hAnsi="Book Antiqua"/>
          <w:noProof/>
          <w:sz w:val="24"/>
          <w:szCs w:val="24"/>
          <w:vertAlign w:val="superscript"/>
        </w:rPr>
        <w:t>10</w:t>
      </w:r>
      <w:r w:rsidR="00F44DD9" w:rsidRPr="009169B7">
        <w:rPr>
          <w:rFonts w:ascii="Book Antiqua" w:hAnsi="Book Antiqua"/>
          <w:noProof/>
          <w:sz w:val="24"/>
          <w:szCs w:val="24"/>
          <w:vertAlign w:val="superscript"/>
        </w:rPr>
        <w:t>]</w:t>
      </w:r>
      <w:r w:rsidR="009169B7" w:rsidRPr="009169B7">
        <w:rPr>
          <w:rFonts w:ascii="Book Antiqua" w:hAnsi="Book Antiqua"/>
          <w:sz w:val="24"/>
          <w:szCs w:val="24"/>
        </w:rPr>
        <w:t>.</w:t>
      </w:r>
    </w:p>
    <w:p w:rsidR="00A44C25" w:rsidRPr="009169B7" w:rsidRDefault="00A44C25" w:rsidP="009169B7">
      <w:pPr>
        <w:spacing w:after="0" w:line="360" w:lineRule="auto"/>
        <w:ind w:firstLineChars="100" w:firstLine="240"/>
        <w:jc w:val="both"/>
        <w:rPr>
          <w:rFonts w:ascii="Book Antiqua" w:hAnsi="Book Antiqua"/>
          <w:sz w:val="24"/>
          <w:szCs w:val="24"/>
        </w:rPr>
      </w:pPr>
      <w:r w:rsidRPr="009169B7">
        <w:rPr>
          <w:rFonts w:ascii="Book Antiqua" w:hAnsi="Book Antiqua"/>
          <w:sz w:val="24"/>
          <w:szCs w:val="24"/>
        </w:rPr>
        <w:t xml:space="preserve">Information retrieved from public domain data sources and clinical ClinicalTrials.gov (updated December 2018), a resource provided by the U.S. National Library of Medicine, indicates that </w:t>
      </w:r>
      <w:r w:rsidR="009169B7" w:rsidRPr="009169B7">
        <w:rPr>
          <w:rFonts w:ascii="Book Antiqua" w:hAnsi="Book Antiqua" w:hint="eastAsia"/>
          <w:sz w:val="24"/>
          <w:szCs w:val="24"/>
          <w:lang w:eastAsia="zh-CN"/>
        </w:rPr>
        <w:t>approximately</w:t>
      </w:r>
      <w:r w:rsidRPr="009169B7">
        <w:rPr>
          <w:rFonts w:ascii="Book Antiqua" w:hAnsi="Book Antiqua"/>
          <w:sz w:val="24"/>
          <w:szCs w:val="24"/>
        </w:rPr>
        <w:t xml:space="preserve"> 47 different drugs that target NASH and NASH-fibrosis are currently being tested in different pharmacological stages, including 188 drugs in phase 1 and 162 in phase 2 studies (Figure 1). A significant proportion of these drugs are small molecules or proteins that either antagonize or act as exogenous agonists of one or more targets of interest; the 47 aforementioned NASH drugs are in fact predicted to be linked to 151 molecular targets (Figure 1). Considering that a large majority of these drugs are in the earliest pharmacological phases that involve testing tolerability, therapeutic action, and pharmacological issues, it is reasonable to conclude that there will be a significant time lag before the next generation of NASH drugs is available for clinical use. </w:t>
      </w:r>
    </w:p>
    <w:p w:rsidR="00A44C25" w:rsidRPr="009169B7" w:rsidRDefault="00A44C25" w:rsidP="009169B7">
      <w:pPr>
        <w:spacing w:after="0" w:line="360" w:lineRule="auto"/>
        <w:ind w:firstLineChars="100" w:firstLine="240"/>
        <w:jc w:val="both"/>
        <w:rPr>
          <w:rFonts w:ascii="Book Antiqua" w:hAnsi="Book Antiqua" w:hint="eastAsia"/>
          <w:sz w:val="24"/>
          <w:szCs w:val="24"/>
          <w:lang w:eastAsia="zh-CN"/>
        </w:rPr>
      </w:pPr>
      <w:r w:rsidRPr="009169B7">
        <w:rPr>
          <w:rFonts w:ascii="Book Antiqua" w:hAnsi="Book Antiqua"/>
          <w:sz w:val="24"/>
          <w:szCs w:val="24"/>
        </w:rPr>
        <w:t>One potential solution to this expected delay is drug repurposing or repositioning, which relies on identifying and developing new uses for existing drugs</w:t>
      </w:r>
      <w:r w:rsidR="00F44DD9" w:rsidRPr="009169B7">
        <w:rPr>
          <w:rFonts w:ascii="Book Antiqua" w:hAnsi="Book Antiqua"/>
          <w:sz w:val="24"/>
          <w:szCs w:val="24"/>
          <w:vertAlign w:val="superscript"/>
        </w:rPr>
        <w:t>[</w:t>
      </w:r>
      <w:r w:rsidRPr="009169B7">
        <w:rPr>
          <w:rFonts w:ascii="Book Antiqua" w:hAnsi="Book Antiqua"/>
          <w:noProof/>
          <w:sz w:val="24"/>
          <w:szCs w:val="24"/>
          <w:vertAlign w:val="superscript"/>
        </w:rPr>
        <w:t>11</w:t>
      </w:r>
      <w:r w:rsidR="00F44DD9" w:rsidRPr="009169B7">
        <w:rPr>
          <w:rFonts w:ascii="Book Antiqua" w:hAnsi="Book Antiqua"/>
          <w:noProof/>
          <w:sz w:val="24"/>
          <w:szCs w:val="24"/>
          <w:vertAlign w:val="superscript"/>
        </w:rPr>
        <w:t>]</w:t>
      </w:r>
      <w:r w:rsidRPr="009169B7">
        <w:rPr>
          <w:rFonts w:ascii="Book Antiqua" w:hAnsi="Book Antiqua"/>
          <w:sz w:val="24"/>
          <w:szCs w:val="24"/>
        </w:rPr>
        <w:t xml:space="preserve">. The advantage of drug repurposing is not limited to the fact that drugs selected for a </w:t>
      </w:r>
      <w:r w:rsidRPr="009169B7">
        <w:rPr>
          <w:rFonts w:ascii="Book Antiqua" w:hAnsi="Book Antiqua"/>
          <w:sz w:val="24"/>
          <w:szCs w:val="24"/>
        </w:rPr>
        <w:lastRenderedPageBreak/>
        <w:t>novel indication have already passed the time-consuming pharmacokinetics, pharmacodynamics, and toxicity profiling evaluation, but are also already approved by major regulatory agenci</w:t>
      </w:r>
      <w:r w:rsidR="009169B7">
        <w:rPr>
          <w:rFonts w:ascii="Book Antiqua" w:hAnsi="Book Antiqua"/>
          <w:sz w:val="24"/>
          <w:szCs w:val="24"/>
        </w:rPr>
        <w:t>es, including the United States Food and Drug Administration</w:t>
      </w:r>
      <w:r w:rsidRPr="009169B7">
        <w:rPr>
          <w:rFonts w:ascii="Book Antiqua" w:hAnsi="Book Antiqua"/>
          <w:sz w:val="24"/>
          <w:szCs w:val="24"/>
        </w:rPr>
        <w:t xml:space="preserve"> and/or the European Medicines Agency</w:t>
      </w:r>
      <w:r w:rsidR="009169B7">
        <w:rPr>
          <w:rFonts w:ascii="Book Antiqua" w:hAnsi="Book Antiqua"/>
          <w:sz w:val="24"/>
          <w:szCs w:val="24"/>
        </w:rPr>
        <w:t>.</w:t>
      </w:r>
    </w:p>
    <w:p w:rsidR="00A44C25" w:rsidRPr="009169B7" w:rsidRDefault="00A44C25" w:rsidP="009169B7">
      <w:pPr>
        <w:spacing w:after="0" w:line="360" w:lineRule="auto"/>
        <w:ind w:firstLineChars="100" w:firstLine="240"/>
        <w:jc w:val="both"/>
        <w:rPr>
          <w:rFonts w:ascii="Book Antiqua" w:hAnsi="Book Antiqua"/>
          <w:sz w:val="24"/>
          <w:szCs w:val="24"/>
          <w:lang w:eastAsia="zh-CN"/>
        </w:rPr>
      </w:pPr>
      <w:r w:rsidRPr="009169B7">
        <w:rPr>
          <w:rFonts w:ascii="Book Antiqua" w:hAnsi="Book Antiqua"/>
          <w:sz w:val="24"/>
          <w:szCs w:val="24"/>
        </w:rPr>
        <w:t xml:space="preserve">Drug repurposing can be addressed by different approaches. Most common ones involve the selection of drug candidate/s based on known targets involved in the pathogenesis of the disease of interest. More recently, system biology strategies based on a broad search into genomic resources, as well as large-scale gene expression libraries, have been proposed as an attractive and innovative solution, particularly for the treatment of complex diseases like NAFLD that shares disease mechanisms with diseases of the </w:t>
      </w:r>
      <w:r w:rsidR="009169B7" w:rsidRPr="009169B7">
        <w:rPr>
          <w:rFonts w:ascii="Book Antiqua" w:hAnsi="Book Antiqua"/>
          <w:sz w:val="24"/>
          <w:szCs w:val="24"/>
        </w:rPr>
        <w:t>metabolic syndrome</w:t>
      </w:r>
      <w:r w:rsidR="00F44DD9" w:rsidRPr="009169B7">
        <w:rPr>
          <w:rFonts w:ascii="Book Antiqua" w:hAnsi="Book Antiqua"/>
          <w:sz w:val="24"/>
          <w:szCs w:val="24"/>
          <w:vertAlign w:val="superscript"/>
        </w:rPr>
        <w:t>[</w:t>
      </w:r>
      <w:r w:rsidRPr="009169B7">
        <w:rPr>
          <w:rFonts w:ascii="Book Antiqua" w:hAnsi="Book Antiqua"/>
          <w:noProof/>
          <w:sz w:val="24"/>
          <w:szCs w:val="24"/>
          <w:vertAlign w:val="superscript"/>
        </w:rPr>
        <w:t>12-14</w:t>
      </w:r>
      <w:r w:rsidR="00F44DD9" w:rsidRPr="009169B7">
        <w:rPr>
          <w:rFonts w:ascii="Book Antiqua" w:hAnsi="Book Antiqua"/>
          <w:noProof/>
          <w:sz w:val="24"/>
          <w:szCs w:val="24"/>
          <w:vertAlign w:val="superscript"/>
        </w:rPr>
        <w:t>]</w:t>
      </w:r>
      <w:r w:rsidR="009169B7">
        <w:rPr>
          <w:rFonts w:ascii="Book Antiqua" w:hAnsi="Book Antiqua"/>
          <w:sz w:val="24"/>
          <w:szCs w:val="24"/>
        </w:rPr>
        <w:t>.</w:t>
      </w:r>
      <w:r w:rsidR="009169B7">
        <w:rPr>
          <w:rFonts w:ascii="Book Antiqua" w:hAnsi="Book Antiqua" w:hint="eastAsia"/>
          <w:sz w:val="24"/>
          <w:szCs w:val="24"/>
          <w:lang w:eastAsia="zh-CN"/>
        </w:rPr>
        <w:t xml:space="preserve"> </w:t>
      </w:r>
      <w:r w:rsidRPr="009169B7">
        <w:rPr>
          <w:rFonts w:ascii="Book Antiqua" w:hAnsi="Book Antiqua"/>
          <w:sz w:val="24"/>
          <w:szCs w:val="24"/>
        </w:rPr>
        <w:t xml:space="preserve">Hence, we propose a drug candidate selection method based on the integration of molecular pathways of disease pathogenesis into network analysis tools that use OMICs data as well as multiples sources, including text mining from pertinent medical literature. </w:t>
      </w:r>
    </w:p>
    <w:p w:rsidR="009169B7" w:rsidRDefault="009169B7" w:rsidP="00B26511">
      <w:pPr>
        <w:spacing w:after="0" w:line="360" w:lineRule="auto"/>
        <w:jc w:val="both"/>
        <w:rPr>
          <w:rFonts w:ascii="Book Antiqua" w:hAnsi="Book Antiqua" w:hint="eastAsia"/>
          <w:b/>
          <w:i/>
          <w:sz w:val="24"/>
          <w:szCs w:val="24"/>
          <w:lang w:eastAsia="zh-CN"/>
        </w:rPr>
      </w:pPr>
    </w:p>
    <w:p w:rsidR="00A44C25" w:rsidRPr="009169B7" w:rsidRDefault="009169B7" w:rsidP="00B26511">
      <w:pPr>
        <w:spacing w:after="0" w:line="360" w:lineRule="auto"/>
        <w:jc w:val="both"/>
        <w:rPr>
          <w:rFonts w:ascii="Book Antiqua" w:hAnsi="Book Antiqua"/>
          <w:b/>
          <w:sz w:val="24"/>
          <w:szCs w:val="24"/>
        </w:rPr>
      </w:pPr>
      <w:r w:rsidRPr="009169B7">
        <w:rPr>
          <w:rFonts w:ascii="Book Antiqua" w:hAnsi="Book Antiqua"/>
          <w:b/>
          <w:sz w:val="24"/>
          <w:szCs w:val="24"/>
        </w:rPr>
        <w:t>DRUG REPURPOSING FOR THE TREATMENT OF NASH BASED ON THE NAFLD-KEGG CONNECTIVITY MAP</w:t>
      </w:r>
    </w:p>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 xml:space="preserve">As a proof-of-concept of the advantages of using multi-omics systems-based approaches for the analysis of potential NASH treatment candidates, we selected the </w:t>
      </w:r>
      <w:r w:rsidR="009169B7" w:rsidRPr="009169B7">
        <w:rPr>
          <w:rStyle w:val="aa"/>
          <w:rFonts w:ascii="Book Antiqua" w:hAnsi="Book Antiqua"/>
          <w:i w:val="0"/>
          <w:sz w:val="24"/>
          <w:szCs w:val="24"/>
        </w:rPr>
        <w:t xml:space="preserve">Kyoto Encyclopedia of Genes and Genomes </w:t>
      </w:r>
      <w:r w:rsidR="009169B7">
        <w:rPr>
          <w:rStyle w:val="aa"/>
          <w:rFonts w:ascii="Book Antiqua" w:hAnsi="Book Antiqua" w:hint="eastAsia"/>
          <w:i w:val="0"/>
          <w:sz w:val="24"/>
          <w:szCs w:val="24"/>
          <w:lang w:eastAsia="zh-CN"/>
        </w:rPr>
        <w:t>(</w:t>
      </w:r>
      <w:r w:rsidRPr="009169B7">
        <w:rPr>
          <w:rStyle w:val="aa"/>
          <w:rFonts w:ascii="Book Antiqua" w:hAnsi="Book Antiqua"/>
          <w:i w:val="0"/>
          <w:sz w:val="24"/>
          <w:szCs w:val="24"/>
        </w:rPr>
        <w:t>KEGG</w:t>
      </w:r>
      <w:r w:rsidR="009169B7">
        <w:rPr>
          <w:rStyle w:val="aa"/>
          <w:rFonts w:ascii="Book Antiqua" w:hAnsi="Book Antiqua" w:hint="eastAsia"/>
          <w:i w:val="0"/>
          <w:sz w:val="24"/>
          <w:szCs w:val="24"/>
          <w:lang w:eastAsia="zh-CN"/>
        </w:rPr>
        <w:t>)</w:t>
      </w:r>
      <w:r w:rsidRPr="009169B7">
        <w:rPr>
          <w:rStyle w:val="st"/>
          <w:rFonts w:ascii="Book Antiqua" w:hAnsi="Book Antiqua"/>
          <w:i/>
          <w:sz w:val="24"/>
          <w:szCs w:val="24"/>
        </w:rPr>
        <w:t xml:space="preserve"> </w:t>
      </w:r>
      <w:r w:rsidRPr="009169B7">
        <w:rPr>
          <w:rFonts w:ascii="Book Antiqua" w:hAnsi="Book Antiqua"/>
          <w:sz w:val="24"/>
          <w:szCs w:val="24"/>
        </w:rPr>
        <w:t xml:space="preserve">pathway map of NAFLD (pathway ID: hsa04932), which illustrates a stage-dependent progression of the disease (Figure 2). This pathway is composed of 149 genes/proteins involved not only in the progression of NAFL to NASH and to cirrhosis, but also genes/proteins shared with obesity and </w:t>
      </w:r>
      <w:r w:rsidR="009169B7" w:rsidRPr="009169B7">
        <w:rPr>
          <w:rFonts w:ascii="Book Antiqua" w:hAnsi="Book Antiqua" w:hint="eastAsia"/>
          <w:sz w:val="24"/>
          <w:szCs w:val="24"/>
          <w:lang w:eastAsia="zh-CN"/>
        </w:rPr>
        <w:t>T2D</w:t>
      </w:r>
      <w:r w:rsidRPr="009169B7">
        <w:rPr>
          <w:rFonts w:ascii="Book Antiqua" w:hAnsi="Book Antiqua"/>
          <w:sz w:val="24"/>
          <w:szCs w:val="24"/>
        </w:rPr>
        <w:t xml:space="preserve"> (Table 1). Significant disease-related pathogenic processes, including </w:t>
      </w:r>
      <w:r w:rsidRPr="009169B7">
        <w:rPr>
          <w:rFonts w:ascii="Book Antiqua" w:hAnsi="Book Antiqua"/>
          <w:i/>
          <w:sz w:val="24"/>
          <w:szCs w:val="24"/>
        </w:rPr>
        <w:t>de novo</w:t>
      </w:r>
      <w:r w:rsidRPr="009169B7">
        <w:rPr>
          <w:rFonts w:ascii="Book Antiqua" w:hAnsi="Book Antiqua"/>
          <w:sz w:val="24"/>
          <w:szCs w:val="24"/>
        </w:rPr>
        <w:t xml:space="preserve"> fatty acid biosynthesis, lipid peroxidation, endoplasmic reticulum stress and mitochondrial dysfunction</w:t>
      </w:r>
      <w:r w:rsidR="00F44DD9" w:rsidRPr="009169B7">
        <w:rPr>
          <w:rFonts w:ascii="Book Antiqua" w:hAnsi="Book Antiqua"/>
          <w:sz w:val="24"/>
          <w:szCs w:val="24"/>
          <w:vertAlign w:val="superscript"/>
        </w:rPr>
        <w:t>[</w:t>
      </w:r>
      <w:r w:rsidRPr="009169B7">
        <w:rPr>
          <w:rFonts w:ascii="Book Antiqua" w:hAnsi="Book Antiqua"/>
          <w:noProof/>
          <w:sz w:val="24"/>
          <w:szCs w:val="24"/>
          <w:vertAlign w:val="superscript"/>
        </w:rPr>
        <w:t>15-17</w:t>
      </w:r>
      <w:r w:rsidR="00F44DD9" w:rsidRPr="009169B7">
        <w:rPr>
          <w:rFonts w:ascii="Book Antiqua" w:hAnsi="Book Antiqua"/>
          <w:noProof/>
          <w:sz w:val="24"/>
          <w:szCs w:val="24"/>
          <w:vertAlign w:val="superscript"/>
        </w:rPr>
        <w:t>]</w:t>
      </w:r>
      <w:r w:rsidRPr="009169B7">
        <w:rPr>
          <w:rFonts w:ascii="Book Antiqua" w:hAnsi="Book Antiqua"/>
          <w:sz w:val="24"/>
          <w:szCs w:val="24"/>
        </w:rPr>
        <w:t>, as well as apoptosis and cell death related mechanisms are represented in the NAFLD-</w:t>
      </w:r>
      <w:r w:rsidRPr="009169B7">
        <w:rPr>
          <w:rStyle w:val="aa"/>
          <w:rFonts w:ascii="Book Antiqua" w:hAnsi="Book Antiqua"/>
          <w:sz w:val="24"/>
          <w:szCs w:val="24"/>
        </w:rPr>
        <w:t>KEGG</w:t>
      </w:r>
      <w:r w:rsidRPr="009169B7">
        <w:rPr>
          <w:rFonts w:ascii="Book Antiqua" w:hAnsi="Book Antiqua"/>
          <w:sz w:val="24"/>
          <w:szCs w:val="24"/>
        </w:rPr>
        <w:t xml:space="preserve"> pathway (Figure 2). Thus, we generated a protein−chemical interaction network by mapping the significant genes/proteins that are represented in the pathway to chemicals/drugs that are annotated in the Comparative Toxicogenomics Database. The 149 genes (seeds) yielded by our analysis were then mapped to the corresponding molecular </w:t>
      </w:r>
      <w:r w:rsidRPr="009169B7">
        <w:rPr>
          <w:rFonts w:ascii="Book Antiqua" w:hAnsi="Book Antiqua"/>
          <w:sz w:val="24"/>
          <w:szCs w:val="24"/>
        </w:rPr>
        <w:lastRenderedPageBreak/>
        <w:t>interaction database; this procedure produced an exte</w:t>
      </w:r>
      <w:r w:rsidR="009169B7">
        <w:rPr>
          <w:rFonts w:ascii="Book Antiqua" w:hAnsi="Book Antiqua"/>
          <w:sz w:val="24"/>
          <w:szCs w:val="24"/>
        </w:rPr>
        <w:t xml:space="preserve">nsive network comprising of </w:t>
      </w:r>
      <w:r w:rsidR="009169B7">
        <w:rPr>
          <w:rFonts w:ascii="Book Antiqua" w:hAnsi="Book Antiqua" w:hint="eastAsia"/>
          <w:sz w:val="24"/>
          <w:szCs w:val="24"/>
          <w:lang w:eastAsia="zh-CN"/>
        </w:rPr>
        <w:t>approximately</w:t>
      </w:r>
      <w:r w:rsidR="009169B7">
        <w:rPr>
          <w:rFonts w:ascii="Book Antiqua" w:hAnsi="Book Antiqua"/>
          <w:sz w:val="24"/>
          <w:szCs w:val="24"/>
        </w:rPr>
        <w:t xml:space="preserve"> 2</w:t>
      </w:r>
      <w:r w:rsidRPr="009169B7">
        <w:rPr>
          <w:rFonts w:ascii="Book Antiqua" w:hAnsi="Book Antiqua"/>
          <w:sz w:val="24"/>
          <w:szCs w:val="24"/>
        </w:rPr>
        <w:t>000 nodes. One of the</w:t>
      </w:r>
      <w:r w:rsidR="009169B7">
        <w:rPr>
          <w:rFonts w:ascii="Book Antiqua" w:hAnsi="Book Antiqua"/>
          <w:sz w:val="24"/>
          <w:szCs w:val="24"/>
        </w:rPr>
        <w:t xml:space="preserve"> largest subnetworks included 3</w:t>
      </w:r>
      <w:r w:rsidRPr="009169B7">
        <w:rPr>
          <w:rFonts w:ascii="Book Antiqua" w:hAnsi="Book Antiqua"/>
          <w:sz w:val="24"/>
          <w:szCs w:val="24"/>
        </w:rPr>
        <w:t>212 smaller nodes (that represent the number of gene/protein–chemical interactions i</w:t>
      </w:r>
      <w:r w:rsidR="009169B7">
        <w:rPr>
          <w:rFonts w:ascii="Book Antiqua" w:hAnsi="Book Antiqua"/>
          <w:sz w:val="24"/>
          <w:szCs w:val="24"/>
        </w:rPr>
        <w:t>n this subnetwork), with 13</w:t>
      </w:r>
      <w:r w:rsidRPr="009169B7">
        <w:rPr>
          <w:rFonts w:ascii="Book Antiqua" w:hAnsi="Book Antiqua"/>
          <w:sz w:val="24"/>
          <w:szCs w:val="24"/>
        </w:rPr>
        <w:t xml:space="preserve">314 interactions among node members. For simplicity, we manually curated some chemical−drug interactions focusing specifically on certain genes/proteins of potential interest, including members of the caspase family (CASP3 and CASP7), interleukins (IL1A, IL1B, and IL6), tumor necrosis factor α (TNFα), </w:t>
      </w:r>
      <w:r w:rsidR="009169B7" w:rsidRPr="009169B7">
        <w:rPr>
          <w:rFonts w:ascii="Book Antiqua" w:hAnsi="Book Antiqua"/>
          <w:sz w:val="24"/>
          <w:szCs w:val="24"/>
        </w:rPr>
        <w:t>nuclear factor kappa B subunit 1</w:t>
      </w:r>
      <w:r w:rsidR="009169B7">
        <w:rPr>
          <w:rFonts w:ascii="Book Antiqua" w:hAnsi="Book Antiqua" w:hint="eastAsia"/>
          <w:sz w:val="24"/>
          <w:szCs w:val="24"/>
          <w:lang w:eastAsia="zh-CN"/>
        </w:rPr>
        <w:t xml:space="preserve"> (</w:t>
      </w:r>
      <w:r w:rsidR="009169B7" w:rsidRPr="009169B7">
        <w:rPr>
          <w:rFonts w:ascii="Book Antiqua" w:hAnsi="Book Antiqua"/>
          <w:sz w:val="24"/>
          <w:szCs w:val="24"/>
        </w:rPr>
        <w:t>NF</w:t>
      </w:r>
      <w:r w:rsidR="009169B7">
        <w:rPr>
          <w:rFonts w:ascii="Book Antiqua" w:hAnsi="Book Antiqua" w:hint="eastAsia"/>
          <w:sz w:val="24"/>
          <w:szCs w:val="24"/>
          <w:lang w:eastAsia="zh-CN"/>
        </w:rPr>
        <w:t>K</w:t>
      </w:r>
      <w:r w:rsidR="009169B7" w:rsidRPr="009169B7">
        <w:rPr>
          <w:rFonts w:ascii="Book Antiqua" w:hAnsi="Book Antiqua"/>
          <w:sz w:val="24"/>
          <w:szCs w:val="24"/>
        </w:rPr>
        <w:t>B1</w:t>
      </w:r>
      <w:r w:rsidRPr="009169B7">
        <w:rPr>
          <w:rFonts w:ascii="Book Antiqua" w:hAnsi="Book Antiqua"/>
          <w:sz w:val="24"/>
          <w:szCs w:val="24"/>
        </w:rPr>
        <w:t xml:space="preserve">) and </w:t>
      </w:r>
      <w:r w:rsidR="009169B7" w:rsidRPr="009169B7">
        <w:rPr>
          <w:rFonts w:ascii="Book Antiqua" w:hAnsi="Book Antiqua"/>
          <w:sz w:val="24"/>
          <w:szCs w:val="24"/>
        </w:rPr>
        <w:t>inhibitor of nuclear fac</w:t>
      </w:r>
      <w:r w:rsidR="009169B7">
        <w:rPr>
          <w:rFonts w:ascii="Book Antiqua" w:hAnsi="Book Antiqua"/>
          <w:sz w:val="24"/>
          <w:szCs w:val="24"/>
        </w:rPr>
        <w:t xml:space="preserve">tor kappa B kinase subunit beta, </w:t>
      </w:r>
      <w:r w:rsidR="009169B7" w:rsidRPr="009169B7">
        <w:rPr>
          <w:rStyle w:val="hilite1"/>
          <w:rFonts w:ascii="Book Antiqua" w:hAnsi="Book Antiqua"/>
          <w:sz w:val="24"/>
          <w:szCs w:val="24"/>
        </w:rPr>
        <w:t>Jun</w:t>
      </w:r>
      <w:r w:rsidR="009169B7" w:rsidRPr="009169B7">
        <w:rPr>
          <w:rFonts w:ascii="Book Antiqua" w:hAnsi="Book Antiqua"/>
          <w:sz w:val="24"/>
          <w:szCs w:val="24"/>
        </w:rPr>
        <w:t xml:space="preserve"> </w:t>
      </w:r>
      <w:r w:rsidR="00E0092B" w:rsidRPr="009169B7">
        <w:rPr>
          <w:rFonts w:ascii="Book Antiqua" w:hAnsi="Book Antiqua"/>
          <w:sz w:val="24"/>
          <w:szCs w:val="24"/>
        </w:rPr>
        <w:t>proto-oncogene</w:t>
      </w:r>
      <w:r w:rsidR="009169B7">
        <w:rPr>
          <w:rFonts w:ascii="Book Antiqua" w:hAnsi="Book Antiqua" w:hint="eastAsia"/>
          <w:sz w:val="24"/>
          <w:szCs w:val="24"/>
          <w:lang w:eastAsia="zh-CN"/>
        </w:rPr>
        <w:t xml:space="preserve"> (</w:t>
      </w:r>
      <w:r w:rsidR="009169B7">
        <w:rPr>
          <w:rFonts w:ascii="Book Antiqua" w:hAnsi="Book Antiqua"/>
          <w:sz w:val="24"/>
          <w:szCs w:val="24"/>
        </w:rPr>
        <w:t>JUN</w:t>
      </w:r>
      <w:r w:rsidR="009169B7">
        <w:rPr>
          <w:rFonts w:ascii="Book Antiqua" w:hAnsi="Book Antiqua" w:hint="eastAsia"/>
          <w:sz w:val="24"/>
          <w:szCs w:val="24"/>
          <w:lang w:eastAsia="zh-CN"/>
        </w:rPr>
        <w:t>)</w:t>
      </w:r>
      <w:r w:rsidRPr="009169B7">
        <w:rPr>
          <w:rFonts w:ascii="Book Antiqua" w:hAnsi="Book Antiqua"/>
          <w:sz w:val="24"/>
          <w:szCs w:val="24"/>
        </w:rPr>
        <w:t xml:space="preserve">, </w:t>
      </w:r>
      <w:r w:rsidR="00E0092B" w:rsidRPr="009169B7">
        <w:rPr>
          <w:rFonts w:ascii="Book Antiqua" w:hAnsi="Book Antiqua"/>
          <w:sz w:val="24"/>
          <w:szCs w:val="24"/>
        </w:rPr>
        <w:t>transcription factor subunit</w:t>
      </w:r>
      <w:r w:rsidRPr="009169B7">
        <w:rPr>
          <w:rFonts w:ascii="Book Antiqua" w:hAnsi="Book Antiqua"/>
          <w:sz w:val="24"/>
          <w:szCs w:val="24"/>
        </w:rPr>
        <w:t xml:space="preserve">, and </w:t>
      </w:r>
      <w:r w:rsidR="00E0092B">
        <w:rPr>
          <w:rFonts w:ascii="Book Antiqua" w:hAnsi="Book Antiqua"/>
          <w:sz w:val="24"/>
          <w:szCs w:val="24"/>
        </w:rPr>
        <w:t>AKT serine/threonine kinase 1</w:t>
      </w:r>
      <w:r w:rsidRPr="009169B7">
        <w:rPr>
          <w:rFonts w:ascii="Book Antiqua" w:hAnsi="Book Antiqua"/>
          <w:sz w:val="24"/>
          <w:szCs w:val="24"/>
        </w:rPr>
        <w:t xml:space="preserve"> </w:t>
      </w:r>
      <w:r w:rsidRPr="00E0092B">
        <w:rPr>
          <w:rFonts w:ascii="Book Antiqua" w:hAnsi="Book Antiqua"/>
          <w:sz w:val="24"/>
          <w:szCs w:val="24"/>
        </w:rPr>
        <w:t>(Figure 3</w:t>
      </w:r>
      <w:r w:rsidRPr="009169B7">
        <w:rPr>
          <w:rFonts w:ascii="Book Antiqua" w:hAnsi="Book Antiqua"/>
          <w:sz w:val="24"/>
          <w:szCs w:val="24"/>
        </w:rPr>
        <w:t>). Remarkably, several drugs were predicted to have a significant interaction with the highlighted targets. For example, minocycline that is a broad spectrum long-acting derivative of the antibiotic tetracycline was mapped in the pathway of caspases, whereas IL1B (</w:t>
      </w:r>
      <w:r w:rsidRPr="00E0092B">
        <w:rPr>
          <w:rFonts w:ascii="Book Antiqua" w:hAnsi="Book Antiqua"/>
          <w:sz w:val="24"/>
          <w:szCs w:val="24"/>
        </w:rPr>
        <w:t>Figure 3</w:t>
      </w:r>
      <w:r w:rsidRPr="009169B7">
        <w:rPr>
          <w:rFonts w:ascii="Book Antiqua" w:hAnsi="Book Antiqua"/>
          <w:sz w:val="24"/>
          <w:szCs w:val="24"/>
        </w:rPr>
        <w:t xml:space="preserve">) or pomalidomide that is a </w:t>
      </w:r>
      <w:r w:rsidRPr="009169B7">
        <w:rPr>
          <w:rStyle w:val="st"/>
          <w:rFonts w:ascii="Book Antiqua" w:hAnsi="Book Antiqua"/>
          <w:sz w:val="24"/>
          <w:szCs w:val="24"/>
        </w:rPr>
        <w:t xml:space="preserve">derivative of thalidomide with </w:t>
      </w:r>
      <w:r w:rsidRPr="009169B7">
        <w:rPr>
          <w:rFonts w:ascii="Book Antiqua" w:hAnsi="Book Antiqua"/>
          <w:sz w:val="24"/>
          <w:szCs w:val="24"/>
        </w:rPr>
        <w:t>immuno</w:t>
      </w:r>
      <w:r w:rsidR="00E0092B">
        <w:rPr>
          <w:rFonts w:ascii="Book Antiqua" w:hAnsi="Book Antiqua" w:hint="eastAsia"/>
          <w:sz w:val="24"/>
          <w:szCs w:val="24"/>
          <w:lang w:eastAsia="zh-CN"/>
        </w:rPr>
        <w:t>-</w:t>
      </w:r>
      <w:r w:rsidRPr="009169B7">
        <w:rPr>
          <w:rFonts w:ascii="Book Antiqua" w:hAnsi="Book Antiqua"/>
          <w:sz w:val="24"/>
          <w:szCs w:val="24"/>
        </w:rPr>
        <w:t>modulating, antiangiogenic and antineoplastic activities was mapped in the network of TNF, NF</w:t>
      </w:r>
      <w:r w:rsidR="009169B7">
        <w:rPr>
          <w:rFonts w:ascii="Book Antiqua" w:hAnsi="Book Antiqua" w:hint="eastAsia"/>
          <w:sz w:val="24"/>
          <w:szCs w:val="24"/>
          <w:lang w:eastAsia="zh-CN"/>
        </w:rPr>
        <w:t>K</w:t>
      </w:r>
      <w:r w:rsidRPr="009169B7">
        <w:rPr>
          <w:rFonts w:ascii="Book Antiqua" w:hAnsi="Book Antiqua"/>
          <w:sz w:val="24"/>
          <w:szCs w:val="24"/>
        </w:rPr>
        <w:t>B1, and interleukins (</w:t>
      </w:r>
      <w:r w:rsidRPr="00E0092B">
        <w:rPr>
          <w:rFonts w:ascii="Book Antiqua" w:hAnsi="Book Antiqua"/>
          <w:sz w:val="24"/>
          <w:szCs w:val="24"/>
        </w:rPr>
        <w:t>Figure 3</w:t>
      </w:r>
      <w:r w:rsidRPr="009169B7">
        <w:rPr>
          <w:rFonts w:ascii="Book Antiqua" w:hAnsi="Book Antiqua"/>
          <w:sz w:val="24"/>
          <w:szCs w:val="24"/>
        </w:rPr>
        <w:t xml:space="preserve">). </w:t>
      </w:r>
    </w:p>
    <w:p w:rsidR="00A44C25" w:rsidRPr="009169B7" w:rsidRDefault="00A44C25" w:rsidP="00E0092B">
      <w:pPr>
        <w:spacing w:after="0" w:line="360" w:lineRule="auto"/>
        <w:ind w:firstLineChars="100" w:firstLine="240"/>
        <w:jc w:val="both"/>
        <w:rPr>
          <w:rFonts w:ascii="Book Antiqua" w:hAnsi="Book Antiqua"/>
          <w:sz w:val="24"/>
          <w:szCs w:val="24"/>
        </w:rPr>
      </w:pPr>
      <w:r w:rsidRPr="009169B7">
        <w:rPr>
          <w:rFonts w:ascii="Book Antiqua" w:hAnsi="Book Antiqua"/>
          <w:sz w:val="24"/>
          <w:szCs w:val="24"/>
        </w:rPr>
        <w:t xml:space="preserve">Additional targets predicted in the minoclycline interaction network are </w:t>
      </w:r>
      <w:r w:rsidR="00E0092B">
        <w:rPr>
          <w:rFonts w:ascii="Book Antiqua" w:hAnsi="Book Antiqua"/>
          <w:sz w:val="24"/>
          <w:szCs w:val="24"/>
        </w:rPr>
        <w:t>arachidonate 5-lipoxygenase</w:t>
      </w:r>
      <w:r w:rsidR="00E0092B">
        <w:rPr>
          <w:rFonts w:ascii="Book Antiqua" w:hAnsi="Book Antiqua" w:hint="eastAsia"/>
          <w:sz w:val="24"/>
          <w:szCs w:val="24"/>
          <w:lang w:eastAsia="zh-CN"/>
        </w:rPr>
        <w:t xml:space="preserve"> (</w:t>
      </w:r>
      <w:r w:rsidRPr="009169B7">
        <w:rPr>
          <w:rFonts w:ascii="Book Antiqua" w:hAnsi="Book Antiqua"/>
          <w:sz w:val="24"/>
          <w:szCs w:val="24"/>
        </w:rPr>
        <w:t xml:space="preserve">which is involved in the synthesis of leukotrienes from arachidonic acid), </w:t>
      </w:r>
      <w:r w:rsidR="00E0092B">
        <w:rPr>
          <w:rFonts w:ascii="Book Antiqua" w:hAnsi="Book Antiqua"/>
          <w:sz w:val="24"/>
          <w:szCs w:val="24"/>
        </w:rPr>
        <w:t>cytochrome C</w:t>
      </w:r>
      <w:r w:rsidRPr="009169B7">
        <w:rPr>
          <w:rFonts w:ascii="Book Antiqua" w:hAnsi="Book Antiqua"/>
          <w:sz w:val="24"/>
          <w:szCs w:val="24"/>
        </w:rPr>
        <w:t xml:space="preserve"> </w:t>
      </w:r>
      <w:r w:rsidR="00E0092B">
        <w:rPr>
          <w:rFonts w:ascii="Book Antiqua" w:hAnsi="Book Antiqua" w:hint="eastAsia"/>
          <w:sz w:val="24"/>
          <w:szCs w:val="24"/>
          <w:lang w:eastAsia="zh-CN"/>
        </w:rPr>
        <w:t>(</w:t>
      </w:r>
      <w:r w:rsidRPr="009169B7">
        <w:rPr>
          <w:rFonts w:ascii="Book Antiqua" w:hAnsi="Book Antiqua"/>
          <w:sz w:val="24"/>
          <w:szCs w:val="24"/>
        </w:rPr>
        <w:t xml:space="preserve">a central component of the electron transport chain in mitochondria), </w:t>
      </w:r>
      <w:r w:rsidR="00E0092B">
        <w:rPr>
          <w:rFonts w:ascii="Book Antiqua" w:hAnsi="Book Antiqua"/>
          <w:sz w:val="24"/>
          <w:szCs w:val="24"/>
        </w:rPr>
        <w:t>matrix metallopeptidase 9</w:t>
      </w:r>
      <w:r w:rsidRPr="009169B7">
        <w:rPr>
          <w:rFonts w:ascii="Book Antiqua" w:hAnsi="Book Antiqua"/>
          <w:sz w:val="24"/>
          <w:szCs w:val="24"/>
        </w:rPr>
        <w:t xml:space="preserve"> </w:t>
      </w:r>
      <w:r w:rsidR="00E0092B">
        <w:rPr>
          <w:rFonts w:ascii="Book Antiqua" w:hAnsi="Book Antiqua" w:hint="eastAsia"/>
          <w:sz w:val="24"/>
          <w:szCs w:val="24"/>
          <w:lang w:eastAsia="zh-CN"/>
        </w:rPr>
        <w:t>(</w:t>
      </w:r>
      <w:r w:rsidRPr="009169B7">
        <w:rPr>
          <w:rFonts w:ascii="Book Antiqua" w:hAnsi="Book Antiqua"/>
          <w:sz w:val="24"/>
          <w:szCs w:val="24"/>
        </w:rPr>
        <w:t>involved in the breakdown of extracellular matrix), vascular e</w:t>
      </w:r>
      <w:r w:rsidR="00E0092B">
        <w:rPr>
          <w:rFonts w:ascii="Book Antiqua" w:hAnsi="Book Antiqua"/>
          <w:sz w:val="24"/>
          <w:szCs w:val="24"/>
        </w:rPr>
        <w:t>ndothelial growth factor A</w:t>
      </w:r>
      <w:r w:rsidRPr="009169B7">
        <w:rPr>
          <w:rFonts w:ascii="Book Antiqua" w:hAnsi="Book Antiqua"/>
          <w:sz w:val="24"/>
          <w:szCs w:val="24"/>
        </w:rPr>
        <w:t xml:space="preserve"> </w:t>
      </w:r>
      <w:r w:rsidR="00E0092B">
        <w:rPr>
          <w:rFonts w:ascii="Book Antiqua" w:hAnsi="Book Antiqua" w:hint="eastAsia"/>
          <w:sz w:val="24"/>
          <w:szCs w:val="24"/>
          <w:lang w:eastAsia="zh-CN"/>
        </w:rPr>
        <w:t>(</w:t>
      </w:r>
      <w:r w:rsidRPr="009169B7">
        <w:rPr>
          <w:rFonts w:ascii="Book Antiqua" w:hAnsi="Book Antiqua"/>
          <w:sz w:val="24"/>
          <w:szCs w:val="24"/>
        </w:rPr>
        <w:t>which induces proliferation and migration of vascular endothelial cells, particularly during pathological angiogenesis) and Poly(ADP-</w:t>
      </w:r>
      <w:r w:rsidR="00E0092B" w:rsidRPr="009169B7">
        <w:rPr>
          <w:rFonts w:ascii="Book Antiqua" w:hAnsi="Book Antiqua"/>
          <w:sz w:val="24"/>
          <w:szCs w:val="24"/>
        </w:rPr>
        <w:t>ribose) p</w:t>
      </w:r>
      <w:r w:rsidR="00E0092B">
        <w:rPr>
          <w:rFonts w:ascii="Book Antiqua" w:hAnsi="Book Antiqua"/>
          <w:sz w:val="24"/>
          <w:szCs w:val="24"/>
        </w:rPr>
        <w:t>olymerase 1</w:t>
      </w:r>
      <w:r w:rsidRPr="009169B7">
        <w:rPr>
          <w:rFonts w:ascii="Book Antiqua" w:hAnsi="Book Antiqua"/>
          <w:sz w:val="24"/>
          <w:szCs w:val="24"/>
        </w:rPr>
        <w:t xml:space="preserve"> </w:t>
      </w:r>
      <w:r w:rsidR="00E0092B">
        <w:rPr>
          <w:rFonts w:ascii="Book Antiqua" w:hAnsi="Book Antiqua" w:hint="eastAsia"/>
          <w:sz w:val="24"/>
          <w:szCs w:val="24"/>
          <w:lang w:eastAsia="zh-CN"/>
        </w:rPr>
        <w:t>(</w:t>
      </w:r>
      <w:r w:rsidRPr="009169B7">
        <w:rPr>
          <w:rFonts w:ascii="Book Antiqua" w:hAnsi="Book Antiqua"/>
          <w:sz w:val="24"/>
          <w:szCs w:val="24"/>
        </w:rPr>
        <w:t>which is involved in the regulation of a myriad of cellular processes, such as differentiation, proliferation, and tumor transformation, as well as in the regulation of the molecular events implicit in the cell recovery from DNA damage). Further two candidate targets predicted in the network of pomalidomide are prostaglandin-endoperoxide synthase</w:t>
      </w:r>
      <w:r w:rsidR="00E0092B">
        <w:rPr>
          <w:rFonts w:ascii="Book Antiqua" w:hAnsi="Book Antiqua" w:hint="eastAsia"/>
          <w:sz w:val="24"/>
          <w:szCs w:val="24"/>
          <w:lang w:eastAsia="zh-CN"/>
        </w:rPr>
        <w:t xml:space="preserve"> 2</w:t>
      </w:r>
      <w:r w:rsidRPr="009169B7">
        <w:rPr>
          <w:rFonts w:ascii="Book Antiqua" w:hAnsi="Book Antiqua"/>
          <w:sz w:val="24"/>
          <w:szCs w:val="24"/>
        </w:rPr>
        <w:t xml:space="preserve"> </w:t>
      </w:r>
      <w:r w:rsidR="00E0092B">
        <w:rPr>
          <w:rFonts w:ascii="Book Antiqua" w:hAnsi="Book Antiqua" w:hint="eastAsia"/>
          <w:sz w:val="24"/>
          <w:szCs w:val="24"/>
          <w:lang w:eastAsia="zh-CN"/>
        </w:rPr>
        <w:t>(</w:t>
      </w:r>
      <w:r w:rsidRPr="009169B7">
        <w:rPr>
          <w:rFonts w:ascii="Book Antiqua" w:hAnsi="Book Antiqua"/>
          <w:sz w:val="24"/>
          <w:szCs w:val="24"/>
        </w:rPr>
        <w:t xml:space="preserve">also known as cyclooxygenase, which is the key enzyme in prostaglandin biosynthesis) and CRBN (a calcium channel membrane protein, thought to play a role in brain development). </w:t>
      </w:r>
    </w:p>
    <w:p w:rsidR="00A44C25" w:rsidRPr="009169B7" w:rsidRDefault="00A44C25" w:rsidP="00E0092B">
      <w:pPr>
        <w:spacing w:after="0" w:line="360" w:lineRule="auto"/>
        <w:ind w:firstLineChars="100" w:firstLine="240"/>
        <w:jc w:val="both"/>
        <w:rPr>
          <w:rFonts w:ascii="Book Antiqua" w:hAnsi="Book Antiqua"/>
          <w:sz w:val="24"/>
          <w:szCs w:val="24"/>
        </w:rPr>
      </w:pPr>
      <w:r w:rsidRPr="009169B7">
        <w:rPr>
          <w:rFonts w:ascii="Book Antiqua" w:hAnsi="Book Antiqua"/>
          <w:sz w:val="24"/>
          <w:szCs w:val="24"/>
        </w:rPr>
        <w:lastRenderedPageBreak/>
        <w:t xml:space="preserve">Additional examples of drugs that could be potentially tested for the treatment of NASH based on the concept of drug repositioning are illustrated in </w:t>
      </w:r>
      <w:r w:rsidRPr="00E0092B">
        <w:rPr>
          <w:rFonts w:ascii="Book Antiqua" w:hAnsi="Book Antiqua"/>
          <w:sz w:val="24"/>
          <w:szCs w:val="24"/>
        </w:rPr>
        <w:t>Figure 3.</w:t>
      </w:r>
      <w:r w:rsidRPr="009169B7">
        <w:rPr>
          <w:rFonts w:ascii="Book Antiqua" w:hAnsi="Book Antiqua"/>
          <w:b/>
          <w:sz w:val="24"/>
          <w:szCs w:val="24"/>
        </w:rPr>
        <w:t xml:space="preserve"> </w:t>
      </w:r>
      <w:r w:rsidRPr="009169B7">
        <w:rPr>
          <w:rFonts w:ascii="Book Antiqua" w:hAnsi="Book Antiqua"/>
          <w:sz w:val="24"/>
          <w:szCs w:val="24"/>
        </w:rPr>
        <w:t xml:space="preserve">Drugs in the category of angiotensin II receptor type 1 (AGTR1) antagonists that were predicted in the network of JUN, for instance irbersartan—a nonpeptide AGTR1 antagonist with antihypertensive activity—might indeed be regarded as an indication expansion rather than drug repositioning because, as mentioned above, NAFLD and components of the Metabolic Syndrome, including arterial hypertension, present shared disease mechanisms </w:t>
      </w:r>
      <w:r w:rsidRPr="009169B7">
        <w:rPr>
          <w:rFonts w:ascii="Book Antiqua" w:hAnsi="Book Antiqua"/>
          <w:noProof/>
          <w:sz w:val="24"/>
          <w:szCs w:val="24"/>
        </w:rPr>
        <w:t>(12-14)</w:t>
      </w:r>
      <w:r w:rsidRPr="009169B7">
        <w:rPr>
          <w:rFonts w:ascii="Book Antiqua" w:hAnsi="Book Antiqua"/>
          <w:sz w:val="24"/>
          <w:szCs w:val="24"/>
        </w:rPr>
        <w:t xml:space="preserve">. Therefore, given the pleiotropic effects of </w:t>
      </w:r>
      <w:r w:rsidRPr="009169B7">
        <w:rPr>
          <w:rFonts w:ascii="Book Antiqua" w:eastAsia="Times New Roman" w:hAnsi="Book Antiqua"/>
          <w:bCs/>
          <w:kern w:val="36"/>
          <w:sz w:val="24"/>
          <w:szCs w:val="24"/>
        </w:rPr>
        <w:t>AGTR1 blockers</w:t>
      </w:r>
      <w:r w:rsidR="00B35552" w:rsidRPr="009169B7">
        <w:rPr>
          <w:rFonts w:ascii="Book Antiqua" w:hAnsi="Book Antiqua"/>
          <w:noProof/>
          <w:sz w:val="24"/>
          <w:szCs w:val="24"/>
          <w:vertAlign w:val="superscript"/>
        </w:rPr>
        <w:t>[</w:t>
      </w:r>
      <w:r w:rsidRPr="009169B7">
        <w:rPr>
          <w:rFonts w:ascii="Book Antiqua" w:hAnsi="Book Antiqua"/>
          <w:noProof/>
          <w:sz w:val="24"/>
          <w:szCs w:val="24"/>
          <w:vertAlign w:val="superscript"/>
        </w:rPr>
        <w:t>18</w:t>
      </w:r>
      <w:r w:rsidR="00B35552" w:rsidRPr="009169B7">
        <w:rPr>
          <w:rFonts w:ascii="Book Antiqua" w:hAnsi="Book Antiqua"/>
          <w:noProof/>
          <w:sz w:val="24"/>
          <w:szCs w:val="24"/>
          <w:vertAlign w:val="superscript"/>
        </w:rPr>
        <w:t>]</w:t>
      </w:r>
      <w:r w:rsidR="00B35552" w:rsidRPr="009169B7">
        <w:rPr>
          <w:rFonts w:ascii="Book Antiqua" w:hAnsi="Book Antiqua"/>
          <w:noProof/>
          <w:sz w:val="24"/>
          <w:szCs w:val="24"/>
        </w:rPr>
        <w:t xml:space="preserve"> </w:t>
      </w:r>
      <w:r w:rsidRPr="009169B7">
        <w:rPr>
          <w:rFonts w:ascii="Book Antiqua" w:hAnsi="Book Antiqua"/>
          <w:sz w:val="24"/>
          <w:szCs w:val="24"/>
        </w:rPr>
        <w:t>it is plausible to suggest that drugs in this pharmacological group—sartans—would synergize or potentiate the benefits of blocking the renin angiotensin system in the liver</w:t>
      </w:r>
      <w:r w:rsidR="00B35552" w:rsidRPr="009169B7">
        <w:rPr>
          <w:rFonts w:ascii="Book Antiqua" w:hAnsi="Book Antiqua"/>
          <w:noProof/>
          <w:sz w:val="24"/>
          <w:szCs w:val="24"/>
          <w:vertAlign w:val="superscript"/>
        </w:rPr>
        <w:t>[</w:t>
      </w:r>
      <w:r w:rsidRPr="009169B7">
        <w:rPr>
          <w:rFonts w:ascii="Book Antiqua" w:hAnsi="Book Antiqua"/>
          <w:noProof/>
          <w:sz w:val="24"/>
          <w:szCs w:val="24"/>
          <w:vertAlign w:val="superscript"/>
        </w:rPr>
        <w:t>19-22</w:t>
      </w:r>
      <w:r w:rsidR="00B35552" w:rsidRPr="009169B7">
        <w:rPr>
          <w:rFonts w:ascii="Book Antiqua" w:hAnsi="Book Antiqua"/>
          <w:noProof/>
          <w:sz w:val="24"/>
          <w:szCs w:val="24"/>
          <w:vertAlign w:val="superscript"/>
        </w:rPr>
        <w:t>]</w:t>
      </w:r>
      <w:r w:rsidRPr="009169B7">
        <w:rPr>
          <w:rFonts w:ascii="Book Antiqua" w:hAnsi="Book Antiqua"/>
          <w:sz w:val="24"/>
          <w:szCs w:val="24"/>
        </w:rPr>
        <w:t>. Remarkably, the pharmacological properties and toxicity profiles of some of the drugs presently undergoing NASH clinical trials are already known, such as atorvastatin, ezetimibe, fenofribrate, losartan, and pioglotazone, just to mention a few (</w:t>
      </w:r>
      <w:r w:rsidRPr="00E0092B">
        <w:rPr>
          <w:rFonts w:ascii="Book Antiqua" w:hAnsi="Book Antiqua"/>
          <w:sz w:val="24"/>
          <w:szCs w:val="24"/>
        </w:rPr>
        <w:t>Figure 1</w:t>
      </w:r>
      <w:r w:rsidRPr="009169B7">
        <w:rPr>
          <w:rFonts w:ascii="Book Antiqua" w:hAnsi="Book Antiqua"/>
          <w:sz w:val="24"/>
          <w:szCs w:val="24"/>
        </w:rPr>
        <w:t xml:space="preserve">). </w:t>
      </w:r>
    </w:p>
    <w:p w:rsidR="00E0092B" w:rsidRDefault="00E0092B" w:rsidP="00B26511">
      <w:pPr>
        <w:spacing w:after="0" w:line="360" w:lineRule="auto"/>
        <w:jc w:val="both"/>
        <w:rPr>
          <w:rStyle w:val="a4"/>
          <w:rFonts w:ascii="Book Antiqua" w:hAnsi="Book Antiqua" w:hint="eastAsia"/>
          <w:i/>
          <w:sz w:val="24"/>
          <w:szCs w:val="24"/>
          <w:lang w:eastAsia="zh-CN"/>
        </w:rPr>
      </w:pPr>
    </w:p>
    <w:p w:rsidR="00A44C25" w:rsidRPr="00E0092B" w:rsidRDefault="00E0092B" w:rsidP="00B26511">
      <w:pPr>
        <w:spacing w:after="0" w:line="360" w:lineRule="auto"/>
        <w:jc w:val="both"/>
        <w:rPr>
          <w:rStyle w:val="a4"/>
          <w:rFonts w:ascii="Book Antiqua" w:hAnsi="Book Antiqua"/>
          <w:sz w:val="24"/>
          <w:szCs w:val="24"/>
        </w:rPr>
      </w:pPr>
      <w:r w:rsidRPr="00E0092B">
        <w:rPr>
          <w:rStyle w:val="a4"/>
          <w:rFonts w:ascii="Book Antiqua" w:hAnsi="Book Antiqua"/>
          <w:sz w:val="24"/>
          <w:szCs w:val="24"/>
        </w:rPr>
        <w:t>PLEIOTROPY: CHALLENGES AND OPPORTUNITIES FOR THE TREATMENT OF NASH</w:t>
      </w:r>
    </w:p>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It is also important to acknowledge the possibility that some of the novel p</w:t>
      </w:r>
      <w:r w:rsidRPr="009169B7">
        <w:rPr>
          <w:rStyle w:val="st"/>
          <w:rFonts w:ascii="Book Antiqua" w:hAnsi="Book Antiqua"/>
          <w:sz w:val="24"/>
          <w:szCs w:val="24"/>
        </w:rPr>
        <w:t xml:space="preserve">harmacotherapy options for the treatment of NASH </w:t>
      </w:r>
      <w:r w:rsidRPr="009169B7">
        <w:rPr>
          <w:rFonts w:ascii="Book Antiqua" w:hAnsi="Book Antiqua"/>
          <w:sz w:val="24"/>
          <w:szCs w:val="24"/>
        </w:rPr>
        <w:t>might eventually present pleiotropic effect/s. This point represents the paradox of a drug covering multiple pathways and cell types, which could be either harmful or beneficial for patients. Remarkable examples of the advantages of pleiotropic effects of pharmacological targets for the treatment of complex traits are, as already mentioned, agents that modulate or interfere with the rennin−angiotensin system, which not only reduce cardiovascular risk but also improve systemic inflammation, oxidative stress, and even present anti-fibrogenic properties in the liver. Similar effects have also been demonstrated for statins</w:t>
      </w:r>
      <w:r w:rsidR="00B35552" w:rsidRPr="009169B7">
        <w:rPr>
          <w:rFonts w:ascii="Book Antiqua" w:hAnsi="Book Antiqua"/>
          <w:noProof/>
          <w:sz w:val="24"/>
          <w:szCs w:val="24"/>
          <w:vertAlign w:val="superscript"/>
        </w:rPr>
        <w:t>[</w:t>
      </w:r>
      <w:r w:rsidRPr="009169B7">
        <w:rPr>
          <w:rFonts w:ascii="Book Antiqua" w:hAnsi="Book Antiqua"/>
          <w:noProof/>
          <w:sz w:val="24"/>
          <w:szCs w:val="24"/>
          <w:vertAlign w:val="superscript"/>
        </w:rPr>
        <w:t>23</w:t>
      </w:r>
      <w:r w:rsidR="00E25256" w:rsidRPr="009169B7">
        <w:rPr>
          <w:rFonts w:ascii="Book Antiqua" w:hAnsi="Book Antiqua"/>
          <w:noProof/>
          <w:sz w:val="24"/>
          <w:szCs w:val="24"/>
          <w:vertAlign w:val="superscript"/>
        </w:rPr>
        <w:t>,</w:t>
      </w:r>
      <w:r w:rsidRPr="009169B7">
        <w:rPr>
          <w:rFonts w:ascii="Book Antiqua" w:hAnsi="Book Antiqua"/>
          <w:noProof/>
          <w:sz w:val="24"/>
          <w:szCs w:val="24"/>
          <w:vertAlign w:val="superscript"/>
        </w:rPr>
        <w:t>24</w:t>
      </w:r>
      <w:r w:rsidR="00B35552" w:rsidRPr="009169B7">
        <w:rPr>
          <w:rFonts w:ascii="Book Antiqua" w:hAnsi="Book Antiqua"/>
          <w:noProof/>
          <w:sz w:val="24"/>
          <w:szCs w:val="24"/>
          <w:vertAlign w:val="superscript"/>
        </w:rPr>
        <w:t>]</w:t>
      </w:r>
      <w:r w:rsidRPr="009169B7">
        <w:rPr>
          <w:rFonts w:ascii="Book Antiqua" w:hAnsi="Book Antiqua"/>
          <w:sz w:val="24"/>
          <w:szCs w:val="24"/>
        </w:rPr>
        <w:t xml:space="preserve">. </w:t>
      </w:r>
    </w:p>
    <w:p w:rsidR="00A44C25" w:rsidRPr="009169B7" w:rsidRDefault="00A44C25" w:rsidP="00E0092B">
      <w:pPr>
        <w:spacing w:after="0" w:line="360" w:lineRule="auto"/>
        <w:ind w:firstLineChars="100" w:firstLine="240"/>
        <w:jc w:val="both"/>
        <w:rPr>
          <w:rFonts w:ascii="Book Antiqua" w:hAnsi="Book Antiqua"/>
          <w:sz w:val="24"/>
          <w:szCs w:val="24"/>
        </w:rPr>
      </w:pPr>
      <w:r w:rsidRPr="009169B7">
        <w:rPr>
          <w:rFonts w:ascii="Book Antiqua" w:hAnsi="Book Antiqua"/>
          <w:sz w:val="24"/>
          <w:szCs w:val="24"/>
        </w:rPr>
        <w:t xml:space="preserve">When focusing on the new generation of NASH targets, obeticholic acid (OCA), a synthetically-modified bile acid (a dihydroxy-5beta-cholanic acid), is a remarkable example of the potential systemic effects of a drug targeting nuclear receptors. OCA exhibits a potent agonist effect on the farnesoid X nuclear receptor (FXR). More </w:t>
      </w:r>
      <w:r w:rsidRPr="009169B7">
        <w:rPr>
          <w:rFonts w:ascii="Book Antiqua" w:hAnsi="Book Antiqua"/>
          <w:sz w:val="24"/>
          <w:szCs w:val="24"/>
        </w:rPr>
        <w:lastRenderedPageBreak/>
        <w:t>importantly, its target—FXR (formally Nuclear hormone receptor subfamily 1 group H member 4, NR1H4, also known as BAR)—is predicted to be involved in the pathogenesis of multiple phenotypes that practically cover the full range of human diseases and traits (</w:t>
      </w:r>
      <w:r w:rsidRPr="00E0092B">
        <w:rPr>
          <w:rFonts w:ascii="Book Antiqua" w:hAnsi="Book Antiqua"/>
          <w:sz w:val="24"/>
          <w:szCs w:val="24"/>
        </w:rPr>
        <w:t>Figure 4</w:t>
      </w:r>
      <w:r w:rsidRPr="009169B7">
        <w:rPr>
          <w:rFonts w:ascii="Book Antiqua" w:hAnsi="Book Antiqua"/>
          <w:sz w:val="24"/>
          <w:szCs w:val="24"/>
        </w:rPr>
        <w:t xml:space="preserve">). It is well known that </w:t>
      </w:r>
      <w:r w:rsidR="00E0092B">
        <w:rPr>
          <w:rFonts w:ascii="Book Antiqua" w:hAnsi="Book Antiqua" w:hint="eastAsia"/>
          <w:sz w:val="24"/>
          <w:szCs w:val="24"/>
          <w:lang w:eastAsia="zh-CN"/>
        </w:rPr>
        <w:t>OCA</w:t>
      </w:r>
      <w:r w:rsidRPr="009169B7">
        <w:rPr>
          <w:rFonts w:ascii="Book Antiqua" w:hAnsi="Book Antiqua"/>
          <w:sz w:val="24"/>
          <w:szCs w:val="24"/>
        </w:rPr>
        <w:t xml:space="preserve"> is currently used to treat not only NASH but other chronic liver diseases as well, including primary biliary cholangitis</w:t>
      </w:r>
      <w:r w:rsidR="00B35552" w:rsidRPr="009169B7">
        <w:rPr>
          <w:rFonts w:ascii="Book Antiqua" w:hAnsi="Book Antiqua"/>
          <w:noProof/>
          <w:sz w:val="24"/>
          <w:szCs w:val="24"/>
          <w:vertAlign w:val="superscript"/>
        </w:rPr>
        <w:t>[</w:t>
      </w:r>
      <w:r w:rsidRPr="009169B7">
        <w:rPr>
          <w:rFonts w:ascii="Book Antiqua" w:hAnsi="Book Antiqua"/>
          <w:noProof/>
          <w:sz w:val="24"/>
          <w:szCs w:val="24"/>
          <w:vertAlign w:val="superscript"/>
        </w:rPr>
        <w:t>25</w:t>
      </w:r>
      <w:r w:rsidR="00B35552" w:rsidRPr="009169B7">
        <w:rPr>
          <w:rFonts w:ascii="Book Antiqua" w:hAnsi="Book Antiqua"/>
          <w:noProof/>
          <w:sz w:val="24"/>
          <w:szCs w:val="24"/>
          <w:vertAlign w:val="superscript"/>
        </w:rPr>
        <w:t>]</w:t>
      </w:r>
      <w:r w:rsidRPr="009169B7">
        <w:rPr>
          <w:rFonts w:ascii="Book Antiqua" w:hAnsi="Book Antiqua"/>
          <w:sz w:val="24"/>
          <w:szCs w:val="24"/>
        </w:rPr>
        <w:t>. However, there are at least 65 registered clinical trials in various pharmacological phases for ~50 different diseases (</w:t>
      </w:r>
      <w:r w:rsidRPr="00E0092B">
        <w:rPr>
          <w:rFonts w:ascii="Book Antiqua" w:hAnsi="Book Antiqua"/>
          <w:sz w:val="24"/>
          <w:szCs w:val="24"/>
        </w:rPr>
        <w:t>Figure 4</w:t>
      </w:r>
      <w:r w:rsidRPr="009169B7">
        <w:rPr>
          <w:rFonts w:ascii="Book Antiqua" w:hAnsi="Book Antiqua"/>
          <w:sz w:val="24"/>
          <w:szCs w:val="24"/>
        </w:rPr>
        <w:t xml:space="preserve">). </w:t>
      </w:r>
    </w:p>
    <w:p w:rsidR="00A44C25" w:rsidRPr="009169B7" w:rsidRDefault="00A44C25" w:rsidP="00E0092B">
      <w:pPr>
        <w:spacing w:after="0" w:line="360" w:lineRule="auto"/>
        <w:ind w:firstLineChars="100" w:firstLine="240"/>
        <w:jc w:val="both"/>
        <w:rPr>
          <w:rFonts w:ascii="Book Antiqua" w:hAnsi="Book Antiqua"/>
          <w:sz w:val="24"/>
          <w:szCs w:val="24"/>
        </w:rPr>
      </w:pPr>
      <w:r w:rsidRPr="009169B7">
        <w:rPr>
          <w:rFonts w:ascii="Book Antiqua" w:hAnsi="Book Antiqua"/>
          <w:sz w:val="24"/>
          <w:szCs w:val="24"/>
        </w:rPr>
        <w:t>Based on this evidence, one may presume that the pleiotropic effects, and thus the clinical consequences, of the novel NASH drugs that are predicted to concurrently modulate a broad range of molecular pathways could be surprisingly extensive and therefore largely beneficial for treating multiple phenotypes. However, potential pleiotropic effects of the novel anti-NASH drugs could produce undesirable effects that we need to understand in order to anticipate their management. Some of these potential pleiotropic effects are indeed related to the primary biological and molecular network associated with the drug target itself. To illustrate the importance of this issue, we randomly selected five molecular targets (MAP3K5 or ASK1, FXR, PPARα/δ, THRβ, and MPC1) against which five drugs are currently being tested in patients with NASH (selonsertib</w:t>
      </w:r>
      <w:r w:rsidR="00B35552" w:rsidRPr="009169B7">
        <w:rPr>
          <w:rFonts w:ascii="Book Antiqua" w:hAnsi="Book Antiqua"/>
          <w:noProof/>
          <w:sz w:val="24"/>
          <w:szCs w:val="24"/>
          <w:vertAlign w:val="superscript"/>
        </w:rPr>
        <w:t>[</w:t>
      </w:r>
      <w:r w:rsidRPr="009169B7">
        <w:rPr>
          <w:rFonts w:ascii="Book Antiqua" w:hAnsi="Book Antiqua"/>
          <w:noProof/>
          <w:sz w:val="24"/>
          <w:szCs w:val="24"/>
          <w:vertAlign w:val="superscript"/>
        </w:rPr>
        <w:t>26</w:t>
      </w:r>
      <w:r w:rsidR="00B35552" w:rsidRPr="009169B7">
        <w:rPr>
          <w:rFonts w:ascii="Book Antiqua" w:hAnsi="Book Antiqua"/>
          <w:noProof/>
          <w:sz w:val="24"/>
          <w:szCs w:val="24"/>
          <w:vertAlign w:val="superscript"/>
        </w:rPr>
        <w:t>]</w:t>
      </w:r>
      <w:r w:rsidRPr="009169B7">
        <w:rPr>
          <w:rFonts w:ascii="Book Antiqua" w:hAnsi="Book Antiqua"/>
          <w:sz w:val="24"/>
          <w:szCs w:val="24"/>
        </w:rPr>
        <w:t xml:space="preserve">, </w:t>
      </w:r>
      <w:r w:rsidR="00E0092B">
        <w:rPr>
          <w:rFonts w:ascii="Book Antiqua" w:hAnsi="Book Antiqua" w:hint="eastAsia"/>
          <w:sz w:val="24"/>
          <w:szCs w:val="24"/>
          <w:lang w:eastAsia="zh-CN"/>
        </w:rPr>
        <w:t>OCA</w:t>
      </w:r>
      <w:r w:rsidR="00B35552" w:rsidRPr="009169B7">
        <w:rPr>
          <w:rFonts w:ascii="Book Antiqua" w:hAnsi="Book Antiqua"/>
          <w:noProof/>
          <w:sz w:val="24"/>
          <w:szCs w:val="24"/>
          <w:vertAlign w:val="superscript"/>
        </w:rPr>
        <w:t>[</w:t>
      </w:r>
      <w:r w:rsidRPr="009169B7">
        <w:rPr>
          <w:rFonts w:ascii="Book Antiqua" w:hAnsi="Book Antiqua"/>
          <w:noProof/>
          <w:sz w:val="24"/>
          <w:szCs w:val="24"/>
          <w:vertAlign w:val="superscript"/>
        </w:rPr>
        <w:t>27</w:t>
      </w:r>
      <w:r w:rsidR="00B35552" w:rsidRPr="009169B7">
        <w:rPr>
          <w:rFonts w:ascii="Book Antiqua" w:hAnsi="Book Antiqua"/>
          <w:noProof/>
          <w:sz w:val="24"/>
          <w:szCs w:val="24"/>
          <w:vertAlign w:val="superscript"/>
        </w:rPr>
        <w:t>]</w:t>
      </w:r>
      <w:r w:rsidRPr="009169B7">
        <w:rPr>
          <w:rFonts w:ascii="Book Antiqua" w:hAnsi="Book Antiqua"/>
          <w:sz w:val="24"/>
          <w:szCs w:val="24"/>
        </w:rPr>
        <w:t>, elafibranor</w:t>
      </w:r>
      <w:r w:rsidR="00B35552" w:rsidRPr="009169B7">
        <w:rPr>
          <w:rFonts w:ascii="Book Antiqua" w:hAnsi="Book Antiqua"/>
          <w:noProof/>
          <w:sz w:val="24"/>
          <w:szCs w:val="24"/>
          <w:vertAlign w:val="superscript"/>
        </w:rPr>
        <w:t>[</w:t>
      </w:r>
      <w:r w:rsidRPr="009169B7">
        <w:rPr>
          <w:rFonts w:ascii="Book Antiqua" w:hAnsi="Book Antiqua"/>
          <w:noProof/>
          <w:sz w:val="24"/>
          <w:szCs w:val="24"/>
          <w:vertAlign w:val="superscript"/>
        </w:rPr>
        <w:t>28</w:t>
      </w:r>
      <w:r w:rsidR="00B35552" w:rsidRPr="009169B7">
        <w:rPr>
          <w:rFonts w:ascii="Book Antiqua" w:hAnsi="Book Antiqua"/>
          <w:noProof/>
          <w:sz w:val="24"/>
          <w:szCs w:val="24"/>
          <w:vertAlign w:val="superscript"/>
        </w:rPr>
        <w:t>]</w:t>
      </w:r>
      <w:r w:rsidRPr="009169B7">
        <w:rPr>
          <w:rFonts w:ascii="Book Antiqua" w:hAnsi="Book Antiqua"/>
          <w:sz w:val="24"/>
          <w:szCs w:val="24"/>
        </w:rPr>
        <w:t xml:space="preserve">, MGL-3196 (https://clinicaltrials.gov/ct2/show/NCT02912260), and </w:t>
      </w:r>
      <w:r w:rsidRPr="009169B7">
        <w:rPr>
          <w:rFonts w:ascii="Book Antiqua" w:hAnsi="Book Antiqua"/>
          <w:bCs/>
          <w:sz w:val="24"/>
          <w:szCs w:val="24"/>
        </w:rPr>
        <w:t>MSDC-0602K</w:t>
      </w:r>
      <w:r w:rsidR="00B35552" w:rsidRPr="009169B7">
        <w:rPr>
          <w:rFonts w:ascii="Book Antiqua" w:hAnsi="Book Antiqua"/>
          <w:bCs/>
          <w:noProof/>
          <w:sz w:val="24"/>
          <w:szCs w:val="24"/>
          <w:vertAlign w:val="superscript"/>
        </w:rPr>
        <w:t>[</w:t>
      </w:r>
      <w:r w:rsidRPr="009169B7">
        <w:rPr>
          <w:rFonts w:ascii="Book Antiqua" w:hAnsi="Book Antiqua"/>
          <w:bCs/>
          <w:noProof/>
          <w:sz w:val="24"/>
          <w:szCs w:val="24"/>
          <w:vertAlign w:val="superscript"/>
        </w:rPr>
        <w:t>29</w:t>
      </w:r>
      <w:r w:rsidR="00B35552" w:rsidRPr="009169B7">
        <w:rPr>
          <w:rFonts w:ascii="Book Antiqua" w:hAnsi="Book Antiqua"/>
          <w:bCs/>
          <w:noProof/>
          <w:sz w:val="24"/>
          <w:szCs w:val="24"/>
          <w:vertAlign w:val="superscript"/>
        </w:rPr>
        <w:t>]</w:t>
      </w:r>
      <w:r w:rsidRPr="009169B7">
        <w:rPr>
          <w:rFonts w:ascii="Book Antiqua" w:hAnsi="Book Antiqua"/>
          <w:sz w:val="24"/>
          <w:szCs w:val="24"/>
          <w:vertAlign w:val="superscript"/>
        </w:rPr>
        <w:t xml:space="preserve"> </w:t>
      </w:r>
      <w:r w:rsidRPr="009169B7">
        <w:rPr>
          <w:rFonts w:ascii="Book Antiqua" w:hAnsi="Book Antiqua"/>
          <w:bCs/>
          <w:sz w:val="24"/>
          <w:szCs w:val="24"/>
        </w:rPr>
        <w:t xml:space="preserve">https://clinicaltrials.gov/ct2/show/NCT02784444). Next, we explored the potential pleiotropic effect/s of modulating these targets in humans by searching for associations of genetic variants in the aforementioned targets with different phenotypes and traits, known as </w:t>
      </w:r>
      <w:r w:rsidRPr="009169B7">
        <w:rPr>
          <w:rStyle w:val="lead-in"/>
          <w:rFonts w:ascii="Book Antiqua" w:hAnsi="Book Antiqua"/>
          <w:sz w:val="24"/>
          <w:szCs w:val="24"/>
        </w:rPr>
        <w:t>PheWAS</w:t>
      </w:r>
      <w:r w:rsidRPr="009169B7">
        <w:rPr>
          <w:rFonts w:ascii="Book Antiqua" w:hAnsi="Book Antiqua"/>
          <w:bCs/>
          <w:sz w:val="24"/>
          <w:szCs w:val="24"/>
        </w:rPr>
        <w:t xml:space="preserve"> (</w:t>
      </w:r>
      <w:r w:rsidRPr="009169B7">
        <w:rPr>
          <w:rStyle w:val="lead-in"/>
          <w:rFonts w:ascii="Book Antiqua" w:hAnsi="Book Antiqua"/>
          <w:sz w:val="24"/>
          <w:szCs w:val="24"/>
        </w:rPr>
        <w:t xml:space="preserve">Phenome-wide association studies). We specifically retrieved publically available information from the </w:t>
      </w:r>
      <w:r w:rsidR="00E0092B" w:rsidRPr="009169B7">
        <w:rPr>
          <w:rFonts w:ascii="Book Antiqua" w:hAnsi="Book Antiqua"/>
          <w:sz w:val="24"/>
          <w:szCs w:val="24"/>
        </w:rPr>
        <w:t>U</w:t>
      </w:r>
      <w:r w:rsidR="00E0092B">
        <w:rPr>
          <w:rFonts w:ascii="Book Antiqua" w:hAnsi="Book Antiqua" w:hint="eastAsia"/>
          <w:sz w:val="24"/>
          <w:szCs w:val="24"/>
          <w:lang w:eastAsia="zh-CN"/>
        </w:rPr>
        <w:t>nited Kindom</w:t>
      </w:r>
      <w:r w:rsidRPr="009169B7">
        <w:rPr>
          <w:rFonts w:ascii="Book Antiqua" w:hAnsi="Book Antiqua"/>
          <w:sz w:val="24"/>
          <w:szCs w:val="24"/>
        </w:rPr>
        <w:t xml:space="preserve"> Biobank that explored genetic variations in </w:t>
      </w:r>
      <w:r w:rsidR="00E0092B">
        <w:rPr>
          <w:rStyle w:val="percent-value"/>
          <w:rFonts w:ascii="Book Antiqua" w:hAnsi="Book Antiqua"/>
          <w:sz w:val="24"/>
          <w:szCs w:val="24"/>
        </w:rPr>
        <w:t>452</w:t>
      </w:r>
      <w:r w:rsidRPr="009169B7">
        <w:rPr>
          <w:rStyle w:val="percent-value"/>
          <w:rFonts w:ascii="Book Antiqua" w:hAnsi="Book Antiqua"/>
          <w:sz w:val="24"/>
          <w:szCs w:val="24"/>
        </w:rPr>
        <w:t>264</w:t>
      </w:r>
      <w:r w:rsidRPr="009169B7">
        <w:rPr>
          <w:rFonts w:ascii="Book Antiqua" w:hAnsi="Book Antiqua"/>
          <w:sz w:val="24"/>
          <w:szCs w:val="24"/>
        </w:rPr>
        <w:t xml:space="preserve"> U</w:t>
      </w:r>
      <w:r w:rsidR="00E0092B">
        <w:rPr>
          <w:rFonts w:ascii="Book Antiqua" w:hAnsi="Book Antiqua" w:hint="eastAsia"/>
          <w:sz w:val="24"/>
          <w:szCs w:val="24"/>
          <w:lang w:eastAsia="zh-CN"/>
        </w:rPr>
        <w:t>nited Kindom</w:t>
      </w:r>
      <w:r w:rsidRPr="009169B7">
        <w:rPr>
          <w:rFonts w:ascii="Book Antiqua" w:hAnsi="Book Antiqua"/>
          <w:sz w:val="24"/>
          <w:szCs w:val="24"/>
        </w:rPr>
        <w:t xml:space="preserve"> Biobank White British individuals (</w:t>
      </w:r>
      <w:hyperlink r:id="rId11" w:history="1">
        <w:r w:rsidRPr="009169B7">
          <w:rPr>
            <w:rStyle w:val="a6"/>
            <w:rFonts w:ascii="Book Antiqua" w:hAnsi="Book Antiqua"/>
            <w:color w:val="auto"/>
            <w:sz w:val="24"/>
            <w:szCs w:val="24"/>
          </w:rPr>
          <w:t>http://geneatlas.roslin.ed.ac.uk/</w:t>
        </w:r>
      </w:hyperlink>
      <w:r w:rsidRPr="009169B7">
        <w:rPr>
          <w:rFonts w:ascii="Book Antiqua" w:hAnsi="Book Antiqua"/>
          <w:sz w:val="24"/>
          <w:szCs w:val="24"/>
        </w:rPr>
        <w:t>)</w:t>
      </w:r>
      <w:r w:rsidR="00B35552" w:rsidRPr="009169B7">
        <w:rPr>
          <w:rFonts w:ascii="Book Antiqua" w:hAnsi="Book Antiqua"/>
          <w:noProof/>
          <w:sz w:val="24"/>
          <w:szCs w:val="24"/>
          <w:vertAlign w:val="superscript"/>
        </w:rPr>
        <w:t>[</w:t>
      </w:r>
      <w:r w:rsidRPr="009169B7">
        <w:rPr>
          <w:rFonts w:ascii="Book Antiqua" w:hAnsi="Book Antiqua"/>
          <w:noProof/>
          <w:sz w:val="24"/>
          <w:szCs w:val="24"/>
          <w:vertAlign w:val="superscript"/>
        </w:rPr>
        <w:t>30</w:t>
      </w:r>
      <w:r w:rsidR="00B35552" w:rsidRPr="009169B7">
        <w:rPr>
          <w:rFonts w:ascii="Book Antiqua" w:hAnsi="Book Antiqua"/>
          <w:noProof/>
          <w:sz w:val="24"/>
          <w:szCs w:val="24"/>
          <w:vertAlign w:val="superscript"/>
        </w:rPr>
        <w:t>]</w:t>
      </w:r>
      <w:r w:rsidRPr="009169B7">
        <w:rPr>
          <w:rFonts w:ascii="Book Antiqua" w:hAnsi="Book Antiqua"/>
          <w:sz w:val="24"/>
          <w:szCs w:val="24"/>
        </w:rPr>
        <w:t xml:space="preserve">. </w:t>
      </w:r>
    </w:p>
    <w:p w:rsidR="00A44C25" w:rsidRPr="009169B7" w:rsidRDefault="00A44C25" w:rsidP="00E0092B">
      <w:pPr>
        <w:spacing w:after="0" w:line="360" w:lineRule="auto"/>
        <w:ind w:firstLineChars="100" w:firstLine="240"/>
        <w:jc w:val="both"/>
        <w:rPr>
          <w:rFonts w:ascii="Book Antiqua" w:hAnsi="Book Antiqua"/>
          <w:sz w:val="24"/>
          <w:szCs w:val="24"/>
        </w:rPr>
      </w:pPr>
      <w:r w:rsidRPr="009169B7">
        <w:rPr>
          <w:rFonts w:ascii="Book Antiqua" w:hAnsi="Book Antiqua"/>
          <w:sz w:val="24"/>
          <w:szCs w:val="24"/>
        </w:rPr>
        <w:t xml:space="preserve">As shown in </w:t>
      </w:r>
      <w:r w:rsidRPr="00E0092B">
        <w:rPr>
          <w:rFonts w:ascii="Book Antiqua" w:hAnsi="Book Antiqua"/>
          <w:sz w:val="24"/>
          <w:szCs w:val="24"/>
        </w:rPr>
        <w:t>Figure 5 and Table 2,</w:t>
      </w:r>
      <w:r w:rsidRPr="009169B7">
        <w:rPr>
          <w:rFonts w:ascii="Book Antiqua" w:hAnsi="Book Antiqua"/>
          <w:sz w:val="24"/>
          <w:szCs w:val="24"/>
        </w:rPr>
        <w:t xml:space="preserve"> </w:t>
      </w:r>
      <w:r w:rsidRPr="009169B7">
        <w:rPr>
          <w:rFonts w:ascii="Book Antiqua" w:hAnsi="Book Antiqua"/>
          <w:i/>
          <w:sz w:val="24"/>
          <w:szCs w:val="24"/>
        </w:rPr>
        <w:t>MAP3K5/ASK1</w:t>
      </w:r>
      <w:r w:rsidRPr="009169B7">
        <w:rPr>
          <w:rFonts w:ascii="Book Antiqua" w:hAnsi="Book Antiqua"/>
          <w:sz w:val="24"/>
          <w:szCs w:val="24"/>
        </w:rPr>
        <w:t xml:space="preserve">, </w:t>
      </w:r>
      <w:r w:rsidRPr="009169B7">
        <w:rPr>
          <w:rFonts w:ascii="Book Antiqua" w:hAnsi="Book Antiqua"/>
          <w:i/>
          <w:sz w:val="24"/>
          <w:szCs w:val="24"/>
        </w:rPr>
        <w:t>FXR</w:t>
      </w:r>
      <w:r w:rsidRPr="009169B7">
        <w:rPr>
          <w:rFonts w:ascii="Book Antiqua" w:hAnsi="Book Antiqua"/>
          <w:sz w:val="24"/>
          <w:szCs w:val="24"/>
        </w:rPr>
        <w:t xml:space="preserve">, </w:t>
      </w:r>
      <w:r w:rsidRPr="009169B7">
        <w:rPr>
          <w:rFonts w:ascii="Book Antiqua" w:hAnsi="Book Antiqua"/>
          <w:i/>
          <w:sz w:val="24"/>
          <w:szCs w:val="24"/>
        </w:rPr>
        <w:t>PPARα/δ</w:t>
      </w:r>
      <w:r w:rsidRPr="009169B7">
        <w:rPr>
          <w:rFonts w:ascii="Book Antiqua" w:hAnsi="Book Antiqua"/>
          <w:sz w:val="24"/>
          <w:szCs w:val="24"/>
        </w:rPr>
        <w:t xml:space="preserve">, </w:t>
      </w:r>
      <w:r w:rsidRPr="009169B7">
        <w:rPr>
          <w:rFonts w:ascii="Book Antiqua" w:hAnsi="Book Antiqua"/>
          <w:i/>
          <w:sz w:val="24"/>
          <w:szCs w:val="24"/>
        </w:rPr>
        <w:t>THRβ</w:t>
      </w:r>
      <w:r w:rsidRPr="009169B7">
        <w:rPr>
          <w:rFonts w:ascii="Book Antiqua" w:hAnsi="Book Antiqua"/>
          <w:sz w:val="24"/>
          <w:szCs w:val="24"/>
        </w:rPr>
        <w:t xml:space="preserve">, and </w:t>
      </w:r>
      <w:r w:rsidRPr="009169B7">
        <w:rPr>
          <w:rFonts w:ascii="Book Antiqua" w:hAnsi="Book Antiqua"/>
          <w:i/>
          <w:sz w:val="24"/>
          <w:szCs w:val="24"/>
        </w:rPr>
        <w:t>MPC1</w:t>
      </w:r>
      <w:r w:rsidRPr="009169B7">
        <w:rPr>
          <w:rFonts w:ascii="Book Antiqua" w:hAnsi="Book Antiqua"/>
          <w:sz w:val="24"/>
          <w:szCs w:val="24"/>
        </w:rPr>
        <w:t xml:space="preserve"> variants are involved in multiple pleiotropic effects, including modulation of blood cell count, body mass index, and general body adiposity, along with complex systemic disorders, such as a</w:t>
      </w:r>
      <w:r w:rsidRPr="009169B7">
        <w:rPr>
          <w:rFonts w:ascii="Book Antiqua" w:hAnsi="Book Antiqua"/>
          <w:bCs/>
          <w:iCs/>
          <w:sz w:val="24"/>
          <w:szCs w:val="24"/>
        </w:rPr>
        <w:t xml:space="preserve">sthma, acute pancreatitis, migraine, intestinal </w:t>
      </w:r>
      <w:bookmarkStart w:id="46" w:name="OLE_LINK7"/>
      <w:bookmarkStart w:id="47" w:name="OLE_LINK10"/>
      <w:r w:rsidRPr="009169B7">
        <w:rPr>
          <w:rFonts w:ascii="Book Antiqua" w:hAnsi="Book Antiqua"/>
          <w:bCs/>
          <w:iCs/>
          <w:sz w:val="24"/>
          <w:szCs w:val="24"/>
        </w:rPr>
        <w:lastRenderedPageBreak/>
        <w:t>malabsortium</w:t>
      </w:r>
      <w:bookmarkEnd w:id="46"/>
      <w:bookmarkEnd w:id="47"/>
      <w:r w:rsidRPr="009169B7">
        <w:rPr>
          <w:rFonts w:ascii="Book Antiqua" w:hAnsi="Book Antiqua"/>
          <w:bCs/>
          <w:iCs/>
          <w:sz w:val="24"/>
          <w:szCs w:val="24"/>
        </w:rPr>
        <w:t>, thyroid disease, and malignant neoplasm.</w:t>
      </w:r>
      <w:r w:rsidRPr="009169B7">
        <w:rPr>
          <w:rFonts w:ascii="Book Antiqua" w:hAnsi="Book Antiqua"/>
          <w:bCs/>
          <w:i/>
          <w:iCs/>
          <w:sz w:val="24"/>
          <w:szCs w:val="24"/>
        </w:rPr>
        <w:t xml:space="preserve"> </w:t>
      </w:r>
      <w:r w:rsidRPr="009169B7">
        <w:rPr>
          <w:rFonts w:ascii="Book Antiqua" w:hAnsi="Book Antiqua"/>
          <w:sz w:val="24"/>
          <w:szCs w:val="24"/>
        </w:rPr>
        <w:t xml:space="preserve">Hence, understanding the pleiotropic effects of the novel NASH drugs is the key to optimizing their use as well as preventing emergent—yet poorly understood—undesirable systemic complications that could potentially jeopardize their short- or long-term use. </w:t>
      </w:r>
    </w:p>
    <w:p w:rsidR="00E0092B" w:rsidRPr="003E3BEC" w:rsidRDefault="00E0092B" w:rsidP="00B26511">
      <w:pPr>
        <w:pStyle w:val="a3"/>
        <w:spacing w:before="0" w:beforeAutospacing="0" w:after="0" w:afterAutospacing="0" w:line="360" w:lineRule="auto"/>
        <w:jc w:val="both"/>
        <w:rPr>
          <w:rFonts w:ascii="Book Antiqua" w:eastAsia="宋体" w:hAnsi="Book Antiqua" w:hint="eastAsia"/>
          <w:b/>
          <w:bCs/>
          <w:lang w:eastAsia="zh-CN"/>
        </w:rPr>
      </w:pPr>
    </w:p>
    <w:p w:rsidR="00E0092B" w:rsidRPr="003E3BEC" w:rsidRDefault="00E0092B" w:rsidP="00B26511">
      <w:pPr>
        <w:pStyle w:val="a3"/>
        <w:spacing w:before="0" w:beforeAutospacing="0" w:after="0" w:afterAutospacing="0" w:line="360" w:lineRule="auto"/>
        <w:jc w:val="both"/>
        <w:rPr>
          <w:rFonts w:ascii="Book Antiqua" w:eastAsia="宋体" w:hAnsi="Book Antiqua" w:hint="eastAsia"/>
          <w:bCs/>
          <w:lang w:eastAsia="zh-CN"/>
        </w:rPr>
      </w:pPr>
      <w:r w:rsidRPr="009169B7">
        <w:rPr>
          <w:rFonts w:ascii="Book Antiqua" w:hAnsi="Book Antiqua"/>
          <w:b/>
          <w:bCs/>
        </w:rPr>
        <w:t>CONCLUSION</w:t>
      </w:r>
    </w:p>
    <w:p w:rsidR="00F44DD9" w:rsidRPr="003E3BEC" w:rsidRDefault="00E0092B" w:rsidP="00B26511">
      <w:pPr>
        <w:pStyle w:val="a3"/>
        <w:spacing w:before="0" w:beforeAutospacing="0" w:after="0" w:afterAutospacing="0" w:line="360" w:lineRule="auto"/>
        <w:jc w:val="both"/>
        <w:rPr>
          <w:rFonts w:ascii="Book Antiqua" w:eastAsia="宋体" w:hAnsi="Book Antiqua" w:hint="eastAsia"/>
          <w:lang w:eastAsia="zh-CN"/>
        </w:rPr>
      </w:pPr>
      <w:r w:rsidRPr="009169B7">
        <w:rPr>
          <w:rFonts w:ascii="Book Antiqua" w:hAnsi="Book Antiqua"/>
          <w:bCs/>
        </w:rPr>
        <w:t>W</w:t>
      </w:r>
      <w:r w:rsidR="00A44C25" w:rsidRPr="009169B7">
        <w:rPr>
          <w:rFonts w:ascii="Book Antiqua" w:hAnsi="Book Antiqua"/>
          <w:bCs/>
        </w:rPr>
        <w:t xml:space="preserve">e provide new strategies and approaches by which known drugs can be repurposed for the treatment of NASH. Although we explored and mapped NAFLD-chemical interaction networks, it will be necessary to perform clinical trials not only to assess therapeutic response and optimize dosage and delivery routes, but also to explore the possibility that new uses of existing (old) drugs could act on novel or unanticipated targets. The presence of potential “off target”—pleiotropic—effects raises the mandatory necessity of pharmacological optimization, including the assessment of drug interactions and adjustment according to liver function tests. </w:t>
      </w:r>
    </w:p>
    <w:p w:rsidR="00F44DD9" w:rsidRPr="009169B7" w:rsidRDefault="00F44DD9" w:rsidP="00B26511">
      <w:pPr>
        <w:pStyle w:val="a3"/>
        <w:spacing w:before="0" w:beforeAutospacing="0" w:after="0" w:afterAutospacing="0" w:line="360" w:lineRule="auto"/>
        <w:jc w:val="both"/>
        <w:rPr>
          <w:rStyle w:val="a4"/>
          <w:rFonts w:ascii="Book Antiqua" w:hAnsi="Book Antiqua"/>
          <w:caps/>
          <w:noProof/>
        </w:rPr>
      </w:pPr>
      <w:r w:rsidRPr="009169B7">
        <w:rPr>
          <w:rFonts w:ascii="Book Antiqua" w:hAnsi="Book Antiqua"/>
        </w:rPr>
        <w:br w:type="page"/>
      </w:r>
      <w:r w:rsidRPr="009169B7">
        <w:rPr>
          <w:rStyle w:val="a4"/>
          <w:rFonts w:ascii="Book Antiqua" w:hAnsi="Book Antiqua"/>
          <w:caps/>
          <w:noProof/>
        </w:rPr>
        <w:lastRenderedPageBreak/>
        <w:t>References</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1 </w:t>
      </w:r>
      <w:r w:rsidRPr="009F1DEC">
        <w:rPr>
          <w:rFonts w:ascii="Book Antiqua" w:hAnsi="Book Antiqua"/>
          <w:b/>
          <w:kern w:val="2"/>
          <w:sz w:val="24"/>
          <w:szCs w:val="24"/>
          <w:lang w:eastAsia="zh-CN"/>
        </w:rPr>
        <w:t>Brunt EM</w:t>
      </w:r>
      <w:r w:rsidRPr="009F1DEC">
        <w:rPr>
          <w:rFonts w:ascii="Book Antiqua" w:hAnsi="Book Antiqua"/>
          <w:kern w:val="2"/>
          <w:sz w:val="24"/>
          <w:szCs w:val="24"/>
          <w:lang w:eastAsia="zh-CN"/>
        </w:rPr>
        <w:t xml:space="preserve">, Wong VW, Nobili V, Day CP, Sookoian S, Maher JJ, Bugianesi E, Sirlin CB, Neuschwander-Tetri BA, Rinella ME. Nonalcoholic fatty liver disease. </w:t>
      </w:r>
      <w:r w:rsidRPr="009F1DEC">
        <w:rPr>
          <w:rFonts w:ascii="Book Antiqua" w:hAnsi="Book Antiqua"/>
          <w:i/>
          <w:kern w:val="2"/>
          <w:sz w:val="24"/>
          <w:szCs w:val="24"/>
          <w:lang w:eastAsia="zh-CN"/>
        </w:rPr>
        <w:t>Nat Rev Dis Primers</w:t>
      </w:r>
      <w:r w:rsidRPr="009F1DEC">
        <w:rPr>
          <w:rFonts w:ascii="Book Antiqua" w:hAnsi="Book Antiqua"/>
          <w:kern w:val="2"/>
          <w:sz w:val="24"/>
          <w:szCs w:val="24"/>
          <w:lang w:eastAsia="zh-CN"/>
        </w:rPr>
        <w:t xml:space="preserve"> 2015; </w:t>
      </w:r>
      <w:r w:rsidRPr="009F1DEC">
        <w:rPr>
          <w:rFonts w:ascii="Book Antiqua" w:hAnsi="Book Antiqua"/>
          <w:b/>
          <w:kern w:val="2"/>
          <w:sz w:val="24"/>
          <w:szCs w:val="24"/>
          <w:lang w:eastAsia="zh-CN"/>
        </w:rPr>
        <w:t>1</w:t>
      </w:r>
      <w:r w:rsidRPr="009F1DEC">
        <w:rPr>
          <w:rFonts w:ascii="Book Antiqua" w:hAnsi="Book Antiqua"/>
          <w:kern w:val="2"/>
          <w:sz w:val="24"/>
          <w:szCs w:val="24"/>
          <w:lang w:eastAsia="zh-CN"/>
        </w:rPr>
        <w:t>: 15080 [PMID: 27188459 DOI: 10.1038/nrdp.2015.80]</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2 </w:t>
      </w:r>
      <w:r w:rsidRPr="009F1DEC">
        <w:rPr>
          <w:rFonts w:ascii="Book Antiqua" w:hAnsi="Book Antiqua"/>
          <w:b/>
          <w:kern w:val="2"/>
          <w:sz w:val="24"/>
          <w:szCs w:val="24"/>
          <w:lang w:eastAsia="zh-CN"/>
        </w:rPr>
        <w:t>Chalasani N</w:t>
      </w:r>
      <w:r w:rsidRPr="009F1DEC">
        <w:rPr>
          <w:rFonts w:ascii="Book Antiqua" w:hAnsi="Book Antiqua"/>
          <w:kern w:val="2"/>
          <w:sz w:val="24"/>
          <w:szCs w:val="24"/>
          <w:lang w:eastAsia="zh-CN"/>
        </w:rPr>
        <w:t xml:space="preserve">, Younossi Z, Lavine JE, Charlton M, Cusi K, Rinella M, Harrison SA, Brunt EM, Sanyal AJ. The diagnosis and management of nonalcoholic fatty liver disease: Practice guidance from the American Association for the Study of Liver Diseases. </w:t>
      </w:r>
      <w:r w:rsidRPr="009F1DEC">
        <w:rPr>
          <w:rFonts w:ascii="Book Antiqua" w:hAnsi="Book Antiqua"/>
          <w:i/>
          <w:kern w:val="2"/>
          <w:sz w:val="24"/>
          <w:szCs w:val="24"/>
          <w:lang w:eastAsia="zh-CN"/>
        </w:rPr>
        <w:t>Hepatology</w:t>
      </w:r>
      <w:r w:rsidRPr="009F1DEC">
        <w:rPr>
          <w:rFonts w:ascii="Book Antiqua" w:hAnsi="Book Antiqua"/>
          <w:kern w:val="2"/>
          <w:sz w:val="24"/>
          <w:szCs w:val="24"/>
          <w:lang w:eastAsia="zh-CN"/>
        </w:rPr>
        <w:t xml:space="preserve"> 2018; </w:t>
      </w:r>
      <w:r w:rsidRPr="009F1DEC">
        <w:rPr>
          <w:rFonts w:ascii="Book Antiqua" w:hAnsi="Book Antiqua"/>
          <w:b/>
          <w:kern w:val="2"/>
          <w:sz w:val="24"/>
          <w:szCs w:val="24"/>
          <w:lang w:eastAsia="zh-CN"/>
        </w:rPr>
        <w:t>67</w:t>
      </w:r>
      <w:r w:rsidRPr="009F1DEC">
        <w:rPr>
          <w:rFonts w:ascii="Book Antiqua" w:hAnsi="Book Antiqua"/>
          <w:kern w:val="2"/>
          <w:sz w:val="24"/>
          <w:szCs w:val="24"/>
          <w:lang w:eastAsia="zh-CN"/>
        </w:rPr>
        <w:t>: 328-357 [PMID: 28714183 DOI: 10.1002/hep.29367]</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3 </w:t>
      </w:r>
      <w:r w:rsidRPr="009F1DEC">
        <w:rPr>
          <w:rFonts w:ascii="Book Antiqua" w:hAnsi="Book Antiqua"/>
          <w:b/>
          <w:kern w:val="2"/>
          <w:sz w:val="24"/>
          <w:szCs w:val="24"/>
          <w:lang w:eastAsia="zh-CN"/>
        </w:rPr>
        <w:t>Dulai PS</w:t>
      </w:r>
      <w:r w:rsidRPr="009F1DEC">
        <w:rPr>
          <w:rFonts w:ascii="Book Antiqua" w:hAnsi="Book Antiqua"/>
          <w:kern w:val="2"/>
          <w:sz w:val="24"/>
          <w:szCs w:val="24"/>
          <w:lang w:eastAsia="zh-CN"/>
        </w:rPr>
        <w:t xml:space="preserve">, Singh S, Patel J, Soni M, Prokop LJ, Younossi Z, Sebastiani G, Ekstedt M, Hagstrom H, Nasr P, Stal P, Wong VW, Kechagias S, Hultcrantz R, Loomba R. Increased risk of mortality by fibrosis stage in nonalcoholic fatty liver disease: Systematic review and meta-analysis. </w:t>
      </w:r>
      <w:r w:rsidRPr="009F1DEC">
        <w:rPr>
          <w:rFonts w:ascii="Book Antiqua" w:hAnsi="Book Antiqua"/>
          <w:i/>
          <w:kern w:val="2"/>
          <w:sz w:val="24"/>
          <w:szCs w:val="24"/>
          <w:lang w:eastAsia="zh-CN"/>
        </w:rPr>
        <w:t>Hepatology</w:t>
      </w:r>
      <w:r w:rsidRPr="009F1DEC">
        <w:rPr>
          <w:rFonts w:ascii="Book Antiqua" w:hAnsi="Book Antiqua"/>
          <w:kern w:val="2"/>
          <w:sz w:val="24"/>
          <w:szCs w:val="24"/>
          <w:lang w:eastAsia="zh-CN"/>
        </w:rPr>
        <w:t xml:space="preserve"> 2017; </w:t>
      </w:r>
      <w:r w:rsidRPr="009F1DEC">
        <w:rPr>
          <w:rFonts w:ascii="Book Antiqua" w:hAnsi="Book Antiqua"/>
          <w:b/>
          <w:kern w:val="2"/>
          <w:sz w:val="24"/>
          <w:szCs w:val="24"/>
          <w:lang w:eastAsia="zh-CN"/>
        </w:rPr>
        <w:t>65</w:t>
      </w:r>
      <w:r w:rsidRPr="009F1DEC">
        <w:rPr>
          <w:rFonts w:ascii="Book Antiqua" w:hAnsi="Book Antiqua"/>
          <w:kern w:val="2"/>
          <w:sz w:val="24"/>
          <w:szCs w:val="24"/>
          <w:lang w:eastAsia="zh-CN"/>
        </w:rPr>
        <w:t>: 1557-1565 [PMID: 28130788 DOI: 10.1002/hep.29085]</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4 </w:t>
      </w:r>
      <w:r w:rsidRPr="009F1DEC">
        <w:rPr>
          <w:rFonts w:ascii="Book Antiqua" w:hAnsi="Book Antiqua"/>
          <w:b/>
          <w:kern w:val="2"/>
          <w:sz w:val="24"/>
          <w:szCs w:val="24"/>
          <w:lang w:eastAsia="zh-CN"/>
        </w:rPr>
        <w:t>Sookoian S</w:t>
      </w:r>
      <w:r w:rsidRPr="009F1DEC">
        <w:rPr>
          <w:rFonts w:ascii="Book Antiqua" w:hAnsi="Book Antiqua"/>
          <w:kern w:val="2"/>
          <w:sz w:val="24"/>
          <w:szCs w:val="24"/>
          <w:lang w:eastAsia="zh-CN"/>
        </w:rPr>
        <w:t xml:space="preserve">, Pirola CJ. Non-alcoholic fatty liver disease is strongly associated with carotid atherosclerosis: A systematic review. </w:t>
      </w:r>
      <w:r w:rsidRPr="009F1DEC">
        <w:rPr>
          <w:rFonts w:ascii="Book Antiqua" w:hAnsi="Book Antiqua"/>
          <w:i/>
          <w:kern w:val="2"/>
          <w:sz w:val="24"/>
          <w:szCs w:val="24"/>
          <w:lang w:eastAsia="zh-CN"/>
        </w:rPr>
        <w:t>J Hepatol</w:t>
      </w:r>
      <w:r w:rsidRPr="009F1DEC">
        <w:rPr>
          <w:rFonts w:ascii="Book Antiqua" w:hAnsi="Book Antiqua"/>
          <w:kern w:val="2"/>
          <w:sz w:val="24"/>
          <w:szCs w:val="24"/>
          <w:lang w:eastAsia="zh-CN"/>
        </w:rPr>
        <w:t xml:space="preserve"> 2008; </w:t>
      </w:r>
      <w:r w:rsidRPr="009F1DEC">
        <w:rPr>
          <w:rFonts w:ascii="Book Antiqua" w:hAnsi="Book Antiqua"/>
          <w:b/>
          <w:kern w:val="2"/>
          <w:sz w:val="24"/>
          <w:szCs w:val="24"/>
          <w:lang w:eastAsia="zh-CN"/>
        </w:rPr>
        <w:t>49</w:t>
      </w:r>
      <w:r w:rsidRPr="009F1DEC">
        <w:rPr>
          <w:rFonts w:ascii="Book Antiqua" w:hAnsi="Book Antiqua"/>
          <w:kern w:val="2"/>
          <w:sz w:val="24"/>
          <w:szCs w:val="24"/>
          <w:lang w:eastAsia="zh-CN"/>
        </w:rPr>
        <w:t>: 600-607 [PMID: 18672311 DOI: 10.1016/j.jhep.2008.06.012]</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5 </w:t>
      </w:r>
      <w:r w:rsidRPr="009F1DEC">
        <w:rPr>
          <w:rFonts w:ascii="Book Antiqua" w:hAnsi="Book Antiqua"/>
          <w:b/>
          <w:kern w:val="2"/>
          <w:sz w:val="24"/>
          <w:szCs w:val="24"/>
          <w:lang w:eastAsia="zh-CN"/>
        </w:rPr>
        <w:t>Friedman SL</w:t>
      </w:r>
      <w:r w:rsidRPr="009F1DEC">
        <w:rPr>
          <w:rFonts w:ascii="Book Antiqua" w:hAnsi="Book Antiqua"/>
          <w:kern w:val="2"/>
          <w:sz w:val="24"/>
          <w:szCs w:val="24"/>
          <w:lang w:eastAsia="zh-CN"/>
        </w:rPr>
        <w:t xml:space="preserve">, Neuschwander-Tetri BA, Rinella M, Sanyal AJ. Mechanisms of NAFLD development and therapeutic strategies. </w:t>
      </w:r>
      <w:r w:rsidRPr="009F1DEC">
        <w:rPr>
          <w:rFonts w:ascii="Book Antiqua" w:hAnsi="Book Antiqua"/>
          <w:i/>
          <w:kern w:val="2"/>
          <w:sz w:val="24"/>
          <w:szCs w:val="24"/>
          <w:lang w:eastAsia="zh-CN"/>
        </w:rPr>
        <w:t>Nat Med</w:t>
      </w:r>
      <w:r w:rsidRPr="009F1DEC">
        <w:rPr>
          <w:rFonts w:ascii="Book Antiqua" w:hAnsi="Book Antiqua"/>
          <w:kern w:val="2"/>
          <w:sz w:val="24"/>
          <w:szCs w:val="24"/>
          <w:lang w:eastAsia="zh-CN"/>
        </w:rPr>
        <w:t xml:space="preserve"> 2018; </w:t>
      </w:r>
      <w:r w:rsidRPr="009F1DEC">
        <w:rPr>
          <w:rFonts w:ascii="Book Antiqua" w:hAnsi="Book Antiqua"/>
          <w:b/>
          <w:kern w:val="2"/>
          <w:sz w:val="24"/>
          <w:szCs w:val="24"/>
          <w:lang w:eastAsia="zh-CN"/>
        </w:rPr>
        <w:t>24</w:t>
      </w:r>
      <w:r w:rsidRPr="009F1DEC">
        <w:rPr>
          <w:rFonts w:ascii="Book Antiqua" w:hAnsi="Book Antiqua"/>
          <w:kern w:val="2"/>
          <w:sz w:val="24"/>
          <w:szCs w:val="24"/>
          <w:lang w:eastAsia="zh-CN"/>
        </w:rPr>
        <w:t>: 908-922 [PMID: 29967350 DOI: 10.1038/s41591-018-0104-9]</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6 </w:t>
      </w:r>
      <w:r w:rsidRPr="009F1DEC">
        <w:rPr>
          <w:rFonts w:ascii="Book Antiqua" w:hAnsi="Book Antiqua"/>
          <w:b/>
          <w:kern w:val="2"/>
          <w:sz w:val="24"/>
          <w:szCs w:val="24"/>
          <w:lang w:eastAsia="zh-CN"/>
        </w:rPr>
        <w:t>Lonardo A</w:t>
      </w:r>
      <w:r w:rsidRPr="009F1DEC">
        <w:rPr>
          <w:rFonts w:ascii="Book Antiqua" w:hAnsi="Book Antiqua"/>
          <w:kern w:val="2"/>
          <w:sz w:val="24"/>
          <w:szCs w:val="24"/>
          <w:lang w:eastAsia="zh-CN"/>
        </w:rPr>
        <w:t xml:space="preserve">, Sookoian S, Pirola CJ, Targher G. Non-alcoholic fatty liver disease and risk of cardiovascular disease. </w:t>
      </w:r>
      <w:r w:rsidRPr="009F1DEC">
        <w:rPr>
          <w:rFonts w:ascii="Book Antiqua" w:hAnsi="Book Antiqua"/>
          <w:i/>
          <w:kern w:val="2"/>
          <w:sz w:val="24"/>
          <w:szCs w:val="24"/>
          <w:lang w:eastAsia="zh-CN"/>
        </w:rPr>
        <w:t>Metabolism</w:t>
      </w:r>
      <w:r w:rsidRPr="009F1DEC">
        <w:rPr>
          <w:rFonts w:ascii="Book Antiqua" w:hAnsi="Book Antiqua"/>
          <w:kern w:val="2"/>
          <w:sz w:val="24"/>
          <w:szCs w:val="24"/>
          <w:lang w:eastAsia="zh-CN"/>
        </w:rPr>
        <w:t xml:space="preserve"> 2016; </w:t>
      </w:r>
      <w:r w:rsidRPr="009F1DEC">
        <w:rPr>
          <w:rFonts w:ascii="Book Antiqua" w:hAnsi="Book Antiqua"/>
          <w:b/>
          <w:kern w:val="2"/>
          <w:sz w:val="24"/>
          <w:szCs w:val="24"/>
          <w:lang w:eastAsia="zh-CN"/>
        </w:rPr>
        <w:t>65</w:t>
      </w:r>
      <w:r w:rsidRPr="009F1DEC">
        <w:rPr>
          <w:rFonts w:ascii="Book Antiqua" w:hAnsi="Book Antiqua"/>
          <w:kern w:val="2"/>
          <w:sz w:val="24"/>
          <w:szCs w:val="24"/>
          <w:lang w:eastAsia="zh-CN"/>
        </w:rPr>
        <w:t>: 1136-1150 [PMID: 26477269 DOI: 10.1016/j.metabol.2015.09.017]</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7 </w:t>
      </w:r>
      <w:r w:rsidRPr="009F1DEC">
        <w:rPr>
          <w:rFonts w:ascii="Book Antiqua" w:hAnsi="Book Antiqua"/>
          <w:b/>
          <w:kern w:val="2"/>
          <w:sz w:val="24"/>
          <w:szCs w:val="24"/>
          <w:lang w:eastAsia="zh-CN"/>
        </w:rPr>
        <w:t>Pirola CJ</w:t>
      </w:r>
      <w:r w:rsidRPr="009F1DEC">
        <w:rPr>
          <w:rFonts w:ascii="Book Antiqua" w:hAnsi="Book Antiqua"/>
          <w:kern w:val="2"/>
          <w:sz w:val="24"/>
          <w:szCs w:val="24"/>
          <w:lang w:eastAsia="zh-CN"/>
        </w:rPr>
        <w:t xml:space="preserve">, Sookoian S. Multiomics biomarkers for the prediction of nonalcoholic fatty liver disease severity. </w:t>
      </w:r>
      <w:r w:rsidRPr="009F1DEC">
        <w:rPr>
          <w:rFonts w:ascii="Book Antiqua" w:hAnsi="Book Antiqua"/>
          <w:i/>
          <w:kern w:val="2"/>
          <w:sz w:val="24"/>
          <w:szCs w:val="24"/>
          <w:lang w:eastAsia="zh-CN"/>
        </w:rPr>
        <w:t>World J Gastroenterol</w:t>
      </w:r>
      <w:r w:rsidRPr="009F1DEC">
        <w:rPr>
          <w:rFonts w:ascii="Book Antiqua" w:hAnsi="Book Antiqua"/>
          <w:kern w:val="2"/>
          <w:sz w:val="24"/>
          <w:szCs w:val="24"/>
          <w:lang w:eastAsia="zh-CN"/>
        </w:rPr>
        <w:t xml:space="preserve"> 2018; </w:t>
      </w:r>
      <w:r w:rsidRPr="009F1DEC">
        <w:rPr>
          <w:rFonts w:ascii="Book Antiqua" w:hAnsi="Book Antiqua"/>
          <w:b/>
          <w:kern w:val="2"/>
          <w:sz w:val="24"/>
          <w:szCs w:val="24"/>
          <w:lang w:eastAsia="zh-CN"/>
        </w:rPr>
        <w:t>24</w:t>
      </w:r>
      <w:r w:rsidRPr="009F1DEC">
        <w:rPr>
          <w:rFonts w:ascii="Book Antiqua" w:hAnsi="Book Antiqua"/>
          <w:kern w:val="2"/>
          <w:sz w:val="24"/>
          <w:szCs w:val="24"/>
          <w:lang w:eastAsia="zh-CN"/>
        </w:rPr>
        <w:t>: 1601-1615 [PMID: 29686467 DOI: 10.3748/wjg.v24.i15.1601]</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8 </w:t>
      </w:r>
      <w:r w:rsidRPr="009F1DEC">
        <w:rPr>
          <w:rFonts w:ascii="Book Antiqua" w:hAnsi="Book Antiqua"/>
          <w:b/>
          <w:kern w:val="2"/>
          <w:sz w:val="24"/>
          <w:szCs w:val="24"/>
          <w:lang w:eastAsia="zh-CN"/>
        </w:rPr>
        <w:t>Wong VW</w:t>
      </w:r>
      <w:r w:rsidRPr="009F1DEC">
        <w:rPr>
          <w:rFonts w:ascii="Book Antiqua" w:hAnsi="Book Antiqua"/>
          <w:kern w:val="2"/>
          <w:sz w:val="24"/>
          <w:szCs w:val="24"/>
          <w:lang w:eastAsia="zh-CN"/>
        </w:rPr>
        <w:t xml:space="preserve">, Adams LA, de Lédinghen V, Wong GL, Sookoian S. Noninvasive biomarkers in NAFLD and NASH - current progress and future promise. </w:t>
      </w:r>
      <w:r w:rsidRPr="009F1DEC">
        <w:rPr>
          <w:rFonts w:ascii="Book Antiqua" w:hAnsi="Book Antiqua"/>
          <w:i/>
          <w:kern w:val="2"/>
          <w:sz w:val="24"/>
          <w:szCs w:val="24"/>
          <w:lang w:eastAsia="zh-CN"/>
        </w:rPr>
        <w:t>Nat Rev Gastroenterol Hepatol</w:t>
      </w:r>
      <w:r w:rsidRPr="009F1DEC">
        <w:rPr>
          <w:rFonts w:ascii="Book Antiqua" w:hAnsi="Book Antiqua"/>
          <w:kern w:val="2"/>
          <w:sz w:val="24"/>
          <w:szCs w:val="24"/>
          <w:lang w:eastAsia="zh-CN"/>
        </w:rPr>
        <w:t xml:space="preserve"> 2018; </w:t>
      </w:r>
      <w:r w:rsidRPr="009F1DEC">
        <w:rPr>
          <w:rFonts w:ascii="Book Antiqua" w:hAnsi="Book Antiqua"/>
          <w:b/>
          <w:kern w:val="2"/>
          <w:sz w:val="24"/>
          <w:szCs w:val="24"/>
          <w:lang w:eastAsia="zh-CN"/>
        </w:rPr>
        <w:t>15</w:t>
      </w:r>
      <w:r w:rsidRPr="009F1DEC">
        <w:rPr>
          <w:rFonts w:ascii="Book Antiqua" w:hAnsi="Book Antiqua"/>
          <w:kern w:val="2"/>
          <w:sz w:val="24"/>
          <w:szCs w:val="24"/>
          <w:lang w:eastAsia="zh-CN"/>
        </w:rPr>
        <w:t>: 461-478 [PMID: 29844588 DOI: 10.1038/s41575-018-0014-9]</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9 </w:t>
      </w:r>
      <w:r w:rsidRPr="009F1DEC">
        <w:rPr>
          <w:rFonts w:ascii="Book Antiqua" w:hAnsi="Book Antiqua"/>
          <w:b/>
          <w:kern w:val="2"/>
          <w:sz w:val="24"/>
          <w:szCs w:val="24"/>
          <w:lang w:eastAsia="zh-CN"/>
        </w:rPr>
        <w:t>Rotman Y</w:t>
      </w:r>
      <w:r w:rsidRPr="009F1DEC">
        <w:rPr>
          <w:rFonts w:ascii="Book Antiqua" w:hAnsi="Book Antiqua"/>
          <w:kern w:val="2"/>
          <w:sz w:val="24"/>
          <w:szCs w:val="24"/>
          <w:lang w:eastAsia="zh-CN"/>
        </w:rPr>
        <w:t xml:space="preserve">, Sanyal AJ. Current and upcoming pharmacotherapy for non-alcoholic fatty liver disease. </w:t>
      </w:r>
      <w:r w:rsidRPr="009F1DEC">
        <w:rPr>
          <w:rFonts w:ascii="Book Antiqua" w:hAnsi="Book Antiqua"/>
          <w:i/>
          <w:kern w:val="2"/>
          <w:sz w:val="24"/>
          <w:szCs w:val="24"/>
          <w:lang w:eastAsia="zh-CN"/>
        </w:rPr>
        <w:t>Gut</w:t>
      </w:r>
      <w:r w:rsidRPr="009F1DEC">
        <w:rPr>
          <w:rFonts w:ascii="Book Antiqua" w:hAnsi="Book Antiqua"/>
          <w:kern w:val="2"/>
          <w:sz w:val="24"/>
          <w:szCs w:val="24"/>
          <w:lang w:eastAsia="zh-CN"/>
        </w:rPr>
        <w:t xml:space="preserve"> 2017; </w:t>
      </w:r>
      <w:r w:rsidRPr="009F1DEC">
        <w:rPr>
          <w:rFonts w:ascii="Book Antiqua" w:hAnsi="Book Antiqua"/>
          <w:b/>
          <w:kern w:val="2"/>
          <w:sz w:val="24"/>
          <w:szCs w:val="24"/>
          <w:lang w:eastAsia="zh-CN"/>
        </w:rPr>
        <w:t>66</w:t>
      </w:r>
      <w:r w:rsidRPr="009F1DEC">
        <w:rPr>
          <w:rFonts w:ascii="Book Antiqua" w:hAnsi="Book Antiqua"/>
          <w:kern w:val="2"/>
          <w:sz w:val="24"/>
          <w:szCs w:val="24"/>
          <w:lang w:eastAsia="zh-CN"/>
        </w:rPr>
        <w:t>: 180-190 [PMID: 27646933 DOI: 10.1136/gutjnl-2016-</w:t>
      </w:r>
      <w:r w:rsidRPr="009F1DEC">
        <w:rPr>
          <w:rFonts w:ascii="Book Antiqua" w:hAnsi="Book Antiqua"/>
          <w:kern w:val="2"/>
          <w:sz w:val="24"/>
          <w:szCs w:val="24"/>
          <w:lang w:eastAsia="zh-CN"/>
        </w:rPr>
        <w:lastRenderedPageBreak/>
        <w:t>312431]</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10 </w:t>
      </w:r>
      <w:r w:rsidRPr="009F1DEC">
        <w:rPr>
          <w:rFonts w:ascii="Book Antiqua" w:hAnsi="Book Antiqua"/>
          <w:b/>
          <w:kern w:val="2"/>
          <w:sz w:val="24"/>
          <w:szCs w:val="24"/>
          <w:lang w:eastAsia="zh-CN"/>
        </w:rPr>
        <w:t>Konerman MA</w:t>
      </w:r>
      <w:r w:rsidRPr="009F1DEC">
        <w:rPr>
          <w:rFonts w:ascii="Book Antiqua" w:hAnsi="Book Antiqua"/>
          <w:kern w:val="2"/>
          <w:sz w:val="24"/>
          <w:szCs w:val="24"/>
          <w:lang w:eastAsia="zh-CN"/>
        </w:rPr>
        <w:t xml:space="preserve">, Jones JC, Harrison SA. Pharmacotherapy for NASH: Current and emerging. </w:t>
      </w:r>
      <w:r w:rsidRPr="009F1DEC">
        <w:rPr>
          <w:rFonts w:ascii="Book Antiqua" w:hAnsi="Book Antiqua"/>
          <w:i/>
          <w:kern w:val="2"/>
          <w:sz w:val="24"/>
          <w:szCs w:val="24"/>
          <w:lang w:eastAsia="zh-CN"/>
        </w:rPr>
        <w:t>J Hepatol</w:t>
      </w:r>
      <w:r w:rsidRPr="009F1DEC">
        <w:rPr>
          <w:rFonts w:ascii="Book Antiqua" w:hAnsi="Book Antiqua"/>
          <w:kern w:val="2"/>
          <w:sz w:val="24"/>
          <w:szCs w:val="24"/>
          <w:lang w:eastAsia="zh-CN"/>
        </w:rPr>
        <w:t xml:space="preserve"> 2018; </w:t>
      </w:r>
      <w:r w:rsidRPr="009F1DEC">
        <w:rPr>
          <w:rFonts w:ascii="Book Antiqua" w:hAnsi="Book Antiqua"/>
          <w:b/>
          <w:kern w:val="2"/>
          <w:sz w:val="24"/>
          <w:szCs w:val="24"/>
          <w:lang w:eastAsia="zh-CN"/>
        </w:rPr>
        <w:t>68</w:t>
      </w:r>
      <w:r w:rsidRPr="009F1DEC">
        <w:rPr>
          <w:rFonts w:ascii="Book Antiqua" w:hAnsi="Book Antiqua"/>
          <w:kern w:val="2"/>
          <w:sz w:val="24"/>
          <w:szCs w:val="24"/>
          <w:lang w:eastAsia="zh-CN"/>
        </w:rPr>
        <w:t>: 362-375 [PMID: 29122694 DOI: 10.1016/j.jhep.2017.10.015]</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11 </w:t>
      </w:r>
      <w:r w:rsidRPr="009F1DEC">
        <w:rPr>
          <w:rFonts w:ascii="Book Antiqua" w:hAnsi="Book Antiqua"/>
          <w:b/>
          <w:kern w:val="2"/>
          <w:sz w:val="24"/>
          <w:szCs w:val="24"/>
          <w:lang w:eastAsia="zh-CN"/>
        </w:rPr>
        <w:t>Ashburn TT</w:t>
      </w:r>
      <w:r w:rsidRPr="009F1DEC">
        <w:rPr>
          <w:rFonts w:ascii="Book Antiqua" w:hAnsi="Book Antiqua"/>
          <w:kern w:val="2"/>
          <w:sz w:val="24"/>
          <w:szCs w:val="24"/>
          <w:lang w:eastAsia="zh-CN"/>
        </w:rPr>
        <w:t xml:space="preserve">, Thor KB. Drug repositioning: Identifying and developing new uses for existing drugs. </w:t>
      </w:r>
      <w:r w:rsidRPr="009F1DEC">
        <w:rPr>
          <w:rFonts w:ascii="Book Antiqua" w:hAnsi="Book Antiqua"/>
          <w:i/>
          <w:kern w:val="2"/>
          <w:sz w:val="24"/>
          <w:szCs w:val="24"/>
          <w:lang w:eastAsia="zh-CN"/>
        </w:rPr>
        <w:t>Nat Rev Drug Discov</w:t>
      </w:r>
      <w:r w:rsidRPr="009F1DEC">
        <w:rPr>
          <w:rFonts w:ascii="Book Antiqua" w:hAnsi="Book Antiqua"/>
          <w:kern w:val="2"/>
          <w:sz w:val="24"/>
          <w:szCs w:val="24"/>
          <w:lang w:eastAsia="zh-CN"/>
        </w:rPr>
        <w:t xml:space="preserve"> 2004; </w:t>
      </w:r>
      <w:r w:rsidRPr="009F1DEC">
        <w:rPr>
          <w:rFonts w:ascii="Book Antiqua" w:hAnsi="Book Antiqua"/>
          <w:b/>
          <w:kern w:val="2"/>
          <w:sz w:val="24"/>
          <w:szCs w:val="24"/>
          <w:lang w:eastAsia="zh-CN"/>
        </w:rPr>
        <w:t>3</w:t>
      </w:r>
      <w:r w:rsidRPr="009F1DEC">
        <w:rPr>
          <w:rFonts w:ascii="Book Antiqua" w:hAnsi="Book Antiqua"/>
          <w:kern w:val="2"/>
          <w:sz w:val="24"/>
          <w:szCs w:val="24"/>
          <w:lang w:eastAsia="zh-CN"/>
        </w:rPr>
        <w:t>: 673-683 [PMID: 15286734 DOI: 10.1038/nrd1468]</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12 </w:t>
      </w:r>
      <w:r w:rsidRPr="009F1DEC">
        <w:rPr>
          <w:rFonts w:ascii="Book Antiqua" w:hAnsi="Book Antiqua"/>
          <w:b/>
          <w:kern w:val="2"/>
          <w:sz w:val="24"/>
          <w:szCs w:val="24"/>
          <w:lang w:eastAsia="zh-CN"/>
        </w:rPr>
        <w:t>Sookoian S</w:t>
      </w:r>
      <w:r w:rsidRPr="009F1DEC">
        <w:rPr>
          <w:rFonts w:ascii="Book Antiqua" w:hAnsi="Book Antiqua"/>
          <w:kern w:val="2"/>
          <w:sz w:val="24"/>
          <w:szCs w:val="24"/>
          <w:lang w:eastAsia="zh-CN"/>
        </w:rPr>
        <w:t xml:space="preserve">, Pirola CJ. Nonalcoholic fatty liver disease and metabolic syndrome: Shared genetic basis of pathogenesis. </w:t>
      </w:r>
      <w:r w:rsidRPr="009F1DEC">
        <w:rPr>
          <w:rFonts w:ascii="Book Antiqua" w:hAnsi="Book Antiqua"/>
          <w:i/>
          <w:kern w:val="2"/>
          <w:sz w:val="24"/>
          <w:szCs w:val="24"/>
          <w:lang w:eastAsia="zh-CN"/>
        </w:rPr>
        <w:t>Hepatology</w:t>
      </w:r>
      <w:r w:rsidRPr="009F1DEC">
        <w:rPr>
          <w:rFonts w:ascii="Book Antiqua" w:hAnsi="Book Antiqua"/>
          <w:kern w:val="2"/>
          <w:sz w:val="24"/>
          <w:szCs w:val="24"/>
          <w:lang w:eastAsia="zh-CN"/>
        </w:rPr>
        <w:t xml:space="preserve"> 2016; </w:t>
      </w:r>
      <w:r w:rsidRPr="009F1DEC">
        <w:rPr>
          <w:rFonts w:ascii="Book Antiqua" w:hAnsi="Book Antiqua"/>
          <w:b/>
          <w:kern w:val="2"/>
          <w:sz w:val="24"/>
          <w:szCs w:val="24"/>
          <w:lang w:eastAsia="zh-CN"/>
        </w:rPr>
        <w:t>64</w:t>
      </w:r>
      <w:r w:rsidRPr="009F1DEC">
        <w:rPr>
          <w:rFonts w:ascii="Book Antiqua" w:hAnsi="Book Antiqua"/>
          <w:kern w:val="2"/>
          <w:sz w:val="24"/>
          <w:szCs w:val="24"/>
          <w:lang w:eastAsia="zh-CN"/>
        </w:rPr>
        <w:t>: 1417-1420 [PMID: 27480050 DOI: 10.1002/hep.28746]</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13 </w:t>
      </w:r>
      <w:r w:rsidRPr="009F1DEC">
        <w:rPr>
          <w:rFonts w:ascii="Book Antiqua" w:hAnsi="Book Antiqua"/>
          <w:b/>
          <w:kern w:val="2"/>
          <w:sz w:val="24"/>
          <w:szCs w:val="24"/>
          <w:lang w:eastAsia="zh-CN"/>
        </w:rPr>
        <w:t>Sookoian S</w:t>
      </w:r>
      <w:r w:rsidRPr="009F1DEC">
        <w:rPr>
          <w:rFonts w:ascii="Book Antiqua" w:hAnsi="Book Antiqua"/>
          <w:kern w:val="2"/>
          <w:sz w:val="24"/>
          <w:szCs w:val="24"/>
          <w:lang w:eastAsia="zh-CN"/>
        </w:rPr>
        <w:t xml:space="preserve">, Pirola CJ. Nonalcoholic fatty liver disease: Biomarkers support decisions around pharmacological intervention. </w:t>
      </w:r>
      <w:r w:rsidRPr="009F1DEC">
        <w:rPr>
          <w:rFonts w:ascii="Book Antiqua" w:hAnsi="Book Antiqua"/>
          <w:i/>
          <w:kern w:val="2"/>
          <w:sz w:val="24"/>
          <w:szCs w:val="24"/>
          <w:lang w:eastAsia="zh-CN"/>
        </w:rPr>
        <w:t>Hepatology</w:t>
      </w:r>
      <w:r w:rsidRPr="009F1DEC">
        <w:rPr>
          <w:rFonts w:ascii="Book Antiqua" w:hAnsi="Book Antiqua"/>
          <w:kern w:val="2"/>
          <w:sz w:val="24"/>
          <w:szCs w:val="24"/>
          <w:lang w:eastAsia="zh-CN"/>
        </w:rPr>
        <w:t xml:space="preserve"> 2017; </w:t>
      </w:r>
      <w:r w:rsidRPr="009F1DEC">
        <w:rPr>
          <w:rFonts w:ascii="Book Antiqua" w:hAnsi="Book Antiqua"/>
          <w:b/>
          <w:kern w:val="2"/>
          <w:sz w:val="24"/>
          <w:szCs w:val="24"/>
          <w:lang w:eastAsia="zh-CN"/>
        </w:rPr>
        <w:t>65</w:t>
      </w:r>
      <w:r w:rsidRPr="009F1DEC">
        <w:rPr>
          <w:rFonts w:ascii="Book Antiqua" w:hAnsi="Book Antiqua"/>
          <w:kern w:val="2"/>
          <w:sz w:val="24"/>
          <w:szCs w:val="24"/>
          <w:lang w:eastAsia="zh-CN"/>
        </w:rPr>
        <w:t>: 1417-1419 [PMID: 27737511 DOI: 10.1002/hep.28866]</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14 </w:t>
      </w:r>
      <w:r w:rsidRPr="009F1DEC">
        <w:rPr>
          <w:rFonts w:ascii="Book Antiqua" w:hAnsi="Book Antiqua"/>
          <w:b/>
          <w:kern w:val="2"/>
          <w:sz w:val="24"/>
          <w:szCs w:val="24"/>
          <w:lang w:eastAsia="zh-CN"/>
        </w:rPr>
        <w:t>Sookoian S</w:t>
      </w:r>
      <w:r w:rsidRPr="009F1DEC">
        <w:rPr>
          <w:rFonts w:ascii="Book Antiqua" w:hAnsi="Book Antiqua"/>
          <w:kern w:val="2"/>
          <w:sz w:val="24"/>
          <w:szCs w:val="24"/>
          <w:lang w:eastAsia="zh-CN"/>
        </w:rPr>
        <w:t xml:space="preserve">, Pirola CJ. Review article: Shared disease mechanisms between non-alcoholic fatty liver disease and metabolic syndrome - translating knowledge from systems biology to the bedside. </w:t>
      </w:r>
      <w:r w:rsidRPr="009F1DEC">
        <w:rPr>
          <w:rFonts w:ascii="Book Antiqua" w:hAnsi="Book Antiqua"/>
          <w:i/>
          <w:kern w:val="2"/>
          <w:sz w:val="24"/>
          <w:szCs w:val="24"/>
          <w:lang w:eastAsia="zh-CN"/>
        </w:rPr>
        <w:t>Aliment Pharmacol Ther</w:t>
      </w:r>
      <w:r w:rsidRPr="009F1DEC">
        <w:rPr>
          <w:rFonts w:ascii="Book Antiqua" w:hAnsi="Book Antiqua"/>
          <w:kern w:val="2"/>
          <w:sz w:val="24"/>
          <w:szCs w:val="24"/>
          <w:lang w:eastAsia="zh-CN"/>
        </w:rPr>
        <w:t xml:space="preserve"> 2019; </w:t>
      </w:r>
      <w:r w:rsidRPr="009F1DEC">
        <w:rPr>
          <w:rFonts w:ascii="Book Antiqua" w:hAnsi="Book Antiqua"/>
          <w:b/>
          <w:kern w:val="2"/>
          <w:sz w:val="24"/>
          <w:szCs w:val="24"/>
          <w:lang w:eastAsia="zh-CN"/>
        </w:rPr>
        <w:t>49</w:t>
      </w:r>
      <w:r w:rsidRPr="009F1DEC">
        <w:rPr>
          <w:rFonts w:ascii="Book Antiqua" w:hAnsi="Book Antiqua"/>
          <w:kern w:val="2"/>
          <w:sz w:val="24"/>
          <w:szCs w:val="24"/>
          <w:lang w:eastAsia="zh-CN"/>
        </w:rPr>
        <w:t>: 516-527 [PMID: 30714632 DOI: 10.1111/apt.15163]</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15 </w:t>
      </w:r>
      <w:r w:rsidRPr="009F1DEC">
        <w:rPr>
          <w:rFonts w:ascii="Book Antiqua" w:hAnsi="Book Antiqua"/>
          <w:b/>
          <w:kern w:val="2"/>
          <w:sz w:val="24"/>
          <w:szCs w:val="24"/>
          <w:lang w:eastAsia="zh-CN"/>
        </w:rPr>
        <w:t>Pirola CJ</w:t>
      </w:r>
      <w:r w:rsidRPr="009F1DEC">
        <w:rPr>
          <w:rFonts w:ascii="Book Antiqua" w:hAnsi="Book Antiqua"/>
          <w:kern w:val="2"/>
          <w:sz w:val="24"/>
          <w:szCs w:val="24"/>
          <w:lang w:eastAsia="zh-CN"/>
        </w:rPr>
        <w:t xml:space="preserve">, Gianotti TF, Burgueño AL, Rey-Funes M, Loidl CF, Mallardi P, Martino JS, Castaño GO, Sookoian S. Epigenetic modification of liver mitochondrial DNA is associated with histological severity of nonalcoholic fatty liver disease. </w:t>
      </w:r>
      <w:r w:rsidRPr="009F1DEC">
        <w:rPr>
          <w:rFonts w:ascii="Book Antiqua" w:hAnsi="Book Antiqua"/>
          <w:i/>
          <w:kern w:val="2"/>
          <w:sz w:val="24"/>
          <w:szCs w:val="24"/>
          <w:lang w:eastAsia="zh-CN"/>
        </w:rPr>
        <w:t>Gut</w:t>
      </w:r>
      <w:r w:rsidRPr="009F1DEC">
        <w:rPr>
          <w:rFonts w:ascii="Book Antiqua" w:hAnsi="Book Antiqua"/>
          <w:kern w:val="2"/>
          <w:sz w:val="24"/>
          <w:szCs w:val="24"/>
          <w:lang w:eastAsia="zh-CN"/>
        </w:rPr>
        <w:t xml:space="preserve"> 2013; </w:t>
      </w:r>
      <w:r w:rsidRPr="009F1DEC">
        <w:rPr>
          <w:rFonts w:ascii="Book Antiqua" w:hAnsi="Book Antiqua"/>
          <w:b/>
          <w:kern w:val="2"/>
          <w:sz w:val="24"/>
          <w:szCs w:val="24"/>
          <w:lang w:eastAsia="zh-CN"/>
        </w:rPr>
        <w:t>62</w:t>
      </w:r>
      <w:r w:rsidRPr="009F1DEC">
        <w:rPr>
          <w:rFonts w:ascii="Book Antiqua" w:hAnsi="Book Antiqua"/>
          <w:kern w:val="2"/>
          <w:sz w:val="24"/>
          <w:szCs w:val="24"/>
          <w:lang w:eastAsia="zh-CN"/>
        </w:rPr>
        <w:t>: 1356-1363 [PMID: 22879518 DOI: 10.1136/gutjnl-2012-302962]</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16 </w:t>
      </w:r>
      <w:r w:rsidRPr="009F1DEC">
        <w:rPr>
          <w:rFonts w:ascii="Book Antiqua" w:hAnsi="Book Antiqua"/>
          <w:b/>
          <w:kern w:val="2"/>
          <w:sz w:val="24"/>
          <w:szCs w:val="24"/>
          <w:lang w:eastAsia="zh-CN"/>
        </w:rPr>
        <w:t>Sookoian S</w:t>
      </w:r>
      <w:r w:rsidRPr="009F1DEC">
        <w:rPr>
          <w:rFonts w:ascii="Book Antiqua" w:hAnsi="Book Antiqua"/>
          <w:kern w:val="2"/>
          <w:sz w:val="24"/>
          <w:szCs w:val="24"/>
          <w:lang w:eastAsia="zh-CN"/>
        </w:rPr>
        <w:t xml:space="preserve">, Rosselli MS, Gemma C, Burgueño AL, Fernández Gianotti T, Castaño GO, Pirola CJ. Epigenetic regulation of insulin resistance in nonalcoholic fatty liver disease: Impact of liver methylation of the peroxisome proliferator-activated receptor γ coactivator 1α promoter. </w:t>
      </w:r>
      <w:r w:rsidRPr="009F1DEC">
        <w:rPr>
          <w:rFonts w:ascii="Book Antiqua" w:hAnsi="Book Antiqua"/>
          <w:i/>
          <w:kern w:val="2"/>
          <w:sz w:val="24"/>
          <w:szCs w:val="24"/>
          <w:lang w:eastAsia="zh-CN"/>
        </w:rPr>
        <w:t>Hepatology</w:t>
      </w:r>
      <w:r w:rsidRPr="009F1DEC">
        <w:rPr>
          <w:rFonts w:ascii="Book Antiqua" w:hAnsi="Book Antiqua"/>
          <w:kern w:val="2"/>
          <w:sz w:val="24"/>
          <w:szCs w:val="24"/>
          <w:lang w:eastAsia="zh-CN"/>
        </w:rPr>
        <w:t xml:space="preserve"> 2010; </w:t>
      </w:r>
      <w:r w:rsidRPr="009F1DEC">
        <w:rPr>
          <w:rFonts w:ascii="Book Antiqua" w:hAnsi="Book Antiqua"/>
          <w:b/>
          <w:kern w:val="2"/>
          <w:sz w:val="24"/>
          <w:szCs w:val="24"/>
          <w:lang w:eastAsia="zh-CN"/>
        </w:rPr>
        <w:t>52</w:t>
      </w:r>
      <w:r w:rsidRPr="009F1DEC">
        <w:rPr>
          <w:rFonts w:ascii="Book Antiqua" w:hAnsi="Book Antiqua"/>
          <w:kern w:val="2"/>
          <w:sz w:val="24"/>
          <w:szCs w:val="24"/>
          <w:lang w:eastAsia="zh-CN"/>
        </w:rPr>
        <w:t>: 1992-2000 [PMID: 20890895 DOI: 10.1002/hep.23927]</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17 </w:t>
      </w:r>
      <w:r w:rsidRPr="009F1DEC">
        <w:rPr>
          <w:rFonts w:ascii="Book Antiqua" w:hAnsi="Book Antiqua"/>
          <w:b/>
          <w:kern w:val="2"/>
          <w:sz w:val="24"/>
          <w:szCs w:val="24"/>
          <w:lang w:eastAsia="zh-CN"/>
        </w:rPr>
        <w:t>Sookoian S</w:t>
      </w:r>
      <w:r w:rsidRPr="009F1DEC">
        <w:rPr>
          <w:rFonts w:ascii="Book Antiqua" w:hAnsi="Book Antiqua"/>
          <w:kern w:val="2"/>
          <w:sz w:val="24"/>
          <w:szCs w:val="24"/>
          <w:lang w:eastAsia="zh-CN"/>
        </w:rPr>
        <w:t xml:space="preserve">, Flichman D, Scian R, Rohr C, Dopazo H, Gianotti TF, Martino JS, Castaño GO, Pirola CJ. Mitochondrial genome architecture in non-alcoholic fatty liver disease. </w:t>
      </w:r>
      <w:r w:rsidRPr="009F1DEC">
        <w:rPr>
          <w:rFonts w:ascii="Book Antiqua" w:hAnsi="Book Antiqua"/>
          <w:i/>
          <w:kern w:val="2"/>
          <w:sz w:val="24"/>
          <w:szCs w:val="24"/>
          <w:lang w:eastAsia="zh-CN"/>
        </w:rPr>
        <w:t>J Pathol</w:t>
      </w:r>
      <w:r w:rsidRPr="009F1DEC">
        <w:rPr>
          <w:rFonts w:ascii="Book Antiqua" w:hAnsi="Book Antiqua"/>
          <w:kern w:val="2"/>
          <w:sz w:val="24"/>
          <w:szCs w:val="24"/>
          <w:lang w:eastAsia="zh-CN"/>
        </w:rPr>
        <w:t xml:space="preserve"> 2016; </w:t>
      </w:r>
      <w:r w:rsidRPr="009F1DEC">
        <w:rPr>
          <w:rFonts w:ascii="Book Antiqua" w:hAnsi="Book Antiqua"/>
          <w:b/>
          <w:kern w:val="2"/>
          <w:sz w:val="24"/>
          <w:szCs w:val="24"/>
          <w:lang w:eastAsia="zh-CN"/>
        </w:rPr>
        <w:t>240</w:t>
      </w:r>
      <w:r w:rsidRPr="009F1DEC">
        <w:rPr>
          <w:rFonts w:ascii="Book Antiqua" w:hAnsi="Book Antiqua"/>
          <w:kern w:val="2"/>
          <w:sz w:val="24"/>
          <w:szCs w:val="24"/>
          <w:lang w:eastAsia="zh-CN"/>
        </w:rPr>
        <w:t>: 437-449 [PMID: 27577682 DOI: 10.1002/path.4803]</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18 </w:t>
      </w:r>
      <w:r w:rsidRPr="009F1DEC">
        <w:rPr>
          <w:rFonts w:ascii="Book Antiqua" w:hAnsi="Book Antiqua"/>
          <w:b/>
          <w:kern w:val="2"/>
          <w:sz w:val="24"/>
          <w:szCs w:val="24"/>
          <w:lang w:eastAsia="zh-CN"/>
        </w:rPr>
        <w:t>Chrysant SG</w:t>
      </w:r>
      <w:r w:rsidRPr="009F1DEC">
        <w:rPr>
          <w:rFonts w:ascii="Book Antiqua" w:hAnsi="Book Antiqua"/>
          <w:kern w:val="2"/>
          <w:sz w:val="24"/>
          <w:szCs w:val="24"/>
          <w:lang w:eastAsia="zh-CN"/>
        </w:rPr>
        <w:t xml:space="preserve">, Chrysant GS. The pleiotropic effects of angiotensin receptor </w:t>
      </w:r>
      <w:r w:rsidRPr="009F1DEC">
        <w:rPr>
          <w:rFonts w:ascii="Book Antiqua" w:hAnsi="Book Antiqua"/>
          <w:kern w:val="2"/>
          <w:sz w:val="24"/>
          <w:szCs w:val="24"/>
          <w:lang w:eastAsia="zh-CN"/>
        </w:rPr>
        <w:lastRenderedPageBreak/>
        <w:t xml:space="preserve">blockers. </w:t>
      </w:r>
      <w:r w:rsidRPr="009F1DEC">
        <w:rPr>
          <w:rFonts w:ascii="Book Antiqua" w:hAnsi="Book Antiqua"/>
          <w:i/>
          <w:kern w:val="2"/>
          <w:sz w:val="24"/>
          <w:szCs w:val="24"/>
          <w:lang w:eastAsia="zh-CN"/>
        </w:rPr>
        <w:t>J Clin Hypertens (Greenwich)</w:t>
      </w:r>
      <w:r w:rsidRPr="009F1DEC">
        <w:rPr>
          <w:rFonts w:ascii="Book Antiqua" w:hAnsi="Book Antiqua"/>
          <w:kern w:val="2"/>
          <w:sz w:val="24"/>
          <w:szCs w:val="24"/>
          <w:lang w:eastAsia="zh-CN"/>
        </w:rPr>
        <w:t xml:space="preserve"> 2006; </w:t>
      </w:r>
      <w:r w:rsidRPr="009F1DEC">
        <w:rPr>
          <w:rFonts w:ascii="Book Antiqua" w:hAnsi="Book Antiqua"/>
          <w:b/>
          <w:kern w:val="2"/>
          <w:sz w:val="24"/>
          <w:szCs w:val="24"/>
          <w:lang w:eastAsia="zh-CN"/>
        </w:rPr>
        <w:t>8</w:t>
      </w:r>
      <w:r w:rsidRPr="009F1DEC">
        <w:rPr>
          <w:rFonts w:ascii="Book Antiqua" w:hAnsi="Book Antiqua"/>
          <w:kern w:val="2"/>
          <w:sz w:val="24"/>
          <w:szCs w:val="24"/>
          <w:lang w:eastAsia="zh-CN"/>
        </w:rPr>
        <w:t>: 261-268 [PMID: 16596029 DOI: 10.1111/j.1524-6175.2005.05264.x]</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19 </w:t>
      </w:r>
      <w:r w:rsidRPr="009F1DEC">
        <w:rPr>
          <w:rFonts w:ascii="Book Antiqua" w:hAnsi="Book Antiqua"/>
          <w:b/>
          <w:kern w:val="2"/>
          <w:sz w:val="24"/>
          <w:szCs w:val="24"/>
          <w:lang w:eastAsia="zh-CN"/>
        </w:rPr>
        <w:t>Rosselli MS</w:t>
      </w:r>
      <w:r w:rsidRPr="009F1DEC">
        <w:rPr>
          <w:rFonts w:ascii="Book Antiqua" w:hAnsi="Book Antiqua"/>
          <w:kern w:val="2"/>
          <w:sz w:val="24"/>
          <w:szCs w:val="24"/>
          <w:lang w:eastAsia="zh-CN"/>
        </w:rPr>
        <w:t xml:space="preserve">, Burgueño AL, Carabelli J, Schuman M, Pirola CJ, Sookoian S. Losartan reduces liver expression of plasminogen activator inhibitor-1 (PAI-1) in a high fat-induced rat nonalcoholic fatty liver disease model. </w:t>
      </w:r>
      <w:r w:rsidRPr="009F1DEC">
        <w:rPr>
          <w:rFonts w:ascii="Book Antiqua" w:hAnsi="Book Antiqua"/>
          <w:i/>
          <w:kern w:val="2"/>
          <w:sz w:val="24"/>
          <w:szCs w:val="24"/>
          <w:lang w:eastAsia="zh-CN"/>
        </w:rPr>
        <w:t>Atherosclerosis</w:t>
      </w:r>
      <w:r w:rsidRPr="009F1DEC">
        <w:rPr>
          <w:rFonts w:ascii="Book Antiqua" w:hAnsi="Book Antiqua"/>
          <w:kern w:val="2"/>
          <w:sz w:val="24"/>
          <w:szCs w:val="24"/>
          <w:lang w:eastAsia="zh-CN"/>
        </w:rPr>
        <w:t xml:space="preserve"> 2009; </w:t>
      </w:r>
      <w:r w:rsidRPr="009F1DEC">
        <w:rPr>
          <w:rFonts w:ascii="Book Antiqua" w:hAnsi="Book Antiqua"/>
          <w:b/>
          <w:kern w:val="2"/>
          <w:sz w:val="24"/>
          <w:szCs w:val="24"/>
          <w:lang w:eastAsia="zh-CN"/>
        </w:rPr>
        <w:t>206</w:t>
      </w:r>
      <w:r w:rsidRPr="009F1DEC">
        <w:rPr>
          <w:rFonts w:ascii="Book Antiqua" w:hAnsi="Book Antiqua"/>
          <w:kern w:val="2"/>
          <w:sz w:val="24"/>
          <w:szCs w:val="24"/>
          <w:lang w:eastAsia="zh-CN"/>
        </w:rPr>
        <w:t>: 119-126 [PMID: 19230890 DOI: 10.1016/j.atherosclerosis.2009.01.026]</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20 </w:t>
      </w:r>
      <w:r w:rsidRPr="009F1DEC">
        <w:rPr>
          <w:rFonts w:ascii="Book Antiqua" w:hAnsi="Book Antiqua"/>
          <w:b/>
          <w:kern w:val="2"/>
          <w:sz w:val="24"/>
          <w:szCs w:val="24"/>
          <w:lang w:eastAsia="zh-CN"/>
        </w:rPr>
        <w:t>Sookoian S</w:t>
      </w:r>
      <w:r w:rsidRPr="009F1DEC">
        <w:rPr>
          <w:rFonts w:ascii="Book Antiqua" w:hAnsi="Book Antiqua"/>
          <w:kern w:val="2"/>
          <w:sz w:val="24"/>
          <w:szCs w:val="24"/>
          <w:lang w:eastAsia="zh-CN"/>
        </w:rPr>
        <w:t xml:space="preserve">, Fernández MA, Castaño G. Effects of six months losartan administration on liver fibrosis in chronic hepatitis C patients: A pilot study. </w:t>
      </w:r>
      <w:r w:rsidRPr="009F1DEC">
        <w:rPr>
          <w:rFonts w:ascii="Book Antiqua" w:hAnsi="Book Antiqua"/>
          <w:i/>
          <w:kern w:val="2"/>
          <w:sz w:val="24"/>
          <w:szCs w:val="24"/>
          <w:lang w:eastAsia="zh-CN"/>
        </w:rPr>
        <w:t>World J Gastroenterol</w:t>
      </w:r>
      <w:r w:rsidRPr="009F1DEC">
        <w:rPr>
          <w:rFonts w:ascii="Book Antiqua" w:hAnsi="Book Antiqua"/>
          <w:kern w:val="2"/>
          <w:sz w:val="24"/>
          <w:szCs w:val="24"/>
          <w:lang w:eastAsia="zh-CN"/>
        </w:rPr>
        <w:t xml:space="preserve"> 2005; </w:t>
      </w:r>
      <w:r w:rsidRPr="009F1DEC">
        <w:rPr>
          <w:rFonts w:ascii="Book Antiqua" w:hAnsi="Book Antiqua"/>
          <w:b/>
          <w:kern w:val="2"/>
          <w:sz w:val="24"/>
          <w:szCs w:val="24"/>
          <w:lang w:eastAsia="zh-CN"/>
        </w:rPr>
        <w:t>11</w:t>
      </w:r>
      <w:r w:rsidRPr="009F1DEC">
        <w:rPr>
          <w:rFonts w:ascii="Book Antiqua" w:hAnsi="Book Antiqua"/>
          <w:kern w:val="2"/>
          <w:sz w:val="24"/>
          <w:szCs w:val="24"/>
          <w:lang w:eastAsia="zh-CN"/>
        </w:rPr>
        <w:t>: 7560-7563 [PMID: 16437678 DOI: 10.3748/wjg.v11.i48.7560]</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21 </w:t>
      </w:r>
      <w:r w:rsidRPr="009F1DEC">
        <w:rPr>
          <w:rFonts w:ascii="Book Antiqua" w:hAnsi="Book Antiqua"/>
          <w:b/>
          <w:kern w:val="2"/>
          <w:sz w:val="24"/>
          <w:szCs w:val="24"/>
          <w:lang w:eastAsia="zh-CN"/>
        </w:rPr>
        <w:t>Sookoian S</w:t>
      </w:r>
      <w:r w:rsidRPr="009F1DEC">
        <w:rPr>
          <w:rFonts w:ascii="Book Antiqua" w:hAnsi="Book Antiqua"/>
          <w:kern w:val="2"/>
          <w:sz w:val="24"/>
          <w:szCs w:val="24"/>
          <w:lang w:eastAsia="zh-CN"/>
        </w:rPr>
        <w:t xml:space="preserve">, Castaño G, García SI, Viudez P, González C, Pirola CJ. A1166C angiotensin II type 1 receptor gene polymorphism may predict hemodynamic response to losartan in patients with cirrhosis and portal hypertension. </w:t>
      </w:r>
      <w:r w:rsidRPr="009F1DEC">
        <w:rPr>
          <w:rFonts w:ascii="Book Antiqua" w:hAnsi="Book Antiqua"/>
          <w:i/>
          <w:kern w:val="2"/>
          <w:sz w:val="24"/>
          <w:szCs w:val="24"/>
          <w:lang w:eastAsia="zh-CN"/>
        </w:rPr>
        <w:t>Am J Gastroenterol</w:t>
      </w:r>
      <w:r w:rsidRPr="009F1DEC">
        <w:rPr>
          <w:rFonts w:ascii="Book Antiqua" w:hAnsi="Book Antiqua"/>
          <w:kern w:val="2"/>
          <w:sz w:val="24"/>
          <w:szCs w:val="24"/>
          <w:lang w:eastAsia="zh-CN"/>
        </w:rPr>
        <w:t xml:space="preserve"> 2005; </w:t>
      </w:r>
      <w:r w:rsidRPr="009F1DEC">
        <w:rPr>
          <w:rFonts w:ascii="Book Antiqua" w:hAnsi="Book Antiqua"/>
          <w:b/>
          <w:kern w:val="2"/>
          <w:sz w:val="24"/>
          <w:szCs w:val="24"/>
          <w:lang w:eastAsia="zh-CN"/>
        </w:rPr>
        <w:t>100</w:t>
      </w:r>
      <w:r w:rsidRPr="009F1DEC">
        <w:rPr>
          <w:rFonts w:ascii="Book Antiqua" w:hAnsi="Book Antiqua"/>
          <w:kern w:val="2"/>
          <w:sz w:val="24"/>
          <w:szCs w:val="24"/>
          <w:lang w:eastAsia="zh-CN"/>
        </w:rPr>
        <w:t>: 636-642 [PMID: 15743363 DOI: 10.1111/j.1572-0241.2005.41168.x]</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22 </w:t>
      </w:r>
      <w:r w:rsidRPr="009F1DEC">
        <w:rPr>
          <w:rFonts w:ascii="Book Antiqua" w:hAnsi="Book Antiqua"/>
          <w:b/>
          <w:kern w:val="2"/>
          <w:sz w:val="24"/>
          <w:szCs w:val="24"/>
          <w:lang w:eastAsia="zh-CN"/>
        </w:rPr>
        <w:t>Sookoian S</w:t>
      </w:r>
      <w:r w:rsidRPr="009F1DEC">
        <w:rPr>
          <w:rFonts w:ascii="Book Antiqua" w:hAnsi="Book Antiqua"/>
          <w:kern w:val="2"/>
          <w:sz w:val="24"/>
          <w:szCs w:val="24"/>
          <w:lang w:eastAsia="zh-CN"/>
        </w:rPr>
        <w:t xml:space="preserve">, Gianotti TF, Rosselli MS, Burgueño AL, Castaño GO, Pirola CJ. Liver transcriptional profile of atherosclerosis-related genes in human nonalcoholic fatty liver disease. </w:t>
      </w:r>
      <w:r w:rsidRPr="009F1DEC">
        <w:rPr>
          <w:rFonts w:ascii="Book Antiqua" w:hAnsi="Book Antiqua"/>
          <w:i/>
          <w:kern w:val="2"/>
          <w:sz w:val="24"/>
          <w:szCs w:val="24"/>
          <w:lang w:eastAsia="zh-CN"/>
        </w:rPr>
        <w:t>Atherosclerosis</w:t>
      </w:r>
      <w:r w:rsidRPr="009F1DEC">
        <w:rPr>
          <w:rFonts w:ascii="Book Antiqua" w:hAnsi="Book Antiqua"/>
          <w:kern w:val="2"/>
          <w:sz w:val="24"/>
          <w:szCs w:val="24"/>
          <w:lang w:eastAsia="zh-CN"/>
        </w:rPr>
        <w:t xml:space="preserve"> 2011; </w:t>
      </w:r>
      <w:r w:rsidRPr="009F1DEC">
        <w:rPr>
          <w:rFonts w:ascii="Book Antiqua" w:hAnsi="Book Antiqua"/>
          <w:b/>
          <w:kern w:val="2"/>
          <w:sz w:val="24"/>
          <w:szCs w:val="24"/>
          <w:lang w:eastAsia="zh-CN"/>
        </w:rPr>
        <w:t>218</w:t>
      </w:r>
      <w:r w:rsidRPr="009F1DEC">
        <w:rPr>
          <w:rFonts w:ascii="Book Antiqua" w:hAnsi="Book Antiqua"/>
          <w:kern w:val="2"/>
          <w:sz w:val="24"/>
          <w:szCs w:val="24"/>
          <w:lang w:eastAsia="zh-CN"/>
        </w:rPr>
        <w:t>: 378-385 [PMID: 21664615 DOI: 10.1016/j.atherosclerosis.2011.05.014]</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23 </w:t>
      </w:r>
      <w:r w:rsidRPr="009F1DEC">
        <w:rPr>
          <w:rFonts w:ascii="Book Antiqua" w:hAnsi="Book Antiqua"/>
          <w:b/>
          <w:kern w:val="2"/>
          <w:sz w:val="24"/>
          <w:szCs w:val="24"/>
          <w:lang w:eastAsia="zh-CN"/>
        </w:rPr>
        <w:t>Oesterle A</w:t>
      </w:r>
      <w:r w:rsidRPr="009F1DEC">
        <w:rPr>
          <w:rFonts w:ascii="Book Antiqua" w:hAnsi="Book Antiqua"/>
          <w:kern w:val="2"/>
          <w:sz w:val="24"/>
          <w:szCs w:val="24"/>
          <w:lang w:eastAsia="zh-CN"/>
        </w:rPr>
        <w:t xml:space="preserve">, Laufs U, Liao JK. Pleiotropic Effects of Statins on the Cardiovascular System. </w:t>
      </w:r>
      <w:r w:rsidRPr="009F1DEC">
        <w:rPr>
          <w:rFonts w:ascii="Book Antiqua" w:hAnsi="Book Antiqua"/>
          <w:i/>
          <w:kern w:val="2"/>
          <w:sz w:val="24"/>
          <w:szCs w:val="24"/>
          <w:lang w:eastAsia="zh-CN"/>
        </w:rPr>
        <w:t>Circ Res</w:t>
      </w:r>
      <w:r w:rsidRPr="009F1DEC">
        <w:rPr>
          <w:rFonts w:ascii="Book Antiqua" w:hAnsi="Book Antiqua"/>
          <w:kern w:val="2"/>
          <w:sz w:val="24"/>
          <w:szCs w:val="24"/>
          <w:lang w:eastAsia="zh-CN"/>
        </w:rPr>
        <w:t xml:space="preserve"> 2017; </w:t>
      </w:r>
      <w:r w:rsidRPr="009F1DEC">
        <w:rPr>
          <w:rFonts w:ascii="Book Antiqua" w:hAnsi="Book Antiqua"/>
          <w:b/>
          <w:kern w:val="2"/>
          <w:sz w:val="24"/>
          <w:szCs w:val="24"/>
          <w:lang w:eastAsia="zh-CN"/>
        </w:rPr>
        <w:t>120</w:t>
      </w:r>
      <w:r w:rsidRPr="009F1DEC">
        <w:rPr>
          <w:rFonts w:ascii="Book Antiqua" w:hAnsi="Book Antiqua"/>
          <w:kern w:val="2"/>
          <w:sz w:val="24"/>
          <w:szCs w:val="24"/>
          <w:lang w:eastAsia="zh-CN"/>
        </w:rPr>
        <w:t>: 229-243 [PMID: 28057795 DOI: 10.1161/CIRCRESAHA.116.308537]</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24 </w:t>
      </w:r>
      <w:r w:rsidRPr="009F1DEC">
        <w:rPr>
          <w:rFonts w:ascii="Book Antiqua" w:hAnsi="Book Antiqua"/>
          <w:b/>
          <w:kern w:val="2"/>
          <w:sz w:val="24"/>
          <w:szCs w:val="24"/>
          <w:lang w:eastAsia="zh-CN"/>
        </w:rPr>
        <w:t>Pose E</w:t>
      </w:r>
      <w:r w:rsidRPr="009F1DEC">
        <w:rPr>
          <w:rFonts w:ascii="Book Antiqua" w:hAnsi="Book Antiqua"/>
          <w:kern w:val="2"/>
          <w:sz w:val="24"/>
          <w:szCs w:val="24"/>
          <w:lang w:eastAsia="zh-CN"/>
        </w:rPr>
        <w:t xml:space="preserve">, Trebicka J, Mookerjee RP, Angeli P, Ginès P. Statins: Old drugs as new therapy for liver diseases? </w:t>
      </w:r>
      <w:r w:rsidRPr="009F1DEC">
        <w:rPr>
          <w:rFonts w:ascii="Book Antiqua" w:hAnsi="Book Antiqua"/>
          <w:i/>
          <w:kern w:val="2"/>
          <w:sz w:val="24"/>
          <w:szCs w:val="24"/>
          <w:lang w:eastAsia="zh-CN"/>
        </w:rPr>
        <w:t>J Hepatol</w:t>
      </w:r>
      <w:r w:rsidRPr="009F1DEC">
        <w:rPr>
          <w:rFonts w:ascii="Book Antiqua" w:hAnsi="Book Antiqua"/>
          <w:kern w:val="2"/>
          <w:sz w:val="24"/>
          <w:szCs w:val="24"/>
          <w:lang w:eastAsia="zh-CN"/>
        </w:rPr>
        <w:t xml:space="preserve"> 2019; </w:t>
      </w:r>
      <w:r w:rsidRPr="009F1DEC">
        <w:rPr>
          <w:rFonts w:ascii="Book Antiqua" w:hAnsi="Book Antiqua"/>
          <w:b/>
          <w:kern w:val="2"/>
          <w:sz w:val="24"/>
          <w:szCs w:val="24"/>
          <w:lang w:eastAsia="zh-CN"/>
        </w:rPr>
        <w:t>70</w:t>
      </w:r>
      <w:r w:rsidRPr="009F1DEC">
        <w:rPr>
          <w:rFonts w:ascii="Book Antiqua" w:hAnsi="Book Antiqua"/>
          <w:kern w:val="2"/>
          <w:sz w:val="24"/>
          <w:szCs w:val="24"/>
          <w:lang w:eastAsia="zh-CN"/>
        </w:rPr>
        <w:t>: 194-202 [PMID: 30075229 DOI: 10.1016/j.jhep.2018.07.019]</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25 </w:t>
      </w:r>
      <w:r w:rsidRPr="009F1DEC">
        <w:rPr>
          <w:rFonts w:ascii="Book Antiqua" w:hAnsi="Book Antiqua"/>
          <w:b/>
          <w:kern w:val="2"/>
          <w:sz w:val="24"/>
          <w:szCs w:val="24"/>
          <w:lang w:eastAsia="zh-CN"/>
        </w:rPr>
        <w:t>Hirschfield GM</w:t>
      </w:r>
      <w:r w:rsidRPr="009F1DEC">
        <w:rPr>
          <w:rFonts w:ascii="Book Antiqua" w:hAnsi="Book Antiqua"/>
          <w:kern w:val="2"/>
          <w:sz w:val="24"/>
          <w:szCs w:val="24"/>
          <w:lang w:eastAsia="zh-CN"/>
        </w:rPr>
        <w:t xml:space="preserve">, Mason A, Luketic V, Lindor K, Gordon SC, Mayo M, Kowdley KV, Vincent C, Bodhenheimer HC Jr, Parés A, Trauner M, Marschall HU, Adorini L, Sciacca C, Beecher-Jones T, Castelloe E, Böhm O, Shapiro D. Efficacy of obeticholic acid in patients with primary biliary cirrhosis and inadequate response to ursodeoxycholic acid. </w:t>
      </w:r>
      <w:r w:rsidRPr="009F1DEC">
        <w:rPr>
          <w:rFonts w:ascii="Book Antiqua" w:hAnsi="Book Antiqua"/>
          <w:i/>
          <w:kern w:val="2"/>
          <w:sz w:val="24"/>
          <w:szCs w:val="24"/>
          <w:lang w:eastAsia="zh-CN"/>
        </w:rPr>
        <w:t>Gastroenterology</w:t>
      </w:r>
      <w:r w:rsidRPr="009F1DEC">
        <w:rPr>
          <w:rFonts w:ascii="Book Antiqua" w:hAnsi="Book Antiqua"/>
          <w:kern w:val="2"/>
          <w:sz w:val="24"/>
          <w:szCs w:val="24"/>
          <w:lang w:eastAsia="zh-CN"/>
        </w:rPr>
        <w:t xml:space="preserve"> 2015; </w:t>
      </w:r>
      <w:r w:rsidRPr="009F1DEC">
        <w:rPr>
          <w:rFonts w:ascii="Book Antiqua" w:hAnsi="Book Antiqua"/>
          <w:b/>
          <w:kern w:val="2"/>
          <w:sz w:val="24"/>
          <w:szCs w:val="24"/>
          <w:lang w:eastAsia="zh-CN"/>
        </w:rPr>
        <w:t>148</w:t>
      </w:r>
      <w:r w:rsidRPr="009F1DEC">
        <w:rPr>
          <w:rFonts w:ascii="Book Antiqua" w:hAnsi="Book Antiqua"/>
          <w:kern w:val="2"/>
          <w:sz w:val="24"/>
          <w:szCs w:val="24"/>
          <w:lang w:eastAsia="zh-CN"/>
        </w:rPr>
        <w:t>: 751-61.e8 [PMID: 25500425 DOI: 10.1053/j.gastro.2014.12.005]</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lastRenderedPageBreak/>
        <w:t xml:space="preserve">26 </w:t>
      </w:r>
      <w:r w:rsidRPr="009F1DEC">
        <w:rPr>
          <w:rFonts w:ascii="Book Antiqua" w:hAnsi="Book Antiqua"/>
          <w:b/>
          <w:kern w:val="2"/>
          <w:sz w:val="24"/>
          <w:szCs w:val="24"/>
          <w:lang w:eastAsia="zh-CN"/>
        </w:rPr>
        <w:t>Jayakumar S</w:t>
      </w:r>
      <w:r w:rsidRPr="009F1DEC">
        <w:rPr>
          <w:rFonts w:ascii="Book Antiqua" w:hAnsi="Book Antiqua"/>
          <w:kern w:val="2"/>
          <w:sz w:val="24"/>
          <w:szCs w:val="24"/>
          <w:lang w:eastAsia="zh-CN"/>
        </w:rPr>
        <w:t xml:space="preserve">, Middleton MS, Lawitz EJ, Mantry PS, Caldwell SH, Arnold H, Mae Diehl A, Ghalib R, Elkhashab M, Abdelmalek MF, Kowdley KV, Stephen Djedjos C, Xu R, Han L, Mani Subramanian G, Myers RP, Goodman ZD, Afdhal NH, Charlton MR, Sirlin CB, Loomba R. Longitudinal correlations between MRE, MRI-PDFF, and liver histology in patients with non-alcoholic steatohepatitis: Analysis of data from a phase II trial of selonsertib. </w:t>
      </w:r>
      <w:r w:rsidRPr="009F1DEC">
        <w:rPr>
          <w:rFonts w:ascii="Book Antiqua" w:hAnsi="Book Antiqua"/>
          <w:i/>
          <w:kern w:val="2"/>
          <w:sz w:val="24"/>
          <w:szCs w:val="24"/>
          <w:lang w:eastAsia="zh-CN"/>
        </w:rPr>
        <w:t>J Hepatol</w:t>
      </w:r>
      <w:r w:rsidRPr="009F1DEC">
        <w:rPr>
          <w:rFonts w:ascii="Book Antiqua" w:hAnsi="Book Antiqua"/>
          <w:kern w:val="2"/>
          <w:sz w:val="24"/>
          <w:szCs w:val="24"/>
          <w:lang w:eastAsia="zh-CN"/>
        </w:rPr>
        <w:t xml:space="preserve"> 2019; </w:t>
      </w:r>
      <w:r w:rsidRPr="009F1DEC">
        <w:rPr>
          <w:rFonts w:ascii="Book Antiqua" w:hAnsi="Book Antiqua"/>
          <w:b/>
          <w:kern w:val="2"/>
          <w:sz w:val="24"/>
          <w:szCs w:val="24"/>
          <w:lang w:eastAsia="zh-CN"/>
        </w:rPr>
        <w:t>70</w:t>
      </w:r>
      <w:r w:rsidRPr="009F1DEC">
        <w:rPr>
          <w:rFonts w:ascii="Book Antiqua" w:hAnsi="Book Antiqua"/>
          <w:kern w:val="2"/>
          <w:sz w:val="24"/>
          <w:szCs w:val="24"/>
          <w:lang w:eastAsia="zh-CN"/>
        </w:rPr>
        <w:t>: 133-141 [PMID: 30291868 DOI: 10.1016/j.jhep.2018.09.024]</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27 </w:t>
      </w:r>
      <w:r w:rsidRPr="009F1DEC">
        <w:rPr>
          <w:rFonts w:ascii="Book Antiqua" w:hAnsi="Book Antiqua"/>
          <w:b/>
          <w:kern w:val="2"/>
          <w:sz w:val="24"/>
          <w:szCs w:val="24"/>
          <w:lang w:eastAsia="zh-CN"/>
        </w:rPr>
        <w:t>Neuschwander-Tetri BA</w:t>
      </w:r>
      <w:r w:rsidRPr="009F1DEC">
        <w:rPr>
          <w:rFonts w:ascii="Book Antiqua" w:hAnsi="Book Antiqua"/>
          <w:kern w:val="2"/>
          <w:sz w:val="24"/>
          <w:szCs w:val="24"/>
          <w:lang w:eastAsia="zh-CN"/>
        </w:rPr>
        <w:t xml:space="preserve">, Loomba R, Sanyal AJ, Lavine JE, Van Natta ML, Abdelmalek MF, Chalasani N, Dasarathy S, Diehl AM, Hameed B, Kowdley KV, McCullough A, Terrault N, Clark JM, Tonascia J, Brunt EM, Kleiner DE, Doo E; NASH Clinical Research Network. Farnesoid X nuclear receptor ligand obeticholic acid for non-cirrhotic, non-alcoholic steatohepatitis (FLINT): a multicentre, randomised, placebo-controlled trial. </w:t>
      </w:r>
      <w:r w:rsidRPr="009F1DEC">
        <w:rPr>
          <w:rFonts w:ascii="Book Antiqua" w:hAnsi="Book Antiqua"/>
          <w:i/>
          <w:kern w:val="2"/>
          <w:sz w:val="24"/>
          <w:szCs w:val="24"/>
          <w:lang w:eastAsia="zh-CN"/>
        </w:rPr>
        <w:t>Lancet</w:t>
      </w:r>
      <w:r w:rsidRPr="009F1DEC">
        <w:rPr>
          <w:rFonts w:ascii="Book Antiqua" w:hAnsi="Book Antiqua"/>
          <w:kern w:val="2"/>
          <w:sz w:val="24"/>
          <w:szCs w:val="24"/>
          <w:lang w:eastAsia="zh-CN"/>
        </w:rPr>
        <w:t xml:space="preserve"> 2015; </w:t>
      </w:r>
      <w:r w:rsidRPr="009F1DEC">
        <w:rPr>
          <w:rFonts w:ascii="Book Antiqua" w:hAnsi="Book Antiqua"/>
          <w:b/>
          <w:kern w:val="2"/>
          <w:sz w:val="24"/>
          <w:szCs w:val="24"/>
          <w:lang w:eastAsia="zh-CN"/>
        </w:rPr>
        <w:t>385</w:t>
      </w:r>
      <w:r w:rsidRPr="009F1DEC">
        <w:rPr>
          <w:rFonts w:ascii="Book Antiqua" w:hAnsi="Book Antiqua"/>
          <w:kern w:val="2"/>
          <w:sz w:val="24"/>
          <w:szCs w:val="24"/>
          <w:lang w:eastAsia="zh-CN"/>
        </w:rPr>
        <w:t>: 956-965 [PMID: 25468160 DOI: 10.1016/S0140-6736(14)61933-4]</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28 </w:t>
      </w:r>
      <w:r w:rsidRPr="009F1DEC">
        <w:rPr>
          <w:rFonts w:ascii="Book Antiqua" w:hAnsi="Book Antiqua"/>
          <w:b/>
          <w:kern w:val="2"/>
          <w:sz w:val="24"/>
          <w:szCs w:val="24"/>
          <w:lang w:eastAsia="zh-CN"/>
        </w:rPr>
        <w:t>Ratziu V</w:t>
      </w:r>
      <w:r w:rsidRPr="009F1DEC">
        <w:rPr>
          <w:rFonts w:ascii="Book Antiqua" w:hAnsi="Book Antiqua"/>
          <w:kern w:val="2"/>
          <w:sz w:val="24"/>
          <w:szCs w:val="24"/>
          <w:lang w:eastAsia="zh-CN"/>
        </w:rPr>
        <w:t xml:space="preserve">, Harrison SA, Francque S, Bedossa P, Lehert P, Serfaty L, Romero-Gomez M, Boursier J, Abdelmalek M, Caldwell S, Drenth J, Anstee QM, Hum D, Hanf R, Roudot A, Megnien S, Staels B, Sanyal A; GOLDEN-505 Investigator Study Group. Elafibranor, an Agonist of the Peroxisome Proliferator-Activated Receptor-α and -δ, Induces Resolution of Nonalcoholic Steatohepatitis Without Fibrosis Worsening. </w:t>
      </w:r>
      <w:r w:rsidRPr="009F1DEC">
        <w:rPr>
          <w:rFonts w:ascii="Book Antiqua" w:hAnsi="Book Antiqua"/>
          <w:i/>
          <w:kern w:val="2"/>
          <w:sz w:val="24"/>
          <w:szCs w:val="24"/>
          <w:lang w:eastAsia="zh-CN"/>
        </w:rPr>
        <w:t>Gastroenterology</w:t>
      </w:r>
      <w:r w:rsidRPr="009F1DEC">
        <w:rPr>
          <w:rFonts w:ascii="Book Antiqua" w:hAnsi="Book Antiqua"/>
          <w:kern w:val="2"/>
          <w:sz w:val="24"/>
          <w:szCs w:val="24"/>
          <w:lang w:eastAsia="zh-CN"/>
        </w:rPr>
        <w:t xml:space="preserve"> 2016; </w:t>
      </w:r>
      <w:r w:rsidRPr="009F1DEC">
        <w:rPr>
          <w:rFonts w:ascii="Book Antiqua" w:hAnsi="Book Antiqua"/>
          <w:b/>
          <w:kern w:val="2"/>
          <w:sz w:val="24"/>
          <w:szCs w:val="24"/>
          <w:lang w:eastAsia="zh-CN"/>
        </w:rPr>
        <w:t>150</w:t>
      </w:r>
      <w:r w:rsidRPr="009F1DEC">
        <w:rPr>
          <w:rFonts w:ascii="Book Antiqua" w:hAnsi="Book Antiqua"/>
          <w:kern w:val="2"/>
          <w:sz w:val="24"/>
          <w:szCs w:val="24"/>
          <w:lang w:eastAsia="zh-CN"/>
        </w:rPr>
        <w:t>: 1147-1159.e5 [PMID: 26874076 DOI: 10.1053/j.gastro.2016.01.038]</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29 </w:t>
      </w:r>
      <w:r w:rsidRPr="009F1DEC">
        <w:rPr>
          <w:rFonts w:ascii="Book Antiqua" w:hAnsi="Book Antiqua"/>
          <w:b/>
          <w:kern w:val="2"/>
          <w:sz w:val="24"/>
          <w:szCs w:val="24"/>
          <w:lang w:eastAsia="zh-CN"/>
        </w:rPr>
        <w:t>Colca JR</w:t>
      </w:r>
      <w:r w:rsidRPr="009F1DEC">
        <w:rPr>
          <w:rFonts w:ascii="Book Antiqua" w:hAnsi="Book Antiqua"/>
          <w:kern w:val="2"/>
          <w:sz w:val="24"/>
          <w:szCs w:val="24"/>
          <w:lang w:eastAsia="zh-CN"/>
        </w:rPr>
        <w:t xml:space="preserve">, McDonald WG, Adams WJ. MSDC-0602K, a metabolic modulator directed at the core pathology of non-alcoholic steatohepatitis. </w:t>
      </w:r>
      <w:r w:rsidRPr="009F1DEC">
        <w:rPr>
          <w:rFonts w:ascii="Book Antiqua" w:hAnsi="Book Antiqua"/>
          <w:i/>
          <w:kern w:val="2"/>
          <w:sz w:val="24"/>
          <w:szCs w:val="24"/>
          <w:lang w:eastAsia="zh-CN"/>
        </w:rPr>
        <w:t>Expert Opin Investig Drugs</w:t>
      </w:r>
      <w:r w:rsidRPr="009F1DEC">
        <w:rPr>
          <w:rFonts w:ascii="Book Antiqua" w:hAnsi="Book Antiqua"/>
          <w:kern w:val="2"/>
          <w:sz w:val="24"/>
          <w:szCs w:val="24"/>
          <w:lang w:eastAsia="zh-CN"/>
        </w:rPr>
        <w:t xml:space="preserve"> 2018; </w:t>
      </w:r>
      <w:r w:rsidRPr="009F1DEC">
        <w:rPr>
          <w:rFonts w:ascii="Book Antiqua" w:hAnsi="Book Antiqua"/>
          <w:b/>
          <w:kern w:val="2"/>
          <w:sz w:val="24"/>
          <w:szCs w:val="24"/>
          <w:lang w:eastAsia="zh-CN"/>
        </w:rPr>
        <w:t>27</w:t>
      </w:r>
      <w:r w:rsidRPr="009F1DEC">
        <w:rPr>
          <w:rFonts w:ascii="Book Antiqua" w:hAnsi="Book Antiqua"/>
          <w:kern w:val="2"/>
          <w:sz w:val="24"/>
          <w:szCs w:val="24"/>
          <w:lang w:eastAsia="zh-CN"/>
        </w:rPr>
        <w:t>: 631-636 [PMID: 29950116 DOI: 10.1080/13543784.2018.1494153]</w:t>
      </w:r>
    </w:p>
    <w:p w:rsidR="009F1DEC" w:rsidRPr="009F1DEC" w:rsidRDefault="009F1DEC" w:rsidP="009F1DEC">
      <w:pPr>
        <w:widowControl w:val="0"/>
        <w:spacing w:after="0" w:line="360" w:lineRule="auto"/>
        <w:jc w:val="both"/>
        <w:rPr>
          <w:rFonts w:ascii="Book Antiqua" w:hAnsi="Book Antiqua"/>
          <w:kern w:val="2"/>
          <w:sz w:val="24"/>
          <w:szCs w:val="24"/>
          <w:lang w:eastAsia="zh-CN"/>
        </w:rPr>
      </w:pPr>
      <w:r w:rsidRPr="009F1DEC">
        <w:rPr>
          <w:rFonts w:ascii="Book Antiqua" w:hAnsi="Book Antiqua"/>
          <w:kern w:val="2"/>
          <w:sz w:val="24"/>
          <w:szCs w:val="24"/>
          <w:lang w:eastAsia="zh-CN"/>
        </w:rPr>
        <w:t xml:space="preserve">30 </w:t>
      </w:r>
      <w:r w:rsidRPr="009F1DEC">
        <w:rPr>
          <w:rFonts w:ascii="Book Antiqua" w:hAnsi="Book Antiqua"/>
          <w:b/>
          <w:kern w:val="2"/>
          <w:sz w:val="24"/>
          <w:szCs w:val="24"/>
          <w:lang w:eastAsia="zh-CN"/>
        </w:rPr>
        <w:t>Canela-Xandri O</w:t>
      </w:r>
      <w:r w:rsidRPr="009F1DEC">
        <w:rPr>
          <w:rFonts w:ascii="Book Antiqua" w:hAnsi="Book Antiqua"/>
          <w:kern w:val="2"/>
          <w:sz w:val="24"/>
          <w:szCs w:val="24"/>
          <w:lang w:eastAsia="zh-CN"/>
        </w:rPr>
        <w:t xml:space="preserve">, Rawlik K, Tenesa A. An atlas of genetic associations in UK Biobank. </w:t>
      </w:r>
      <w:r w:rsidRPr="009F1DEC">
        <w:rPr>
          <w:rFonts w:ascii="Book Antiqua" w:hAnsi="Book Antiqua"/>
          <w:i/>
          <w:kern w:val="2"/>
          <w:sz w:val="24"/>
          <w:szCs w:val="24"/>
          <w:lang w:eastAsia="zh-CN"/>
        </w:rPr>
        <w:t>Nat Genet</w:t>
      </w:r>
      <w:r w:rsidRPr="009F1DEC">
        <w:rPr>
          <w:rFonts w:ascii="Book Antiqua" w:hAnsi="Book Antiqua"/>
          <w:kern w:val="2"/>
          <w:sz w:val="24"/>
          <w:szCs w:val="24"/>
          <w:lang w:eastAsia="zh-CN"/>
        </w:rPr>
        <w:t xml:space="preserve"> 2018; </w:t>
      </w:r>
      <w:r w:rsidRPr="009F1DEC">
        <w:rPr>
          <w:rFonts w:ascii="Book Antiqua" w:hAnsi="Book Antiqua"/>
          <w:b/>
          <w:kern w:val="2"/>
          <w:sz w:val="24"/>
          <w:szCs w:val="24"/>
          <w:lang w:eastAsia="zh-CN"/>
        </w:rPr>
        <w:t>50</w:t>
      </w:r>
      <w:r w:rsidRPr="009F1DEC">
        <w:rPr>
          <w:rFonts w:ascii="Book Antiqua" w:hAnsi="Book Antiqua"/>
          <w:kern w:val="2"/>
          <w:sz w:val="24"/>
          <w:szCs w:val="24"/>
          <w:lang w:eastAsia="zh-CN"/>
        </w:rPr>
        <w:t>: 1593-1599 [PMID: 30349118 DOI: 10.1038/s41588-018-0248-z]</w:t>
      </w:r>
    </w:p>
    <w:p w:rsidR="009F1DEC" w:rsidRPr="009F1DEC" w:rsidRDefault="009F1DEC" w:rsidP="009F1DEC">
      <w:pPr>
        <w:widowControl w:val="0"/>
        <w:wordWrap w:val="0"/>
        <w:adjustRightInd w:val="0"/>
        <w:snapToGrid w:val="0"/>
        <w:spacing w:after="0" w:line="360" w:lineRule="auto"/>
        <w:jc w:val="right"/>
        <w:rPr>
          <w:rFonts w:ascii="Book Antiqua" w:hAnsi="Book Antiqua"/>
          <w:color w:val="000000"/>
          <w:kern w:val="2"/>
          <w:sz w:val="24"/>
          <w:szCs w:val="24"/>
          <w:lang w:eastAsia="zh-CN"/>
        </w:rPr>
      </w:pPr>
      <w:bookmarkStart w:id="48" w:name="OLE_LINK139"/>
      <w:bookmarkStart w:id="49" w:name="OLE_LINK140"/>
      <w:bookmarkStart w:id="50" w:name="OLE_LINK287"/>
      <w:bookmarkStart w:id="51" w:name="OLE_LINK288"/>
      <w:bookmarkStart w:id="52" w:name="OLE_LINK70"/>
      <w:bookmarkStart w:id="53" w:name="OLE_LINK110"/>
      <w:bookmarkStart w:id="54" w:name="OLE_LINK109"/>
      <w:bookmarkStart w:id="55" w:name="OLE_LINK138"/>
      <w:bookmarkStart w:id="56" w:name="OLE_LINK72"/>
      <w:bookmarkStart w:id="57" w:name="OLE_LINK116"/>
      <w:bookmarkStart w:id="58" w:name="OLE_LINK118"/>
      <w:bookmarkStart w:id="59" w:name="OLE_LINK198"/>
      <w:bookmarkStart w:id="60" w:name="OLE_LINK154"/>
      <w:bookmarkStart w:id="61" w:name="OLE_LINK251"/>
      <w:bookmarkStart w:id="62" w:name="OLE_LINK167"/>
      <w:bookmarkStart w:id="63" w:name="OLE_LINK126"/>
      <w:bookmarkStart w:id="64" w:name="OLE_LINK234"/>
      <w:bookmarkStart w:id="65" w:name="OLE_LINK157"/>
      <w:bookmarkStart w:id="66" w:name="OLE_LINK187"/>
      <w:bookmarkStart w:id="67" w:name="OLE_LINK204"/>
      <w:bookmarkStart w:id="68" w:name="OLE_LINK255"/>
      <w:bookmarkStart w:id="69" w:name="OLE_LINK229"/>
      <w:bookmarkStart w:id="70" w:name="OLE_LINK268"/>
      <w:bookmarkStart w:id="71" w:name="OLE_LINK310"/>
      <w:bookmarkStart w:id="72" w:name="OLE_LINK338"/>
      <w:bookmarkStart w:id="73" w:name="OLE_LINK340"/>
      <w:bookmarkStart w:id="74" w:name="OLE_LINK264"/>
      <w:bookmarkStart w:id="75" w:name="OLE_LINK345"/>
      <w:bookmarkStart w:id="76" w:name="OLE_LINK299"/>
      <w:bookmarkStart w:id="77" w:name="OLE_LINK265"/>
      <w:bookmarkStart w:id="78" w:name="OLE_LINK254"/>
      <w:bookmarkStart w:id="79" w:name="OLE_LINK357"/>
      <w:bookmarkStart w:id="80" w:name="OLE_LINK382"/>
      <w:bookmarkStart w:id="81" w:name="OLE_LINK333"/>
      <w:bookmarkStart w:id="82" w:name="OLE_LINK334"/>
      <w:bookmarkStart w:id="83" w:name="OLE_LINK400"/>
      <w:bookmarkStart w:id="84" w:name="OLE_LINK365"/>
      <w:bookmarkStart w:id="85" w:name="OLE_LINK467"/>
      <w:bookmarkStart w:id="86" w:name="OLE_LINK399"/>
      <w:bookmarkStart w:id="87" w:name="OLE_LINK443"/>
      <w:bookmarkStart w:id="88" w:name="OLE_LINK372"/>
      <w:bookmarkStart w:id="89" w:name="OLE_LINK425"/>
      <w:bookmarkStart w:id="90" w:name="OLE_LINK450"/>
      <w:bookmarkStart w:id="91" w:name="OLE_LINK402"/>
      <w:bookmarkStart w:id="92" w:name="OLE_LINK385"/>
      <w:bookmarkStart w:id="93" w:name="OLE_LINK396"/>
      <w:bookmarkStart w:id="94" w:name="OLE_LINK436"/>
      <w:bookmarkStart w:id="95" w:name="OLE_LINK421"/>
      <w:bookmarkStart w:id="96" w:name="OLE_LINK426"/>
      <w:bookmarkStart w:id="97" w:name="OLE_LINK456"/>
      <w:bookmarkStart w:id="98" w:name="OLE_LINK505"/>
      <w:bookmarkStart w:id="99" w:name="OLE_LINK490"/>
      <w:bookmarkStart w:id="100" w:name="OLE_LINK531"/>
      <w:bookmarkStart w:id="101" w:name="OLE_LINK460"/>
      <w:bookmarkStart w:id="102" w:name="OLE_LINK463"/>
      <w:bookmarkStart w:id="103" w:name="OLE_LINK487"/>
      <w:bookmarkStart w:id="104" w:name="OLE_LINK515"/>
      <w:bookmarkStart w:id="105" w:name="OLE_LINK509"/>
      <w:bookmarkStart w:id="106" w:name="OLE_LINK538"/>
      <w:bookmarkStart w:id="107" w:name="OLE_LINK606"/>
      <w:bookmarkStart w:id="108" w:name="OLE_LINK662"/>
      <w:bookmarkStart w:id="109" w:name="OLE_LINK663"/>
      <w:bookmarkStart w:id="110" w:name="OLE_LINK738"/>
      <w:bookmarkStart w:id="111" w:name="OLE_LINK666"/>
      <w:bookmarkStart w:id="112" w:name="OLE_LINK667"/>
      <w:bookmarkStart w:id="113" w:name="OLE_LINK672"/>
      <w:bookmarkStart w:id="114" w:name="OLE_LINK727"/>
      <w:bookmarkStart w:id="115" w:name="OLE_LINK703"/>
      <w:bookmarkStart w:id="116" w:name="OLE_LINK765"/>
      <w:bookmarkStart w:id="117" w:name="OLE_LINK724"/>
      <w:r w:rsidRPr="009F1DEC">
        <w:rPr>
          <w:rFonts w:ascii="Book Antiqua" w:hAnsi="Book Antiqua"/>
          <w:b/>
          <w:bCs/>
          <w:color w:val="000000"/>
          <w:kern w:val="2"/>
          <w:sz w:val="24"/>
          <w:szCs w:val="24"/>
          <w:lang w:eastAsia="zh-CN"/>
        </w:rPr>
        <w:t>P-Reviewer:</w:t>
      </w:r>
      <w:r w:rsidRPr="009F1DEC">
        <w:rPr>
          <w:rFonts w:ascii="Book Antiqua" w:hAnsi="Book Antiqua"/>
          <w:bCs/>
          <w:color w:val="000000"/>
          <w:kern w:val="2"/>
          <w:sz w:val="24"/>
          <w:szCs w:val="24"/>
          <w:lang w:eastAsia="zh-CN"/>
        </w:rPr>
        <w:t xml:space="preserve"> Kim</w:t>
      </w:r>
      <w:r>
        <w:rPr>
          <w:rFonts w:ascii="Book Antiqua" w:hAnsi="Book Antiqua" w:hint="eastAsia"/>
          <w:bCs/>
          <w:color w:val="000000"/>
          <w:kern w:val="2"/>
          <w:sz w:val="24"/>
          <w:szCs w:val="24"/>
          <w:lang w:eastAsia="zh-CN"/>
        </w:rPr>
        <w:t xml:space="preserve"> DJ </w:t>
      </w:r>
      <w:r w:rsidRPr="009F1DEC">
        <w:rPr>
          <w:rFonts w:ascii="Book Antiqua" w:hAnsi="Book Antiqua"/>
          <w:b/>
          <w:bCs/>
          <w:color w:val="000000"/>
          <w:kern w:val="2"/>
          <w:sz w:val="24"/>
          <w:szCs w:val="24"/>
          <w:lang w:eastAsia="zh-CN"/>
        </w:rPr>
        <w:t>S-Editor:</w:t>
      </w:r>
      <w:r w:rsidRPr="009F1DEC">
        <w:rPr>
          <w:rFonts w:ascii="Book Antiqua" w:hAnsi="Book Antiqua"/>
          <w:color w:val="000000"/>
          <w:kern w:val="2"/>
          <w:sz w:val="24"/>
          <w:szCs w:val="24"/>
          <w:lang w:eastAsia="zh-CN"/>
        </w:rPr>
        <w:t xml:space="preserve"> Yan JP</w:t>
      </w:r>
    </w:p>
    <w:p w:rsidR="009F1DEC" w:rsidRPr="009F1DEC" w:rsidRDefault="009F1DEC" w:rsidP="003E39F2">
      <w:pPr>
        <w:widowControl w:val="0"/>
        <w:wordWrap w:val="0"/>
        <w:adjustRightInd w:val="0"/>
        <w:snapToGrid w:val="0"/>
        <w:spacing w:after="0" w:line="360" w:lineRule="auto"/>
        <w:jc w:val="right"/>
        <w:rPr>
          <w:rFonts w:ascii="Book Antiqua" w:hAnsi="Book Antiqua"/>
          <w:b/>
          <w:bCs/>
          <w:color w:val="000000"/>
          <w:kern w:val="2"/>
          <w:sz w:val="24"/>
          <w:szCs w:val="24"/>
          <w:lang w:eastAsia="zh-CN"/>
        </w:rPr>
      </w:pPr>
      <w:r w:rsidRPr="009F1DEC">
        <w:rPr>
          <w:rFonts w:ascii="Book Antiqua" w:hAnsi="Book Antiqua"/>
          <w:b/>
          <w:bCs/>
          <w:color w:val="000000"/>
          <w:kern w:val="2"/>
          <w:sz w:val="24"/>
          <w:szCs w:val="24"/>
          <w:lang w:eastAsia="zh-CN"/>
        </w:rPr>
        <w:t>L-Editor:</w:t>
      </w:r>
      <w:r w:rsidR="003E39F2">
        <w:rPr>
          <w:rFonts w:ascii="Book Antiqua" w:hAnsi="Book Antiqua"/>
          <w:b/>
          <w:bCs/>
          <w:color w:val="000000"/>
          <w:kern w:val="2"/>
          <w:sz w:val="24"/>
          <w:szCs w:val="24"/>
          <w:lang w:eastAsia="zh-CN"/>
        </w:rPr>
        <w:t xml:space="preserve"> </w:t>
      </w:r>
      <w:r w:rsidR="003E39F2" w:rsidRPr="003E39F2">
        <w:rPr>
          <w:rFonts w:ascii="Book Antiqua" w:hAnsi="Book Antiqua"/>
          <w:bCs/>
          <w:color w:val="000000"/>
          <w:kern w:val="2"/>
          <w:sz w:val="24"/>
          <w:szCs w:val="24"/>
          <w:lang w:eastAsia="zh-CN"/>
        </w:rPr>
        <w:t>A</w:t>
      </w:r>
      <w:r w:rsidRPr="009F1DEC">
        <w:rPr>
          <w:rFonts w:ascii="Book Antiqua" w:hAnsi="Book Antiqua"/>
          <w:color w:val="000000"/>
          <w:kern w:val="2"/>
          <w:sz w:val="24"/>
          <w:szCs w:val="24"/>
          <w:lang w:eastAsia="zh-CN"/>
        </w:rPr>
        <w:t xml:space="preserve"> </w:t>
      </w:r>
      <w:r w:rsidRPr="009F1DEC">
        <w:rPr>
          <w:rFonts w:ascii="Book Antiqua" w:hAnsi="Book Antiqua"/>
          <w:b/>
          <w:bCs/>
          <w:color w:val="000000"/>
          <w:kern w:val="2"/>
          <w:sz w:val="24"/>
          <w:szCs w:val="24"/>
          <w:lang w:eastAsia="zh-CN"/>
        </w:rPr>
        <w:t>E-Editor:</w:t>
      </w:r>
      <w:r w:rsidR="003E39F2">
        <w:rPr>
          <w:rFonts w:ascii="Book Antiqua" w:hAnsi="Book Antiqua"/>
          <w:b/>
          <w:bCs/>
          <w:color w:val="000000"/>
          <w:kern w:val="2"/>
          <w:sz w:val="24"/>
          <w:szCs w:val="24"/>
          <w:lang w:eastAsia="zh-CN"/>
        </w:rPr>
        <w:t xml:space="preserve"> </w:t>
      </w:r>
      <w:r w:rsidR="003E39F2" w:rsidRPr="003E39F2">
        <w:rPr>
          <w:rFonts w:ascii="Book Antiqua" w:hAnsi="Book Antiqua"/>
          <w:bCs/>
          <w:color w:val="000000"/>
          <w:kern w:val="2"/>
          <w:sz w:val="24"/>
          <w:szCs w:val="24"/>
          <w:lang w:eastAsia="zh-CN"/>
        </w:rPr>
        <w:t>Ma YJ</w:t>
      </w:r>
    </w:p>
    <w:bookmarkEnd w:id="48"/>
    <w:bookmarkEnd w:id="49"/>
    <w:p w:rsidR="009F1DEC" w:rsidRPr="009F1DEC" w:rsidRDefault="009F1DEC" w:rsidP="009F1DEC">
      <w:pPr>
        <w:widowControl w:val="0"/>
        <w:adjustRightInd w:val="0"/>
        <w:snapToGrid w:val="0"/>
        <w:spacing w:after="0" w:line="360" w:lineRule="auto"/>
        <w:jc w:val="both"/>
        <w:rPr>
          <w:rFonts w:ascii="Book Antiqua" w:hAnsi="Book Antiqua"/>
          <w:color w:val="000000"/>
          <w:kern w:val="2"/>
          <w:sz w:val="24"/>
          <w:szCs w:val="24"/>
          <w:lang w:eastAsia="zh-CN"/>
        </w:rPr>
      </w:pPr>
    </w:p>
    <w:p w:rsidR="009F1DEC" w:rsidRPr="009F1DEC" w:rsidRDefault="009F1DEC" w:rsidP="009F1DEC">
      <w:pPr>
        <w:spacing w:after="0" w:line="360" w:lineRule="auto"/>
        <w:rPr>
          <w:rFonts w:ascii="Book Antiqua" w:hAnsi="Book Antiqua" w:cs="宋体"/>
          <w:sz w:val="24"/>
          <w:szCs w:val="24"/>
          <w:lang w:eastAsia="zh-CN"/>
        </w:rPr>
      </w:pPr>
      <w:r w:rsidRPr="009F1DEC">
        <w:rPr>
          <w:rFonts w:ascii="Book Antiqua" w:hAnsi="Book Antiqua" w:cs="宋体"/>
          <w:b/>
          <w:sz w:val="24"/>
          <w:szCs w:val="24"/>
          <w:lang w:eastAsia="zh-CN"/>
        </w:rPr>
        <w:lastRenderedPageBreak/>
        <w:t xml:space="preserve">Specialty type: </w:t>
      </w:r>
      <w:r w:rsidRPr="009F1DEC">
        <w:rPr>
          <w:rFonts w:ascii="Book Antiqua" w:eastAsia="微软雅黑" w:hAnsi="Book Antiqua" w:cs="宋体"/>
          <w:sz w:val="24"/>
          <w:szCs w:val="24"/>
          <w:lang w:eastAsia="zh-CN"/>
        </w:rPr>
        <w:t>Gastroenterology and hepatology</w:t>
      </w:r>
      <w:r w:rsidRPr="009F1DEC">
        <w:rPr>
          <w:rFonts w:ascii="Book Antiqua" w:hAnsi="Book Antiqua" w:cs="宋体"/>
          <w:sz w:val="24"/>
          <w:szCs w:val="24"/>
          <w:lang w:eastAsia="zh-CN"/>
        </w:rPr>
        <w:t xml:space="preserve"> </w:t>
      </w:r>
      <w:r w:rsidRPr="009F1DEC">
        <w:rPr>
          <w:rFonts w:ascii="Book Antiqua" w:hAnsi="Book Antiqua" w:cs="宋体"/>
          <w:sz w:val="24"/>
          <w:szCs w:val="24"/>
          <w:lang w:eastAsia="zh-CN"/>
        </w:rPr>
        <w:br/>
      </w:r>
      <w:r w:rsidRPr="009F1DEC">
        <w:rPr>
          <w:rFonts w:ascii="Book Antiqua" w:hAnsi="Book Antiqua" w:cs="宋体"/>
          <w:b/>
          <w:sz w:val="24"/>
          <w:szCs w:val="24"/>
          <w:lang w:eastAsia="zh-CN"/>
        </w:rPr>
        <w:t xml:space="preserve">Country of origin: </w:t>
      </w:r>
      <w:r w:rsidRPr="009F1DEC">
        <w:rPr>
          <w:rFonts w:ascii="Book Antiqua" w:hAnsi="Book Antiqua" w:cs="宋体"/>
          <w:sz w:val="24"/>
          <w:szCs w:val="24"/>
          <w:lang w:eastAsia="zh-CN"/>
        </w:rPr>
        <w:t>Argentina</w:t>
      </w:r>
      <w:r w:rsidRPr="009F1DEC">
        <w:rPr>
          <w:rFonts w:ascii="Book Antiqua" w:hAnsi="Book Antiqua" w:cs="宋体"/>
          <w:sz w:val="24"/>
          <w:szCs w:val="24"/>
          <w:lang w:eastAsia="zh-CN"/>
        </w:rPr>
        <w:br/>
      </w:r>
      <w:r w:rsidRPr="009F1DEC">
        <w:rPr>
          <w:rFonts w:ascii="Book Antiqua" w:hAnsi="Book Antiqua" w:cs="宋体"/>
          <w:b/>
          <w:sz w:val="24"/>
          <w:szCs w:val="24"/>
          <w:lang w:eastAsia="zh-CN"/>
        </w:rPr>
        <w:t>Peer-review report classification</w:t>
      </w:r>
      <w:r w:rsidRPr="009F1DEC">
        <w:rPr>
          <w:rFonts w:ascii="Book Antiqua" w:hAnsi="Book Antiqua" w:cs="宋体"/>
          <w:sz w:val="24"/>
          <w:szCs w:val="24"/>
          <w:lang w:eastAsia="zh-CN"/>
        </w:rPr>
        <w:br/>
      </w:r>
      <w:r w:rsidRPr="009F1DEC">
        <w:rPr>
          <w:rFonts w:ascii="Book Antiqua" w:hAnsi="Book Antiqua" w:cs="宋体"/>
          <w:b/>
          <w:sz w:val="24"/>
          <w:szCs w:val="24"/>
          <w:lang w:eastAsia="zh-CN"/>
        </w:rPr>
        <w:t xml:space="preserve">Grade A (Excellent): </w:t>
      </w:r>
      <w:r>
        <w:rPr>
          <w:rFonts w:ascii="Book Antiqua" w:hAnsi="Book Antiqua" w:cs="宋体" w:hint="eastAsia"/>
          <w:sz w:val="24"/>
          <w:szCs w:val="24"/>
          <w:lang w:eastAsia="zh-CN"/>
        </w:rPr>
        <w:t>0</w:t>
      </w:r>
      <w:r w:rsidRPr="009F1DEC">
        <w:rPr>
          <w:rFonts w:ascii="Book Antiqua" w:hAnsi="Book Antiqua" w:cs="宋体"/>
          <w:sz w:val="24"/>
          <w:szCs w:val="24"/>
          <w:lang w:eastAsia="zh-CN"/>
        </w:rPr>
        <w:br/>
      </w:r>
      <w:r w:rsidRPr="009F1DEC">
        <w:rPr>
          <w:rFonts w:ascii="Book Antiqua" w:hAnsi="Book Antiqua" w:cs="宋体"/>
          <w:b/>
          <w:sz w:val="24"/>
          <w:szCs w:val="24"/>
          <w:lang w:eastAsia="zh-CN"/>
        </w:rPr>
        <w:t xml:space="preserve">Grade B (Very good): </w:t>
      </w:r>
      <w:r w:rsidRPr="009F1DEC">
        <w:rPr>
          <w:rFonts w:ascii="Book Antiqua" w:hAnsi="Book Antiqua" w:cs="宋体"/>
          <w:sz w:val="24"/>
          <w:szCs w:val="24"/>
          <w:lang w:eastAsia="zh-CN"/>
        </w:rPr>
        <w:t>B</w:t>
      </w:r>
      <w:r w:rsidRPr="009F1DEC">
        <w:rPr>
          <w:rFonts w:ascii="Book Antiqua" w:hAnsi="Book Antiqua" w:cs="宋体"/>
          <w:sz w:val="24"/>
          <w:szCs w:val="24"/>
          <w:lang w:eastAsia="zh-CN"/>
        </w:rPr>
        <w:br/>
      </w:r>
      <w:r w:rsidRPr="009F1DEC">
        <w:rPr>
          <w:rFonts w:ascii="Book Antiqua" w:hAnsi="Book Antiqua" w:cs="宋体"/>
          <w:b/>
          <w:sz w:val="24"/>
          <w:szCs w:val="24"/>
          <w:lang w:eastAsia="zh-CN"/>
        </w:rPr>
        <w:t xml:space="preserve">Grade C (Good): </w:t>
      </w:r>
      <w:r w:rsidRPr="009F1DEC">
        <w:rPr>
          <w:rFonts w:ascii="Book Antiqua" w:hAnsi="Book Antiqua" w:cs="宋体"/>
          <w:sz w:val="24"/>
          <w:szCs w:val="24"/>
          <w:lang w:eastAsia="zh-CN"/>
        </w:rPr>
        <w:t>0</w:t>
      </w:r>
      <w:r w:rsidRPr="009F1DEC">
        <w:rPr>
          <w:rFonts w:ascii="Book Antiqua" w:hAnsi="Book Antiqua" w:cs="宋体"/>
          <w:sz w:val="24"/>
          <w:szCs w:val="24"/>
          <w:lang w:eastAsia="zh-CN"/>
        </w:rPr>
        <w:br/>
      </w:r>
      <w:r w:rsidRPr="009F1DEC">
        <w:rPr>
          <w:rFonts w:ascii="Book Antiqua" w:hAnsi="Book Antiqua" w:cs="宋体"/>
          <w:b/>
          <w:sz w:val="24"/>
          <w:szCs w:val="24"/>
          <w:lang w:eastAsia="zh-CN"/>
        </w:rPr>
        <w:t xml:space="preserve">Grade D (Fair): </w:t>
      </w:r>
      <w:r w:rsidRPr="009F1DEC">
        <w:rPr>
          <w:rFonts w:ascii="Book Antiqua" w:hAnsi="Book Antiqua" w:cs="宋体"/>
          <w:sz w:val="24"/>
          <w:szCs w:val="24"/>
          <w:lang w:eastAsia="zh-CN"/>
        </w:rPr>
        <w:t>0</w:t>
      </w:r>
      <w:r w:rsidRPr="009F1DEC">
        <w:rPr>
          <w:rFonts w:ascii="Book Antiqua" w:hAnsi="Book Antiqua" w:cs="宋体"/>
          <w:b/>
          <w:sz w:val="24"/>
          <w:szCs w:val="24"/>
          <w:lang w:eastAsia="zh-CN"/>
        </w:rPr>
        <w:br/>
        <w:t xml:space="preserve">Grade E (Poor): </w:t>
      </w:r>
      <w:r w:rsidRPr="009F1DEC">
        <w:rPr>
          <w:rFonts w:ascii="Book Antiqua" w:hAnsi="Book Antiqua" w:cs="宋体"/>
          <w:sz w:val="24"/>
          <w:szCs w:val="24"/>
          <w:lang w:eastAsia="zh-CN"/>
        </w:rPr>
        <w:t>0</w:t>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rsidR="009F1DEC" w:rsidRPr="003E3BEC" w:rsidRDefault="009F1DEC" w:rsidP="00B26511">
      <w:pPr>
        <w:pStyle w:val="a3"/>
        <w:spacing w:before="0" w:beforeAutospacing="0" w:after="0" w:afterAutospacing="0" w:line="360" w:lineRule="auto"/>
        <w:jc w:val="both"/>
        <w:rPr>
          <w:rStyle w:val="a4"/>
          <w:rFonts w:ascii="Book Antiqua" w:eastAsia="宋体" w:hAnsi="Book Antiqua" w:hint="eastAsia"/>
          <w:lang w:eastAsia="zh-CN"/>
        </w:rPr>
      </w:pPr>
    </w:p>
    <w:p w:rsidR="000B723B" w:rsidRPr="003E3BEC" w:rsidRDefault="00F44DD9" w:rsidP="00B26511">
      <w:pPr>
        <w:pStyle w:val="a3"/>
        <w:spacing w:before="0" w:beforeAutospacing="0" w:after="0" w:afterAutospacing="0" w:line="360" w:lineRule="auto"/>
        <w:jc w:val="both"/>
        <w:rPr>
          <w:rStyle w:val="a4"/>
          <w:rFonts w:ascii="Book Antiqua" w:eastAsia="宋体" w:hAnsi="Book Antiqua" w:hint="eastAsia"/>
          <w:lang w:eastAsia="zh-CN"/>
        </w:rPr>
      </w:pPr>
      <w:r w:rsidRPr="009169B7">
        <w:rPr>
          <w:rStyle w:val="a4"/>
          <w:rFonts w:ascii="Book Antiqua" w:hAnsi="Book Antiqua"/>
        </w:rPr>
        <w:br w:type="page"/>
      </w:r>
      <w:r w:rsidR="00171FD5">
        <w:rPr>
          <w:rFonts w:ascii="Book Antiqua" w:hAnsi="Book Antiqua"/>
          <w:b/>
          <w:bCs/>
          <w:noProof/>
          <w:lang w:eastAsia="zh-CN"/>
        </w:rPr>
        <w:lastRenderedPageBreak/>
        <w:drawing>
          <wp:inline distT="0" distB="0" distL="0" distR="0">
            <wp:extent cx="5728335" cy="4293870"/>
            <wp:effectExtent l="0" t="0" r="5715" b="0"/>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8335" cy="4293870"/>
                    </a:xfrm>
                    <a:prstGeom prst="rect">
                      <a:avLst/>
                    </a:prstGeom>
                    <a:noFill/>
                    <a:ln>
                      <a:noFill/>
                    </a:ln>
                  </pic:spPr>
                </pic:pic>
              </a:graphicData>
            </a:graphic>
          </wp:inline>
        </w:drawing>
      </w:r>
    </w:p>
    <w:p w:rsidR="00A44C25" w:rsidRPr="003E3BEC" w:rsidRDefault="000B723B" w:rsidP="00B26511">
      <w:pPr>
        <w:spacing w:after="0" w:line="360" w:lineRule="auto"/>
        <w:jc w:val="both"/>
        <w:rPr>
          <w:rFonts w:ascii="Book Antiqua" w:hAnsi="Book Antiqua" w:hint="eastAsia"/>
          <w:b/>
          <w:sz w:val="24"/>
          <w:szCs w:val="24"/>
          <w:lang w:eastAsia="zh-CN"/>
        </w:rPr>
      </w:pPr>
      <w:r w:rsidRPr="000B723B">
        <w:rPr>
          <w:rStyle w:val="a4"/>
          <w:rFonts w:ascii="Book Antiqua" w:hAnsi="Book Antiqua"/>
          <w:b w:val="0"/>
          <w:sz w:val="24"/>
          <w:szCs w:val="24"/>
        </w:rPr>
        <w:t>Figure 1</w:t>
      </w:r>
      <w:r w:rsidR="00A44C25" w:rsidRPr="000B723B">
        <w:rPr>
          <w:rStyle w:val="a4"/>
          <w:rFonts w:ascii="Book Antiqua" w:hAnsi="Book Antiqua"/>
          <w:b w:val="0"/>
          <w:sz w:val="24"/>
          <w:szCs w:val="24"/>
        </w:rPr>
        <w:t xml:space="preserve"> </w:t>
      </w:r>
      <w:r w:rsidR="00A44C25" w:rsidRPr="000B723B">
        <w:rPr>
          <w:rFonts w:ascii="Book Antiqua" w:hAnsi="Book Antiqua"/>
          <w:b/>
          <w:sz w:val="24"/>
          <w:szCs w:val="24"/>
        </w:rPr>
        <w:t xml:space="preserve">Clinical trials for the treatment of </w:t>
      </w:r>
      <w:r w:rsidRPr="000B723B">
        <w:rPr>
          <w:rFonts w:ascii="Book Antiqua" w:hAnsi="Book Antiqua"/>
          <w:b/>
          <w:sz w:val="24"/>
          <w:szCs w:val="24"/>
        </w:rPr>
        <w:t>nonalcoholic steatohepatitis</w:t>
      </w:r>
      <w:r w:rsidRPr="000B723B">
        <w:rPr>
          <w:rFonts w:ascii="Book Antiqua" w:hAnsi="Book Antiqua" w:hint="eastAsia"/>
          <w:b/>
          <w:sz w:val="24"/>
          <w:szCs w:val="24"/>
          <w:lang w:eastAsia="zh-CN"/>
        </w:rPr>
        <w:t>.</w:t>
      </w:r>
      <w:r>
        <w:rPr>
          <w:rFonts w:ascii="Book Antiqua" w:hAnsi="Book Antiqua" w:hint="eastAsia"/>
          <w:b/>
          <w:sz w:val="24"/>
          <w:szCs w:val="24"/>
          <w:lang w:eastAsia="zh-CN"/>
        </w:rPr>
        <w:t xml:space="preserve"> </w:t>
      </w:r>
      <w:r w:rsidR="00A44C25" w:rsidRPr="009169B7">
        <w:rPr>
          <w:rFonts w:ascii="Book Antiqua" w:hAnsi="Book Antiqua"/>
          <w:sz w:val="24"/>
          <w:szCs w:val="24"/>
        </w:rPr>
        <w:t xml:space="preserve">A and B: Figure highlights 47 drugs that are currently under investigation for the treatment of </w:t>
      </w:r>
      <w:r w:rsidRPr="009169B7">
        <w:rPr>
          <w:rFonts w:ascii="Book Antiqua" w:hAnsi="Book Antiqua"/>
          <w:sz w:val="24"/>
          <w:szCs w:val="24"/>
        </w:rPr>
        <w:t xml:space="preserve">nonalcoholic steatohepatitis </w:t>
      </w:r>
      <w:r w:rsidR="00A44C25" w:rsidRPr="009169B7">
        <w:rPr>
          <w:rFonts w:ascii="Book Antiqua" w:hAnsi="Book Antiqua"/>
          <w:sz w:val="24"/>
          <w:szCs w:val="24"/>
        </w:rPr>
        <w:t xml:space="preserve">in different pharmacological phases (from phase 1 to phase 4): Information on clinical trial status (recruitment status) as well as prediction of potential associated targets were retrieved from the Target Validation Platform available at </w:t>
      </w:r>
      <w:hyperlink r:id="rId13" w:history="1">
        <w:r w:rsidR="00A44C25" w:rsidRPr="009169B7">
          <w:rPr>
            <w:rStyle w:val="a6"/>
            <w:rFonts w:ascii="Book Antiqua" w:hAnsi="Book Antiqua"/>
            <w:color w:val="auto"/>
            <w:sz w:val="24"/>
            <w:szCs w:val="24"/>
          </w:rPr>
          <w:t>https://www.targetvalidation.org</w:t>
        </w:r>
      </w:hyperlink>
      <w:r w:rsidR="005D5F87">
        <w:rPr>
          <w:rFonts w:ascii="Book Antiqua" w:hAnsi="Book Antiqua" w:hint="eastAsia"/>
          <w:sz w:val="24"/>
          <w:szCs w:val="24"/>
          <w:lang w:eastAsia="zh-CN"/>
        </w:rPr>
        <w:t>;</w:t>
      </w:r>
      <w:r w:rsidR="005D5F87">
        <w:rPr>
          <w:rFonts w:ascii="Book Antiqua" w:hAnsi="Book Antiqua"/>
          <w:sz w:val="24"/>
          <w:szCs w:val="24"/>
        </w:rPr>
        <w:t xml:space="preserve"> </w:t>
      </w:r>
      <w:r w:rsidR="00A44C25" w:rsidRPr="009169B7">
        <w:rPr>
          <w:rFonts w:ascii="Book Antiqua" w:hAnsi="Book Antiqua"/>
          <w:sz w:val="24"/>
          <w:szCs w:val="24"/>
        </w:rPr>
        <w:t>C: D</w:t>
      </w:r>
      <w:r w:rsidR="00A44C25" w:rsidRPr="009169B7">
        <w:rPr>
          <w:rStyle w:val="2he8v2h"/>
          <w:rFonts w:ascii="Book Antiqua" w:hAnsi="Book Antiqua"/>
          <w:sz w:val="24"/>
          <w:szCs w:val="24"/>
        </w:rPr>
        <w:t xml:space="preserve">rugs listed in the most advanced pharmacological phase updated December 2018 concerning to </w:t>
      </w:r>
      <w:r w:rsidR="00A44C25" w:rsidRPr="009169B7">
        <w:rPr>
          <w:rFonts w:ascii="Book Antiqua" w:hAnsi="Book Antiqua"/>
          <w:sz w:val="24"/>
          <w:szCs w:val="24"/>
        </w:rPr>
        <w:t>privately and publicly funded clinical studies.</w:t>
      </w:r>
      <w:r w:rsidR="005D5F87">
        <w:rPr>
          <w:rFonts w:ascii="Book Antiqua" w:hAnsi="Book Antiqua" w:hint="eastAsia"/>
          <w:sz w:val="24"/>
          <w:szCs w:val="24"/>
          <w:lang w:eastAsia="zh-CN"/>
        </w:rPr>
        <w:t xml:space="preserve"> </w:t>
      </w:r>
      <w:r w:rsidR="005D5F87" w:rsidRPr="009169B7">
        <w:rPr>
          <w:rFonts w:ascii="Book Antiqua" w:hAnsi="Book Antiqua"/>
          <w:sz w:val="24"/>
          <w:szCs w:val="24"/>
        </w:rPr>
        <w:t>N</w:t>
      </w:r>
      <w:r w:rsidR="005D5F87" w:rsidRPr="009169B7">
        <w:rPr>
          <w:rFonts w:ascii="Book Antiqua" w:eastAsia="Times New Roman" w:hAnsi="Book Antiqua"/>
          <w:bCs/>
          <w:sz w:val="24"/>
          <w:szCs w:val="24"/>
        </w:rPr>
        <w:t>ot yet recruiting:</w:t>
      </w:r>
      <w:r w:rsidR="005D5F87" w:rsidRPr="009169B7">
        <w:rPr>
          <w:rFonts w:ascii="Book Antiqua" w:eastAsia="Times New Roman" w:hAnsi="Book Antiqua"/>
          <w:sz w:val="24"/>
          <w:szCs w:val="24"/>
        </w:rPr>
        <w:t xml:space="preserve"> The study has not started recruiting participants</w:t>
      </w:r>
      <w:r w:rsidR="005D5F87" w:rsidRPr="005D5F87">
        <w:rPr>
          <w:rFonts w:ascii="Book Antiqua" w:hAnsi="Book Antiqua" w:hint="eastAsia"/>
          <w:sz w:val="24"/>
          <w:szCs w:val="24"/>
          <w:lang w:eastAsia="zh-CN"/>
        </w:rPr>
        <w:t>;</w:t>
      </w:r>
      <w:r w:rsidR="005D5F87">
        <w:rPr>
          <w:rFonts w:ascii="Book Antiqua" w:eastAsia="Times New Roman" w:hAnsi="Book Antiqua"/>
          <w:sz w:val="24"/>
          <w:szCs w:val="24"/>
        </w:rPr>
        <w:t xml:space="preserve"> </w:t>
      </w:r>
      <w:r w:rsidR="005D5F87" w:rsidRPr="009169B7">
        <w:rPr>
          <w:rFonts w:ascii="Book Antiqua" w:eastAsia="Times New Roman" w:hAnsi="Book Antiqua"/>
          <w:sz w:val="24"/>
          <w:szCs w:val="24"/>
        </w:rPr>
        <w:t>R</w:t>
      </w:r>
      <w:r w:rsidR="005D5F87" w:rsidRPr="009169B7">
        <w:rPr>
          <w:rFonts w:ascii="Book Antiqua" w:eastAsia="Times New Roman" w:hAnsi="Book Antiqua"/>
          <w:bCs/>
          <w:sz w:val="24"/>
          <w:szCs w:val="24"/>
        </w:rPr>
        <w:t>ecruiting: T</w:t>
      </w:r>
      <w:r w:rsidR="005D5F87" w:rsidRPr="009169B7">
        <w:rPr>
          <w:rFonts w:ascii="Book Antiqua" w:eastAsia="Times New Roman" w:hAnsi="Book Antiqua"/>
          <w:sz w:val="24"/>
          <w:szCs w:val="24"/>
        </w:rPr>
        <w:t>he study is currently recruiting participants</w:t>
      </w:r>
      <w:r w:rsidR="005D5F87" w:rsidRPr="005D5F87">
        <w:rPr>
          <w:rFonts w:ascii="Book Antiqua" w:hAnsi="Book Antiqua" w:hint="eastAsia"/>
          <w:sz w:val="24"/>
          <w:szCs w:val="24"/>
          <w:lang w:eastAsia="zh-CN"/>
        </w:rPr>
        <w:t>;</w:t>
      </w:r>
      <w:r w:rsidR="005D5F87">
        <w:rPr>
          <w:rFonts w:ascii="Book Antiqua" w:eastAsia="Times New Roman" w:hAnsi="Book Antiqua"/>
          <w:sz w:val="24"/>
          <w:szCs w:val="24"/>
        </w:rPr>
        <w:t xml:space="preserve"> </w:t>
      </w:r>
      <w:r w:rsidR="005D5F87" w:rsidRPr="009169B7">
        <w:rPr>
          <w:rFonts w:ascii="Book Antiqua" w:eastAsia="Times New Roman" w:hAnsi="Book Antiqua"/>
          <w:sz w:val="24"/>
          <w:szCs w:val="24"/>
        </w:rPr>
        <w:t>A</w:t>
      </w:r>
      <w:r w:rsidR="005D5F87" w:rsidRPr="009169B7">
        <w:rPr>
          <w:rFonts w:ascii="Book Antiqua" w:eastAsia="Times New Roman" w:hAnsi="Book Antiqua"/>
          <w:bCs/>
          <w:sz w:val="24"/>
          <w:szCs w:val="24"/>
        </w:rPr>
        <w:t>ctive, not recruiting: T</w:t>
      </w:r>
      <w:r w:rsidR="005D5F87" w:rsidRPr="009169B7">
        <w:rPr>
          <w:rFonts w:ascii="Book Antiqua" w:eastAsia="Times New Roman" w:hAnsi="Book Antiqua"/>
          <w:sz w:val="24"/>
          <w:szCs w:val="24"/>
        </w:rPr>
        <w:t>he study is ongoing, and participants are receiving an intervention or being examined, but potential participants are not currently being recruited or enrolled</w:t>
      </w:r>
      <w:r w:rsidR="005D5F87" w:rsidRPr="005D5F87">
        <w:rPr>
          <w:rFonts w:ascii="Book Antiqua" w:hAnsi="Book Antiqua" w:hint="eastAsia"/>
          <w:sz w:val="24"/>
          <w:szCs w:val="24"/>
          <w:lang w:eastAsia="zh-CN"/>
        </w:rPr>
        <w:t>;</w:t>
      </w:r>
      <w:r w:rsidR="005D5F87">
        <w:rPr>
          <w:rFonts w:ascii="Book Antiqua" w:eastAsia="Times New Roman" w:hAnsi="Book Antiqua"/>
          <w:sz w:val="24"/>
          <w:szCs w:val="24"/>
        </w:rPr>
        <w:t xml:space="preserve"> </w:t>
      </w:r>
      <w:r w:rsidR="005D5F87" w:rsidRPr="009169B7">
        <w:rPr>
          <w:rFonts w:ascii="Book Antiqua" w:eastAsia="Times New Roman" w:hAnsi="Book Antiqua"/>
          <w:sz w:val="24"/>
          <w:szCs w:val="24"/>
        </w:rPr>
        <w:t>T</w:t>
      </w:r>
      <w:r w:rsidR="005D5F87" w:rsidRPr="009169B7">
        <w:rPr>
          <w:rFonts w:ascii="Book Antiqua" w:eastAsia="Times New Roman" w:hAnsi="Book Antiqua"/>
          <w:bCs/>
          <w:sz w:val="24"/>
          <w:szCs w:val="24"/>
        </w:rPr>
        <w:t>erminated:</w:t>
      </w:r>
      <w:r w:rsidR="005D5F87" w:rsidRPr="009169B7">
        <w:rPr>
          <w:rFonts w:ascii="Book Antiqua" w:eastAsia="Times New Roman" w:hAnsi="Book Antiqua"/>
          <w:sz w:val="24"/>
          <w:szCs w:val="24"/>
        </w:rPr>
        <w:t xml:space="preserve"> The study has stopped early and will not start again; participants are no longer being examined or treated</w:t>
      </w:r>
      <w:r w:rsidR="005D5F87" w:rsidRPr="005D5F87">
        <w:rPr>
          <w:rFonts w:ascii="Book Antiqua" w:hAnsi="Book Antiqua" w:hint="eastAsia"/>
          <w:sz w:val="24"/>
          <w:szCs w:val="24"/>
          <w:lang w:eastAsia="zh-CN"/>
        </w:rPr>
        <w:t>;</w:t>
      </w:r>
      <w:r w:rsidR="005D5F87">
        <w:rPr>
          <w:rFonts w:ascii="Book Antiqua" w:eastAsia="Times New Roman" w:hAnsi="Book Antiqua"/>
          <w:sz w:val="24"/>
          <w:szCs w:val="24"/>
        </w:rPr>
        <w:t xml:space="preserve"> </w:t>
      </w:r>
      <w:r w:rsidR="005D5F87" w:rsidRPr="009169B7">
        <w:rPr>
          <w:rFonts w:ascii="Book Antiqua" w:eastAsia="Times New Roman" w:hAnsi="Book Antiqua"/>
          <w:sz w:val="24"/>
          <w:szCs w:val="24"/>
        </w:rPr>
        <w:t>C</w:t>
      </w:r>
      <w:r w:rsidR="005D5F87" w:rsidRPr="009169B7">
        <w:rPr>
          <w:rFonts w:ascii="Book Antiqua" w:eastAsia="Times New Roman" w:hAnsi="Book Antiqua"/>
          <w:bCs/>
          <w:sz w:val="24"/>
          <w:szCs w:val="24"/>
        </w:rPr>
        <w:t>ompleted:</w:t>
      </w:r>
      <w:r w:rsidR="005D5F87" w:rsidRPr="009169B7">
        <w:rPr>
          <w:rFonts w:ascii="Book Antiqua" w:eastAsia="Times New Roman" w:hAnsi="Book Antiqua"/>
          <w:sz w:val="24"/>
          <w:szCs w:val="24"/>
        </w:rPr>
        <w:t xml:space="preserve"> The study has ended normally, and participants are no longer being examined or treated (that is, the last participant's last visit has occurred)</w:t>
      </w:r>
      <w:r w:rsidR="005D5F87" w:rsidRPr="005D5F87">
        <w:rPr>
          <w:rFonts w:ascii="Book Antiqua" w:hAnsi="Book Antiqua" w:hint="eastAsia"/>
          <w:sz w:val="24"/>
          <w:szCs w:val="24"/>
          <w:lang w:eastAsia="zh-CN"/>
        </w:rPr>
        <w:t>;</w:t>
      </w:r>
      <w:r w:rsidR="005D5F87">
        <w:rPr>
          <w:rFonts w:ascii="Book Antiqua" w:eastAsia="Times New Roman" w:hAnsi="Book Antiqua"/>
          <w:sz w:val="24"/>
          <w:szCs w:val="24"/>
        </w:rPr>
        <w:t xml:space="preserve"> </w:t>
      </w:r>
      <w:r w:rsidR="005D5F87" w:rsidRPr="009169B7">
        <w:rPr>
          <w:rFonts w:ascii="Book Antiqua" w:eastAsia="Times New Roman" w:hAnsi="Book Antiqua"/>
          <w:sz w:val="24"/>
          <w:szCs w:val="24"/>
        </w:rPr>
        <w:t>W</w:t>
      </w:r>
      <w:r w:rsidR="005D5F87" w:rsidRPr="009169B7">
        <w:rPr>
          <w:rFonts w:ascii="Book Antiqua" w:eastAsia="Times New Roman" w:hAnsi="Book Antiqua"/>
          <w:bCs/>
          <w:sz w:val="24"/>
          <w:szCs w:val="24"/>
        </w:rPr>
        <w:t>ithdrawn: T</w:t>
      </w:r>
      <w:r w:rsidR="005D5F87" w:rsidRPr="009169B7">
        <w:rPr>
          <w:rFonts w:ascii="Book Antiqua" w:eastAsia="Times New Roman" w:hAnsi="Book Antiqua"/>
          <w:sz w:val="24"/>
          <w:szCs w:val="24"/>
        </w:rPr>
        <w:t xml:space="preserve">he study stopped early, </w:t>
      </w:r>
      <w:r w:rsidR="005D5F87" w:rsidRPr="009169B7">
        <w:rPr>
          <w:rFonts w:ascii="Book Antiqua" w:eastAsia="Times New Roman" w:hAnsi="Book Antiqua"/>
          <w:sz w:val="24"/>
          <w:szCs w:val="24"/>
        </w:rPr>
        <w:lastRenderedPageBreak/>
        <w:t>before enrolling its first participant</w:t>
      </w:r>
      <w:r w:rsidR="005D5F87" w:rsidRPr="005D5F87">
        <w:rPr>
          <w:rFonts w:ascii="Book Antiqua" w:hAnsi="Book Antiqua" w:hint="eastAsia"/>
          <w:sz w:val="24"/>
          <w:szCs w:val="24"/>
          <w:lang w:eastAsia="zh-CN"/>
        </w:rPr>
        <w:t>;</w:t>
      </w:r>
      <w:r w:rsidR="005D5F87">
        <w:rPr>
          <w:rFonts w:ascii="Book Antiqua" w:eastAsia="Times New Roman" w:hAnsi="Book Antiqua"/>
          <w:sz w:val="24"/>
          <w:szCs w:val="24"/>
        </w:rPr>
        <w:t xml:space="preserve"> </w:t>
      </w:r>
      <w:r w:rsidR="005D5F87" w:rsidRPr="009169B7">
        <w:rPr>
          <w:rFonts w:ascii="Book Antiqua" w:eastAsia="Times New Roman" w:hAnsi="Book Antiqua"/>
          <w:sz w:val="24"/>
          <w:szCs w:val="24"/>
        </w:rPr>
        <w:t>U</w:t>
      </w:r>
      <w:r w:rsidR="005D5F87" w:rsidRPr="009169B7">
        <w:rPr>
          <w:rFonts w:ascii="Book Antiqua" w:eastAsia="Times New Roman" w:hAnsi="Book Antiqua"/>
          <w:bCs/>
          <w:sz w:val="24"/>
          <w:szCs w:val="24"/>
        </w:rPr>
        <w:t>nknown:</w:t>
      </w:r>
      <w:r w:rsidR="005D5F87" w:rsidRPr="009169B7">
        <w:rPr>
          <w:rFonts w:ascii="Book Antiqua" w:eastAsia="Times New Roman" w:hAnsi="Book Antiqua"/>
          <w:sz w:val="24"/>
          <w:szCs w:val="24"/>
        </w:rPr>
        <w:t xml:space="preserve"> A study on ClinicalTrials.gov whose last known status was recruiting; not yet recruiting; or active, not recruiting but that has passed its completion date, and the status has not been last verified within the past 2 years)</w:t>
      </w:r>
      <w:r w:rsidR="005D5F87">
        <w:rPr>
          <w:rFonts w:ascii="Book Antiqua" w:hAnsi="Book Antiqua" w:hint="eastAsia"/>
          <w:sz w:val="24"/>
          <w:szCs w:val="24"/>
          <w:lang w:eastAsia="zh-CN"/>
        </w:rPr>
        <w:t>.</w:t>
      </w:r>
    </w:p>
    <w:p w:rsidR="005D5F87" w:rsidRPr="003E3BEC" w:rsidRDefault="00B06D89" w:rsidP="00B26511">
      <w:pPr>
        <w:pStyle w:val="a3"/>
        <w:spacing w:before="0" w:beforeAutospacing="0" w:after="0" w:afterAutospacing="0" w:line="360" w:lineRule="auto"/>
        <w:jc w:val="both"/>
        <w:rPr>
          <w:rStyle w:val="a4"/>
          <w:rFonts w:ascii="Book Antiqua" w:eastAsia="宋体" w:hAnsi="Book Antiqua" w:hint="eastAsia"/>
          <w:lang w:eastAsia="zh-CN"/>
        </w:rPr>
      </w:pPr>
      <w:r w:rsidRPr="009169B7">
        <w:rPr>
          <w:rStyle w:val="a4"/>
          <w:rFonts w:ascii="Book Antiqua" w:hAnsi="Book Antiqua"/>
        </w:rPr>
        <w:br w:type="page"/>
      </w:r>
      <w:r w:rsidR="00171FD5">
        <w:rPr>
          <w:rFonts w:ascii="Book Antiqua" w:hAnsi="Book Antiqua"/>
          <w:b/>
          <w:bCs/>
          <w:noProof/>
          <w:lang w:eastAsia="zh-CN"/>
        </w:rPr>
        <w:lastRenderedPageBreak/>
        <w:drawing>
          <wp:inline distT="0" distB="0" distL="0" distR="0">
            <wp:extent cx="5746115" cy="4312285"/>
            <wp:effectExtent l="0" t="0" r="6985" b="0"/>
            <wp:docPr id="2" name="图片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6115" cy="4312285"/>
                    </a:xfrm>
                    <a:prstGeom prst="rect">
                      <a:avLst/>
                    </a:prstGeom>
                    <a:noFill/>
                    <a:ln>
                      <a:noFill/>
                    </a:ln>
                  </pic:spPr>
                </pic:pic>
              </a:graphicData>
            </a:graphic>
          </wp:inline>
        </w:drawing>
      </w:r>
    </w:p>
    <w:p w:rsidR="00A44C25" w:rsidRPr="003E3BEC" w:rsidRDefault="005D5F87" w:rsidP="00B26511">
      <w:pPr>
        <w:pStyle w:val="a3"/>
        <w:spacing w:before="0" w:beforeAutospacing="0" w:after="0" w:afterAutospacing="0" w:line="360" w:lineRule="auto"/>
        <w:jc w:val="both"/>
        <w:rPr>
          <w:rStyle w:val="a4"/>
          <w:rFonts w:ascii="Book Antiqua" w:eastAsia="宋体" w:hAnsi="Book Antiqua" w:hint="eastAsia"/>
          <w:lang w:eastAsia="zh-CN"/>
        </w:rPr>
      </w:pPr>
      <w:r w:rsidRPr="005D5F87">
        <w:rPr>
          <w:rStyle w:val="a4"/>
          <w:rFonts w:ascii="Book Antiqua" w:hAnsi="Book Antiqua"/>
        </w:rPr>
        <w:t>Figure 2</w:t>
      </w:r>
      <w:r w:rsidR="00A44C25" w:rsidRPr="005D5F87">
        <w:rPr>
          <w:rStyle w:val="a4"/>
          <w:rFonts w:ascii="Book Antiqua" w:hAnsi="Book Antiqua"/>
          <w:b w:val="0"/>
        </w:rPr>
        <w:t xml:space="preserve"> </w:t>
      </w:r>
      <w:r w:rsidRPr="005D5F87">
        <w:rPr>
          <w:rFonts w:ascii="Book Antiqua" w:hAnsi="Book Antiqua"/>
          <w:b/>
        </w:rPr>
        <w:t>Nonalcoholic fatty liver disease</w:t>
      </w:r>
      <w:r w:rsidRPr="003E3BEC">
        <w:rPr>
          <w:rStyle w:val="a4"/>
          <w:rFonts w:ascii="Book Antiqua" w:eastAsia="宋体" w:hAnsi="Book Antiqua" w:hint="eastAsia"/>
          <w:b w:val="0"/>
          <w:lang w:eastAsia="zh-CN"/>
        </w:rPr>
        <w:t>-</w:t>
      </w:r>
      <w:r w:rsidRPr="005D5F87">
        <w:rPr>
          <w:rStyle w:val="aa"/>
          <w:rFonts w:ascii="Book Antiqua" w:hAnsi="Book Antiqua"/>
          <w:b/>
          <w:i w:val="0"/>
        </w:rPr>
        <w:t>Kyoto Encyclopedia of Genes and Genomes</w:t>
      </w:r>
      <w:r w:rsidR="00A44C25" w:rsidRPr="005D5F87">
        <w:rPr>
          <w:rStyle w:val="a4"/>
          <w:rFonts w:ascii="Book Antiqua" w:hAnsi="Book Antiqua"/>
          <w:b w:val="0"/>
        </w:rPr>
        <w:t xml:space="preserve"> </w:t>
      </w:r>
      <w:r w:rsidR="00A44C25" w:rsidRPr="005D5F87">
        <w:rPr>
          <w:rStyle w:val="a4"/>
          <w:rFonts w:ascii="Book Antiqua" w:hAnsi="Book Antiqua"/>
        </w:rPr>
        <w:t>pathway and mechanisms of disease pathogenesis</w:t>
      </w:r>
      <w:r w:rsidRPr="003E3BEC">
        <w:rPr>
          <w:rStyle w:val="a4"/>
          <w:rFonts w:ascii="Book Antiqua" w:eastAsia="宋体" w:hAnsi="Book Antiqua" w:hint="eastAsia"/>
          <w:lang w:eastAsia="zh-CN"/>
        </w:rPr>
        <w:t xml:space="preserve">. </w:t>
      </w:r>
      <w:r w:rsidR="00A44C25" w:rsidRPr="009169B7">
        <w:rPr>
          <w:rFonts w:ascii="Book Antiqua" w:hAnsi="Book Antiqua"/>
        </w:rPr>
        <w:t xml:space="preserve">Pathway was retrieved from </w:t>
      </w:r>
      <w:hyperlink r:id="rId15" w:history="1">
        <w:r w:rsidR="00A44C25" w:rsidRPr="009169B7">
          <w:rPr>
            <w:rStyle w:val="a6"/>
            <w:rFonts w:ascii="Book Antiqua" w:hAnsi="Book Antiqua"/>
            <w:color w:val="auto"/>
          </w:rPr>
          <w:t>https://www.genome.jp/dbget-bin/www_bget?pathway+hsa04932</w:t>
        </w:r>
      </w:hyperlink>
      <w:r w:rsidR="00A44C25" w:rsidRPr="009169B7">
        <w:rPr>
          <w:rFonts w:ascii="Book Antiqua" w:hAnsi="Book Antiqua"/>
        </w:rPr>
        <w:t xml:space="preserve">; figure was modified to highlight key molecular processes. This map shows a stage-dependent progression of </w:t>
      </w:r>
      <w:r w:rsidRPr="005D5F87">
        <w:rPr>
          <w:rFonts w:ascii="Book Antiqua" w:hAnsi="Book Antiqua"/>
        </w:rPr>
        <w:t>nonalcoholic fatty liver disease</w:t>
      </w:r>
      <w:r w:rsidRPr="009169B7">
        <w:rPr>
          <w:rFonts w:ascii="Book Antiqua" w:hAnsi="Book Antiqua"/>
        </w:rPr>
        <w:t xml:space="preserve"> </w:t>
      </w:r>
      <w:r w:rsidRPr="003E3BEC">
        <w:rPr>
          <w:rFonts w:ascii="Book Antiqua" w:eastAsia="宋体" w:hAnsi="Book Antiqua" w:hint="eastAsia"/>
          <w:lang w:eastAsia="zh-CN"/>
        </w:rPr>
        <w:t>(</w:t>
      </w:r>
      <w:r w:rsidR="00A44C25" w:rsidRPr="009169B7">
        <w:rPr>
          <w:rFonts w:ascii="Book Antiqua" w:hAnsi="Book Antiqua"/>
        </w:rPr>
        <w:t>NAFLD</w:t>
      </w:r>
      <w:r w:rsidRPr="003E3BEC">
        <w:rPr>
          <w:rFonts w:ascii="Book Antiqua" w:eastAsia="宋体" w:hAnsi="Book Antiqua" w:hint="eastAsia"/>
          <w:lang w:eastAsia="zh-CN"/>
        </w:rPr>
        <w:t>)</w:t>
      </w:r>
      <w:r w:rsidR="00A44C25" w:rsidRPr="009169B7">
        <w:rPr>
          <w:rFonts w:ascii="Book Antiqua" w:hAnsi="Book Antiqua"/>
        </w:rPr>
        <w:t xml:space="preserve">. In the first stage of NAFLD, pathway highlights excess lipid accumulation associated with the induction of insulin resistance, which leads to a defect in insulin suppression of free fatty acids (FAAs) disposal. In addition, two transcription factors, SREBP-1c and PPARα, activate key enzymes of lipogenesis and increase the synthesis of FAAs in liver. In the second stage, pathway is presented as a consequence of the progression to </w:t>
      </w:r>
      <w:r w:rsidRPr="005D5F87">
        <w:rPr>
          <w:rFonts w:ascii="Book Antiqua" w:hAnsi="Book Antiqua"/>
        </w:rPr>
        <w:t>nonalcoholic steatohepatitis</w:t>
      </w:r>
      <w:r w:rsidRPr="009169B7">
        <w:rPr>
          <w:rFonts w:ascii="Book Antiqua" w:hAnsi="Book Antiqua"/>
        </w:rPr>
        <w:t xml:space="preserve"> </w:t>
      </w:r>
      <w:r w:rsidRPr="003E3BEC">
        <w:rPr>
          <w:rFonts w:ascii="Book Antiqua" w:eastAsia="宋体" w:hAnsi="Book Antiqua" w:hint="eastAsia"/>
          <w:lang w:eastAsia="zh-CN"/>
        </w:rPr>
        <w:t>(</w:t>
      </w:r>
      <w:r w:rsidR="00A44C25" w:rsidRPr="009169B7">
        <w:rPr>
          <w:rFonts w:ascii="Book Antiqua" w:hAnsi="Book Antiqua"/>
        </w:rPr>
        <w:t>NASH</w:t>
      </w:r>
      <w:r w:rsidRPr="003E3BEC">
        <w:rPr>
          <w:rFonts w:ascii="Book Antiqua" w:eastAsia="宋体" w:hAnsi="Book Antiqua" w:hint="eastAsia"/>
          <w:lang w:eastAsia="zh-CN"/>
        </w:rPr>
        <w:t>)</w:t>
      </w:r>
      <w:r w:rsidR="00A44C25" w:rsidRPr="009169B7">
        <w:rPr>
          <w:rFonts w:ascii="Book Antiqua" w:hAnsi="Book Antiqua"/>
        </w:rPr>
        <w:t>; the produc</w:t>
      </w:r>
      <w:r>
        <w:rPr>
          <w:rFonts w:ascii="Book Antiqua" w:hAnsi="Book Antiqua"/>
        </w:rPr>
        <w:t>tion of reactive oxygen species</w:t>
      </w:r>
      <w:r w:rsidR="00A44C25" w:rsidRPr="009169B7">
        <w:rPr>
          <w:rFonts w:ascii="Book Antiqua" w:hAnsi="Book Antiqua"/>
        </w:rPr>
        <w:t xml:space="preserve"> is enhanced due to oxidation stress through mitochondrial beta-oxidation of fatty acids and endopla</w:t>
      </w:r>
      <w:r w:rsidR="004414CF" w:rsidRPr="003E3BEC">
        <w:rPr>
          <w:rFonts w:ascii="Book Antiqua" w:eastAsia="宋体" w:hAnsi="Book Antiqua" w:hint="eastAsia"/>
          <w:lang w:eastAsia="zh-CN"/>
        </w:rPr>
        <w:t>s</w:t>
      </w:r>
      <w:r w:rsidR="00A44C25" w:rsidRPr="009169B7">
        <w:rPr>
          <w:rFonts w:ascii="Book Antiqua" w:hAnsi="Book Antiqua"/>
        </w:rPr>
        <w:t xml:space="preserve">mic reticulum (ER) stress, leading to lipid peroxidation. The lipid peroxidation can further cause the production of cytokines </w:t>
      </w:r>
      <w:r w:rsidR="004414CF" w:rsidRPr="003E3BEC">
        <w:rPr>
          <w:rFonts w:ascii="Book Antiqua" w:eastAsia="宋体" w:hAnsi="Book Antiqua" w:hint="eastAsia"/>
          <w:lang w:eastAsia="zh-CN"/>
        </w:rPr>
        <w:t>[</w:t>
      </w:r>
      <w:r w:rsidR="00A44C25" w:rsidRPr="009169B7">
        <w:rPr>
          <w:rFonts w:ascii="Book Antiqua" w:hAnsi="Book Antiqua"/>
        </w:rPr>
        <w:t xml:space="preserve">Fas ligand, </w:t>
      </w:r>
      <w:r w:rsidR="004414CF" w:rsidRPr="009169B7">
        <w:rPr>
          <w:rFonts w:ascii="Book Antiqua" w:hAnsi="Book Antiqua"/>
        </w:rPr>
        <w:t>tumor necrosis factor α</w:t>
      </w:r>
      <w:r w:rsidR="004414CF" w:rsidRPr="003E3BEC">
        <w:rPr>
          <w:rFonts w:ascii="Book Antiqua" w:eastAsia="宋体" w:hAnsi="Book Antiqua" w:hint="eastAsia"/>
          <w:lang w:eastAsia="zh-CN"/>
        </w:rPr>
        <w:t xml:space="preserve"> (</w:t>
      </w:r>
      <w:r w:rsidR="00A44C25" w:rsidRPr="009169B7">
        <w:rPr>
          <w:rFonts w:ascii="Book Antiqua" w:hAnsi="Book Antiqua"/>
        </w:rPr>
        <w:t>TNF</w:t>
      </w:r>
      <w:r w:rsidR="004414CF" w:rsidRPr="003E3BEC">
        <w:rPr>
          <w:rFonts w:ascii="Book Antiqua" w:eastAsia="宋体" w:hAnsi="Book Antiqua" w:hint="eastAsia"/>
          <w:lang w:eastAsia="zh-CN"/>
        </w:rPr>
        <w:t>-</w:t>
      </w:r>
      <w:r w:rsidR="004414CF" w:rsidRPr="009169B7">
        <w:rPr>
          <w:rFonts w:ascii="Book Antiqua" w:hAnsi="Book Antiqua"/>
        </w:rPr>
        <w:t>α</w:t>
      </w:r>
      <w:r w:rsidR="004414CF" w:rsidRPr="003E3BEC">
        <w:rPr>
          <w:rFonts w:ascii="Book Antiqua" w:eastAsia="宋体" w:hAnsi="Book Antiqua" w:hint="eastAsia"/>
          <w:lang w:eastAsia="zh-CN"/>
        </w:rPr>
        <w:t>)</w:t>
      </w:r>
      <w:r w:rsidR="00A44C25" w:rsidRPr="009169B7">
        <w:rPr>
          <w:rFonts w:ascii="Book Antiqua" w:hAnsi="Book Antiqua"/>
        </w:rPr>
        <w:t xml:space="preserve">, IL-8 and </w:t>
      </w:r>
      <w:r w:rsidR="004414CF" w:rsidRPr="009169B7">
        <w:rPr>
          <w:rFonts w:ascii="Book Antiqua" w:hAnsi="Book Antiqua"/>
        </w:rPr>
        <w:t>transforming growth factor</w:t>
      </w:r>
      <w:r w:rsidR="004414CF" w:rsidRPr="003E3BEC">
        <w:rPr>
          <w:rFonts w:ascii="Book Antiqua" w:eastAsia="宋体" w:hAnsi="Book Antiqua" w:hint="eastAsia"/>
          <w:lang w:eastAsia="zh-CN"/>
        </w:rPr>
        <w:t>]</w:t>
      </w:r>
      <w:r w:rsidR="00A44C25" w:rsidRPr="009169B7">
        <w:rPr>
          <w:rFonts w:ascii="Book Antiqua" w:hAnsi="Book Antiqua"/>
        </w:rPr>
        <w:t xml:space="preserve">, promoting cell </w:t>
      </w:r>
      <w:r w:rsidR="00A44C25" w:rsidRPr="009169B7">
        <w:rPr>
          <w:rFonts w:ascii="Book Antiqua" w:hAnsi="Book Antiqua"/>
        </w:rPr>
        <w:lastRenderedPageBreak/>
        <w:t>death, inflammation and fibrosis. The activation of JNK, which is induced by ER stress, TNF-</w:t>
      </w:r>
      <w:r w:rsidR="004414CF" w:rsidRPr="009169B7">
        <w:rPr>
          <w:rFonts w:ascii="Book Antiqua" w:hAnsi="Book Antiqua"/>
        </w:rPr>
        <w:t>α</w:t>
      </w:r>
      <w:r w:rsidR="004414CF" w:rsidRPr="003E3BEC">
        <w:rPr>
          <w:rFonts w:ascii="Book Antiqua" w:eastAsia="宋体" w:hAnsi="Book Antiqua" w:hint="eastAsia"/>
          <w:lang w:eastAsia="zh-CN"/>
        </w:rPr>
        <w:t xml:space="preserve"> </w:t>
      </w:r>
      <w:r w:rsidR="00A44C25" w:rsidRPr="009169B7">
        <w:rPr>
          <w:rFonts w:ascii="Book Antiqua" w:hAnsi="Book Antiqua"/>
        </w:rPr>
        <w:t xml:space="preserve">and FAAs, is also associated with NAFLD progression. Increased JNK promotes cytokine production and initiation of </w:t>
      </w:r>
      <w:r w:rsidRPr="005D5F87">
        <w:rPr>
          <w:rFonts w:ascii="Book Antiqua" w:hAnsi="Book Antiqua"/>
        </w:rPr>
        <w:t>hepatocellular carcinoma</w:t>
      </w:r>
      <w:r w:rsidR="00A44C25" w:rsidRPr="009169B7">
        <w:rPr>
          <w:rFonts w:ascii="Book Antiqua" w:hAnsi="Book Antiqua"/>
        </w:rPr>
        <w:t>. Major organelles involved in the pathogenesis of NASH are also highlighted in the NAFLD-pathway, including mitochondria and mitochondrial dysfunction. In the figure, molecular targets that were further selected to explore protein-chemical interactions a</w:t>
      </w:r>
      <w:r>
        <w:rPr>
          <w:rFonts w:ascii="Book Antiqua" w:hAnsi="Book Antiqua"/>
        </w:rPr>
        <w:t>re highlighted by red squares.</w:t>
      </w:r>
      <w:r w:rsidRPr="003E3BEC">
        <w:rPr>
          <w:rFonts w:ascii="Book Antiqua" w:eastAsia="宋体" w:hAnsi="Book Antiqua" w:hint="eastAsia"/>
          <w:lang w:eastAsia="zh-CN"/>
        </w:rPr>
        <w:t xml:space="preserve"> </w:t>
      </w:r>
      <w:r w:rsidRPr="009169B7">
        <w:rPr>
          <w:rFonts w:ascii="Book Antiqua" w:hAnsi="Book Antiqua"/>
        </w:rPr>
        <w:t>NAFLD</w:t>
      </w:r>
      <w:r w:rsidRPr="003E3BEC">
        <w:rPr>
          <w:rFonts w:ascii="Book Antiqua" w:eastAsia="宋体" w:hAnsi="Book Antiqua" w:hint="eastAsia"/>
          <w:lang w:eastAsia="zh-CN"/>
        </w:rPr>
        <w:t xml:space="preserve">: </w:t>
      </w:r>
      <w:r w:rsidRPr="005D5F87">
        <w:rPr>
          <w:rFonts w:ascii="Book Antiqua" w:hAnsi="Book Antiqua"/>
        </w:rPr>
        <w:t>Nonalcoholic fatty liver disease</w:t>
      </w:r>
      <w:r w:rsidRPr="003E3BEC">
        <w:rPr>
          <w:rFonts w:ascii="Book Antiqua" w:eastAsia="宋体" w:hAnsi="Book Antiqua" w:hint="eastAsia"/>
          <w:lang w:eastAsia="zh-CN"/>
        </w:rPr>
        <w:t xml:space="preserve">; </w:t>
      </w:r>
      <w:r w:rsidRPr="009169B7">
        <w:rPr>
          <w:rFonts w:ascii="Book Antiqua" w:hAnsi="Book Antiqua"/>
        </w:rPr>
        <w:t>NASH</w:t>
      </w:r>
      <w:r w:rsidRPr="003E3BEC">
        <w:rPr>
          <w:rFonts w:ascii="Book Antiqua" w:eastAsia="宋体" w:hAnsi="Book Antiqua" w:hint="eastAsia"/>
          <w:lang w:eastAsia="zh-CN"/>
        </w:rPr>
        <w:t xml:space="preserve">: </w:t>
      </w:r>
      <w:r w:rsidRPr="005D5F87">
        <w:rPr>
          <w:rFonts w:ascii="Book Antiqua" w:hAnsi="Book Antiqua"/>
        </w:rPr>
        <w:t>Nonalcoholic steatohepatitis</w:t>
      </w:r>
      <w:r w:rsidRPr="003E3BEC">
        <w:rPr>
          <w:rFonts w:ascii="Book Antiqua" w:eastAsia="宋体" w:hAnsi="Book Antiqua" w:hint="eastAsia"/>
          <w:lang w:eastAsia="zh-CN"/>
        </w:rPr>
        <w:t xml:space="preserve">; </w:t>
      </w:r>
      <w:r w:rsidRPr="009169B7">
        <w:rPr>
          <w:rFonts w:ascii="Book Antiqua" w:hAnsi="Book Antiqua"/>
        </w:rPr>
        <w:t>ER</w:t>
      </w:r>
      <w:r w:rsidRPr="003E3BEC">
        <w:rPr>
          <w:rFonts w:ascii="Book Antiqua" w:eastAsia="宋体" w:hAnsi="Book Antiqua" w:hint="eastAsia"/>
          <w:lang w:eastAsia="zh-CN"/>
        </w:rPr>
        <w:t xml:space="preserve">: </w:t>
      </w:r>
      <w:r w:rsidRPr="009169B7">
        <w:rPr>
          <w:rFonts w:ascii="Book Antiqua" w:hAnsi="Book Antiqua"/>
        </w:rPr>
        <w:t>Endopla</w:t>
      </w:r>
      <w:r w:rsidR="004414CF" w:rsidRPr="003E3BEC">
        <w:rPr>
          <w:rFonts w:ascii="Book Antiqua" w:eastAsia="宋体" w:hAnsi="Book Antiqua" w:hint="eastAsia"/>
          <w:lang w:eastAsia="zh-CN"/>
        </w:rPr>
        <w:t>s</w:t>
      </w:r>
      <w:r w:rsidRPr="009169B7">
        <w:rPr>
          <w:rFonts w:ascii="Book Antiqua" w:hAnsi="Book Antiqua"/>
        </w:rPr>
        <w:t>mic reticulum</w:t>
      </w:r>
      <w:r w:rsidRPr="003E3BEC">
        <w:rPr>
          <w:rFonts w:ascii="Book Antiqua" w:eastAsia="宋体" w:hAnsi="Book Antiqua" w:hint="eastAsia"/>
          <w:lang w:eastAsia="zh-CN"/>
        </w:rPr>
        <w:t xml:space="preserve">; HCC: </w:t>
      </w:r>
      <w:r w:rsidRPr="005D5F87">
        <w:rPr>
          <w:rFonts w:ascii="Book Antiqua" w:hAnsi="Book Antiqua"/>
        </w:rPr>
        <w:t>Hepatocellular carcinoma</w:t>
      </w:r>
      <w:r w:rsidRPr="003E3BEC">
        <w:rPr>
          <w:rFonts w:ascii="Book Antiqua" w:eastAsia="宋体" w:hAnsi="Book Antiqua" w:hint="eastAsia"/>
          <w:lang w:eastAsia="zh-CN"/>
        </w:rPr>
        <w:t xml:space="preserve">; NAFL: </w:t>
      </w:r>
      <w:r w:rsidRPr="005D5F87">
        <w:rPr>
          <w:rFonts w:ascii="Book Antiqua" w:hAnsi="Book Antiqua"/>
        </w:rPr>
        <w:t>Nonalcoholic fatty liver</w:t>
      </w:r>
      <w:r w:rsidRPr="003E3BEC">
        <w:rPr>
          <w:rFonts w:ascii="Book Antiqua" w:eastAsia="宋体" w:hAnsi="Book Antiqua" w:hint="eastAsia"/>
          <w:lang w:eastAsia="zh-CN"/>
        </w:rPr>
        <w:t xml:space="preserve">; </w:t>
      </w:r>
      <w:r w:rsidR="004414CF" w:rsidRPr="009169B7">
        <w:rPr>
          <w:rFonts w:ascii="Book Antiqua" w:hAnsi="Book Antiqua"/>
        </w:rPr>
        <w:t>FAAs</w:t>
      </w:r>
      <w:r w:rsidR="004414CF" w:rsidRPr="003E3BEC">
        <w:rPr>
          <w:rFonts w:ascii="Book Antiqua" w:eastAsia="宋体" w:hAnsi="Book Antiqua" w:hint="eastAsia"/>
          <w:lang w:eastAsia="zh-CN"/>
        </w:rPr>
        <w:t xml:space="preserve">: </w:t>
      </w:r>
      <w:r w:rsidR="004414CF" w:rsidRPr="009169B7">
        <w:rPr>
          <w:rFonts w:ascii="Book Antiqua" w:hAnsi="Book Antiqua"/>
        </w:rPr>
        <w:t>Free fatty acids</w:t>
      </w:r>
      <w:r w:rsidR="004414CF" w:rsidRPr="003E3BEC">
        <w:rPr>
          <w:rFonts w:ascii="Book Antiqua" w:eastAsia="宋体" w:hAnsi="Book Antiqua" w:hint="eastAsia"/>
          <w:lang w:eastAsia="zh-CN"/>
        </w:rPr>
        <w:t xml:space="preserve">; </w:t>
      </w:r>
      <w:r w:rsidR="004414CF" w:rsidRPr="009169B7">
        <w:rPr>
          <w:rFonts w:ascii="Book Antiqua" w:hAnsi="Book Antiqua"/>
        </w:rPr>
        <w:t>TNFα</w:t>
      </w:r>
      <w:r w:rsidR="004414CF" w:rsidRPr="003E3BEC">
        <w:rPr>
          <w:rFonts w:ascii="Book Antiqua" w:eastAsia="宋体" w:hAnsi="Book Antiqua" w:hint="eastAsia"/>
          <w:lang w:eastAsia="zh-CN"/>
        </w:rPr>
        <w:t xml:space="preserve">: </w:t>
      </w:r>
      <w:r w:rsidR="004414CF" w:rsidRPr="009169B7">
        <w:rPr>
          <w:rFonts w:ascii="Book Antiqua" w:hAnsi="Book Antiqua"/>
        </w:rPr>
        <w:t>tumor necrosis factor α</w:t>
      </w:r>
      <w:r w:rsidR="004414CF" w:rsidRPr="003E3BEC">
        <w:rPr>
          <w:rFonts w:ascii="Book Antiqua" w:eastAsia="宋体" w:hAnsi="Book Antiqua" w:hint="eastAsia"/>
          <w:lang w:eastAsia="zh-CN"/>
        </w:rPr>
        <w:t>.</w:t>
      </w:r>
    </w:p>
    <w:p w:rsidR="004414CF" w:rsidRPr="003E3BEC" w:rsidRDefault="00B06D89" w:rsidP="00B26511">
      <w:pPr>
        <w:pStyle w:val="a3"/>
        <w:spacing w:before="0" w:beforeAutospacing="0" w:after="0" w:afterAutospacing="0" w:line="360" w:lineRule="auto"/>
        <w:jc w:val="both"/>
        <w:rPr>
          <w:rStyle w:val="a4"/>
          <w:rFonts w:ascii="Book Antiqua" w:eastAsia="宋体" w:hAnsi="Book Antiqua" w:hint="eastAsia"/>
          <w:lang w:eastAsia="zh-CN"/>
        </w:rPr>
      </w:pPr>
      <w:r w:rsidRPr="009169B7">
        <w:rPr>
          <w:rStyle w:val="a4"/>
          <w:rFonts w:ascii="Book Antiqua" w:hAnsi="Book Antiqua"/>
        </w:rPr>
        <w:br w:type="page"/>
      </w:r>
      <w:r w:rsidR="00171FD5">
        <w:rPr>
          <w:rFonts w:ascii="Book Antiqua" w:hAnsi="Book Antiqua"/>
          <w:b/>
          <w:bCs/>
          <w:noProof/>
          <w:lang w:eastAsia="zh-CN"/>
        </w:rPr>
        <w:lastRenderedPageBreak/>
        <w:drawing>
          <wp:inline distT="0" distB="0" distL="0" distR="0">
            <wp:extent cx="4724400" cy="3550285"/>
            <wp:effectExtent l="0" t="0" r="0" b="0"/>
            <wp:docPr id="3" name="图片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4400" cy="3550285"/>
                    </a:xfrm>
                    <a:prstGeom prst="rect">
                      <a:avLst/>
                    </a:prstGeom>
                    <a:noFill/>
                    <a:ln>
                      <a:noFill/>
                    </a:ln>
                  </pic:spPr>
                </pic:pic>
              </a:graphicData>
            </a:graphic>
          </wp:inline>
        </w:drawing>
      </w:r>
    </w:p>
    <w:p w:rsidR="00DE17D7" w:rsidRPr="00887C44" w:rsidRDefault="004414CF" w:rsidP="004414CF">
      <w:pPr>
        <w:pStyle w:val="a3"/>
        <w:spacing w:before="0" w:beforeAutospacing="0" w:after="0" w:afterAutospacing="0" w:line="360" w:lineRule="auto"/>
        <w:jc w:val="both"/>
        <w:rPr>
          <w:rFonts w:ascii="Book Antiqua" w:eastAsia="宋体" w:hAnsi="Book Antiqua" w:hint="eastAsia"/>
          <w:lang w:eastAsia="zh-CN"/>
        </w:rPr>
      </w:pPr>
      <w:r>
        <w:rPr>
          <w:rStyle w:val="a4"/>
          <w:rFonts w:ascii="Book Antiqua" w:hAnsi="Book Antiqua"/>
        </w:rPr>
        <w:t>Figure 3</w:t>
      </w:r>
      <w:r w:rsidR="00A44C25" w:rsidRPr="009169B7">
        <w:rPr>
          <w:rStyle w:val="a4"/>
          <w:rFonts w:ascii="Book Antiqua" w:hAnsi="Book Antiqua"/>
        </w:rPr>
        <w:t xml:space="preserve"> </w:t>
      </w:r>
      <w:r w:rsidR="00A44C25" w:rsidRPr="009169B7">
        <w:rPr>
          <w:rFonts w:ascii="Book Antiqua" w:hAnsi="Book Antiqua"/>
          <w:b/>
          <w:bCs/>
        </w:rPr>
        <w:t>Protein-chemical interactions and potential r</w:t>
      </w:r>
      <w:r w:rsidR="00A44C25" w:rsidRPr="009169B7">
        <w:rPr>
          <w:rFonts w:ascii="Book Antiqua" w:hAnsi="Book Antiqua"/>
          <w:b/>
        </w:rPr>
        <w:t xml:space="preserve">epurposing drugs to target </w:t>
      </w:r>
      <w:r w:rsidRPr="004414CF">
        <w:rPr>
          <w:rFonts w:ascii="Book Antiqua" w:hAnsi="Book Antiqua"/>
          <w:b/>
        </w:rPr>
        <w:t>nonalcoholic steatohepatitis</w:t>
      </w:r>
      <w:r w:rsidRPr="003E3BEC">
        <w:rPr>
          <w:rFonts w:ascii="Book Antiqua" w:eastAsia="宋体" w:hAnsi="Book Antiqua" w:hint="eastAsia"/>
          <w:b/>
          <w:lang w:eastAsia="zh-CN"/>
        </w:rPr>
        <w:t xml:space="preserve">. </w:t>
      </w:r>
      <w:r w:rsidR="00A44C25" w:rsidRPr="009169B7">
        <w:rPr>
          <w:rFonts w:ascii="Book Antiqua" w:hAnsi="Book Antiqua"/>
          <w:bCs/>
        </w:rPr>
        <w:t>W</w:t>
      </w:r>
      <w:r w:rsidR="00A44C25" w:rsidRPr="009169B7">
        <w:rPr>
          <w:rFonts w:ascii="Book Antiqua" w:hAnsi="Book Antiqua"/>
        </w:rPr>
        <w:t xml:space="preserve">e generated a protein-chemical interaction network by mapping the significant genes/proteins that are represented in the </w:t>
      </w:r>
      <w:r w:rsidRPr="004414CF">
        <w:rPr>
          <w:rFonts w:ascii="Book Antiqua" w:hAnsi="Book Antiqua"/>
        </w:rPr>
        <w:t>nonalcoholic fatty liver disease</w:t>
      </w:r>
      <w:r w:rsidRPr="004414CF">
        <w:rPr>
          <w:rStyle w:val="a4"/>
          <w:rFonts w:ascii="Book Antiqua" w:eastAsia="宋体" w:hAnsi="Book Antiqua" w:hint="eastAsia"/>
          <w:lang w:eastAsia="zh-CN"/>
        </w:rPr>
        <w:t>-</w:t>
      </w:r>
      <w:r w:rsidRPr="004414CF">
        <w:rPr>
          <w:rStyle w:val="aa"/>
          <w:rFonts w:ascii="Book Antiqua" w:hAnsi="Book Antiqua"/>
          <w:i w:val="0"/>
        </w:rPr>
        <w:t>Kyoto Encyclopedia of Genes and Genomes</w:t>
      </w:r>
      <w:r w:rsidR="00A44C25" w:rsidRPr="009169B7">
        <w:rPr>
          <w:rFonts w:ascii="Book Antiqua" w:hAnsi="Book Antiqua"/>
        </w:rPr>
        <w:t xml:space="preserve"> pathway to chemicals/drugs that are annotated in the Comparative Toxicogenomics Database. The 149 genes (seeds) from our analysis were mapped to the corresponding molecular interaction database; full list of seed genes is listed in </w:t>
      </w:r>
      <w:r w:rsidR="00A44C25" w:rsidRPr="004414CF">
        <w:rPr>
          <w:rFonts w:ascii="Book Antiqua" w:hAnsi="Book Antiqua"/>
        </w:rPr>
        <w:t>Table 1</w:t>
      </w:r>
      <w:r>
        <w:rPr>
          <w:rFonts w:ascii="Book Antiqua" w:hAnsi="Book Antiqua"/>
        </w:rPr>
        <w:t xml:space="preserve">. </w:t>
      </w:r>
      <w:r w:rsidR="00A44C25" w:rsidRPr="009169B7">
        <w:rPr>
          <w:rFonts w:ascii="Book Antiqua" w:hAnsi="Book Antiqua"/>
        </w:rPr>
        <w:t xml:space="preserve">This analysis generated a huge network composed of </w:t>
      </w:r>
      <w:r w:rsidRPr="003E3BEC">
        <w:rPr>
          <w:rFonts w:ascii="Book Antiqua" w:eastAsia="宋体" w:hAnsi="Book Antiqua" w:hint="eastAsia"/>
          <w:lang w:eastAsia="zh-CN"/>
        </w:rPr>
        <w:t>approximately</w:t>
      </w:r>
      <w:r w:rsidR="00A44C25" w:rsidRPr="009169B7">
        <w:rPr>
          <w:rFonts w:ascii="Book Antiqua" w:hAnsi="Book Antiqua"/>
        </w:rPr>
        <w:t xml:space="preserve"> 2000 nodes. Current figure shows chemical-drug-interactions specifically focused on selected genes/proteins of potential interest, including members of the caspase family (CASP3 and CASP7), interleukins (IL1B, IL1A, and IL6), tumor necrosis factor α (TNF</w:t>
      </w:r>
      <w:r w:rsidRPr="003E3BEC">
        <w:rPr>
          <w:rFonts w:ascii="Book Antiqua" w:eastAsia="宋体" w:hAnsi="Book Antiqua" w:hint="eastAsia"/>
          <w:lang w:eastAsia="zh-CN"/>
        </w:rPr>
        <w:t>-</w:t>
      </w:r>
      <w:r w:rsidR="00A44C25" w:rsidRPr="009169B7">
        <w:rPr>
          <w:rFonts w:ascii="Book Antiqua" w:hAnsi="Book Antiqua"/>
        </w:rPr>
        <w:t xml:space="preserve">α), NFKB1 (Nuclear </w:t>
      </w:r>
      <w:r w:rsidRPr="009169B7">
        <w:rPr>
          <w:rFonts w:ascii="Book Antiqua" w:hAnsi="Book Antiqua"/>
        </w:rPr>
        <w:t>factor kappa B subuni</w:t>
      </w:r>
      <w:r w:rsidR="00A44C25" w:rsidRPr="009169B7">
        <w:rPr>
          <w:rFonts w:ascii="Book Antiqua" w:hAnsi="Book Antiqua"/>
        </w:rPr>
        <w:t>t 1) and IKBKB (</w:t>
      </w:r>
      <w:r w:rsidRPr="009169B7">
        <w:rPr>
          <w:rFonts w:ascii="Book Antiqua" w:hAnsi="Book Antiqua"/>
        </w:rPr>
        <w:t>inhibitor of nuclear factor kappa B kinase subunit be</w:t>
      </w:r>
      <w:r w:rsidR="00A44C25" w:rsidRPr="009169B7">
        <w:rPr>
          <w:rFonts w:ascii="Book Antiqua" w:hAnsi="Book Antiqua"/>
        </w:rPr>
        <w:t>ta), JUN (</w:t>
      </w:r>
      <w:r w:rsidR="00A44C25" w:rsidRPr="009169B7">
        <w:rPr>
          <w:rStyle w:val="hilite1"/>
          <w:rFonts w:ascii="Book Antiqua" w:hAnsi="Book Antiqua"/>
        </w:rPr>
        <w:t>Jun</w:t>
      </w:r>
      <w:r w:rsidRPr="009169B7">
        <w:rPr>
          <w:rFonts w:ascii="Book Antiqua" w:hAnsi="Book Antiqua"/>
        </w:rPr>
        <w:t xml:space="preserve"> proto-oncogene</w:t>
      </w:r>
      <w:r w:rsidR="00A44C25" w:rsidRPr="009169B7">
        <w:rPr>
          <w:rFonts w:ascii="Book Antiqua" w:hAnsi="Book Antiqua"/>
        </w:rPr>
        <w:t xml:space="preserve">, AP-1 </w:t>
      </w:r>
      <w:r w:rsidRPr="009169B7">
        <w:rPr>
          <w:rFonts w:ascii="Book Antiqua" w:hAnsi="Book Antiqua"/>
        </w:rPr>
        <w:t>transcription factor subunit</w:t>
      </w:r>
      <w:r w:rsidR="00A44C25" w:rsidRPr="009169B7">
        <w:rPr>
          <w:rFonts w:ascii="Book Antiqua" w:hAnsi="Book Antiqua"/>
        </w:rPr>
        <w:t xml:space="preserve">), AKT1 (AKT </w:t>
      </w:r>
      <w:r w:rsidRPr="009169B7">
        <w:rPr>
          <w:rFonts w:ascii="Book Antiqua" w:hAnsi="Book Antiqua"/>
        </w:rPr>
        <w:t>serine/threonine kinase</w:t>
      </w:r>
      <w:r w:rsidR="00A44C25" w:rsidRPr="009169B7">
        <w:rPr>
          <w:rFonts w:ascii="Book Antiqua" w:hAnsi="Book Antiqua"/>
        </w:rPr>
        <w:t xml:space="preserve"> 1). In green charts we summarized information on current use and kn</w:t>
      </w:r>
      <w:r>
        <w:rPr>
          <w:rFonts w:ascii="Book Antiqua" w:hAnsi="Book Antiqua"/>
        </w:rPr>
        <w:t>own action of selected drugs.</w:t>
      </w:r>
      <w:r w:rsidRPr="003E3BEC">
        <w:rPr>
          <w:rFonts w:ascii="Book Antiqua" w:eastAsia="宋体" w:hAnsi="Book Antiqua" w:hint="eastAsia"/>
          <w:lang w:eastAsia="zh-CN"/>
        </w:rPr>
        <w:t xml:space="preserve"> </w:t>
      </w:r>
      <w:r w:rsidR="00A44C25" w:rsidRPr="009169B7">
        <w:rPr>
          <w:rFonts w:ascii="Book Antiqua" w:hAnsi="Book Antiqua"/>
          <w:bCs/>
        </w:rPr>
        <w:t xml:space="preserve">Interaction network was predicted by the Networkanalyst resource available at https://www.networkanalyst.ca/faces/home.xhtml. </w:t>
      </w:r>
      <w:r w:rsidR="00A44C25" w:rsidRPr="009169B7">
        <w:rPr>
          <w:rFonts w:ascii="Book Antiqua" w:hAnsi="Book Antiqua"/>
        </w:rPr>
        <w:t>The network is shown as a Cytoscape graph.</w:t>
      </w:r>
    </w:p>
    <w:p w:rsidR="004414CF" w:rsidRPr="003E3BEC" w:rsidRDefault="00171FD5" w:rsidP="004414CF">
      <w:pPr>
        <w:pStyle w:val="a3"/>
        <w:spacing w:before="0" w:beforeAutospacing="0" w:after="0" w:afterAutospacing="0" w:line="360" w:lineRule="auto"/>
        <w:jc w:val="both"/>
        <w:rPr>
          <w:rStyle w:val="a4"/>
          <w:rFonts w:ascii="Book Antiqua" w:eastAsia="宋体" w:hAnsi="Book Antiqua" w:hint="eastAsia"/>
          <w:lang w:eastAsia="zh-CN"/>
        </w:rPr>
      </w:pPr>
      <w:r>
        <w:rPr>
          <w:rFonts w:ascii="Book Antiqua" w:hAnsi="Book Antiqua"/>
          <w:b/>
          <w:bCs/>
          <w:noProof/>
          <w:lang w:eastAsia="zh-CN"/>
        </w:rPr>
        <w:lastRenderedPageBreak/>
        <w:drawing>
          <wp:inline distT="0" distB="0" distL="0" distR="0">
            <wp:extent cx="5226685" cy="3926840"/>
            <wp:effectExtent l="0" t="0" r="0" b="0"/>
            <wp:docPr id="4" name="图片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6685" cy="3926840"/>
                    </a:xfrm>
                    <a:prstGeom prst="rect">
                      <a:avLst/>
                    </a:prstGeom>
                    <a:noFill/>
                    <a:ln>
                      <a:noFill/>
                    </a:ln>
                  </pic:spPr>
                </pic:pic>
              </a:graphicData>
            </a:graphic>
          </wp:inline>
        </w:drawing>
      </w:r>
    </w:p>
    <w:p w:rsidR="00A44C25" w:rsidRPr="003E3BEC" w:rsidRDefault="00A44C25" w:rsidP="004414CF">
      <w:pPr>
        <w:pStyle w:val="1uc14g3"/>
        <w:spacing w:before="0" w:beforeAutospacing="0" w:after="0" w:afterAutospacing="0" w:line="360" w:lineRule="auto"/>
        <w:jc w:val="both"/>
        <w:rPr>
          <w:rFonts w:ascii="Book Antiqua" w:eastAsia="宋体" w:hAnsi="Book Antiqua" w:hint="eastAsia"/>
          <w:bCs/>
          <w:lang w:eastAsia="zh-CN"/>
        </w:rPr>
      </w:pPr>
      <w:r w:rsidRPr="009169B7">
        <w:rPr>
          <w:rStyle w:val="a4"/>
          <w:rFonts w:ascii="Book Antiqua" w:hAnsi="Book Antiqua"/>
        </w:rPr>
        <w:t xml:space="preserve">Figure 4 </w:t>
      </w:r>
      <w:bookmarkStart w:id="118" w:name="OLE_LINK772"/>
      <w:bookmarkStart w:id="119" w:name="OLE_LINK773"/>
      <w:r w:rsidR="006927CC" w:rsidRPr="006927CC">
        <w:rPr>
          <w:rFonts w:ascii="Book Antiqua" w:hAnsi="Book Antiqua"/>
          <w:b/>
        </w:rPr>
        <w:t>Farnesoid</w:t>
      </w:r>
      <w:bookmarkEnd w:id="118"/>
      <w:bookmarkEnd w:id="119"/>
      <w:r w:rsidR="006927CC" w:rsidRPr="006927CC">
        <w:rPr>
          <w:rFonts w:ascii="Book Antiqua" w:hAnsi="Book Antiqua"/>
          <w:b/>
        </w:rPr>
        <w:t xml:space="preserve"> X nuclear receptor</w:t>
      </w:r>
      <w:r w:rsidR="006927CC" w:rsidRPr="009169B7">
        <w:rPr>
          <w:rFonts w:ascii="Book Antiqua" w:hAnsi="Book Antiqua"/>
          <w:b/>
          <w:bCs/>
        </w:rPr>
        <w:t xml:space="preserve"> </w:t>
      </w:r>
      <w:r w:rsidR="006927CC" w:rsidRPr="003E3BEC">
        <w:rPr>
          <w:rFonts w:ascii="Book Antiqua" w:eastAsia="宋体" w:hAnsi="Book Antiqua" w:hint="eastAsia"/>
          <w:b/>
          <w:bCs/>
          <w:lang w:eastAsia="zh-CN"/>
        </w:rPr>
        <w:t>(</w:t>
      </w:r>
      <w:r w:rsidR="006927CC" w:rsidRPr="009169B7">
        <w:rPr>
          <w:rFonts w:ascii="Book Antiqua" w:hAnsi="Book Antiqua"/>
          <w:b/>
          <w:bCs/>
        </w:rPr>
        <w:t>n</w:t>
      </w:r>
      <w:r w:rsidRPr="009169B7">
        <w:rPr>
          <w:rFonts w:ascii="Book Antiqua" w:hAnsi="Book Antiqua"/>
          <w:b/>
          <w:bCs/>
        </w:rPr>
        <w:t>uclear hormone receptor subfamily 1 group H member 4</w:t>
      </w:r>
      <w:r w:rsidR="006927CC" w:rsidRPr="003E3BEC">
        <w:rPr>
          <w:rFonts w:ascii="Book Antiqua" w:eastAsia="宋体" w:hAnsi="Book Antiqua" w:hint="eastAsia"/>
          <w:b/>
          <w:bCs/>
          <w:lang w:eastAsia="zh-CN"/>
        </w:rPr>
        <w:t>)</w:t>
      </w:r>
      <w:r w:rsidRPr="009169B7">
        <w:rPr>
          <w:rFonts w:ascii="Book Antiqua" w:hAnsi="Book Antiqua"/>
          <w:b/>
          <w:bCs/>
        </w:rPr>
        <w:t>: Analysis of pleiotropy</w:t>
      </w:r>
      <w:r w:rsidR="004414CF" w:rsidRPr="003E3BEC">
        <w:rPr>
          <w:rFonts w:ascii="Book Antiqua" w:eastAsia="宋体" w:hAnsi="Book Antiqua" w:hint="eastAsia"/>
          <w:b/>
          <w:bCs/>
          <w:lang w:eastAsia="zh-CN"/>
        </w:rPr>
        <w:t>.</w:t>
      </w:r>
      <w:r w:rsidRPr="009169B7">
        <w:rPr>
          <w:rFonts w:ascii="Book Antiqua" w:hAnsi="Book Antiqua"/>
          <w:b/>
          <w:bCs/>
        </w:rPr>
        <w:t xml:space="preserve"> </w:t>
      </w:r>
      <w:r w:rsidRPr="009169B7">
        <w:rPr>
          <w:rFonts w:ascii="Book Antiqua" w:hAnsi="Book Antiqua"/>
          <w:bCs/>
        </w:rPr>
        <w:t xml:space="preserve">A: Graph shows all predicted diseases associated with </w:t>
      </w:r>
      <w:r w:rsidR="006927CC" w:rsidRPr="006927CC">
        <w:rPr>
          <w:rFonts w:ascii="Book Antiqua" w:hAnsi="Book Antiqua"/>
        </w:rPr>
        <w:t>farnesoid X nuclear receptor</w:t>
      </w:r>
      <w:r w:rsidR="004414CF" w:rsidRPr="003E3BEC">
        <w:rPr>
          <w:rFonts w:ascii="Book Antiqua" w:eastAsia="宋体" w:hAnsi="Book Antiqua" w:hint="eastAsia"/>
          <w:bCs/>
          <w:lang w:eastAsia="zh-CN"/>
        </w:rPr>
        <w:t>;</w:t>
      </w:r>
      <w:r w:rsidRPr="009169B7">
        <w:rPr>
          <w:rFonts w:ascii="Book Antiqua" w:hAnsi="Book Antiqua"/>
          <w:bCs/>
        </w:rPr>
        <w:t xml:space="preserve"> </w:t>
      </w:r>
      <w:r w:rsidR="004414CF" w:rsidRPr="009169B7">
        <w:rPr>
          <w:rFonts w:ascii="Book Antiqua" w:hAnsi="Book Antiqua"/>
        </w:rPr>
        <w:t xml:space="preserve">B: Clinical trials of drugs that target </w:t>
      </w:r>
      <w:r w:rsidR="006927CC" w:rsidRPr="006927CC">
        <w:rPr>
          <w:rFonts w:ascii="Book Antiqua" w:hAnsi="Book Antiqua"/>
        </w:rPr>
        <w:t>farnesoid X nuclear receptor</w:t>
      </w:r>
      <w:r w:rsidR="004414CF" w:rsidRPr="009169B7">
        <w:rPr>
          <w:rFonts w:ascii="Book Antiqua" w:hAnsi="Book Antiqua"/>
        </w:rPr>
        <w:t xml:space="preserve">. Predictions were explored in </w:t>
      </w:r>
      <w:r w:rsidR="004414CF" w:rsidRPr="009169B7">
        <w:rPr>
          <w:rStyle w:val="2he8v2h"/>
          <w:rFonts w:ascii="Book Antiqua" w:eastAsia="Calibri" w:hAnsi="Book Antiqua"/>
        </w:rPr>
        <w:t>The Open Targets Platform that allows prioritisation of drug targets based on the strength of their association with a disease (</w:t>
      </w:r>
      <w:hyperlink r:id="rId18" w:history="1">
        <w:r w:rsidR="004414CF" w:rsidRPr="009169B7">
          <w:rPr>
            <w:rStyle w:val="a6"/>
            <w:rFonts w:ascii="Book Antiqua" w:hAnsi="Book Antiqua"/>
            <w:bCs/>
            <w:color w:val="auto"/>
          </w:rPr>
          <w:t>https://www.targetvalidation.org/</w:t>
        </w:r>
      </w:hyperlink>
      <w:r w:rsidR="004414CF" w:rsidRPr="009169B7">
        <w:rPr>
          <w:rFonts w:ascii="Book Antiqua" w:hAnsi="Book Antiqua"/>
          <w:bCs/>
        </w:rPr>
        <w:t>)</w:t>
      </w:r>
      <w:r w:rsidR="004414CF" w:rsidRPr="003E3BEC">
        <w:rPr>
          <w:rFonts w:ascii="Book Antiqua" w:eastAsia="宋体" w:hAnsi="Book Antiqua" w:hint="eastAsia"/>
          <w:bCs/>
          <w:lang w:eastAsia="zh-CN"/>
        </w:rPr>
        <w:t xml:space="preserve">; </w:t>
      </w:r>
      <w:r w:rsidR="004414CF" w:rsidRPr="004414CF">
        <w:rPr>
          <w:rFonts w:ascii="Book Antiqua" w:hAnsi="Book Antiqua"/>
        </w:rPr>
        <w:t xml:space="preserve">C: Evidence curated from ClinicalTrials.gov, a database of privately and publicly funded clinical studies conducted around the world. </w:t>
      </w:r>
      <w:hyperlink r:id="rId19" w:history="1">
        <w:r w:rsidR="004414CF" w:rsidRPr="004414CF">
          <w:rPr>
            <w:rStyle w:val="a6"/>
            <w:rFonts w:ascii="Book Antiqua" w:hAnsi="Book Antiqua"/>
            <w:color w:val="auto"/>
          </w:rPr>
          <w:t>https://clinicaltrials.gov/</w:t>
        </w:r>
      </w:hyperlink>
      <w:r w:rsidR="004414CF" w:rsidRPr="004414CF">
        <w:rPr>
          <w:rFonts w:ascii="Book Antiqua" w:hAnsi="Book Antiqua"/>
        </w:rPr>
        <w:t>.</w:t>
      </w:r>
      <w:r w:rsidR="004414CF" w:rsidRPr="003E3BEC">
        <w:rPr>
          <w:rFonts w:ascii="Book Antiqua" w:eastAsia="宋体" w:hAnsi="Book Antiqua" w:hint="eastAsia"/>
          <w:lang w:eastAsia="zh-CN"/>
        </w:rPr>
        <w:t xml:space="preserve"> </w:t>
      </w:r>
      <w:r w:rsidRPr="009169B7">
        <w:rPr>
          <w:rFonts w:ascii="Book Antiqua" w:hAnsi="Book Antiqua"/>
          <w:bCs/>
        </w:rPr>
        <w:t>D</w:t>
      </w:r>
      <w:r w:rsidRPr="009169B7">
        <w:rPr>
          <w:rFonts w:ascii="Book Antiqua" w:hAnsi="Book Antiqua"/>
        </w:rPr>
        <w:t xml:space="preserve">iseases are presented as bubbles grouped into therapeutic areas using their </w:t>
      </w:r>
      <w:r w:rsidR="006927CC">
        <w:rPr>
          <w:rFonts w:ascii="Book Antiqua" w:hAnsi="Book Antiqua"/>
        </w:rPr>
        <w:t>Experimental Factor Ontology</w:t>
      </w:r>
      <w:r w:rsidRPr="009169B7">
        <w:rPr>
          <w:rFonts w:ascii="Book Antiqua" w:hAnsi="Book Antiqua"/>
        </w:rPr>
        <w:t xml:space="preserve"> relationships. The size and shade of the color of each bubble is proportional to the strength of associatio</w:t>
      </w:r>
      <w:r w:rsidR="006927CC">
        <w:rPr>
          <w:rFonts w:ascii="Book Antiqua" w:hAnsi="Book Antiqua"/>
        </w:rPr>
        <w:t xml:space="preserve">n between the disease and </w:t>
      </w:r>
      <w:r w:rsidR="006927CC" w:rsidRPr="006927CC">
        <w:rPr>
          <w:rFonts w:ascii="Book Antiqua" w:hAnsi="Book Antiqua"/>
        </w:rPr>
        <w:t>farnesoid X nuclear receptor</w:t>
      </w:r>
      <w:r w:rsidR="006927CC">
        <w:rPr>
          <w:rFonts w:ascii="Book Antiqua" w:hAnsi="Book Antiqua"/>
        </w:rPr>
        <w:t xml:space="preserve">. </w:t>
      </w:r>
      <w:r w:rsidRPr="009169B7">
        <w:rPr>
          <w:rFonts w:ascii="Book Antiqua" w:hAnsi="Book Antiqua"/>
        </w:rPr>
        <w:t xml:space="preserve">The concept of a target-disease association is based on the analysis of several resources, including genetic associations (GWAS Catalog, UniProt, European Variation Archive, Gene2Phenotype), somatic mutations (Cancer Gene Census, European Variation Archive somatic, IntOGen), RNA expression (expression atlas), drugs (ChEMBL), affected pathways (Reactome), animal models (PhenoDigm) and text mining </w:t>
      </w:r>
      <w:r w:rsidRPr="009169B7">
        <w:rPr>
          <w:rFonts w:ascii="Book Antiqua" w:hAnsi="Book Antiqua"/>
        </w:rPr>
        <w:lastRenderedPageBreak/>
        <w:t xml:space="preserve">(Europe PMC). The platform is available at </w:t>
      </w:r>
      <w:hyperlink r:id="rId20" w:tgtFrame="_blank" w:history="1">
        <w:r w:rsidRPr="009169B7">
          <w:rPr>
            <w:rStyle w:val="a6"/>
            <w:rFonts w:ascii="Book Antiqua" w:hAnsi="Book Antiqua"/>
            <w:color w:val="auto"/>
          </w:rPr>
          <w:t>https://www.targetvalidation.org</w:t>
        </w:r>
      </w:hyperlink>
      <w:r w:rsidRPr="009169B7">
        <w:rPr>
          <w:rFonts w:ascii="Book Antiqua" w:hAnsi="Book Antiqua"/>
        </w:rPr>
        <w:t xml:space="preserve">. </w:t>
      </w:r>
      <w:r w:rsidRPr="004414CF">
        <w:rPr>
          <w:rFonts w:ascii="Book Antiqua" w:hAnsi="Book Antiqua"/>
          <w:bCs/>
        </w:rPr>
        <w:t>Data last updated December 2018</w:t>
      </w:r>
      <w:r w:rsidR="004414CF" w:rsidRPr="003E3BEC">
        <w:rPr>
          <w:rFonts w:ascii="Book Antiqua" w:eastAsia="宋体" w:hAnsi="Book Antiqua" w:hint="eastAsia"/>
          <w:bCs/>
          <w:lang w:eastAsia="zh-CN"/>
        </w:rPr>
        <w:t>.</w:t>
      </w:r>
    </w:p>
    <w:p w:rsidR="00135878" w:rsidRDefault="00B06D89" w:rsidP="00B26511">
      <w:pPr>
        <w:autoSpaceDE w:val="0"/>
        <w:autoSpaceDN w:val="0"/>
        <w:adjustRightInd w:val="0"/>
        <w:spacing w:after="0" w:line="360" w:lineRule="auto"/>
        <w:jc w:val="both"/>
        <w:rPr>
          <w:rStyle w:val="a4"/>
          <w:rFonts w:ascii="Book Antiqua" w:hAnsi="Book Antiqua" w:hint="eastAsia"/>
          <w:sz w:val="24"/>
          <w:szCs w:val="24"/>
          <w:lang w:eastAsia="zh-CN"/>
        </w:rPr>
      </w:pPr>
      <w:r w:rsidRPr="009169B7">
        <w:rPr>
          <w:rStyle w:val="a4"/>
          <w:rFonts w:ascii="Book Antiqua" w:hAnsi="Book Antiqua"/>
          <w:sz w:val="24"/>
          <w:szCs w:val="24"/>
        </w:rPr>
        <w:br w:type="page"/>
      </w:r>
      <w:r w:rsidR="00171FD5">
        <w:rPr>
          <w:rFonts w:ascii="Book Antiqua" w:hAnsi="Book Antiqua" w:hint="eastAsia"/>
          <w:b/>
          <w:bCs/>
          <w:noProof/>
          <w:lang w:eastAsia="zh-CN"/>
        </w:rPr>
        <w:lastRenderedPageBreak/>
        <w:drawing>
          <wp:inline distT="0" distB="0" distL="0" distR="0">
            <wp:extent cx="5055870" cy="3810000"/>
            <wp:effectExtent l="0" t="0" r="0" b="0"/>
            <wp:docPr id="5" name="图片 5"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5870" cy="3810000"/>
                    </a:xfrm>
                    <a:prstGeom prst="rect">
                      <a:avLst/>
                    </a:prstGeom>
                    <a:noFill/>
                    <a:ln>
                      <a:noFill/>
                    </a:ln>
                  </pic:spPr>
                </pic:pic>
              </a:graphicData>
            </a:graphic>
          </wp:inline>
        </w:drawing>
      </w:r>
    </w:p>
    <w:p w:rsidR="00A44C25" w:rsidRPr="006927CC" w:rsidRDefault="00A44C25" w:rsidP="00B26511">
      <w:pPr>
        <w:autoSpaceDE w:val="0"/>
        <w:autoSpaceDN w:val="0"/>
        <w:adjustRightInd w:val="0"/>
        <w:spacing w:after="0" w:line="360" w:lineRule="auto"/>
        <w:jc w:val="both"/>
        <w:rPr>
          <w:rFonts w:ascii="Book Antiqua" w:hAnsi="Book Antiqua"/>
          <w:b/>
          <w:bCs/>
          <w:sz w:val="24"/>
          <w:szCs w:val="24"/>
        </w:rPr>
      </w:pPr>
      <w:r w:rsidRPr="009169B7">
        <w:rPr>
          <w:rStyle w:val="a4"/>
          <w:rFonts w:ascii="Book Antiqua" w:hAnsi="Book Antiqua"/>
          <w:sz w:val="24"/>
          <w:szCs w:val="24"/>
        </w:rPr>
        <w:t xml:space="preserve">Figure 5 The complexity of molecular targets and novel </w:t>
      </w:r>
      <w:r w:rsidR="006927CC" w:rsidRPr="004414CF">
        <w:rPr>
          <w:rFonts w:ascii="Book Antiqua" w:hAnsi="Book Antiqua"/>
          <w:b/>
        </w:rPr>
        <w:t>n</w:t>
      </w:r>
      <w:r w:rsidR="006927CC" w:rsidRPr="004414CF">
        <w:rPr>
          <w:rFonts w:ascii="Book Antiqua" w:hAnsi="Book Antiqua"/>
          <w:b/>
          <w:sz w:val="24"/>
          <w:szCs w:val="24"/>
        </w:rPr>
        <w:t>onalcoholic steatohepatitis</w:t>
      </w:r>
      <w:r w:rsidR="006927CC">
        <w:rPr>
          <w:rStyle w:val="a4"/>
          <w:rFonts w:ascii="Book Antiqua" w:hAnsi="Book Antiqua" w:hint="eastAsia"/>
          <w:sz w:val="24"/>
          <w:szCs w:val="24"/>
          <w:lang w:eastAsia="zh-CN"/>
        </w:rPr>
        <w:t xml:space="preserve"> </w:t>
      </w:r>
      <w:r w:rsidRPr="009169B7">
        <w:rPr>
          <w:rStyle w:val="a4"/>
          <w:rFonts w:ascii="Book Antiqua" w:hAnsi="Book Antiqua"/>
          <w:sz w:val="24"/>
          <w:szCs w:val="24"/>
        </w:rPr>
        <w:t xml:space="preserve">drugs: Pleiotropy assessed in the </w:t>
      </w:r>
      <w:r w:rsidRPr="009169B7">
        <w:rPr>
          <w:rFonts w:ascii="Book Antiqua" w:hAnsi="Book Antiqua"/>
          <w:b/>
          <w:bCs/>
          <w:iCs/>
          <w:sz w:val="24"/>
          <w:szCs w:val="24"/>
        </w:rPr>
        <w:t>PheWAS U</w:t>
      </w:r>
      <w:r w:rsidR="006927CC">
        <w:rPr>
          <w:rFonts w:ascii="Book Antiqua" w:hAnsi="Book Antiqua" w:hint="eastAsia"/>
          <w:b/>
          <w:bCs/>
          <w:iCs/>
          <w:sz w:val="24"/>
          <w:szCs w:val="24"/>
          <w:lang w:eastAsia="zh-CN"/>
        </w:rPr>
        <w:t>nited Kindom</w:t>
      </w:r>
      <w:r w:rsidRPr="009169B7">
        <w:rPr>
          <w:rFonts w:ascii="Book Antiqua" w:hAnsi="Book Antiqua"/>
          <w:b/>
          <w:bCs/>
          <w:iCs/>
          <w:sz w:val="24"/>
          <w:szCs w:val="24"/>
        </w:rPr>
        <w:t xml:space="preserve"> Biobank</w:t>
      </w:r>
      <w:r w:rsidR="006927CC">
        <w:rPr>
          <w:rFonts w:ascii="Book Antiqua" w:hAnsi="Book Antiqua" w:hint="eastAsia"/>
          <w:b/>
          <w:bCs/>
          <w:iCs/>
          <w:sz w:val="24"/>
          <w:szCs w:val="24"/>
          <w:lang w:eastAsia="zh-CN"/>
        </w:rPr>
        <w:t>.</w:t>
      </w:r>
      <w:r w:rsidRPr="009169B7">
        <w:rPr>
          <w:rFonts w:ascii="Book Antiqua" w:hAnsi="Book Antiqua"/>
          <w:b/>
          <w:bCs/>
          <w:i/>
          <w:iCs/>
          <w:sz w:val="24"/>
          <w:szCs w:val="24"/>
        </w:rPr>
        <w:t xml:space="preserve"> </w:t>
      </w:r>
      <w:r w:rsidRPr="009169B7">
        <w:rPr>
          <w:rStyle w:val="a4"/>
          <w:rFonts w:ascii="Book Antiqua" w:hAnsi="Book Antiqua"/>
          <w:b w:val="0"/>
          <w:sz w:val="24"/>
          <w:szCs w:val="24"/>
        </w:rPr>
        <w:t xml:space="preserve">Figure shows </w:t>
      </w:r>
      <w:r w:rsidRPr="009169B7">
        <w:rPr>
          <w:rFonts w:ascii="Book Antiqua" w:hAnsi="Book Antiqua"/>
          <w:bCs/>
          <w:sz w:val="24"/>
          <w:szCs w:val="24"/>
        </w:rPr>
        <w:t xml:space="preserve">associations between gene variants in five </w:t>
      </w:r>
      <w:r w:rsidR="006927CC" w:rsidRPr="006927CC">
        <w:rPr>
          <w:rFonts w:ascii="Book Antiqua" w:hAnsi="Book Antiqua"/>
        </w:rPr>
        <w:t>n</w:t>
      </w:r>
      <w:r w:rsidR="006927CC" w:rsidRPr="006927CC">
        <w:rPr>
          <w:rFonts w:ascii="Book Antiqua" w:hAnsi="Book Antiqua"/>
          <w:sz w:val="24"/>
          <w:szCs w:val="24"/>
        </w:rPr>
        <w:t>onalcoholic steatohepatitis</w:t>
      </w:r>
      <w:r w:rsidRPr="009169B7">
        <w:rPr>
          <w:rFonts w:ascii="Book Antiqua" w:hAnsi="Book Antiqua"/>
          <w:bCs/>
          <w:sz w:val="24"/>
          <w:szCs w:val="24"/>
        </w:rPr>
        <w:t>-related molecular targets (</w:t>
      </w:r>
      <w:r w:rsidRPr="009169B7">
        <w:rPr>
          <w:rFonts w:ascii="Book Antiqua" w:hAnsi="Book Antiqua"/>
          <w:i/>
          <w:sz w:val="24"/>
          <w:szCs w:val="24"/>
        </w:rPr>
        <w:t>MAP3K5/ASK1</w:t>
      </w:r>
      <w:r w:rsidRPr="009169B7">
        <w:rPr>
          <w:rFonts w:ascii="Book Antiqua" w:hAnsi="Book Antiqua"/>
          <w:sz w:val="24"/>
          <w:szCs w:val="24"/>
        </w:rPr>
        <w:t xml:space="preserve">, </w:t>
      </w:r>
      <w:r w:rsidRPr="009169B7">
        <w:rPr>
          <w:rFonts w:ascii="Book Antiqua" w:hAnsi="Book Antiqua"/>
          <w:i/>
          <w:sz w:val="24"/>
          <w:szCs w:val="24"/>
        </w:rPr>
        <w:t>FXR</w:t>
      </w:r>
      <w:r w:rsidRPr="009169B7">
        <w:rPr>
          <w:rFonts w:ascii="Book Antiqua" w:hAnsi="Book Antiqua"/>
          <w:sz w:val="24"/>
          <w:szCs w:val="24"/>
        </w:rPr>
        <w:t xml:space="preserve">, </w:t>
      </w:r>
      <w:r w:rsidRPr="009169B7">
        <w:rPr>
          <w:rFonts w:ascii="Book Antiqua" w:hAnsi="Book Antiqua"/>
          <w:i/>
          <w:sz w:val="24"/>
          <w:szCs w:val="24"/>
        </w:rPr>
        <w:t>PPARα/δ</w:t>
      </w:r>
      <w:r w:rsidRPr="009169B7">
        <w:rPr>
          <w:rFonts w:ascii="Book Antiqua" w:hAnsi="Book Antiqua"/>
          <w:sz w:val="24"/>
          <w:szCs w:val="24"/>
        </w:rPr>
        <w:t xml:space="preserve">, </w:t>
      </w:r>
      <w:r w:rsidRPr="009169B7">
        <w:rPr>
          <w:rFonts w:ascii="Book Antiqua" w:hAnsi="Book Antiqua"/>
          <w:i/>
          <w:sz w:val="24"/>
          <w:szCs w:val="24"/>
        </w:rPr>
        <w:t>THRβ</w:t>
      </w:r>
      <w:r w:rsidRPr="009169B7">
        <w:rPr>
          <w:rFonts w:ascii="Book Antiqua" w:hAnsi="Book Antiqua"/>
          <w:sz w:val="24"/>
          <w:szCs w:val="24"/>
        </w:rPr>
        <w:t xml:space="preserve">, and </w:t>
      </w:r>
      <w:r w:rsidRPr="009169B7">
        <w:rPr>
          <w:rFonts w:ascii="Book Antiqua" w:hAnsi="Book Antiqua"/>
          <w:i/>
          <w:sz w:val="24"/>
          <w:szCs w:val="24"/>
        </w:rPr>
        <w:t>MPC1)</w:t>
      </w:r>
      <w:r w:rsidRPr="009169B7">
        <w:rPr>
          <w:rFonts w:ascii="Book Antiqua" w:hAnsi="Book Antiqua"/>
          <w:sz w:val="24"/>
          <w:szCs w:val="24"/>
        </w:rPr>
        <w:t xml:space="preserve"> </w:t>
      </w:r>
      <w:r w:rsidRPr="009169B7">
        <w:rPr>
          <w:rFonts w:ascii="Book Antiqua" w:hAnsi="Book Antiqua"/>
          <w:bCs/>
          <w:sz w:val="24"/>
          <w:szCs w:val="24"/>
        </w:rPr>
        <w:t>with different traits and phenotypes in the UK-</w:t>
      </w:r>
      <w:r w:rsidRPr="009169B7">
        <w:rPr>
          <w:rStyle w:val="lead-in"/>
          <w:rFonts w:ascii="Book Antiqua" w:hAnsi="Book Antiqua"/>
          <w:sz w:val="24"/>
          <w:szCs w:val="24"/>
        </w:rPr>
        <w:t>PheWAS</w:t>
      </w:r>
      <w:r w:rsidRPr="009169B7">
        <w:rPr>
          <w:rFonts w:ascii="Book Antiqua" w:hAnsi="Book Antiqua"/>
          <w:bCs/>
          <w:sz w:val="24"/>
          <w:szCs w:val="24"/>
        </w:rPr>
        <w:t xml:space="preserve"> (</w:t>
      </w:r>
      <w:r w:rsidRPr="009169B7">
        <w:rPr>
          <w:rStyle w:val="lead-in"/>
          <w:rFonts w:ascii="Book Antiqua" w:hAnsi="Book Antiqua"/>
          <w:sz w:val="24"/>
          <w:szCs w:val="24"/>
        </w:rPr>
        <w:t xml:space="preserve">Phenome-wide association study). Information regarding </w:t>
      </w:r>
      <w:r w:rsidR="006927CC" w:rsidRPr="006927CC">
        <w:rPr>
          <w:rFonts w:ascii="Book Antiqua" w:hAnsi="Book Antiqua"/>
          <w:sz w:val="24"/>
          <w:szCs w:val="24"/>
        </w:rPr>
        <w:t xml:space="preserve">single nucleotide polymorphisms </w:t>
      </w:r>
      <w:r w:rsidRPr="009169B7">
        <w:rPr>
          <w:rStyle w:val="lead-in"/>
          <w:rFonts w:ascii="Book Antiqua" w:hAnsi="Book Antiqua"/>
          <w:sz w:val="24"/>
          <w:szCs w:val="24"/>
        </w:rPr>
        <w:t xml:space="preserve">and associations were retrieved from the </w:t>
      </w:r>
      <w:r w:rsidRPr="009169B7">
        <w:rPr>
          <w:rFonts w:ascii="Book Antiqua" w:hAnsi="Book Antiqua"/>
          <w:sz w:val="24"/>
          <w:szCs w:val="24"/>
        </w:rPr>
        <w:t>U</w:t>
      </w:r>
      <w:r w:rsidR="006927CC">
        <w:rPr>
          <w:rFonts w:ascii="Book Antiqua" w:hAnsi="Book Antiqua" w:hint="eastAsia"/>
          <w:sz w:val="24"/>
          <w:szCs w:val="24"/>
          <w:lang w:eastAsia="zh-CN"/>
        </w:rPr>
        <w:t>nited Kindom</w:t>
      </w:r>
      <w:r w:rsidRPr="009169B7">
        <w:rPr>
          <w:rFonts w:ascii="Book Antiqua" w:hAnsi="Book Antiqua"/>
          <w:sz w:val="24"/>
          <w:szCs w:val="24"/>
        </w:rPr>
        <w:t xml:space="preserve"> Biobank (</w:t>
      </w:r>
      <w:hyperlink r:id="rId22" w:history="1">
        <w:r w:rsidRPr="009169B7">
          <w:rPr>
            <w:rStyle w:val="a6"/>
            <w:rFonts w:ascii="Book Antiqua" w:hAnsi="Book Antiqua"/>
            <w:color w:val="auto"/>
            <w:sz w:val="24"/>
            <w:szCs w:val="24"/>
          </w:rPr>
          <w:t>http://geneatlas.roslin.ed.ac.uk/</w:t>
        </w:r>
      </w:hyperlink>
      <w:r w:rsidRPr="009169B7">
        <w:rPr>
          <w:rFonts w:ascii="Book Antiqua" w:hAnsi="Book Antiqua"/>
          <w:sz w:val="24"/>
          <w:szCs w:val="24"/>
        </w:rPr>
        <w:t xml:space="preserve">). </w:t>
      </w:r>
    </w:p>
    <w:p w:rsidR="00A44C25" w:rsidRPr="009169B7" w:rsidRDefault="00A44C25" w:rsidP="00B26511">
      <w:pPr>
        <w:pStyle w:val="a3"/>
        <w:spacing w:before="0" w:beforeAutospacing="0" w:after="0" w:afterAutospacing="0" w:line="360" w:lineRule="auto"/>
        <w:jc w:val="both"/>
        <w:rPr>
          <w:rStyle w:val="a4"/>
          <w:rFonts w:ascii="Book Antiqua" w:hAnsi="Book Antiqua"/>
        </w:rPr>
      </w:pPr>
      <w:r w:rsidRPr="009169B7">
        <w:rPr>
          <w:rStyle w:val="a4"/>
          <w:rFonts w:ascii="Book Antiqua" w:hAnsi="Book Antiqua"/>
        </w:rPr>
        <w:br w:type="page"/>
      </w:r>
      <w:r w:rsidRPr="009169B7">
        <w:rPr>
          <w:rStyle w:val="a4"/>
          <w:rFonts w:ascii="Book Antiqua" w:hAnsi="Book Antiqua"/>
        </w:rPr>
        <w:lastRenderedPageBreak/>
        <w:t>Table 1</w:t>
      </w:r>
      <w:r w:rsidR="006927CC" w:rsidRPr="003E3BEC">
        <w:rPr>
          <w:rStyle w:val="a4"/>
          <w:rFonts w:ascii="Book Antiqua" w:eastAsia="宋体" w:hAnsi="Book Antiqua" w:hint="eastAsia"/>
          <w:lang w:eastAsia="zh-CN"/>
        </w:rPr>
        <w:t xml:space="preserve"> </w:t>
      </w:r>
      <w:r w:rsidRPr="009169B7">
        <w:rPr>
          <w:rFonts w:ascii="Book Antiqua" w:hAnsi="Book Antiqua"/>
          <w:b/>
        </w:rPr>
        <w:t>No</w:t>
      </w:r>
      <w:r w:rsidR="006927CC">
        <w:rPr>
          <w:rFonts w:ascii="Book Antiqua" w:hAnsi="Book Antiqua"/>
          <w:b/>
        </w:rPr>
        <w:t>n-alcoholic fatty liver disease</w:t>
      </w:r>
      <w:r w:rsidR="006927CC" w:rsidRPr="003E3BEC">
        <w:rPr>
          <w:rFonts w:ascii="Book Antiqua" w:eastAsia="宋体" w:hAnsi="Book Antiqua" w:hint="eastAsia"/>
          <w:b/>
          <w:lang w:eastAsia="zh-CN"/>
        </w:rPr>
        <w:t>-</w:t>
      </w:r>
      <w:r w:rsidR="006927CC" w:rsidRPr="005D5F87">
        <w:rPr>
          <w:rStyle w:val="aa"/>
          <w:rFonts w:ascii="Book Antiqua" w:hAnsi="Book Antiqua"/>
          <w:b/>
          <w:i w:val="0"/>
        </w:rPr>
        <w:t>Kyoto Encyclopedia of Genes and Genomes</w:t>
      </w:r>
      <w:r w:rsidRPr="009169B7">
        <w:rPr>
          <w:rFonts w:ascii="Book Antiqua" w:hAnsi="Book Antiqua"/>
          <w:b/>
        </w:rPr>
        <w:t xml:space="preserve"> </w:t>
      </w:r>
      <w:r w:rsidR="006927CC" w:rsidRPr="009169B7">
        <w:rPr>
          <w:rFonts w:ascii="Book Antiqua" w:hAnsi="Book Antiqua"/>
          <w:b/>
        </w:rPr>
        <w:t>p</w:t>
      </w:r>
      <w:r w:rsidRPr="009169B7">
        <w:rPr>
          <w:rFonts w:ascii="Book Antiqua" w:hAnsi="Book Antiqua"/>
          <w:b/>
        </w:rPr>
        <w:t>athway (hsa04932)</w:t>
      </w:r>
    </w:p>
    <w:tbl>
      <w:tblPr>
        <w:tblW w:w="0" w:type="auto"/>
        <w:tblLook w:val="04A0" w:firstRow="1" w:lastRow="0" w:firstColumn="1" w:lastColumn="0" w:noHBand="0" w:noVBand="1"/>
      </w:tblPr>
      <w:tblGrid>
        <w:gridCol w:w="9243"/>
      </w:tblGrid>
      <w:tr w:rsidR="006927CC" w:rsidRPr="009169B7" w:rsidTr="006927CC">
        <w:tc>
          <w:tcPr>
            <w:tcW w:w="9576" w:type="dxa"/>
            <w:tcBorders>
              <w:top w:val="single" w:sz="4" w:space="0" w:color="000000"/>
              <w:bottom w:val="single" w:sz="4" w:space="0" w:color="000000"/>
            </w:tcBorders>
            <w:shd w:val="clear" w:color="auto" w:fill="auto"/>
          </w:tcPr>
          <w:p w:rsidR="00A44C25" w:rsidRPr="009169B7" w:rsidRDefault="00A44C25" w:rsidP="00B26511">
            <w:pPr>
              <w:spacing w:after="0" w:line="360" w:lineRule="auto"/>
              <w:jc w:val="both"/>
              <w:rPr>
                <w:rFonts w:ascii="Book Antiqua" w:eastAsia="Times New Roman" w:hAnsi="Book Antiqua"/>
                <w:b/>
                <w:sz w:val="24"/>
                <w:szCs w:val="24"/>
              </w:rPr>
            </w:pPr>
            <w:r w:rsidRPr="009169B7">
              <w:rPr>
                <w:rFonts w:ascii="Book Antiqua" w:eastAsia="Times New Roman" w:hAnsi="Book Antiqua"/>
                <w:b/>
                <w:sz w:val="24"/>
                <w:szCs w:val="24"/>
              </w:rPr>
              <w:t>Gene symbol; description</w:t>
            </w:r>
          </w:p>
        </w:tc>
      </w:tr>
      <w:tr w:rsidR="006927CC" w:rsidRPr="009169B7" w:rsidTr="006927CC">
        <w:tc>
          <w:tcPr>
            <w:tcW w:w="9576" w:type="dxa"/>
            <w:tcBorders>
              <w:top w:val="single" w:sz="4" w:space="0" w:color="000000"/>
            </w:tcBorders>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IL6; interleukin 6</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IL6R; interleukin 6 receptor</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 xml:space="preserve">SOCS3; suppressor of cytokine signaling 3 </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TNF; tumor necrosis factor</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 xml:space="preserve">TNFRSF1A; TNF receptor superfamily member 1A </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 xml:space="preserve">NFKB1; nuclear factor kappa B subunit 1 </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lang w:val="es-ES"/>
              </w:rPr>
            </w:pPr>
            <w:r w:rsidRPr="009169B7">
              <w:rPr>
                <w:rFonts w:ascii="Book Antiqua" w:eastAsia="Times New Roman" w:hAnsi="Book Antiqua"/>
                <w:sz w:val="24"/>
                <w:szCs w:val="24"/>
                <w:lang w:val="es-ES"/>
              </w:rPr>
              <w:t>RELA; RELA proto-oncogene, NF-kB subunit</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INS; insulin</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INSR; insulin receptor</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IRS1; insulin receptor substrate 1</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 xml:space="preserve">IRS2; insulin receptor substrate 2 </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PIK3CA; phosphatidylinositol-4,5-bisphosphate 3-kinase catalytic subunit alpha</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 xml:space="preserve">PIK3CD; phosphatidylinositol-4,5-bisphosphate 3-kinase catalytic subunit delta </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 xml:space="preserve">PIK3CB; phosphatidylinositol-4,5-bisphosphate 3-kinase catalytic subunit beta </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PIK3R1; phosphoinositide-3-kinase regulatory subunit 1</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PIK3R2; phosphoinositide-3-kinase regulatory subunit 2</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PIK3R3; phosphoinositide-3-kinase regulatory subunit 3</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AKT1; AKT serine/threonine kinase 1</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AKT2; AKT serine/threonine kinase 2</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AKT3; AKT serine/threonine kinase 3</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GSK3A; glycogen synthase kinase 3 alpha</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GSK3B; glycogen synthase kinase 3 beta</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NR1H3; nuclear receptor subfamily 1 group H member 3</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lang w:val="es-ES"/>
              </w:rPr>
            </w:pPr>
            <w:r w:rsidRPr="009169B7">
              <w:rPr>
                <w:rFonts w:ascii="Book Antiqua" w:eastAsia="Times New Roman" w:hAnsi="Book Antiqua"/>
                <w:sz w:val="24"/>
                <w:szCs w:val="24"/>
                <w:lang w:val="es-ES"/>
              </w:rPr>
              <w:t>RXRA; retinoid X receptor alpha</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SREBF1; sterol regulatory element binding transcription factor 1</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MLX; MLX, MAX dimerization protein</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MLXIP; MLX interacting protein</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lastRenderedPageBreak/>
              <w:t>MLXIPL; MLX interacting protein like</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PKLR; pyruvate kinase L/R</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 xml:space="preserve">LEP; leptin </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 xml:space="preserve">LEPR; leptin receptor </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 xml:space="preserve">ADIPOQ; adiponectin, C1Q and collagen domain containing </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 xml:space="preserve">ADIPOR1; adiponectin receptor 1 </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 xml:space="preserve">ADIPOR2; adiponectin receptor 2 </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 xml:space="preserve">PRKAA1; protein kinase AMP-activated catalytic subunit alpha 1 </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PRKAA2; protein kinase AMP-activated catalytic subunit alpha 2</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 xml:space="preserve">PRKAB1; protein kinase AMP-activated non-catalytic subunit beta 1 </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PRKAB2; protein kinase AMP-activated non-catalytic subunit beta 2</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 xml:space="preserve">PRKAG1; protein kinase AMP-activated non-catalytic subunit gamma 1 </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PRKAG3; protein kinase AMP-activated non-catalytic subunit gamma 3</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PRKAG2; protein kinase AMP-activated non-catalytic subunit gamma 2</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PPARA; peroxisome proliferator activated receptor alpha</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CDC42; cell division cycle 42</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RAC1; Rac family small GTPase 1</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MAP3K11; mitogen-activated protein kinase kinase kinase 11</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MAPK8; mitogen-activated protein kinase 8</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MAPK10; mitogen-activated protein kinase 10</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MAPK9; mitogen-activated protein kinase 9</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ITCH; itchy E3 ubiquitin protein ligase</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ERN1; endoplasmic reticulum to nucleus signaling 1</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TRAF2; TNF receptor associated factor 2</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MAP3K5; mitogen-activated protein kinase kinase kinase 5</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JUN; Jun proto-oncogene, AP-1 transcription factor subunit</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IL1A; interleukin 1 alpha</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IL1B; interleukin 1 beta</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IKBKB; inhibitor of nuclear factor kappa B kinase subunit beta</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XBP1; X-box binding protein 1</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lastRenderedPageBreak/>
              <w:t>CEBPA; CCAAT enhancer binding protein alpha</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CYP2E1; cytochrome P450 family 2 subfamily E member 1</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FASLG; Fas ligand</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CXCL8; C-X-C motif chemokine ligand 8</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TGFB1; transforming growth factor beta 1</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EIF2AK3; eukaryotic translation initiation factor 2 alpha kinase 3</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EIF2S1; eukaryotic translation initiation factor 2 subunit alpha</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ATF4; activating transcription factor 4</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DDIT3; DNA damage inducible transcript 3</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BCL2L11; BCL2 like 11</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BAX; BCL2 associated X, apoptosis regulator</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FAS; Fas cell surface death receptor</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CASP8; caspase 8</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BID; BH3 interacting domain death agonist</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CYCS; cytochrome c, somatic</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CASP3; caspase 3</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lang w:val="es-ES"/>
              </w:rPr>
            </w:pPr>
            <w:r w:rsidRPr="009169B7">
              <w:rPr>
                <w:rFonts w:ascii="Book Antiqua" w:eastAsia="Times New Roman" w:hAnsi="Book Antiqua"/>
                <w:sz w:val="24"/>
                <w:szCs w:val="24"/>
                <w:lang w:val="es-ES"/>
              </w:rPr>
              <w:t>CASP7; caspase 7</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lang w:val="es-ES"/>
              </w:rPr>
            </w:pPr>
            <w:r w:rsidRPr="009169B7">
              <w:rPr>
                <w:rFonts w:ascii="Book Antiqua" w:eastAsia="Times New Roman" w:hAnsi="Book Antiqua"/>
                <w:sz w:val="24"/>
                <w:szCs w:val="24"/>
                <w:lang w:val="es-ES"/>
              </w:rPr>
              <w:t>NDUFV1-3; NADH:ubiquinone oxidoreductase core subunit V1 –V3</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lang w:val="es-ES"/>
              </w:rPr>
            </w:pPr>
            <w:r w:rsidRPr="009169B7">
              <w:rPr>
                <w:rFonts w:ascii="Book Antiqua" w:eastAsia="Times New Roman" w:hAnsi="Book Antiqua"/>
                <w:sz w:val="24"/>
                <w:szCs w:val="24"/>
                <w:lang w:val="es-ES"/>
              </w:rPr>
              <w:t>NDUFA1-3; NADH:ubiquinone oxidoreductase subunit A1-3</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 xml:space="preserve">NDUFA4; NDUFA4, mitochondrial complex associated </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NDUFA4L2; NDUFA4, mitochondrial complex associated like 2</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lang w:val="es-ES"/>
              </w:rPr>
            </w:pPr>
            <w:r w:rsidRPr="009169B7">
              <w:rPr>
                <w:rFonts w:ascii="Book Antiqua" w:eastAsia="Times New Roman" w:hAnsi="Book Antiqua"/>
                <w:sz w:val="24"/>
                <w:szCs w:val="24"/>
                <w:lang w:val="es-ES"/>
              </w:rPr>
              <w:t>NDUFA5-13; NADH:ubiquinone oxidoreductase subunit A5-A13</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lang w:val="es-ES"/>
              </w:rPr>
            </w:pPr>
            <w:r w:rsidRPr="009169B7">
              <w:rPr>
                <w:rFonts w:ascii="Book Antiqua" w:eastAsia="Times New Roman" w:hAnsi="Book Antiqua"/>
                <w:sz w:val="24"/>
                <w:szCs w:val="24"/>
                <w:lang w:val="es-ES"/>
              </w:rPr>
              <w:t>NDUFAB1; NADH:ubiquinone oxidoreductase subunit AB1</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lang w:val="es-ES"/>
              </w:rPr>
            </w:pPr>
            <w:r w:rsidRPr="009169B7">
              <w:rPr>
                <w:rFonts w:ascii="Book Antiqua" w:eastAsia="Times New Roman" w:hAnsi="Book Antiqua"/>
                <w:sz w:val="24"/>
                <w:szCs w:val="24"/>
                <w:lang w:val="es-ES"/>
              </w:rPr>
              <w:t>NDUFB1-11; NADH:ubiquinone oxidoreductase subunit B1-B11</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NDUFS1-S8; NADH:ubiquinone oxidoreductase core subunit S1 –S8</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lang w:val="es-ES"/>
              </w:rPr>
            </w:pPr>
            <w:r w:rsidRPr="009169B7">
              <w:rPr>
                <w:rFonts w:ascii="Book Antiqua" w:eastAsia="Times New Roman" w:hAnsi="Book Antiqua"/>
                <w:sz w:val="24"/>
                <w:szCs w:val="24"/>
                <w:lang w:val="es-ES"/>
              </w:rPr>
              <w:t>NDUFC1; NADH:ubiquinone oxidoreductase subunit C1</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lang w:val="es-ES"/>
              </w:rPr>
            </w:pPr>
            <w:r w:rsidRPr="009169B7">
              <w:rPr>
                <w:rFonts w:ascii="Book Antiqua" w:eastAsia="Times New Roman" w:hAnsi="Book Antiqua"/>
                <w:sz w:val="24"/>
                <w:szCs w:val="24"/>
                <w:lang w:val="es-ES"/>
              </w:rPr>
              <w:t>NDUFC2; NADH:ubiquinone oxidoreductase subunit C2</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NDUFC2-KCTD14; NDUFC2-KCTD14 readthrough</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 xml:space="preserve">SDHA; succinate dehydrogenase complex flavoprotein subunit A </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 xml:space="preserve">SDHB; succinate dehydrogenase complex iron sulfur subunit B </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lastRenderedPageBreak/>
              <w:t>SDHC; succinate dehydrogenase complex subunit C</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SDHD; succinate dehydrogenase complex subunit D</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UQCRFS1; ubiquinol-cytochrome c reductase, Rieske iron-sulfur polypeptide 1</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 xml:space="preserve">CYTB; cytochrome b </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CYC1; cytochrome c1</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UQCRC1; ubiquinol-cytochrome c reductase core protein 1</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UQCRC2; ubiquinol-cytochrome c reductase core protein 2</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UQCRH; ubiquinol-cytochrome c reductase hinge protein</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UQCRHL; ubiquinol-cytochrome c reductase hinge protein like</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UQCRB; ubiquinol-cytochrome c reductase binding protein</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UQCRQ; ubiquinol-cytochrome c reductase complex III subunit VII</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UQCR10; ubiquinol-cytochrome c reductase, complex III subunit X</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UQCR11; ubiquinol-cytochrome c reductase, complex III subunit XI</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COX3; cytochrome c oxidase III</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COX1; cytochrome c oxidase subunit I</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COX2; cytochrome c oxidase subunit II</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COX4I2; cytochrome c oxidase subunit 4I2</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COX4I1; cytochrome c oxidase subunit 4I1</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COX5A; cytochrome c oxidase subunit 5A</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COX5B; cytochrome c oxidase subunit 5B</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COX6A1; cytochrome c oxidase subunit 6A1</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COX6A2; cytochrome c oxidase subunit 6A2</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COX6B1; cytochrome c oxidase subunit 6B1</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COX6B2; cytochrome c oxidase subunit 6B2</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COX6C; cytochrome c oxidase subunit 6C</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COX7A1; cytochrome c oxidase subunit 7A1</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 xml:space="preserve">COX7A2; cytochrome c oxidase subunit 7A2 </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 xml:space="preserve">COX7A2L; cytochrome c oxidase subunit 7A2 like </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COX7B; cytochrome c oxidase subunit 7B</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COX7B2; cytochrome c oxidase subunit 7B2</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lastRenderedPageBreak/>
              <w:t xml:space="preserve">COX7C; cytochrome c oxidase subunit 7C </w:t>
            </w:r>
          </w:p>
        </w:tc>
      </w:tr>
      <w:tr w:rsidR="006927CC" w:rsidRPr="009169B7" w:rsidTr="006927CC">
        <w:tc>
          <w:tcPr>
            <w:tcW w:w="9576" w:type="dxa"/>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 xml:space="preserve">COX8C; cytochrome c oxidase subunit 8C </w:t>
            </w:r>
          </w:p>
        </w:tc>
      </w:tr>
      <w:tr w:rsidR="006927CC" w:rsidRPr="009169B7" w:rsidTr="006927CC">
        <w:tc>
          <w:tcPr>
            <w:tcW w:w="9576" w:type="dxa"/>
            <w:tcBorders>
              <w:bottom w:val="single" w:sz="4" w:space="0" w:color="000000"/>
            </w:tcBorders>
            <w:shd w:val="clear" w:color="auto" w:fill="auto"/>
          </w:tcPr>
          <w:p w:rsidR="00A44C25" w:rsidRPr="009169B7" w:rsidRDefault="00A44C25" w:rsidP="00B26511">
            <w:pPr>
              <w:spacing w:after="0" w:line="360" w:lineRule="auto"/>
              <w:jc w:val="both"/>
              <w:rPr>
                <w:rFonts w:ascii="Book Antiqua" w:eastAsia="Times New Roman" w:hAnsi="Book Antiqua"/>
                <w:sz w:val="24"/>
                <w:szCs w:val="24"/>
              </w:rPr>
            </w:pPr>
            <w:r w:rsidRPr="009169B7">
              <w:rPr>
                <w:rFonts w:ascii="Book Antiqua" w:eastAsia="Times New Roman" w:hAnsi="Book Antiqua"/>
                <w:sz w:val="24"/>
                <w:szCs w:val="24"/>
              </w:rPr>
              <w:t xml:space="preserve">COX8A; cytochrome c oxidase subunit 8A </w:t>
            </w:r>
          </w:p>
        </w:tc>
      </w:tr>
    </w:tbl>
    <w:p w:rsidR="00A44C25" w:rsidRPr="003E3BEC" w:rsidRDefault="00A44C25" w:rsidP="00B26511">
      <w:pPr>
        <w:pStyle w:val="a3"/>
        <w:spacing w:before="0" w:beforeAutospacing="0" w:after="0" w:afterAutospacing="0" w:line="360" w:lineRule="auto"/>
        <w:jc w:val="both"/>
        <w:rPr>
          <w:rStyle w:val="a4"/>
          <w:rFonts w:ascii="Book Antiqua" w:eastAsia="宋体" w:hAnsi="Book Antiqua" w:hint="eastAsia"/>
          <w:b w:val="0"/>
          <w:lang w:eastAsia="zh-CN"/>
        </w:rPr>
      </w:pPr>
      <w:r w:rsidRPr="009169B7">
        <w:rPr>
          <w:rStyle w:val="a4"/>
          <w:rFonts w:ascii="Book Antiqua" w:hAnsi="Book Antiqua"/>
          <w:b w:val="0"/>
        </w:rPr>
        <w:t>https://www.genome.jp/kegg-bin/show_pathway?hsa04932</w:t>
      </w:r>
      <w:r w:rsidR="006927CC" w:rsidRPr="003E3BEC">
        <w:rPr>
          <w:rStyle w:val="a4"/>
          <w:rFonts w:ascii="Book Antiqua" w:eastAsia="宋体" w:hAnsi="Book Antiqua" w:hint="eastAsia"/>
          <w:b w:val="0"/>
          <w:lang w:eastAsia="zh-CN"/>
        </w:rPr>
        <w:t>.</w:t>
      </w:r>
    </w:p>
    <w:p w:rsidR="00A44C25" w:rsidRPr="009169B7" w:rsidRDefault="00A44C25" w:rsidP="00B26511">
      <w:pPr>
        <w:pStyle w:val="a3"/>
        <w:spacing w:before="0" w:beforeAutospacing="0" w:after="0" w:afterAutospacing="0" w:line="360" w:lineRule="auto"/>
        <w:jc w:val="both"/>
        <w:rPr>
          <w:rFonts w:ascii="Book Antiqua" w:hAnsi="Book Antiqua"/>
        </w:rPr>
      </w:pPr>
      <w:r w:rsidRPr="009169B7">
        <w:rPr>
          <w:rStyle w:val="a4"/>
          <w:rFonts w:ascii="Book Antiqua" w:hAnsi="Book Antiqua"/>
        </w:rPr>
        <w:br w:type="page"/>
      </w:r>
      <w:r w:rsidRPr="009169B7">
        <w:rPr>
          <w:rStyle w:val="a4"/>
          <w:rFonts w:ascii="Book Antiqua" w:hAnsi="Book Antiqua"/>
        </w:rPr>
        <w:lastRenderedPageBreak/>
        <w:t xml:space="preserve">Table 2 </w:t>
      </w:r>
      <w:r w:rsidRPr="009169B7">
        <w:rPr>
          <w:rFonts w:ascii="Book Antiqua" w:hAnsi="Book Antiqua"/>
          <w:b/>
        </w:rPr>
        <w:t xml:space="preserve">Associations between variants in locus that are targets of novel drugs for the treatment of </w:t>
      </w:r>
      <w:r w:rsidR="006927CC" w:rsidRPr="004414CF">
        <w:rPr>
          <w:rFonts w:ascii="Book Antiqua" w:hAnsi="Book Antiqua"/>
          <w:b/>
        </w:rPr>
        <w:t>nonalcoholic steatohepatitis</w:t>
      </w:r>
      <w:r w:rsidRPr="009169B7">
        <w:rPr>
          <w:rFonts w:ascii="Book Antiqua" w:hAnsi="Book Antiqua"/>
          <w:b/>
        </w:rPr>
        <w:t xml:space="preserve"> and multiple traits from individuals of the U</w:t>
      </w:r>
      <w:r w:rsidR="006927CC" w:rsidRPr="003E3BEC">
        <w:rPr>
          <w:rFonts w:ascii="Book Antiqua" w:eastAsia="宋体" w:hAnsi="Book Antiqua" w:hint="eastAsia"/>
          <w:b/>
          <w:lang w:eastAsia="zh-CN"/>
        </w:rPr>
        <w:t>nited Kindom</w:t>
      </w:r>
      <w:r w:rsidRPr="009169B7">
        <w:rPr>
          <w:rFonts w:ascii="Book Antiqua" w:hAnsi="Book Antiqua"/>
          <w:b/>
        </w:rPr>
        <w:t xml:space="preserve"> Biobank</w:t>
      </w:r>
    </w:p>
    <w:tbl>
      <w:tblPr>
        <w:tblW w:w="10440" w:type="dxa"/>
        <w:tblInd w:w="-432" w:type="dxa"/>
        <w:tblLook w:val="04A0" w:firstRow="1" w:lastRow="0" w:firstColumn="1" w:lastColumn="0" w:noHBand="0" w:noVBand="1"/>
      </w:tblPr>
      <w:tblGrid>
        <w:gridCol w:w="5580"/>
        <w:gridCol w:w="1494"/>
        <w:gridCol w:w="1296"/>
        <w:gridCol w:w="2070"/>
      </w:tblGrid>
      <w:tr w:rsidR="006927CC" w:rsidRPr="009169B7" w:rsidTr="006927CC">
        <w:tc>
          <w:tcPr>
            <w:tcW w:w="5580" w:type="dxa"/>
            <w:tcBorders>
              <w:top w:val="single" w:sz="4" w:space="0" w:color="000000"/>
              <w:bottom w:val="single" w:sz="4" w:space="0" w:color="000000"/>
            </w:tcBorders>
            <w:shd w:val="clear" w:color="auto" w:fill="auto"/>
            <w:vAlign w:val="bottom"/>
          </w:tcPr>
          <w:p w:rsidR="00A44C25" w:rsidRPr="009169B7" w:rsidRDefault="00A44C25" w:rsidP="00B26511">
            <w:pPr>
              <w:spacing w:after="0" w:line="360" w:lineRule="auto"/>
              <w:jc w:val="both"/>
              <w:rPr>
                <w:rFonts w:ascii="Book Antiqua" w:hAnsi="Book Antiqua"/>
                <w:b/>
                <w:bCs/>
                <w:sz w:val="24"/>
                <w:szCs w:val="24"/>
              </w:rPr>
            </w:pPr>
            <w:r w:rsidRPr="009169B7">
              <w:rPr>
                <w:rFonts w:ascii="Book Antiqua" w:hAnsi="Book Antiqua"/>
                <w:b/>
                <w:bCs/>
                <w:sz w:val="24"/>
                <w:szCs w:val="24"/>
              </w:rPr>
              <w:t>Trait</w:t>
            </w:r>
          </w:p>
        </w:tc>
        <w:tc>
          <w:tcPr>
            <w:tcW w:w="1494" w:type="dxa"/>
            <w:tcBorders>
              <w:top w:val="single" w:sz="4" w:space="0" w:color="000000"/>
              <w:bottom w:val="single" w:sz="4" w:space="0" w:color="000000"/>
            </w:tcBorders>
            <w:shd w:val="clear" w:color="auto" w:fill="auto"/>
            <w:vAlign w:val="bottom"/>
          </w:tcPr>
          <w:p w:rsidR="00A44C25" w:rsidRPr="009169B7" w:rsidRDefault="00A44C25" w:rsidP="00B26511">
            <w:pPr>
              <w:spacing w:after="0" w:line="360" w:lineRule="auto"/>
              <w:jc w:val="both"/>
              <w:rPr>
                <w:rFonts w:ascii="Book Antiqua" w:hAnsi="Book Antiqua"/>
                <w:b/>
                <w:bCs/>
                <w:sz w:val="24"/>
                <w:szCs w:val="24"/>
              </w:rPr>
            </w:pPr>
            <w:r w:rsidRPr="009169B7">
              <w:rPr>
                <w:rFonts w:ascii="Book Antiqua" w:hAnsi="Book Antiqua"/>
                <w:b/>
                <w:bCs/>
                <w:sz w:val="24"/>
                <w:szCs w:val="24"/>
              </w:rPr>
              <w:t>Variant</w:t>
            </w:r>
          </w:p>
        </w:tc>
        <w:tc>
          <w:tcPr>
            <w:tcW w:w="1296" w:type="dxa"/>
            <w:tcBorders>
              <w:top w:val="single" w:sz="4" w:space="0" w:color="000000"/>
              <w:bottom w:val="single" w:sz="4" w:space="0" w:color="000000"/>
            </w:tcBorders>
            <w:shd w:val="clear" w:color="auto" w:fill="auto"/>
            <w:vAlign w:val="bottom"/>
          </w:tcPr>
          <w:p w:rsidR="00A44C25" w:rsidRPr="009169B7" w:rsidRDefault="00A44C25" w:rsidP="00B26511">
            <w:pPr>
              <w:spacing w:after="0" w:line="360" w:lineRule="auto"/>
              <w:jc w:val="both"/>
              <w:rPr>
                <w:rFonts w:ascii="Book Antiqua" w:hAnsi="Book Antiqua"/>
                <w:b/>
                <w:bCs/>
                <w:sz w:val="24"/>
                <w:szCs w:val="24"/>
              </w:rPr>
            </w:pPr>
            <w:r w:rsidRPr="009169B7">
              <w:rPr>
                <w:rFonts w:ascii="Book Antiqua" w:hAnsi="Book Antiqua"/>
                <w:b/>
                <w:bCs/>
                <w:sz w:val="24"/>
                <w:szCs w:val="24"/>
              </w:rPr>
              <w:t>Position</w:t>
            </w:r>
          </w:p>
        </w:tc>
        <w:tc>
          <w:tcPr>
            <w:tcW w:w="2070" w:type="dxa"/>
            <w:tcBorders>
              <w:top w:val="single" w:sz="4" w:space="0" w:color="000000"/>
              <w:bottom w:val="single" w:sz="4" w:space="0" w:color="000000"/>
            </w:tcBorders>
            <w:shd w:val="clear" w:color="auto" w:fill="auto"/>
            <w:vAlign w:val="bottom"/>
          </w:tcPr>
          <w:p w:rsidR="00A44C25" w:rsidRPr="009169B7" w:rsidRDefault="00A44C25" w:rsidP="00B26511">
            <w:pPr>
              <w:spacing w:after="0" w:line="360" w:lineRule="auto"/>
              <w:jc w:val="both"/>
              <w:rPr>
                <w:rFonts w:ascii="Book Antiqua" w:hAnsi="Book Antiqua"/>
                <w:b/>
                <w:bCs/>
                <w:sz w:val="24"/>
                <w:szCs w:val="24"/>
              </w:rPr>
            </w:pPr>
            <w:r w:rsidRPr="009169B7">
              <w:rPr>
                <w:rFonts w:ascii="Book Antiqua" w:hAnsi="Book Antiqua"/>
                <w:b/>
                <w:bCs/>
                <w:sz w:val="24"/>
                <w:szCs w:val="24"/>
              </w:rPr>
              <w:t>-log10(p-value)</w:t>
            </w:r>
          </w:p>
        </w:tc>
      </w:tr>
      <w:tr w:rsidR="006927CC" w:rsidRPr="009169B7" w:rsidTr="006927CC">
        <w:tc>
          <w:tcPr>
            <w:tcW w:w="10440" w:type="dxa"/>
            <w:gridSpan w:val="4"/>
            <w:tcBorders>
              <w:top w:val="single" w:sz="4" w:space="0" w:color="000000"/>
            </w:tcBorders>
            <w:shd w:val="clear" w:color="auto" w:fill="auto"/>
          </w:tcPr>
          <w:p w:rsidR="00A44C25" w:rsidRPr="009169B7" w:rsidRDefault="00A44C25" w:rsidP="00B26511">
            <w:pPr>
              <w:pStyle w:val="a3"/>
              <w:spacing w:before="0" w:beforeAutospacing="0" w:after="0" w:afterAutospacing="0" w:line="360" w:lineRule="auto"/>
              <w:jc w:val="both"/>
              <w:rPr>
                <w:rStyle w:val="a4"/>
                <w:rFonts w:ascii="Book Antiqua" w:hAnsi="Book Antiqua"/>
              </w:rPr>
            </w:pPr>
            <w:r w:rsidRPr="009169B7">
              <w:rPr>
                <w:rFonts w:ascii="Book Antiqua" w:hAnsi="Book Antiqua"/>
                <w:b/>
                <w:bCs/>
                <w:i/>
                <w:iCs/>
              </w:rPr>
              <w:t xml:space="preserve">NR1H4 (FXR) </w:t>
            </w:r>
            <w:r w:rsidRPr="009169B7">
              <w:rPr>
                <w:rFonts w:ascii="Book Antiqua" w:hAnsi="Book Antiqua"/>
              </w:rPr>
              <w:t>Farnesoid X-Activated Receptor</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K85 Acute pancreatitis</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rs76372051</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100945711</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6.963890333</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Immature reticulocyte fraction</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rs35712</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100971355</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5.607954097</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Impedance of arm (right)</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rs1409791</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100851307</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5.152661824</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Impedance of whole body</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rs1409791</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100851307</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4.772216099</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migraine</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rs12579460</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100966714</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4.639293011</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high cholesterol</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rs7967468</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100853792</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4.543497322</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N30-N39 Other diseases of urinary system</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rs79306023</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100938470</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4.420628035</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H81 Disorders of vestibular function</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rs140644635</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100923359</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4.069764347</w:t>
            </w:r>
          </w:p>
        </w:tc>
      </w:tr>
      <w:tr w:rsidR="006927CC" w:rsidRPr="009169B7" w:rsidTr="006927CC">
        <w:tc>
          <w:tcPr>
            <w:tcW w:w="10440" w:type="dxa"/>
            <w:gridSpan w:val="4"/>
            <w:shd w:val="clear" w:color="auto" w:fill="auto"/>
          </w:tcPr>
          <w:p w:rsidR="00A44C25" w:rsidRPr="009169B7" w:rsidRDefault="00A44C25" w:rsidP="00B26511">
            <w:pPr>
              <w:pStyle w:val="a3"/>
              <w:spacing w:before="0" w:beforeAutospacing="0" w:after="0" w:afterAutospacing="0" w:line="360" w:lineRule="auto"/>
              <w:jc w:val="both"/>
              <w:rPr>
                <w:rStyle w:val="a4"/>
                <w:rFonts w:ascii="Book Antiqua" w:hAnsi="Book Antiqua"/>
                <w:lang w:val="es-ES"/>
              </w:rPr>
            </w:pPr>
            <w:r w:rsidRPr="009169B7">
              <w:rPr>
                <w:rStyle w:val="a4"/>
                <w:rFonts w:ascii="Book Antiqua" w:hAnsi="Book Antiqua"/>
                <w:i/>
                <w:lang w:val="es-ES"/>
              </w:rPr>
              <w:t>PPAR</w:t>
            </w:r>
            <w:r w:rsidRPr="009169B7">
              <w:rPr>
                <w:rStyle w:val="a4"/>
                <w:rFonts w:ascii="Book Antiqua" w:hAnsi="Book Antiqua"/>
                <w:i/>
              </w:rPr>
              <w:t>δ</w:t>
            </w:r>
            <w:r w:rsidRPr="009169B7">
              <w:rPr>
                <w:rStyle w:val="a4"/>
                <w:rFonts w:ascii="Book Antiqua" w:hAnsi="Book Antiqua"/>
                <w:i/>
                <w:lang w:val="es-ES"/>
              </w:rPr>
              <w:t xml:space="preserve"> </w:t>
            </w:r>
            <w:r w:rsidRPr="009169B7">
              <w:rPr>
                <w:rStyle w:val="a4"/>
                <w:rFonts w:ascii="Book Antiqua" w:hAnsi="Book Antiqua"/>
                <w:b w:val="0"/>
                <w:lang w:val="es-ES"/>
              </w:rPr>
              <w:t>(</w:t>
            </w:r>
            <w:r w:rsidRPr="009169B7">
              <w:rPr>
                <w:rFonts w:ascii="Book Antiqua" w:hAnsi="Book Antiqua"/>
                <w:lang w:val="es-ES"/>
              </w:rPr>
              <w:t>Peroxisome Proliferator Activated Receptor Delta)</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Whole body fat-free mass</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rs36018387</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35386872</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59.74853212</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Hip circumference</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rs36018387</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35386872</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49.20670564</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Whole body fat mass</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rs36018387</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35386872</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37.00113934</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Body fat percentage</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rs36018387</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35386872</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20.45328464</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Monocyte percentage</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rs9469982</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35267548</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45.86340625</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Platelet crit</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rs33959228</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35259397</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21.6726615</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White blood cell (leukocyte) count</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rs9380500</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35266231</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21.54556677</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Platelet count</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rs9658111</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35364534</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17.88276186</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Neutrophill count</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rs9380500</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35266231</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17.11253462</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Eosinophill percentage</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rs2395625</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35405461</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15.34904201</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Lymphocyte percentage</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rs9658079</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35327577</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9.741626151</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asthma</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rs1557568</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35260530</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9.184130164</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K90 Intestinal malabsorption</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rs7771474</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35320447</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11.86097145</w:t>
            </w:r>
          </w:p>
        </w:tc>
      </w:tr>
      <w:tr w:rsidR="006927CC" w:rsidRPr="009169B7" w:rsidTr="006927CC">
        <w:tc>
          <w:tcPr>
            <w:tcW w:w="10440" w:type="dxa"/>
            <w:gridSpan w:val="4"/>
            <w:shd w:val="clear" w:color="auto" w:fill="auto"/>
          </w:tcPr>
          <w:p w:rsidR="00A44C25" w:rsidRPr="009169B7" w:rsidRDefault="00A44C25" w:rsidP="00B26511">
            <w:pPr>
              <w:pStyle w:val="a3"/>
              <w:spacing w:before="0" w:beforeAutospacing="0" w:after="0" w:afterAutospacing="0" w:line="360" w:lineRule="auto"/>
              <w:jc w:val="both"/>
              <w:rPr>
                <w:rStyle w:val="a4"/>
                <w:rFonts w:ascii="Book Antiqua" w:hAnsi="Book Antiqua"/>
              </w:rPr>
            </w:pPr>
            <w:r w:rsidRPr="009169B7">
              <w:rPr>
                <w:rStyle w:val="a4"/>
                <w:rFonts w:ascii="Book Antiqua" w:hAnsi="Book Antiqua"/>
                <w:i/>
              </w:rPr>
              <w:t xml:space="preserve">MPC1 </w:t>
            </w:r>
            <w:r w:rsidRPr="009169B7">
              <w:rPr>
                <w:rStyle w:val="a4"/>
                <w:rFonts w:ascii="Book Antiqua" w:hAnsi="Book Antiqua"/>
                <w:b w:val="0"/>
              </w:rPr>
              <w:t>(</w:t>
            </w:r>
            <w:r w:rsidRPr="009169B7">
              <w:rPr>
                <w:rFonts w:ascii="Book Antiqua" w:hAnsi="Book Antiqua"/>
              </w:rPr>
              <w:t>Mitochondrial Pyruvate Carrier 1)</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Mean platelet (thrombocyte) volume</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rs10946160</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166757818</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7.378512135</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Platelet count</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rs3728</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166778679</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5.285527735</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lastRenderedPageBreak/>
              <w:t>Red blood cell (erythrocyte) count</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rs6916128</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166759313</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4.825911105</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M31 Other necrotising vasculopathies</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rs7449594</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166774429</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4.699926505</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dyspepsia / indigestion</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rs6909951</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166758198</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4.594790286</w:t>
            </w:r>
          </w:p>
        </w:tc>
      </w:tr>
      <w:tr w:rsidR="006927CC" w:rsidRPr="009169B7" w:rsidTr="006927CC">
        <w:tc>
          <w:tcPr>
            <w:tcW w:w="10440" w:type="dxa"/>
            <w:gridSpan w:val="4"/>
            <w:shd w:val="clear" w:color="auto" w:fill="auto"/>
          </w:tcPr>
          <w:p w:rsidR="00A44C25" w:rsidRPr="009169B7" w:rsidRDefault="00A44C25" w:rsidP="00B26511">
            <w:pPr>
              <w:pStyle w:val="a3"/>
              <w:spacing w:before="0" w:beforeAutospacing="0" w:after="0" w:afterAutospacing="0" w:line="360" w:lineRule="auto"/>
              <w:jc w:val="both"/>
              <w:rPr>
                <w:rStyle w:val="a4"/>
                <w:rFonts w:ascii="Book Antiqua" w:hAnsi="Book Antiqua"/>
              </w:rPr>
            </w:pPr>
            <w:r w:rsidRPr="009169B7">
              <w:rPr>
                <w:rStyle w:val="a4"/>
                <w:rFonts w:ascii="Book Antiqua" w:hAnsi="Book Antiqua"/>
                <w:i/>
              </w:rPr>
              <w:t>MAP3K5</w:t>
            </w:r>
            <w:r w:rsidRPr="009169B7">
              <w:rPr>
                <w:rStyle w:val="a4"/>
                <w:rFonts w:ascii="Book Antiqua" w:hAnsi="Book Antiqua"/>
              </w:rPr>
              <w:t xml:space="preserve"> </w:t>
            </w:r>
            <w:r w:rsidRPr="009169B7">
              <w:rPr>
                <w:rStyle w:val="a4"/>
                <w:rFonts w:ascii="Book Antiqua" w:hAnsi="Book Antiqua"/>
                <w:b w:val="0"/>
              </w:rPr>
              <w:t>(</w:t>
            </w:r>
            <w:r w:rsidRPr="009169B7">
              <w:rPr>
                <w:rFonts w:ascii="Book Antiqua" w:hAnsi="Book Antiqua"/>
              </w:rPr>
              <w:t>ASK-1)</w:t>
            </w:r>
            <w:r w:rsidRPr="009169B7">
              <w:rPr>
                <w:rStyle w:val="a4"/>
                <w:rFonts w:ascii="Book Antiqua" w:hAnsi="Book Antiqua"/>
              </w:rPr>
              <w:t xml:space="preserve"> (</w:t>
            </w:r>
            <w:r w:rsidRPr="009169B7">
              <w:rPr>
                <w:rFonts w:ascii="Book Antiqua" w:hAnsi="Book Antiqua"/>
              </w:rPr>
              <w:t>Mitogen-Activated Protein Kinase Kinase Kinase 5)</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Mean platelet (thrombocyte) volume</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rs6924387</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137082948</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14.48853109</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Eosinophill count</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rs932589</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137083138</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13.39556873</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Lymphocyte percentage</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rs6924387</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137082948</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10.84396601</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Neutrophill count</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rs6924387</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137082948</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10.59715422</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Platelet count</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rs9321570</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137095679</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9.792150289</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White blood cell (leukocyte) count</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rs6924387</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137082948</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9.574319083</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Eosinophill percentage</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rs932589</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137083138</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9.344890391</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Monocyte count</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rs9385775</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137144920</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9.1157769</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Mean reticulocyte volume</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rs9385775</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137144920</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8.817927896</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Platelet distribution width</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rs6924387</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137082948</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8.001963098</w:t>
            </w:r>
          </w:p>
        </w:tc>
      </w:tr>
      <w:tr w:rsidR="006927CC" w:rsidRPr="009169B7" w:rsidTr="006927CC">
        <w:tc>
          <w:tcPr>
            <w:tcW w:w="10440" w:type="dxa"/>
            <w:gridSpan w:val="4"/>
            <w:shd w:val="clear" w:color="auto" w:fill="auto"/>
          </w:tcPr>
          <w:p w:rsidR="00A44C25" w:rsidRPr="009169B7" w:rsidRDefault="00A44C25" w:rsidP="00B26511">
            <w:pPr>
              <w:pStyle w:val="a3"/>
              <w:spacing w:before="0" w:beforeAutospacing="0" w:after="0" w:afterAutospacing="0" w:line="360" w:lineRule="auto"/>
              <w:jc w:val="both"/>
              <w:rPr>
                <w:rStyle w:val="a4"/>
                <w:rFonts w:ascii="Book Antiqua" w:hAnsi="Book Antiqua"/>
              </w:rPr>
            </w:pPr>
            <w:r w:rsidRPr="009169B7">
              <w:rPr>
                <w:rStyle w:val="a4"/>
                <w:rFonts w:ascii="Book Antiqua" w:hAnsi="Book Antiqua"/>
                <w:i/>
              </w:rPr>
              <w:t>THRβ</w:t>
            </w:r>
            <w:r w:rsidRPr="009169B7">
              <w:rPr>
                <w:rStyle w:val="a4"/>
                <w:rFonts w:ascii="Book Antiqua" w:hAnsi="Book Antiqua"/>
              </w:rPr>
              <w:t xml:space="preserve"> </w:t>
            </w:r>
            <w:r w:rsidRPr="009169B7">
              <w:rPr>
                <w:rStyle w:val="a4"/>
                <w:rFonts w:ascii="Book Antiqua" w:hAnsi="Book Antiqua"/>
                <w:b w:val="0"/>
              </w:rPr>
              <w:t>(</w:t>
            </w:r>
            <w:r w:rsidRPr="009169B7">
              <w:rPr>
                <w:rFonts w:ascii="Book Antiqua" w:hAnsi="Book Antiqua"/>
              </w:rPr>
              <w:t>Thyroid Hormone Receptor Beta)</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Mean corpuscular volume</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rs869785</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24347800</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152.2743497</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Mean corpuscular haemoglobin</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rs869784</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24348008</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143.9371173</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Red blood cell (erythrocyte) count</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rs869785</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24347800</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61.9076303</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Mean reticulocyte volume</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rs869784</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24348008</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43.97976306</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Reticulocyte count</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rs1505307</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24343330</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16.57632823</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Immature reticulocyte fraction</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rs869784</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24348008</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15.67096843</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Monocyte count</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rs12485694</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24346109</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11.11788547</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Lymphocyte count</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rs13096529</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24232035</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10.58643203</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Red blood cell (erythrocyte) distribution width</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rs2167115</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24339734</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10.44361306</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C56 Malignant neoplasm of ovary</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rs189397255</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24389732</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12.2277003</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Trunk fat-free mass</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rs13100197</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24491484</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8.731024419</w:t>
            </w:r>
          </w:p>
        </w:tc>
      </w:tr>
      <w:tr w:rsidR="006927CC" w:rsidRPr="009169B7" w:rsidTr="006927CC">
        <w:tc>
          <w:tcPr>
            <w:tcW w:w="558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Trunk predicted mass</w:t>
            </w:r>
          </w:p>
        </w:tc>
        <w:tc>
          <w:tcPr>
            <w:tcW w:w="1494"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rs13100197</w:t>
            </w:r>
          </w:p>
        </w:tc>
        <w:tc>
          <w:tcPr>
            <w:tcW w:w="1296"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24491484</w:t>
            </w:r>
          </w:p>
        </w:tc>
        <w:tc>
          <w:tcPr>
            <w:tcW w:w="2070" w:type="dxa"/>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8.614769205</w:t>
            </w:r>
          </w:p>
        </w:tc>
      </w:tr>
      <w:tr w:rsidR="006927CC" w:rsidRPr="009169B7" w:rsidTr="006927CC">
        <w:tc>
          <w:tcPr>
            <w:tcW w:w="5580" w:type="dxa"/>
            <w:tcBorders>
              <w:bottom w:val="single" w:sz="4" w:space="0" w:color="000000"/>
            </w:tcBorders>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Leg fat percentage (left)</w:t>
            </w:r>
          </w:p>
        </w:tc>
        <w:tc>
          <w:tcPr>
            <w:tcW w:w="1494" w:type="dxa"/>
            <w:tcBorders>
              <w:bottom w:val="single" w:sz="4" w:space="0" w:color="000000"/>
            </w:tcBorders>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rs1349265</w:t>
            </w:r>
          </w:p>
        </w:tc>
        <w:tc>
          <w:tcPr>
            <w:tcW w:w="1296" w:type="dxa"/>
            <w:tcBorders>
              <w:bottom w:val="single" w:sz="4" w:space="0" w:color="000000"/>
            </w:tcBorders>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24159387</w:t>
            </w:r>
          </w:p>
        </w:tc>
        <w:tc>
          <w:tcPr>
            <w:tcW w:w="2070" w:type="dxa"/>
            <w:tcBorders>
              <w:bottom w:val="single" w:sz="4" w:space="0" w:color="000000"/>
            </w:tcBorders>
            <w:shd w:val="clear" w:color="auto" w:fill="auto"/>
            <w:vAlign w:val="bottom"/>
          </w:tcPr>
          <w:p w:rsidR="00A44C25" w:rsidRPr="009169B7" w:rsidRDefault="00A44C25" w:rsidP="00B26511">
            <w:pPr>
              <w:spacing w:after="0" w:line="360" w:lineRule="auto"/>
              <w:jc w:val="both"/>
              <w:rPr>
                <w:rFonts w:ascii="Book Antiqua" w:hAnsi="Book Antiqua"/>
                <w:sz w:val="24"/>
                <w:szCs w:val="24"/>
              </w:rPr>
            </w:pPr>
            <w:r w:rsidRPr="009169B7">
              <w:rPr>
                <w:rFonts w:ascii="Book Antiqua" w:hAnsi="Book Antiqua"/>
                <w:sz w:val="24"/>
                <w:szCs w:val="24"/>
              </w:rPr>
              <w:t>8.323233252</w:t>
            </w:r>
          </w:p>
        </w:tc>
      </w:tr>
    </w:tbl>
    <w:p w:rsidR="000058E8" w:rsidRPr="003E3BEC" w:rsidRDefault="00A44C25" w:rsidP="006927CC">
      <w:pPr>
        <w:pStyle w:val="a3"/>
        <w:spacing w:before="0" w:beforeAutospacing="0" w:after="0" w:afterAutospacing="0" w:line="360" w:lineRule="auto"/>
        <w:jc w:val="both"/>
        <w:rPr>
          <w:rFonts w:ascii="Book Antiqua" w:eastAsia="宋体" w:hAnsi="Book Antiqua" w:hint="eastAsia"/>
          <w:b/>
          <w:bCs/>
          <w:lang w:eastAsia="zh-CN"/>
        </w:rPr>
      </w:pPr>
      <w:r w:rsidRPr="009169B7">
        <w:rPr>
          <w:rFonts w:ascii="Book Antiqua" w:hAnsi="Book Antiqua"/>
        </w:rPr>
        <w:t xml:space="preserve">The associations have been computed using </w:t>
      </w:r>
      <w:r w:rsidR="006927CC">
        <w:rPr>
          <w:rStyle w:val="percent-value"/>
          <w:rFonts w:ascii="Book Antiqua" w:eastAsia="Calibri" w:hAnsi="Book Antiqua"/>
        </w:rPr>
        <w:t>452</w:t>
      </w:r>
      <w:r w:rsidRPr="009169B7">
        <w:rPr>
          <w:rStyle w:val="percent-value"/>
          <w:rFonts w:ascii="Book Antiqua" w:eastAsia="Calibri" w:hAnsi="Book Antiqua"/>
        </w:rPr>
        <w:t>264</w:t>
      </w:r>
      <w:r w:rsidR="006927CC">
        <w:rPr>
          <w:rFonts w:ascii="Book Antiqua" w:hAnsi="Book Antiqua"/>
        </w:rPr>
        <w:t xml:space="preserve"> U</w:t>
      </w:r>
      <w:r w:rsidR="006927CC" w:rsidRPr="003E3BEC">
        <w:rPr>
          <w:rFonts w:ascii="Book Antiqua" w:eastAsia="宋体" w:hAnsi="Book Antiqua" w:hint="eastAsia"/>
          <w:lang w:eastAsia="zh-CN"/>
        </w:rPr>
        <w:t>nited Kindom</w:t>
      </w:r>
      <w:r w:rsidRPr="009169B7">
        <w:rPr>
          <w:rFonts w:ascii="Book Antiqua" w:hAnsi="Book Antiqua"/>
        </w:rPr>
        <w:t xml:space="preserve"> Biobank White British individuals. http://geneatlas.roslin.ed.ac.uk/</w:t>
      </w:r>
      <w:r w:rsidR="006927CC" w:rsidRPr="003E3BEC">
        <w:rPr>
          <w:rFonts w:ascii="Book Antiqua" w:eastAsia="宋体" w:hAnsi="Book Antiqua" w:hint="eastAsia"/>
          <w:lang w:eastAsia="zh-CN"/>
        </w:rPr>
        <w:t>.</w:t>
      </w:r>
      <w:r w:rsidRPr="009169B7">
        <w:rPr>
          <w:rFonts w:ascii="Book Antiqua" w:hAnsi="Book Antiqua"/>
        </w:rPr>
        <w:t xml:space="preserve"> </w:t>
      </w:r>
    </w:p>
    <w:sectPr w:rsidR="000058E8" w:rsidRPr="003E3BEC" w:rsidSect="00F44DD9">
      <w:footerReference w:type="default" r:id="rId2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219" w:rsidRDefault="00083219">
      <w:pPr>
        <w:spacing w:after="0" w:line="240" w:lineRule="auto"/>
      </w:pPr>
      <w:r>
        <w:separator/>
      </w:r>
    </w:p>
  </w:endnote>
  <w:endnote w:type="continuationSeparator" w:id="0">
    <w:p w:rsidR="00083219" w:rsidRDefault="00083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02FF" w:usb1="4000E47F" w:usb2="00000029" w:usb3="00000000" w:csb0="0000019F" w:csb1="00000000"/>
  </w:font>
  <w:font w:name="Garamond-Bold">
    <w:charset w:val="00"/>
    <w:family w:val="roman"/>
    <w:pitch w:val="variable"/>
    <w:sig w:usb0="00000287" w:usb1="00000000" w:usb2="00000000" w:usb3="00000000" w:csb0="0000009F" w:csb1="00000000"/>
  </w:font>
  <w:font w:name="AGaramond-Regular">
    <w:altName w:val="MS Gothic"/>
    <w:panose1 w:val="00000000000000000000"/>
    <w:charset w:val="80"/>
    <w:family w:val="auto"/>
    <w:notTrueType/>
    <w:pitch w:val="default"/>
    <w:sig w:usb0="00000000" w:usb1="08070000" w:usb2="00000010" w:usb3="00000000" w:csb0="00020001"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AdvTimes">
    <w:altName w:val="MingLiU"/>
    <w:panose1 w:val="00000000000000000000"/>
    <w:charset w:val="88"/>
    <w:family w:val="auto"/>
    <w:notTrueType/>
    <w:pitch w:val="default"/>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7CC" w:rsidRDefault="006927CC">
    <w:pPr>
      <w:pStyle w:val="a9"/>
      <w:jc w:val="right"/>
    </w:pPr>
    <w:r>
      <w:fldChar w:fldCharType="begin"/>
    </w:r>
    <w:r>
      <w:instrText xml:space="preserve"> PAGE   \* MERGEFORMAT </w:instrText>
    </w:r>
    <w:r>
      <w:fldChar w:fldCharType="separate"/>
    </w:r>
    <w:r w:rsidR="00171FD5">
      <w:rPr>
        <w:noProof/>
      </w:rPr>
      <w:t>2</w:t>
    </w:r>
    <w:r>
      <w:fldChar w:fldCharType="end"/>
    </w:r>
  </w:p>
  <w:p w:rsidR="006927CC" w:rsidRDefault="006927C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219" w:rsidRDefault="00083219">
      <w:pPr>
        <w:spacing w:after="0" w:line="240" w:lineRule="auto"/>
      </w:pPr>
      <w:r>
        <w:separator/>
      </w:r>
    </w:p>
  </w:footnote>
  <w:footnote w:type="continuationSeparator" w:id="0">
    <w:p w:rsidR="00083219" w:rsidRDefault="000832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D564E"/>
    <w:multiLevelType w:val="hybridMultilevel"/>
    <w:tmpl w:val="84CC0E48"/>
    <w:lvl w:ilvl="0" w:tplc="1F14AEBA">
      <w:start w:val="1"/>
      <w:numFmt w:val="bullet"/>
      <w:lvlText w:val="•"/>
      <w:lvlJc w:val="left"/>
      <w:pPr>
        <w:tabs>
          <w:tab w:val="num" w:pos="720"/>
        </w:tabs>
        <w:ind w:left="720" w:hanging="360"/>
      </w:pPr>
      <w:rPr>
        <w:rFonts w:ascii="Arial" w:hAnsi="Arial" w:hint="default"/>
      </w:rPr>
    </w:lvl>
    <w:lvl w:ilvl="1" w:tplc="8488FD4C" w:tentative="1">
      <w:start w:val="1"/>
      <w:numFmt w:val="bullet"/>
      <w:lvlText w:val="•"/>
      <w:lvlJc w:val="left"/>
      <w:pPr>
        <w:tabs>
          <w:tab w:val="num" w:pos="1440"/>
        </w:tabs>
        <w:ind w:left="1440" w:hanging="360"/>
      </w:pPr>
      <w:rPr>
        <w:rFonts w:ascii="Arial" w:hAnsi="Arial" w:hint="default"/>
      </w:rPr>
    </w:lvl>
    <w:lvl w:ilvl="2" w:tplc="D020E7FE" w:tentative="1">
      <w:start w:val="1"/>
      <w:numFmt w:val="bullet"/>
      <w:lvlText w:val="•"/>
      <w:lvlJc w:val="left"/>
      <w:pPr>
        <w:tabs>
          <w:tab w:val="num" w:pos="2160"/>
        </w:tabs>
        <w:ind w:left="2160" w:hanging="360"/>
      </w:pPr>
      <w:rPr>
        <w:rFonts w:ascii="Arial" w:hAnsi="Arial" w:hint="default"/>
      </w:rPr>
    </w:lvl>
    <w:lvl w:ilvl="3" w:tplc="93F22A4A" w:tentative="1">
      <w:start w:val="1"/>
      <w:numFmt w:val="bullet"/>
      <w:lvlText w:val="•"/>
      <w:lvlJc w:val="left"/>
      <w:pPr>
        <w:tabs>
          <w:tab w:val="num" w:pos="2880"/>
        </w:tabs>
        <w:ind w:left="2880" w:hanging="360"/>
      </w:pPr>
      <w:rPr>
        <w:rFonts w:ascii="Arial" w:hAnsi="Arial" w:hint="default"/>
      </w:rPr>
    </w:lvl>
    <w:lvl w:ilvl="4" w:tplc="C53C00EC" w:tentative="1">
      <w:start w:val="1"/>
      <w:numFmt w:val="bullet"/>
      <w:lvlText w:val="•"/>
      <w:lvlJc w:val="left"/>
      <w:pPr>
        <w:tabs>
          <w:tab w:val="num" w:pos="3600"/>
        </w:tabs>
        <w:ind w:left="3600" w:hanging="360"/>
      </w:pPr>
      <w:rPr>
        <w:rFonts w:ascii="Arial" w:hAnsi="Arial" w:hint="default"/>
      </w:rPr>
    </w:lvl>
    <w:lvl w:ilvl="5" w:tplc="99ACD75A" w:tentative="1">
      <w:start w:val="1"/>
      <w:numFmt w:val="bullet"/>
      <w:lvlText w:val="•"/>
      <w:lvlJc w:val="left"/>
      <w:pPr>
        <w:tabs>
          <w:tab w:val="num" w:pos="4320"/>
        </w:tabs>
        <w:ind w:left="4320" w:hanging="360"/>
      </w:pPr>
      <w:rPr>
        <w:rFonts w:ascii="Arial" w:hAnsi="Arial" w:hint="default"/>
      </w:rPr>
    </w:lvl>
    <w:lvl w:ilvl="6" w:tplc="4888F9B0" w:tentative="1">
      <w:start w:val="1"/>
      <w:numFmt w:val="bullet"/>
      <w:lvlText w:val="•"/>
      <w:lvlJc w:val="left"/>
      <w:pPr>
        <w:tabs>
          <w:tab w:val="num" w:pos="5040"/>
        </w:tabs>
        <w:ind w:left="5040" w:hanging="360"/>
      </w:pPr>
      <w:rPr>
        <w:rFonts w:ascii="Arial" w:hAnsi="Arial" w:hint="default"/>
      </w:rPr>
    </w:lvl>
    <w:lvl w:ilvl="7" w:tplc="77D0D0BC" w:tentative="1">
      <w:start w:val="1"/>
      <w:numFmt w:val="bullet"/>
      <w:lvlText w:val="•"/>
      <w:lvlJc w:val="left"/>
      <w:pPr>
        <w:tabs>
          <w:tab w:val="num" w:pos="5760"/>
        </w:tabs>
        <w:ind w:left="5760" w:hanging="360"/>
      </w:pPr>
      <w:rPr>
        <w:rFonts w:ascii="Arial" w:hAnsi="Arial" w:hint="default"/>
      </w:rPr>
    </w:lvl>
    <w:lvl w:ilvl="8" w:tplc="41BE77CA" w:tentative="1">
      <w:start w:val="1"/>
      <w:numFmt w:val="bullet"/>
      <w:lvlText w:val="•"/>
      <w:lvlJc w:val="left"/>
      <w:pPr>
        <w:tabs>
          <w:tab w:val="num" w:pos="6480"/>
        </w:tabs>
        <w:ind w:left="6480" w:hanging="360"/>
      </w:pPr>
      <w:rPr>
        <w:rFonts w:ascii="Arial" w:hAnsi="Arial" w:hint="default"/>
      </w:rPr>
    </w:lvl>
  </w:abstractNum>
  <w:abstractNum w:abstractNumId="1">
    <w:nsid w:val="26D62B48"/>
    <w:multiLevelType w:val="hybridMultilevel"/>
    <w:tmpl w:val="5E904840"/>
    <w:lvl w:ilvl="0" w:tplc="3F1EC51C">
      <w:start w:val="1"/>
      <w:numFmt w:val="bullet"/>
      <w:lvlText w:val="•"/>
      <w:lvlJc w:val="left"/>
      <w:pPr>
        <w:tabs>
          <w:tab w:val="num" w:pos="720"/>
        </w:tabs>
        <w:ind w:left="720" w:hanging="360"/>
      </w:pPr>
      <w:rPr>
        <w:rFonts w:ascii="Arial" w:hAnsi="Arial" w:hint="default"/>
      </w:rPr>
    </w:lvl>
    <w:lvl w:ilvl="1" w:tplc="62C6CFD8" w:tentative="1">
      <w:start w:val="1"/>
      <w:numFmt w:val="bullet"/>
      <w:lvlText w:val="•"/>
      <w:lvlJc w:val="left"/>
      <w:pPr>
        <w:tabs>
          <w:tab w:val="num" w:pos="1440"/>
        </w:tabs>
        <w:ind w:left="1440" w:hanging="360"/>
      </w:pPr>
      <w:rPr>
        <w:rFonts w:ascii="Arial" w:hAnsi="Arial" w:hint="default"/>
      </w:rPr>
    </w:lvl>
    <w:lvl w:ilvl="2" w:tplc="285CAAA2" w:tentative="1">
      <w:start w:val="1"/>
      <w:numFmt w:val="bullet"/>
      <w:lvlText w:val="•"/>
      <w:lvlJc w:val="left"/>
      <w:pPr>
        <w:tabs>
          <w:tab w:val="num" w:pos="2160"/>
        </w:tabs>
        <w:ind w:left="2160" w:hanging="360"/>
      </w:pPr>
      <w:rPr>
        <w:rFonts w:ascii="Arial" w:hAnsi="Arial" w:hint="default"/>
      </w:rPr>
    </w:lvl>
    <w:lvl w:ilvl="3" w:tplc="B914DCDE" w:tentative="1">
      <w:start w:val="1"/>
      <w:numFmt w:val="bullet"/>
      <w:lvlText w:val="•"/>
      <w:lvlJc w:val="left"/>
      <w:pPr>
        <w:tabs>
          <w:tab w:val="num" w:pos="2880"/>
        </w:tabs>
        <w:ind w:left="2880" w:hanging="360"/>
      </w:pPr>
      <w:rPr>
        <w:rFonts w:ascii="Arial" w:hAnsi="Arial" w:hint="default"/>
      </w:rPr>
    </w:lvl>
    <w:lvl w:ilvl="4" w:tplc="BF386B8E" w:tentative="1">
      <w:start w:val="1"/>
      <w:numFmt w:val="bullet"/>
      <w:lvlText w:val="•"/>
      <w:lvlJc w:val="left"/>
      <w:pPr>
        <w:tabs>
          <w:tab w:val="num" w:pos="3600"/>
        </w:tabs>
        <w:ind w:left="3600" w:hanging="360"/>
      </w:pPr>
      <w:rPr>
        <w:rFonts w:ascii="Arial" w:hAnsi="Arial" w:hint="default"/>
      </w:rPr>
    </w:lvl>
    <w:lvl w:ilvl="5" w:tplc="89FC04E8" w:tentative="1">
      <w:start w:val="1"/>
      <w:numFmt w:val="bullet"/>
      <w:lvlText w:val="•"/>
      <w:lvlJc w:val="left"/>
      <w:pPr>
        <w:tabs>
          <w:tab w:val="num" w:pos="4320"/>
        </w:tabs>
        <w:ind w:left="4320" w:hanging="360"/>
      </w:pPr>
      <w:rPr>
        <w:rFonts w:ascii="Arial" w:hAnsi="Arial" w:hint="default"/>
      </w:rPr>
    </w:lvl>
    <w:lvl w:ilvl="6" w:tplc="AE8CDD5E" w:tentative="1">
      <w:start w:val="1"/>
      <w:numFmt w:val="bullet"/>
      <w:lvlText w:val="•"/>
      <w:lvlJc w:val="left"/>
      <w:pPr>
        <w:tabs>
          <w:tab w:val="num" w:pos="5040"/>
        </w:tabs>
        <w:ind w:left="5040" w:hanging="360"/>
      </w:pPr>
      <w:rPr>
        <w:rFonts w:ascii="Arial" w:hAnsi="Arial" w:hint="default"/>
      </w:rPr>
    </w:lvl>
    <w:lvl w:ilvl="7" w:tplc="F33266FE" w:tentative="1">
      <w:start w:val="1"/>
      <w:numFmt w:val="bullet"/>
      <w:lvlText w:val="•"/>
      <w:lvlJc w:val="left"/>
      <w:pPr>
        <w:tabs>
          <w:tab w:val="num" w:pos="5760"/>
        </w:tabs>
        <w:ind w:left="5760" w:hanging="360"/>
      </w:pPr>
      <w:rPr>
        <w:rFonts w:ascii="Arial" w:hAnsi="Arial" w:hint="default"/>
      </w:rPr>
    </w:lvl>
    <w:lvl w:ilvl="8" w:tplc="BBA2CEFA" w:tentative="1">
      <w:start w:val="1"/>
      <w:numFmt w:val="bullet"/>
      <w:lvlText w:val="•"/>
      <w:lvlJc w:val="left"/>
      <w:pPr>
        <w:tabs>
          <w:tab w:val="num" w:pos="6480"/>
        </w:tabs>
        <w:ind w:left="6480" w:hanging="360"/>
      </w:pPr>
      <w:rPr>
        <w:rFonts w:ascii="Arial" w:hAnsi="Arial" w:hint="default"/>
      </w:rPr>
    </w:lvl>
  </w:abstractNum>
  <w:abstractNum w:abstractNumId="2">
    <w:nsid w:val="4E931EF9"/>
    <w:multiLevelType w:val="hybridMultilevel"/>
    <w:tmpl w:val="C0EE1F26"/>
    <w:lvl w:ilvl="0" w:tplc="423E908C">
      <w:start w:val="1"/>
      <w:numFmt w:val="bullet"/>
      <w:lvlText w:val="•"/>
      <w:lvlJc w:val="left"/>
      <w:pPr>
        <w:tabs>
          <w:tab w:val="num" w:pos="720"/>
        </w:tabs>
        <w:ind w:left="720" w:hanging="360"/>
      </w:pPr>
      <w:rPr>
        <w:rFonts w:ascii="Arial" w:hAnsi="Arial" w:hint="default"/>
      </w:rPr>
    </w:lvl>
    <w:lvl w:ilvl="1" w:tplc="B6661198" w:tentative="1">
      <w:start w:val="1"/>
      <w:numFmt w:val="bullet"/>
      <w:lvlText w:val="•"/>
      <w:lvlJc w:val="left"/>
      <w:pPr>
        <w:tabs>
          <w:tab w:val="num" w:pos="1440"/>
        </w:tabs>
        <w:ind w:left="1440" w:hanging="360"/>
      </w:pPr>
      <w:rPr>
        <w:rFonts w:ascii="Arial" w:hAnsi="Arial" w:hint="default"/>
      </w:rPr>
    </w:lvl>
    <w:lvl w:ilvl="2" w:tplc="7BAE2262" w:tentative="1">
      <w:start w:val="1"/>
      <w:numFmt w:val="bullet"/>
      <w:lvlText w:val="•"/>
      <w:lvlJc w:val="left"/>
      <w:pPr>
        <w:tabs>
          <w:tab w:val="num" w:pos="2160"/>
        </w:tabs>
        <w:ind w:left="2160" w:hanging="360"/>
      </w:pPr>
      <w:rPr>
        <w:rFonts w:ascii="Arial" w:hAnsi="Arial" w:hint="default"/>
      </w:rPr>
    </w:lvl>
    <w:lvl w:ilvl="3" w:tplc="7B40A5A8" w:tentative="1">
      <w:start w:val="1"/>
      <w:numFmt w:val="bullet"/>
      <w:lvlText w:val="•"/>
      <w:lvlJc w:val="left"/>
      <w:pPr>
        <w:tabs>
          <w:tab w:val="num" w:pos="2880"/>
        </w:tabs>
        <w:ind w:left="2880" w:hanging="360"/>
      </w:pPr>
      <w:rPr>
        <w:rFonts w:ascii="Arial" w:hAnsi="Arial" w:hint="default"/>
      </w:rPr>
    </w:lvl>
    <w:lvl w:ilvl="4" w:tplc="C8EA4738" w:tentative="1">
      <w:start w:val="1"/>
      <w:numFmt w:val="bullet"/>
      <w:lvlText w:val="•"/>
      <w:lvlJc w:val="left"/>
      <w:pPr>
        <w:tabs>
          <w:tab w:val="num" w:pos="3600"/>
        </w:tabs>
        <w:ind w:left="3600" w:hanging="360"/>
      </w:pPr>
      <w:rPr>
        <w:rFonts w:ascii="Arial" w:hAnsi="Arial" w:hint="default"/>
      </w:rPr>
    </w:lvl>
    <w:lvl w:ilvl="5" w:tplc="91C495F8" w:tentative="1">
      <w:start w:val="1"/>
      <w:numFmt w:val="bullet"/>
      <w:lvlText w:val="•"/>
      <w:lvlJc w:val="left"/>
      <w:pPr>
        <w:tabs>
          <w:tab w:val="num" w:pos="4320"/>
        </w:tabs>
        <w:ind w:left="4320" w:hanging="360"/>
      </w:pPr>
      <w:rPr>
        <w:rFonts w:ascii="Arial" w:hAnsi="Arial" w:hint="default"/>
      </w:rPr>
    </w:lvl>
    <w:lvl w:ilvl="6" w:tplc="D08ACC00" w:tentative="1">
      <w:start w:val="1"/>
      <w:numFmt w:val="bullet"/>
      <w:lvlText w:val="•"/>
      <w:lvlJc w:val="left"/>
      <w:pPr>
        <w:tabs>
          <w:tab w:val="num" w:pos="5040"/>
        </w:tabs>
        <w:ind w:left="5040" w:hanging="360"/>
      </w:pPr>
      <w:rPr>
        <w:rFonts w:ascii="Arial" w:hAnsi="Arial" w:hint="default"/>
      </w:rPr>
    </w:lvl>
    <w:lvl w:ilvl="7" w:tplc="A30A2342" w:tentative="1">
      <w:start w:val="1"/>
      <w:numFmt w:val="bullet"/>
      <w:lvlText w:val="•"/>
      <w:lvlJc w:val="left"/>
      <w:pPr>
        <w:tabs>
          <w:tab w:val="num" w:pos="5760"/>
        </w:tabs>
        <w:ind w:left="5760" w:hanging="360"/>
      </w:pPr>
      <w:rPr>
        <w:rFonts w:ascii="Arial" w:hAnsi="Arial" w:hint="default"/>
      </w:rPr>
    </w:lvl>
    <w:lvl w:ilvl="8" w:tplc="F39426CA" w:tentative="1">
      <w:start w:val="1"/>
      <w:numFmt w:val="bullet"/>
      <w:lvlText w:val="•"/>
      <w:lvlJc w:val="left"/>
      <w:pPr>
        <w:tabs>
          <w:tab w:val="num" w:pos="6480"/>
        </w:tabs>
        <w:ind w:left="6480" w:hanging="360"/>
      </w:pPr>
      <w:rPr>
        <w:rFonts w:ascii="Arial" w:hAnsi="Arial" w:hint="default"/>
      </w:rPr>
    </w:lvl>
  </w:abstractNum>
  <w:abstractNum w:abstractNumId="3">
    <w:nsid w:val="53F65ECA"/>
    <w:multiLevelType w:val="multilevel"/>
    <w:tmpl w:val="2F58C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0D7129"/>
    <w:multiLevelType w:val="multilevel"/>
    <w:tmpl w:val="3A960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2B4DF2"/>
    <w:multiLevelType w:val="hybridMultilevel"/>
    <w:tmpl w:val="4C98C9BC"/>
    <w:lvl w:ilvl="0" w:tplc="C74AE1D6">
      <w:start w:val="1"/>
      <w:numFmt w:val="bullet"/>
      <w:lvlText w:val="•"/>
      <w:lvlJc w:val="left"/>
      <w:pPr>
        <w:tabs>
          <w:tab w:val="num" w:pos="720"/>
        </w:tabs>
        <w:ind w:left="720" w:hanging="360"/>
      </w:pPr>
      <w:rPr>
        <w:rFonts w:ascii="Arial" w:hAnsi="Arial" w:hint="default"/>
      </w:rPr>
    </w:lvl>
    <w:lvl w:ilvl="1" w:tplc="61AA350E" w:tentative="1">
      <w:start w:val="1"/>
      <w:numFmt w:val="bullet"/>
      <w:lvlText w:val="•"/>
      <w:lvlJc w:val="left"/>
      <w:pPr>
        <w:tabs>
          <w:tab w:val="num" w:pos="1440"/>
        </w:tabs>
        <w:ind w:left="1440" w:hanging="360"/>
      </w:pPr>
      <w:rPr>
        <w:rFonts w:ascii="Arial" w:hAnsi="Arial" w:hint="default"/>
      </w:rPr>
    </w:lvl>
    <w:lvl w:ilvl="2" w:tplc="A83A4758" w:tentative="1">
      <w:start w:val="1"/>
      <w:numFmt w:val="bullet"/>
      <w:lvlText w:val="•"/>
      <w:lvlJc w:val="left"/>
      <w:pPr>
        <w:tabs>
          <w:tab w:val="num" w:pos="2160"/>
        </w:tabs>
        <w:ind w:left="2160" w:hanging="360"/>
      </w:pPr>
      <w:rPr>
        <w:rFonts w:ascii="Arial" w:hAnsi="Arial" w:hint="default"/>
      </w:rPr>
    </w:lvl>
    <w:lvl w:ilvl="3" w:tplc="4D3451F8" w:tentative="1">
      <w:start w:val="1"/>
      <w:numFmt w:val="bullet"/>
      <w:lvlText w:val="•"/>
      <w:lvlJc w:val="left"/>
      <w:pPr>
        <w:tabs>
          <w:tab w:val="num" w:pos="2880"/>
        </w:tabs>
        <w:ind w:left="2880" w:hanging="360"/>
      </w:pPr>
      <w:rPr>
        <w:rFonts w:ascii="Arial" w:hAnsi="Arial" w:hint="default"/>
      </w:rPr>
    </w:lvl>
    <w:lvl w:ilvl="4" w:tplc="02DE58F8" w:tentative="1">
      <w:start w:val="1"/>
      <w:numFmt w:val="bullet"/>
      <w:lvlText w:val="•"/>
      <w:lvlJc w:val="left"/>
      <w:pPr>
        <w:tabs>
          <w:tab w:val="num" w:pos="3600"/>
        </w:tabs>
        <w:ind w:left="3600" w:hanging="360"/>
      </w:pPr>
      <w:rPr>
        <w:rFonts w:ascii="Arial" w:hAnsi="Arial" w:hint="default"/>
      </w:rPr>
    </w:lvl>
    <w:lvl w:ilvl="5" w:tplc="BEA07700" w:tentative="1">
      <w:start w:val="1"/>
      <w:numFmt w:val="bullet"/>
      <w:lvlText w:val="•"/>
      <w:lvlJc w:val="left"/>
      <w:pPr>
        <w:tabs>
          <w:tab w:val="num" w:pos="4320"/>
        </w:tabs>
        <w:ind w:left="4320" w:hanging="360"/>
      </w:pPr>
      <w:rPr>
        <w:rFonts w:ascii="Arial" w:hAnsi="Arial" w:hint="default"/>
      </w:rPr>
    </w:lvl>
    <w:lvl w:ilvl="6" w:tplc="9B60214E" w:tentative="1">
      <w:start w:val="1"/>
      <w:numFmt w:val="bullet"/>
      <w:lvlText w:val="•"/>
      <w:lvlJc w:val="left"/>
      <w:pPr>
        <w:tabs>
          <w:tab w:val="num" w:pos="5040"/>
        </w:tabs>
        <w:ind w:left="5040" w:hanging="360"/>
      </w:pPr>
      <w:rPr>
        <w:rFonts w:ascii="Arial" w:hAnsi="Arial" w:hint="default"/>
      </w:rPr>
    </w:lvl>
    <w:lvl w:ilvl="7" w:tplc="36DE4944" w:tentative="1">
      <w:start w:val="1"/>
      <w:numFmt w:val="bullet"/>
      <w:lvlText w:val="•"/>
      <w:lvlJc w:val="left"/>
      <w:pPr>
        <w:tabs>
          <w:tab w:val="num" w:pos="5760"/>
        </w:tabs>
        <w:ind w:left="5760" w:hanging="360"/>
      </w:pPr>
      <w:rPr>
        <w:rFonts w:ascii="Arial" w:hAnsi="Arial" w:hint="default"/>
      </w:rPr>
    </w:lvl>
    <w:lvl w:ilvl="8" w:tplc="1196F70E"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5"/>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s>
  <w:rsids>
    <w:rsidRoot w:val="00A44C25"/>
    <w:rsid w:val="000058E8"/>
    <w:rsid w:val="000240C2"/>
    <w:rsid w:val="00083219"/>
    <w:rsid w:val="000B723B"/>
    <w:rsid w:val="000F6E3F"/>
    <w:rsid w:val="00135878"/>
    <w:rsid w:val="001516D3"/>
    <w:rsid w:val="00171FD5"/>
    <w:rsid w:val="001B38C3"/>
    <w:rsid w:val="002A0583"/>
    <w:rsid w:val="002D4DC5"/>
    <w:rsid w:val="003E39F2"/>
    <w:rsid w:val="003E3BEC"/>
    <w:rsid w:val="004414CF"/>
    <w:rsid w:val="0049226D"/>
    <w:rsid w:val="0051496A"/>
    <w:rsid w:val="00523D58"/>
    <w:rsid w:val="005949D1"/>
    <w:rsid w:val="005D13E9"/>
    <w:rsid w:val="005D4895"/>
    <w:rsid w:val="005D5F87"/>
    <w:rsid w:val="006044D1"/>
    <w:rsid w:val="0062051B"/>
    <w:rsid w:val="006444F4"/>
    <w:rsid w:val="00650DE5"/>
    <w:rsid w:val="006927CC"/>
    <w:rsid w:val="00791AF6"/>
    <w:rsid w:val="007A7E4C"/>
    <w:rsid w:val="007D2F34"/>
    <w:rsid w:val="007F34DF"/>
    <w:rsid w:val="00821729"/>
    <w:rsid w:val="00881277"/>
    <w:rsid w:val="00887C44"/>
    <w:rsid w:val="008E7FAE"/>
    <w:rsid w:val="009169B7"/>
    <w:rsid w:val="009F1DEC"/>
    <w:rsid w:val="00A44C25"/>
    <w:rsid w:val="00A45F56"/>
    <w:rsid w:val="00A817DD"/>
    <w:rsid w:val="00AA1996"/>
    <w:rsid w:val="00AB7B89"/>
    <w:rsid w:val="00B06D89"/>
    <w:rsid w:val="00B26511"/>
    <w:rsid w:val="00B35552"/>
    <w:rsid w:val="00C82110"/>
    <w:rsid w:val="00D960ED"/>
    <w:rsid w:val="00DE17D7"/>
    <w:rsid w:val="00DE26B7"/>
    <w:rsid w:val="00E0092B"/>
    <w:rsid w:val="00E25256"/>
    <w:rsid w:val="00EA557A"/>
    <w:rsid w:val="00F44D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4C25"/>
    <w:pPr>
      <w:spacing w:after="200" w:line="276" w:lineRule="auto"/>
    </w:pPr>
    <w:rPr>
      <w:sz w:val="22"/>
      <w:szCs w:val="22"/>
      <w:lang w:eastAsia="en-US"/>
    </w:rPr>
  </w:style>
  <w:style w:type="paragraph" w:styleId="1">
    <w:name w:val="heading 1"/>
    <w:basedOn w:val="a"/>
    <w:next w:val="a"/>
    <w:link w:val="1Char"/>
    <w:uiPriority w:val="9"/>
    <w:qFormat/>
    <w:rsid w:val="00A44C25"/>
    <w:pPr>
      <w:keepNext/>
      <w:spacing w:before="240" w:after="60"/>
      <w:outlineLvl w:val="0"/>
    </w:pPr>
    <w:rPr>
      <w:rFonts w:ascii="Cambria" w:eastAsia="Times New Roman" w:hAnsi="Cambria"/>
      <w:b/>
      <w:bCs/>
      <w:kern w:val="32"/>
      <w:sz w:val="32"/>
      <w:szCs w:val="32"/>
      <w:lang w:val="x-none" w:eastAsia="x-none"/>
    </w:rPr>
  </w:style>
  <w:style w:type="paragraph" w:styleId="2">
    <w:name w:val="heading 2"/>
    <w:basedOn w:val="a"/>
    <w:next w:val="a"/>
    <w:link w:val="2Char"/>
    <w:uiPriority w:val="9"/>
    <w:semiHidden/>
    <w:unhideWhenUsed/>
    <w:qFormat/>
    <w:rsid w:val="00A44C25"/>
    <w:pPr>
      <w:keepNext/>
      <w:spacing w:before="240" w:after="60"/>
      <w:outlineLvl w:val="1"/>
    </w:pPr>
    <w:rPr>
      <w:rFonts w:ascii="Cambria" w:eastAsia="Times New Roman" w:hAnsi="Cambria"/>
      <w:b/>
      <w:bCs/>
      <w:i/>
      <w:iCs/>
      <w:sz w:val="28"/>
      <w:szCs w:val="28"/>
      <w:lang w:val="x-none" w:eastAsia="x-none"/>
    </w:rPr>
  </w:style>
  <w:style w:type="paragraph" w:styleId="3">
    <w:name w:val="heading 3"/>
    <w:basedOn w:val="a"/>
    <w:link w:val="3Char"/>
    <w:uiPriority w:val="9"/>
    <w:qFormat/>
    <w:rsid w:val="00A44C25"/>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4">
    <w:name w:val="heading 4"/>
    <w:basedOn w:val="a"/>
    <w:next w:val="a"/>
    <w:link w:val="4Char"/>
    <w:uiPriority w:val="9"/>
    <w:semiHidden/>
    <w:unhideWhenUsed/>
    <w:qFormat/>
    <w:rsid w:val="00A44C25"/>
    <w:pPr>
      <w:keepNext/>
      <w:spacing w:before="240" w:after="60"/>
      <w:outlineLvl w:val="3"/>
    </w:pPr>
    <w:rPr>
      <w:rFonts w:eastAsia="Times New Roman"/>
      <w:b/>
      <w:bCs/>
      <w:sz w:val="28"/>
      <w:szCs w:val="28"/>
      <w:lang w:val="x-none" w:eastAsia="x-none"/>
    </w:rPr>
  </w:style>
  <w:style w:type="character" w:default="1" w:styleId="a0">
    <w:name w:val="Default Paragraph Font"/>
    <w:uiPriority w:val="1"/>
    <w:unhideWhenUsed/>
    <w:rsid w:val="00A44C25"/>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rsid w:val="00A44C25"/>
  </w:style>
  <w:style w:type="character" w:customStyle="1" w:styleId="1Char">
    <w:name w:val="标题 1 Char"/>
    <w:link w:val="1"/>
    <w:uiPriority w:val="9"/>
    <w:rsid w:val="00A44C25"/>
    <w:rPr>
      <w:rFonts w:ascii="Cambria" w:eastAsia="Times New Roman" w:hAnsi="Cambria" w:cs="Times New Roman"/>
      <w:b/>
      <w:bCs/>
      <w:kern w:val="32"/>
      <w:sz w:val="32"/>
      <w:szCs w:val="32"/>
      <w:lang w:val="x-none" w:eastAsia="x-none"/>
    </w:rPr>
  </w:style>
  <w:style w:type="character" w:customStyle="1" w:styleId="2Char">
    <w:name w:val="标题 2 Char"/>
    <w:link w:val="2"/>
    <w:uiPriority w:val="9"/>
    <w:semiHidden/>
    <w:rsid w:val="00A44C25"/>
    <w:rPr>
      <w:rFonts w:ascii="Cambria" w:eastAsia="Times New Roman" w:hAnsi="Cambria" w:cs="Times New Roman"/>
      <w:b/>
      <w:bCs/>
      <w:i/>
      <w:iCs/>
      <w:sz w:val="28"/>
      <w:szCs w:val="28"/>
      <w:lang w:val="x-none" w:eastAsia="x-none"/>
    </w:rPr>
  </w:style>
  <w:style w:type="character" w:customStyle="1" w:styleId="3Char">
    <w:name w:val="标题 3 Char"/>
    <w:link w:val="3"/>
    <w:uiPriority w:val="9"/>
    <w:rsid w:val="00A44C25"/>
    <w:rPr>
      <w:rFonts w:ascii="Times New Roman" w:eastAsia="Times New Roman" w:hAnsi="Times New Roman" w:cs="Times New Roman"/>
      <w:b/>
      <w:bCs/>
      <w:sz w:val="27"/>
      <w:szCs w:val="27"/>
      <w:lang w:val="x-none" w:eastAsia="x-none"/>
    </w:rPr>
  </w:style>
  <w:style w:type="character" w:customStyle="1" w:styleId="4Char">
    <w:name w:val="标题 4 Char"/>
    <w:link w:val="4"/>
    <w:uiPriority w:val="9"/>
    <w:semiHidden/>
    <w:rsid w:val="00A44C25"/>
    <w:rPr>
      <w:rFonts w:ascii="Calibri" w:eastAsia="Times New Roman" w:hAnsi="Calibri" w:cs="Times New Roman"/>
      <w:b/>
      <w:bCs/>
      <w:sz w:val="28"/>
      <w:szCs w:val="28"/>
      <w:lang w:val="x-none" w:eastAsia="x-none"/>
    </w:rPr>
  </w:style>
  <w:style w:type="paragraph" w:styleId="a3">
    <w:name w:val="Normal (Web)"/>
    <w:basedOn w:val="a"/>
    <w:uiPriority w:val="99"/>
    <w:unhideWhenUsed/>
    <w:rsid w:val="00A44C25"/>
    <w:pPr>
      <w:spacing w:before="100" w:beforeAutospacing="1" w:after="100" w:afterAutospacing="1" w:line="240" w:lineRule="auto"/>
    </w:pPr>
    <w:rPr>
      <w:rFonts w:ascii="Times New Roman" w:eastAsia="Times New Roman" w:hAnsi="Times New Roman"/>
      <w:sz w:val="24"/>
      <w:szCs w:val="24"/>
    </w:rPr>
  </w:style>
  <w:style w:type="character" w:styleId="a4">
    <w:name w:val="Strong"/>
    <w:uiPriority w:val="22"/>
    <w:qFormat/>
    <w:rsid w:val="00A44C25"/>
    <w:rPr>
      <w:b/>
      <w:bCs/>
    </w:rPr>
  </w:style>
  <w:style w:type="paragraph" w:customStyle="1" w:styleId="Default">
    <w:name w:val="Default"/>
    <w:rsid w:val="00A44C25"/>
    <w:pPr>
      <w:autoSpaceDE w:val="0"/>
      <w:autoSpaceDN w:val="0"/>
      <w:adjustRightInd w:val="0"/>
    </w:pPr>
    <w:rPr>
      <w:rFonts w:ascii="Book Antiqua" w:hAnsi="Book Antiqua" w:cs="Book Antiqua"/>
      <w:color w:val="000000"/>
      <w:sz w:val="24"/>
      <w:szCs w:val="24"/>
      <w:lang w:eastAsia="en-US"/>
    </w:rPr>
  </w:style>
  <w:style w:type="paragraph" w:styleId="a5">
    <w:name w:val="Body Text"/>
    <w:basedOn w:val="a"/>
    <w:link w:val="Char"/>
    <w:uiPriority w:val="99"/>
    <w:unhideWhenUsed/>
    <w:rsid w:val="00A44C25"/>
    <w:pPr>
      <w:spacing w:after="120" w:line="480" w:lineRule="auto"/>
    </w:pPr>
    <w:rPr>
      <w:rFonts w:eastAsia="Calibri"/>
      <w:sz w:val="20"/>
      <w:szCs w:val="20"/>
      <w:lang w:val="x-none" w:eastAsia="x-none"/>
    </w:rPr>
  </w:style>
  <w:style w:type="character" w:customStyle="1" w:styleId="Char">
    <w:name w:val="正文文本 Char"/>
    <w:link w:val="a5"/>
    <w:uiPriority w:val="99"/>
    <w:rsid w:val="00A44C25"/>
    <w:rPr>
      <w:rFonts w:ascii="Calibri" w:eastAsia="Calibri" w:hAnsi="Calibri" w:cs="Times New Roman"/>
      <w:sz w:val="20"/>
      <w:szCs w:val="20"/>
      <w:lang w:val="x-none" w:eastAsia="x-none"/>
    </w:rPr>
  </w:style>
  <w:style w:type="character" w:styleId="a6">
    <w:name w:val="Hyperlink"/>
    <w:uiPriority w:val="99"/>
    <w:unhideWhenUsed/>
    <w:rsid w:val="00A44C25"/>
    <w:rPr>
      <w:color w:val="0000FF"/>
      <w:u w:val="single"/>
    </w:rPr>
  </w:style>
  <w:style w:type="character" w:customStyle="1" w:styleId="2he8v2h">
    <w:name w:val="_2he8v2h"/>
    <w:basedOn w:val="a0"/>
    <w:rsid w:val="00A44C25"/>
  </w:style>
  <w:style w:type="table" w:styleId="a7">
    <w:name w:val="Table Grid"/>
    <w:basedOn w:val="a1"/>
    <w:uiPriority w:val="59"/>
    <w:rsid w:val="00A44C25"/>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ercent-value">
    <w:name w:val="percent-value"/>
    <w:basedOn w:val="a0"/>
    <w:rsid w:val="00A44C25"/>
  </w:style>
  <w:style w:type="paragraph" w:customStyle="1" w:styleId="1uc14g3">
    <w:name w:val="_1uc14g3"/>
    <w:basedOn w:val="a"/>
    <w:rsid w:val="00A44C25"/>
    <w:pPr>
      <w:spacing w:before="100" w:beforeAutospacing="1" w:after="100" w:afterAutospacing="1" w:line="240" w:lineRule="auto"/>
    </w:pPr>
    <w:rPr>
      <w:rFonts w:ascii="Times New Roman" w:eastAsia="Times New Roman" w:hAnsi="Times New Roman"/>
      <w:sz w:val="24"/>
      <w:szCs w:val="24"/>
    </w:rPr>
  </w:style>
  <w:style w:type="paragraph" w:customStyle="1" w:styleId="ued81cg">
    <w:name w:val="_ued81cg"/>
    <w:basedOn w:val="a"/>
    <w:rsid w:val="00A44C25"/>
    <w:pPr>
      <w:spacing w:before="100" w:beforeAutospacing="1" w:after="100" w:afterAutospacing="1" w:line="240" w:lineRule="auto"/>
    </w:pPr>
    <w:rPr>
      <w:rFonts w:ascii="Times New Roman" w:eastAsia="Times New Roman" w:hAnsi="Times New Roman"/>
      <w:sz w:val="24"/>
      <w:szCs w:val="24"/>
    </w:rPr>
  </w:style>
  <w:style w:type="character" w:customStyle="1" w:styleId="panel-inline">
    <w:name w:val="panel-inline"/>
    <w:basedOn w:val="a0"/>
    <w:rsid w:val="00A44C25"/>
  </w:style>
  <w:style w:type="paragraph" w:styleId="a8">
    <w:name w:val="header"/>
    <w:basedOn w:val="a"/>
    <w:link w:val="Char0"/>
    <w:uiPriority w:val="99"/>
    <w:unhideWhenUsed/>
    <w:rsid w:val="00A44C25"/>
    <w:pPr>
      <w:tabs>
        <w:tab w:val="center" w:pos="4680"/>
        <w:tab w:val="right" w:pos="9360"/>
      </w:tabs>
    </w:pPr>
    <w:rPr>
      <w:rFonts w:eastAsia="Calibri"/>
      <w:sz w:val="20"/>
      <w:szCs w:val="20"/>
      <w:lang w:val="x-none" w:eastAsia="x-none"/>
    </w:rPr>
  </w:style>
  <w:style w:type="character" w:customStyle="1" w:styleId="Char0">
    <w:name w:val="页眉 Char"/>
    <w:link w:val="a8"/>
    <w:uiPriority w:val="99"/>
    <w:rsid w:val="00A44C25"/>
    <w:rPr>
      <w:rFonts w:ascii="Calibri" w:eastAsia="Calibri" w:hAnsi="Calibri" w:cs="Times New Roman"/>
      <w:lang w:val="x-none" w:eastAsia="x-none"/>
    </w:rPr>
  </w:style>
  <w:style w:type="paragraph" w:styleId="a9">
    <w:name w:val="footer"/>
    <w:basedOn w:val="a"/>
    <w:link w:val="Char1"/>
    <w:uiPriority w:val="99"/>
    <w:unhideWhenUsed/>
    <w:rsid w:val="00A44C25"/>
    <w:pPr>
      <w:tabs>
        <w:tab w:val="center" w:pos="4680"/>
        <w:tab w:val="right" w:pos="9360"/>
      </w:tabs>
    </w:pPr>
    <w:rPr>
      <w:rFonts w:eastAsia="Calibri"/>
      <w:sz w:val="20"/>
      <w:szCs w:val="20"/>
      <w:lang w:val="x-none" w:eastAsia="x-none"/>
    </w:rPr>
  </w:style>
  <w:style w:type="character" w:customStyle="1" w:styleId="Char1">
    <w:name w:val="页脚 Char"/>
    <w:link w:val="a9"/>
    <w:uiPriority w:val="99"/>
    <w:rsid w:val="00A44C25"/>
    <w:rPr>
      <w:rFonts w:ascii="Calibri" w:eastAsia="Calibri" w:hAnsi="Calibri" w:cs="Times New Roman"/>
      <w:lang w:val="x-none" w:eastAsia="x-none"/>
    </w:rPr>
  </w:style>
  <w:style w:type="character" w:customStyle="1" w:styleId="st">
    <w:name w:val="st"/>
    <w:basedOn w:val="a0"/>
    <w:rsid w:val="00A44C25"/>
  </w:style>
  <w:style w:type="character" w:styleId="aa">
    <w:name w:val="Emphasis"/>
    <w:uiPriority w:val="20"/>
    <w:qFormat/>
    <w:rsid w:val="00A44C25"/>
    <w:rPr>
      <w:i/>
      <w:iCs/>
    </w:rPr>
  </w:style>
  <w:style w:type="character" w:customStyle="1" w:styleId="hilite1">
    <w:name w:val="hilite1"/>
    <w:basedOn w:val="a0"/>
    <w:rsid w:val="00A44C25"/>
  </w:style>
  <w:style w:type="paragraph" w:styleId="ab">
    <w:name w:val="List Paragraph"/>
    <w:basedOn w:val="a"/>
    <w:uiPriority w:val="34"/>
    <w:qFormat/>
    <w:rsid w:val="00A44C25"/>
    <w:pPr>
      <w:spacing w:after="0" w:line="240" w:lineRule="auto"/>
      <w:ind w:left="720"/>
      <w:contextualSpacing/>
    </w:pPr>
    <w:rPr>
      <w:rFonts w:ascii="Times New Roman" w:eastAsia="Times New Roman" w:hAnsi="Times New Roman"/>
      <w:sz w:val="24"/>
      <w:szCs w:val="24"/>
    </w:rPr>
  </w:style>
  <w:style w:type="character" w:customStyle="1" w:styleId="appname">
    <w:name w:val="app_name"/>
    <w:basedOn w:val="a0"/>
    <w:rsid w:val="00A44C25"/>
  </w:style>
  <w:style w:type="character" w:customStyle="1" w:styleId="term">
    <w:name w:val="term"/>
    <w:basedOn w:val="a0"/>
    <w:rsid w:val="00A44C25"/>
  </w:style>
  <w:style w:type="character" w:customStyle="1" w:styleId="lead-in">
    <w:name w:val="lead-in"/>
    <w:basedOn w:val="a0"/>
    <w:rsid w:val="00A44C25"/>
  </w:style>
  <w:style w:type="character" w:styleId="ac">
    <w:name w:val="FollowedHyperlink"/>
    <w:uiPriority w:val="99"/>
    <w:semiHidden/>
    <w:unhideWhenUsed/>
    <w:rsid w:val="00A44C25"/>
    <w:rPr>
      <w:color w:val="800080"/>
      <w:u w:val="single"/>
    </w:rPr>
  </w:style>
  <w:style w:type="character" w:styleId="ad">
    <w:name w:val="annotation reference"/>
    <w:uiPriority w:val="99"/>
    <w:semiHidden/>
    <w:unhideWhenUsed/>
    <w:rsid w:val="00A44C25"/>
    <w:rPr>
      <w:sz w:val="16"/>
      <w:szCs w:val="16"/>
    </w:rPr>
  </w:style>
  <w:style w:type="paragraph" w:styleId="ae">
    <w:name w:val="annotation text"/>
    <w:basedOn w:val="a"/>
    <w:link w:val="Char2"/>
    <w:uiPriority w:val="99"/>
    <w:unhideWhenUsed/>
    <w:qFormat/>
    <w:rsid w:val="00A44C25"/>
    <w:rPr>
      <w:rFonts w:eastAsia="Calibri"/>
      <w:sz w:val="20"/>
      <w:szCs w:val="20"/>
      <w:lang w:val="x-none" w:eastAsia="x-none"/>
    </w:rPr>
  </w:style>
  <w:style w:type="character" w:customStyle="1" w:styleId="Char2">
    <w:name w:val="批注文字 Char"/>
    <w:link w:val="ae"/>
    <w:uiPriority w:val="99"/>
    <w:qFormat/>
    <w:rsid w:val="00A44C25"/>
    <w:rPr>
      <w:rFonts w:ascii="Calibri" w:eastAsia="Calibri" w:hAnsi="Calibri" w:cs="Times New Roman"/>
      <w:sz w:val="20"/>
      <w:szCs w:val="20"/>
    </w:rPr>
  </w:style>
  <w:style w:type="paragraph" w:styleId="af">
    <w:name w:val="annotation subject"/>
    <w:basedOn w:val="ae"/>
    <w:next w:val="ae"/>
    <w:link w:val="Char3"/>
    <w:uiPriority w:val="99"/>
    <w:semiHidden/>
    <w:unhideWhenUsed/>
    <w:rsid w:val="00A44C25"/>
    <w:rPr>
      <w:b/>
      <w:bCs/>
    </w:rPr>
  </w:style>
  <w:style w:type="character" w:customStyle="1" w:styleId="Char3">
    <w:name w:val="批注主题 Char"/>
    <w:link w:val="af"/>
    <w:uiPriority w:val="99"/>
    <w:semiHidden/>
    <w:rsid w:val="00A44C25"/>
    <w:rPr>
      <w:rFonts w:ascii="Calibri" w:eastAsia="Calibri" w:hAnsi="Calibri" w:cs="Times New Roman"/>
      <w:b/>
      <w:bCs/>
      <w:sz w:val="20"/>
      <w:szCs w:val="20"/>
    </w:rPr>
  </w:style>
  <w:style w:type="paragraph" w:styleId="af0">
    <w:name w:val="Balloon Text"/>
    <w:basedOn w:val="a"/>
    <w:link w:val="Char4"/>
    <w:uiPriority w:val="99"/>
    <w:semiHidden/>
    <w:unhideWhenUsed/>
    <w:rsid w:val="00A44C25"/>
    <w:pPr>
      <w:spacing w:after="0" w:line="240" w:lineRule="auto"/>
    </w:pPr>
    <w:rPr>
      <w:rFonts w:ascii="Segoe UI" w:eastAsia="Calibri" w:hAnsi="Segoe UI"/>
      <w:sz w:val="18"/>
      <w:szCs w:val="18"/>
      <w:lang w:val="x-none" w:eastAsia="x-none"/>
    </w:rPr>
  </w:style>
  <w:style w:type="character" w:customStyle="1" w:styleId="Char4">
    <w:name w:val="批注框文本 Char"/>
    <w:link w:val="af0"/>
    <w:uiPriority w:val="99"/>
    <w:semiHidden/>
    <w:rsid w:val="00A44C25"/>
    <w:rPr>
      <w:rFonts w:ascii="Segoe UI" w:eastAsia="Calibri" w:hAnsi="Segoe U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4C25"/>
    <w:pPr>
      <w:spacing w:after="200" w:line="276" w:lineRule="auto"/>
    </w:pPr>
    <w:rPr>
      <w:sz w:val="22"/>
      <w:szCs w:val="22"/>
      <w:lang w:eastAsia="en-US"/>
    </w:rPr>
  </w:style>
  <w:style w:type="paragraph" w:styleId="1">
    <w:name w:val="heading 1"/>
    <w:basedOn w:val="a"/>
    <w:next w:val="a"/>
    <w:link w:val="1Char"/>
    <w:uiPriority w:val="9"/>
    <w:qFormat/>
    <w:rsid w:val="00A44C25"/>
    <w:pPr>
      <w:keepNext/>
      <w:spacing w:before="240" w:after="60"/>
      <w:outlineLvl w:val="0"/>
    </w:pPr>
    <w:rPr>
      <w:rFonts w:ascii="Cambria" w:eastAsia="Times New Roman" w:hAnsi="Cambria"/>
      <w:b/>
      <w:bCs/>
      <w:kern w:val="32"/>
      <w:sz w:val="32"/>
      <w:szCs w:val="32"/>
      <w:lang w:val="x-none" w:eastAsia="x-none"/>
    </w:rPr>
  </w:style>
  <w:style w:type="paragraph" w:styleId="2">
    <w:name w:val="heading 2"/>
    <w:basedOn w:val="a"/>
    <w:next w:val="a"/>
    <w:link w:val="2Char"/>
    <w:uiPriority w:val="9"/>
    <w:semiHidden/>
    <w:unhideWhenUsed/>
    <w:qFormat/>
    <w:rsid w:val="00A44C25"/>
    <w:pPr>
      <w:keepNext/>
      <w:spacing w:before="240" w:after="60"/>
      <w:outlineLvl w:val="1"/>
    </w:pPr>
    <w:rPr>
      <w:rFonts w:ascii="Cambria" w:eastAsia="Times New Roman" w:hAnsi="Cambria"/>
      <w:b/>
      <w:bCs/>
      <w:i/>
      <w:iCs/>
      <w:sz w:val="28"/>
      <w:szCs w:val="28"/>
      <w:lang w:val="x-none" w:eastAsia="x-none"/>
    </w:rPr>
  </w:style>
  <w:style w:type="paragraph" w:styleId="3">
    <w:name w:val="heading 3"/>
    <w:basedOn w:val="a"/>
    <w:link w:val="3Char"/>
    <w:uiPriority w:val="9"/>
    <w:qFormat/>
    <w:rsid w:val="00A44C25"/>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4">
    <w:name w:val="heading 4"/>
    <w:basedOn w:val="a"/>
    <w:next w:val="a"/>
    <w:link w:val="4Char"/>
    <w:uiPriority w:val="9"/>
    <w:semiHidden/>
    <w:unhideWhenUsed/>
    <w:qFormat/>
    <w:rsid w:val="00A44C25"/>
    <w:pPr>
      <w:keepNext/>
      <w:spacing w:before="240" w:after="60"/>
      <w:outlineLvl w:val="3"/>
    </w:pPr>
    <w:rPr>
      <w:rFonts w:eastAsia="Times New Roman"/>
      <w:b/>
      <w:bCs/>
      <w:sz w:val="28"/>
      <w:szCs w:val="28"/>
      <w:lang w:val="x-none" w:eastAsia="x-none"/>
    </w:rPr>
  </w:style>
  <w:style w:type="character" w:default="1" w:styleId="a0">
    <w:name w:val="Default Paragraph Font"/>
    <w:uiPriority w:val="1"/>
    <w:unhideWhenUsed/>
    <w:rsid w:val="00A44C25"/>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rsid w:val="00A44C25"/>
  </w:style>
  <w:style w:type="character" w:customStyle="1" w:styleId="1Char">
    <w:name w:val="标题 1 Char"/>
    <w:link w:val="1"/>
    <w:uiPriority w:val="9"/>
    <w:rsid w:val="00A44C25"/>
    <w:rPr>
      <w:rFonts w:ascii="Cambria" w:eastAsia="Times New Roman" w:hAnsi="Cambria" w:cs="Times New Roman"/>
      <w:b/>
      <w:bCs/>
      <w:kern w:val="32"/>
      <w:sz w:val="32"/>
      <w:szCs w:val="32"/>
      <w:lang w:val="x-none" w:eastAsia="x-none"/>
    </w:rPr>
  </w:style>
  <w:style w:type="character" w:customStyle="1" w:styleId="2Char">
    <w:name w:val="标题 2 Char"/>
    <w:link w:val="2"/>
    <w:uiPriority w:val="9"/>
    <w:semiHidden/>
    <w:rsid w:val="00A44C25"/>
    <w:rPr>
      <w:rFonts w:ascii="Cambria" w:eastAsia="Times New Roman" w:hAnsi="Cambria" w:cs="Times New Roman"/>
      <w:b/>
      <w:bCs/>
      <w:i/>
      <w:iCs/>
      <w:sz w:val="28"/>
      <w:szCs w:val="28"/>
      <w:lang w:val="x-none" w:eastAsia="x-none"/>
    </w:rPr>
  </w:style>
  <w:style w:type="character" w:customStyle="1" w:styleId="3Char">
    <w:name w:val="标题 3 Char"/>
    <w:link w:val="3"/>
    <w:uiPriority w:val="9"/>
    <w:rsid w:val="00A44C25"/>
    <w:rPr>
      <w:rFonts w:ascii="Times New Roman" w:eastAsia="Times New Roman" w:hAnsi="Times New Roman" w:cs="Times New Roman"/>
      <w:b/>
      <w:bCs/>
      <w:sz w:val="27"/>
      <w:szCs w:val="27"/>
      <w:lang w:val="x-none" w:eastAsia="x-none"/>
    </w:rPr>
  </w:style>
  <w:style w:type="character" w:customStyle="1" w:styleId="4Char">
    <w:name w:val="标题 4 Char"/>
    <w:link w:val="4"/>
    <w:uiPriority w:val="9"/>
    <w:semiHidden/>
    <w:rsid w:val="00A44C25"/>
    <w:rPr>
      <w:rFonts w:ascii="Calibri" w:eastAsia="Times New Roman" w:hAnsi="Calibri" w:cs="Times New Roman"/>
      <w:b/>
      <w:bCs/>
      <w:sz w:val="28"/>
      <w:szCs w:val="28"/>
      <w:lang w:val="x-none" w:eastAsia="x-none"/>
    </w:rPr>
  </w:style>
  <w:style w:type="paragraph" w:styleId="a3">
    <w:name w:val="Normal (Web)"/>
    <w:basedOn w:val="a"/>
    <w:uiPriority w:val="99"/>
    <w:unhideWhenUsed/>
    <w:rsid w:val="00A44C25"/>
    <w:pPr>
      <w:spacing w:before="100" w:beforeAutospacing="1" w:after="100" w:afterAutospacing="1" w:line="240" w:lineRule="auto"/>
    </w:pPr>
    <w:rPr>
      <w:rFonts w:ascii="Times New Roman" w:eastAsia="Times New Roman" w:hAnsi="Times New Roman"/>
      <w:sz w:val="24"/>
      <w:szCs w:val="24"/>
    </w:rPr>
  </w:style>
  <w:style w:type="character" w:styleId="a4">
    <w:name w:val="Strong"/>
    <w:uiPriority w:val="22"/>
    <w:qFormat/>
    <w:rsid w:val="00A44C25"/>
    <w:rPr>
      <w:b/>
      <w:bCs/>
    </w:rPr>
  </w:style>
  <w:style w:type="paragraph" w:customStyle="1" w:styleId="Default">
    <w:name w:val="Default"/>
    <w:rsid w:val="00A44C25"/>
    <w:pPr>
      <w:autoSpaceDE w:val="0"/>
      <w:autoSpaceDN w:val="0"/>
      <w:adjustRightInd w:val="0"/>
    </w:pPr>
    <w:rPr>
      <w:rFonts w:ascii="Book Antiqua" w:hAnsi="Book Antiqua" w:cs="Book Antiqua"/>
      <w:color w:val="000000"/>
      <w:sz w:val="24"/>
      <w:szCs w:val="24"/>
      <w:lang w:eastAsia="en-US"/>
    </w:rPr>
  </w:style>
  <w:style w:type="paragraph" w:styleId="a5">
    <w:name w:val="Body Text"/>
    <w:basedOn w:val="a"/>
    <w:link w:val="Char"/>
    <w:uiPriority w:val="99"/>
    <w:unhideWhenUsed/>
    <w:rsid w:val="00A44C25"/>
    <w:pPr>
      <w:spacing w:after="120" w:line="480" w:lineRule="auto"/>
    </w:pPr>
    <w:rPr>
      <w:rFonts w:eastAsia="Calibri"/>
      <w:sz w:val="20"/>
      <w:szCs w:val="20"/>
      <w:lang w:val="x-none" w:eastAsia="x-none"/>
    </w:rPr>
  </w:style>
  <w:style w:type="character" w:customStyle="1" w:styleId="Char">
    <w:name w:val="正文文本 Char"/>
    <w:link w:val="a5"/>
    <w:uiPriority w:val="99"/>
    <w:rsid w:val="00A44C25"/>
    <w:rPr>
      <w:rFonts w:ascii="Calibri" w:eastAsia="Calibri" w:hAnsi="Calibri" w:cs="Times New Roman"/>
      <w:sz w:val="20"/>
      <w:szCs w:val="20"/>
      <w:lang w:val="x-none" w:eastAsia="x-none"/>
    </w:rPr>
  </w:style>
  <w:style w:type="character" w:styleId="a6">
    <w:name w:val="Hyperlink"/>
    <w:uiPriority w:val="99"/>
    <w:unhideWhenUsed/>
    <w:rsid w:val="00A44C25"/>
    <w:rPr>
      <w:color w:val="0000FF"/>
      <w:u w:val="single"/>
    </w:rPr>
  </w:style>
  <w:style w:type="character" w:customStyle="1" w:styleId="2he8v2h">
    <w:name w:val="_2he8v2h"/>
    <w:basedOn w:val="a0"/>
    <w:rsid w:val="00A44C25"/>
  </w:style>
  <w:style w:type="table" w:styleId="a7">
    <w:name w:val="Table Grid"/>
    <w:basedOn w:val="a1"/>
    <w:uiPriority w:val="59"/>
    <w:rsid w:val="00A44C25"/>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ercent-value">
    <w:name w:val="percent-value"/>
    <w:basedOn w:val="a0"/>
    <w:rsid w:val="00A44C25"/>
  </w:style>
  <w:style w:type="paragraph" w:customStyle="1" w:styleId="1uc14g3">
    <w:name w:val="_1uc14g3"/>
    <w:basedOn w:val="a"/>
    <w:rsid w:val="00A44C25"/>
    <w:pPr>
      <w:spacing w:before="100" w:beforeAutospacing="1" w:after="100" w:afterAutospacing="1" w:line="240" w:lineRule="auto"/>
    </w:pPr>
    <w:rPr>
      <w:rFonts w:ascii="Times New Roman" w:eastAsia="Times New Roman" w:hAnsi="Times New Roman"/>
      <w:sz w:val="24"/>
      <w:szCs w:val="24"/>
    </w:rPr>
  </w:style>
  <w:style w:type="paragraph" w:customStyle="1" w:styleId="ued81cg">
    <w:name w:val="_ued81cg"/>
    <w:basedOn w:val="a"/>
    <w:rsid w:val="00A44C25"/>
    <w:pPr>
      <w:spacing w:before="100" w:beforeAutospacing="1" w:after="100" w:afterAutospacing="1" w:line="240" w:lineRule="auto"/>
    </w:pPr>
    <w:rPr>
      <w:rFonts w:ascii="Times New Roman" w:eastAsia="Times New Roman" w:hAnsi="Times New Roman"/>
      <w:sz w:val="24"/>
      <w:szCs w:val="24"/>
    </w:rPr>
  </w:style>
  <w:style w:type="character" w:customStyle="1" w:styleId="panel-inline">
    <w:name w:val="panel-inline"/>
    <w:basedOn w:val="a0"/>
    <w:rsid w:val="00A44C25"/>
  </w:style>
  <w:style w:type="paragraph" w:styleId="a8">
    <w:name w:val="header"/>
    <w:basedOn w:val="a"/>
    <w:link w:val="Char0"/>
    <w:uiPriority w:val="99"/>
    <w:unhideWhenUsed/>
    <w:rsid w:val="00A44C25"/>
    <w:pPr>
      <w:tabs>
        <w:tab w:val="center" w:pos="4680"/>
        <w:tab w:val="right" w:pos="9360"/>
      </w:tabs>
    </w:pPr>
    <w:rPr>
      <w:rFonts w:eastAsia="Calibri"/>
      <w:sz w:val="20"/>
      <w:szCs w:val="20"/>
      <w:lang w:val="x-none" w:eastAsia="x-none"/>
    </w:rPr>
  </w:style>
  <w:style w:type="character" w:customStyle="1" w:styleId="Char0">
    <w:name w:val="页眉 Char"/>
    <w:link w:val="a8"/>
    <w:uiPriority w:val="99"/>
    <w:rsid w:val="00A44C25"/>
    <w:rPr>
      <w:rFonts w:ascii="Calibri" w:eastAsia="Calibri" w:hAnsi="Calibri" w:cs="Times New Roman"/>
      <w:lang w:val="x-none" w:eastAsia="x-none"/>
    </w:rPr>
  </w:style>
  <w:style w:type="paragraph" w:styleId="a9">
    <w:name w:val="footer"/>
    <w:basedOn w:val="a"/>
    <w:link w:val="Char1"/>
    <w:uiPriority w:val="99"/>
    <w:unhideWhenUsed/>
    <w:rsid w:val="00A44C25"/>
    <w:pPr>
      <w:tabs>
        <w:tab w:val="center" w:pos="4680"/>
        <w:tab w:val="right" w:pos="9360"/>
      </w:tabs>
    </w:pPr>
    <w:rPr>
      <w:rFonts w:eastAsia="Calibri"/>
      <w:sz w:val="20"/>
      <w:szCs w:val="20"/>
      <w:lang w:val="x-none" w:eastAsia="x-none"/>
    </w:rPr>
  </w:style>
  <w:style w:type="character" w:customStyle="1" w:styleId="Char1">
    <w:name w:val="页脚 Char"/>
    <w:link w:val="a9"/>
    <w:uiPriority w:val="99"/>
    <w:rsid w:val="00A44C25"/>
    <w:rPr>
      <w:rFonts w:ascii="Calibri" w:eastAsia="Calibri" w:hAnsi="Calibri" w:cs="Times New Roman"/>
      <w:lang w:val="x-none" w:eastAsia="x-none"/>
    </w:rPr>
  </w:style>
  <w:style w:type="character" w:customStyle="1" w:styleId="st">
    <w:name w:val="st"/>
    <w:basedOn w:val="a0"/>
    <w:rsid w:val="00A44C25"/>
  </w:style>
  <w:style w:type="character" w:styleId="aa">
    <w:name w:val="Emphasis"/>
    <w:uiPriority w:val="20"/>
    <w:qFormat/>
    <w:rsid w:val="00A44C25"/>
    <w:rPr>
      <w:i/>
      <w:iCs/>
    </w:rPr>
  </w:style>
  <w:style w:type="character" w:customStyle="1" w:styleId="hilite1">
    <w:name w:val="hilite1"/>
    <w:basedOn w:val="a0"/>
    <w:rsid w:val="00A44C25"/>
  </w:style>
  <w:style w:type="paragraph" w:styleId="ab">
    <w:name w:val="List Paragraph"/>
    <w:basedOn w:val="a"/>
    <w:uiPriority w:val="34"/>
    <w:qFormat/>
    <w:rsid w:val="00A44C25"/>
    <w:pPr>
      <w:spacing w:after="0" w:line="240" w:lineRule="auto"/>
      <w:ind w:left="720"/>
      <w:contextualSpacing/>
    </w:pPr>
    <w:rPr>
      <w:rFonts w:ascii="Times New Roman" w:eastAsia="Times New Roman" w:hAnsi="Times New Roman"/>
      <w:sz w:val="24"/>
      <w:szCs w:val="24"/>
    </w:rPr>
  </w:style>
  <w:style w:type="character" w:customStyle="1" w:styleId="appname">
    <w:name w:val="app_name"/>
    <w:basedOn w:val="a0"/>
    <w:rsid w:val="00A44C25"/>
  </w:style>
  <w:style w:type="character" w:customStyle="1" w:styleId="term">
    <w:name w:val="term"/>
    <w:basedOn w:val="a0"/>
    <w:rsid w:val="00A44C25"/>
  </w:style>
  <w:style w:type="character" w:customStyle="1" w:styleId="lead-in">
    <w:name w:val="lead-in"/>
    <w:basedOn w:val="a0"/>
    <w:rsid w:val="00A44C25"/>
  </w:style>
  <w:style w:type="character" w:styleId="ac">
    <w:name w:val="FollowedHyperlink"/>
    <w:uiPriority w:val="99"/>
    <w:semiHidden/>
    <w:unhideWhenUsed/>
    <w:rsid w:val="00A44C25"/>
    <w:rPr>
      <w:color w:val="800080"/>
      <w:u w:val="single"/>
    </w:rPr>
  </w:style>
  <w:style w:type="character" w:styleId="ad">
    <w:name w:val="annotation reference"/>
    <w:uiPriority w:val="99"/>
    <w:semiHidden/>
    <w:unhideWhenUsed/>
    <w:rsid w:val="00A44C25"/>
    <w:rPr>
      <w:sz w:val="16"/>
      <w:szCs w:val="16"/>
    </w:rPr>
  </w:style>
  <w:style w:type="paragraph" w:styleId="ae">
    <w:name w:val="annotation text"/>
    <w:basedOn w:val="a"/>
    <w:link w:val="Char2"/>
    <w:uiPriority w:val="99"/>
    <w:unhideWhenUsed/>
    <w:qFormat/>
    <w:rsid w:val="00A44C25"/>
    <w:rPr>
      <w:rFonts w:eastAsia="Calibri"/>
      <w:sz w:val="20"/>
      <w:szCs w:val="20"/>
      <w:lang w:val="x-none" w:eastAsia="x-none"/>
    </w:rPr>
  </w:style>
  <w:style w:type="character" w:customStyle="1" w:styleId="Char2">
    <w:name w:val="批注文字 Char"/>
    <w:link w:val="ae"/>
    <w:uiPriority w:val="99"/>
    <w:qFormat/>
    <w:rsid w:val="00A44C25"/>
    <w:rPr>
      <w:rFonts w:ascii="Calibri" w:eastAsia="Calibri" w:hAnsi="Calibri" w:cs="Times New Roman"/>
      <w:sz w:val="20"/>
      <w:szCs w:val="20"/>
    </w:rPr>
  </w:style>
  <w:style w:type="paragraph" w:styleId="af">
    <w:name w:val="annotation subject"/>
    <w:basedOn w:val="ae"/>
    <w:next w:val="ae"/>
    <w:link w:val="Char3"/>
    <w:uiPriority w:val="99"/>
    <w:semiHidden/>
    <w:unhideWhenUsed/>
    <w:rsid w:val="00A44C25"/>
    <w:rPr>
      <w:b/>
      <w:bCs/>
    </w:rPr>
  </w:style>
  <w:style w:type="character" w:customStyle="1" w:styleId="Char3">
    <w:name w:val="批注主题 Char"/>
    <w:link w:val="af"/>
    <w:uiPriority w:val="99"/>
    <w:semiHidden/>
    <w:rsid w:val="00A44C25"/>
    <w:rPr>
      <w:rFonts w:ascii="Calibri" w:eastAsia="Calibri" w:hAnsi="Calibri" w:cs="Times New Roman"/>
      <w:b/>
      <w:bCs/>
      <w:sz w:val="20"/>
      <w:szCs w:val="20"/>
    </w:rPr>
  </w:style>
  <w:style w:type="paragraph" w:styleId="af0">
    <w:name w:val="Balloon Text"/>
    <w:basedOn w:val="a"/>
    <w:link w:val="Char4"/>
    <w:uiPriority w:val="99"/>
    <w:semiHidden/>
    <w:unhideWhenUsed/>
    <w:rsid w:val="00A44C25"/>
    <w:pPr>
      <w:spacing w:after="0" w:line="240" w:lineRule="auto"/>
    </w:pPr>
    <w:rPr>
      <w:rFonts w:ascii="Segoe UI" w:eastAsia="Calibri" w:hAnsi="Segoe UI"/>
      <w:sz w:val="18"/>
      <w:szCs w:val="18"/>
      <w:lang w:val="x-none" w:eastAsia="x-none"/>
    </w:rPr>
  </w:style>
  <w:style w:type="character" w:customStyle="1" w:styleId="Char4">
    <w:name w:val="批注框文本 Char"/>
    <w:link w:val="af0"/>
    <w:uiPriority w:val="99"/>
    <w:semiHidden/>
    <w:rsid w:val="00A44C25"/>
    <w:rPr>
      <w:rFonts w:ascii="Segoe UI" w:eastAsia="Calibri" w:hAnsi="Segoe U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818021">
      <w:bodyDiv w:val="1"/>
      <w:marLeft w:val="0"/>
      <w:marRight w:val="0"/>
      <w:marTop w:val="0"/>
      <w:marBottom w:val="0"/>
      <w:divBdr>
        <w:top w:val="none" w:sz="0" w:space="0" w:color="auto"/>
        <w:left w:val="none" w:sz="0" w:space="0" w:color="auto"/>
        <w:bottom w:val="none" w:sz="0" w:space="0" w:color="auto"/>
        <w:right w:val="none" w:sz="0" w:space="0" w:color="auto"/>
      </w:divBdr>
      <w:divsChild>
        <w:div w:id="1857696345">
          <w:marLeft w:val="0"/>
          <w:marRight w:val="0"/>
          <w:marTop w:val="0"/>
          <w:marBottom w:val="0"/>
          <w:divBdr>
            <w:top w:val="none" w:sz="0" w:space="0" w:color="auto"/>
            <w:left w:val="none" w:sz="0" w:space="0" w:color="auto"/>
            <w:bottom w:val="none" w:sz="0" w:space="0" w:color="auto"/>
            <w:right w:val="none" w:sz="0" w:space="0" w:color="auto"/>
          </w:divBdr>
        </w:div>
      </w:divsChild>
    </w:div>
    <w:div w:id="164307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yperlink" Target="https://www.targetvalidation.org" TargetMode="External"/><Relationship Id="rId18" Type="http://schemas.openxmlformats.org/officeDocument/2006/relationships/hyperlink" Target="https://www.targetvalidation.org/" TargetMode="External"/><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targetvalidation.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geneatlas.roslin.ed.ac.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enome.jp/dbget-bin/www_bget?pathway+hsa04932" TargetMode="External"/><Relationship Id="rId23" Type="http://schemas.openxmlformats.org/officeDocument/2006/relationships/footer" Target="footer1.xml"/><Relationship Id="rId10" Type="http://schemas.openxmlformats.org/officeDocument/2006/relationships/hyperlink" Target="https://dx.doi.org/10.3748/wjg.v25.i15.1783" TargetMode="External"/><Relationship Id="rId19" Type="http://schemas.openxmlformats.org/officeDocument/2006/relationships/hyperlink" Target="https://clinicaltrials.gov/" TargetMode="External"/><Relationship Id="rId4" Type="http://schemas.openxmlformats.org/officeDocument/2006/relationships/settings" Target="settings.xml"/><Relationship Id="rId9" Type="http://schemas.openxmlformats.org/officeDocument/2006/relationships/hyperlink" Target="mailto:ssookoian@intramed.net" TargetMode="External"/><Relationship Id="rId14" Type="http://schemas.openxmlformats.org/officeDocument/2006/relationships/image" Target="media/image2.png"/><Relationship Id="rId22" Type="http://schemas.openxmlformats.org/officeDocument/2006/relationships/hyperlink" Target="http://geneatlas.roslin.ed.ac.u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6281</Words>
  <Characters>35803</Characters>
  <Application>Microsoft Office Word</Application>
  <DocSecurity>0</DocSecurity>
  <Lines>298</Lines>
  <Paragraphs>83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42001</CharactersWithSpaces>
  <SharedDoc>false</SharedDoc>
  <HLinks>
    <vt:vector size="60" baseType="variant">
      <vt:variant>
        <vt:i4>5898242</vt:i4>
      </vt:variant>
      <vt:variant>
        <vt:i4>27</vt:i4>
      </vt:variant>
      <vt:variant>
        <vt:i4>0</vt:i4>
      </vt:variant>
      <vt:variant>
        <vt:i4>5</vt:i4>
      </vt:variant>
      <vt:variant>
        <vt:lpwstr>http://geneatlas.roslin.ed.ac.uk/</vt:lpwstr>
      </vt:variant>
      <vt:variant>
        <vt:lpwstr/>
      </vt:variant>
      <vt:variant>
        <vt:i4>6029338</vt:i4>
      </vt:variant>
      <vt:variant>
        <vt:i4>24</vt:i4>
      </vt:variant>
      <vt:variant>
        <vt:i4>0</vt:i4>
      </vt:variant>
      <vt:variant>
        <vt:i4>5</vt:i4>
      </vt:variant>
      <vt:variant>
        <vt:lpwstr>https://www.targetvalidation.org/</vt:lpwstr>
      </vt:variant>
      <vt:variant>
        <vt:lpwstr/>
      </vt:variant>
      <vt:variant>
        <vt:i4>7143538</vt:i4>
      </vt:variant>
      <vt:variant>
        <vt:i4>21</vt:i4>
      </vt:variant>
      <vt:variant>
        <vt:i4>0</vt:i4>
      </vt:variant>
      <vt:variant>
        <vt:i4>5</vt:i4>
      </vt:variant>
      <vt:variant>
        <vt:lpwstr>https://clinicaltrials.gov/</vt:lpwstr>
      </vt:variant>
      <vt:variant>
        <vt:lpwstr/>
      </vt:variant>
      <vt:variant>
        <vt:i4>6029338</vt:i4>
      </vt:variant>
      <vt:variant>
        <vt:i4>18</vt:i4>
      </vt:variant>
      <vt:variant>
        <vt:i4>0</vt:i4>
      </vt:variant>
      <vt:variant>
        <vt:i4>5</vt:i4>
      </vt:variant>
      <vt:variant>
        <vt:lpwstr>https://www.targetvalidation.org/</vt:lpwstr>
      </vt:variant>
      <vt:variant>
        <vt:lpwstr/>
      </vt:variant>
      <vt:variant>
        <vt:i4>3211264</vt:i4>
      </vt:variant>
      <vt:variant>
        <vt:i4>15</vt:i4>
      </vt:variant>
      <vt:variant>
        <vt:i4>0</vt:i4>
      </vt:variant>
      <vt:variant>
        <vt:i4>5</vt:i4>
      </vt:variant>
      <vt:variant>
        <vt:lpwstr>https://www.genome.jp/dbget-bin/www_bget?pathway+hsa04932</vt:lpwstr>
      </vt:variant>
      <vt:variant>
        <vt:lpwstr/>
      </vt:variant>
      <vt:variant>
        <vt:i4>6029338</vt:i4>
      </vt:variant>
      <vt:variant>
        <vt:i4>12</vt:i4>
      </vt:variant>
      <vt:variant>
        <vt:i4>0</vt:i4>
      </vt:variant>
      <vt:variant>
        <vt:i4>5</vt:i4>
      </vt:variant>
      <vt:variant>
        <vt:lpwstr>https://www.targetvalidation.org/</vt:lpwstr>
      </vt:variant>
      <vt:variant>
        <vt:lpwstr/>
      </vt:variant>
      <vt:variant>
        <vt:i4>5898242</vt:i4>
      </vt:variant>
      <vt:variant>
        <vt:i4>9</vt:i4>
      </vt:variant>
      <vt:variant>
        <vt:i4>0</vt:i4>
      </vt:variant>
      <vt:variant>
        <vt:i4>5</vt:i4>
      </vt:variant>
      <vt:variant>
        <vt:lpwstr>http://geneatlas.roslin.ed.ac.uk/</vt:lpwstr>
      </vt:variant>
      <vt:variant>
        <vt:lpwstr/>
      </vt:variant>
      <vt:variant>
        <vt:i4>7995518</vt:i4>
      </vt:variant>
      <vt:variant>
        <vt:i4>6</vt:i4>
      </vt:variant>
      <vt:variant>
        <vt:i4>0</vt:i4>
      </vt:variant>
      <vt:variant>
        <vt:i4>5</vt:i4>
      </vt:variant>
      <vt:variant>
        <vt:lpwstr>https://dx.doi.org/10.3748/wjg.v25.i15.1783</vt:lpwstr>
      </vt:variant>
      <vt:variant>
        <vt:lpwstr/>
      </vt:variant>
      <vt:variant>
        <vt:i4>4194403</vt:i4>
      </vt:variant>
      <vt:variant>
        <vt:i4>3</vt:i4>
      </vt:variant>
      <vt:variant>
        <vt:i4>0</vt:i4>
      </vt:variant>
      <vt:variant>
        <vt:i4>5</vt:i4>
      </vt:variant>
      <vt:variant>
        <vt:lpwstr>mailto:ssookoian@intramed.net</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sookoian</dc:creator>
  <cp:lastModifiedBy>Administrator</cp:lastModifiedBy>
  <cp:revision>2</cp:revision>
  <dcterms:created xsi:type="dcterms:W3CDTF">2019-04-17T09:19:00Z</dcterms:created>
  <dcterms:modified xsi:type="dcterms:W3CDTF">2019-04-17T09:19:00Z</dcterms:modified>
</cp:coreProperties>
</file>